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20" w:after="120" w:line="288" w:lineRule="auto"/>
        <w:ind w:firstLine="562"/>
        <w:jc w:val="center"/>
        <w:outlineLvl w:val="1"/>
        <w:rPr>
          <w:rFonts w:hint="eastAsia" w:ascii="宋体" w:hAnsi="宋体" w:eastAsia="宋体" w:cs="宋体"/>
          <w:b/>
          <w:sz w:val="28"/>
          <w:szCs w:val="28"/>
          <w:lang w:eastAsia="zh-CN"/>
        </w:rPr>
      </w:pPr>
      <w:bookmarkStart w:id="0" w:name="heading_0"/>
      <w:r>
        <w:rPr>
          <w:rFonts w:hint="eastAsia" w:ascii="宋体" w:hAnsi="宋体" w:cs="宋体"/>
          <w:b/>
          <w:sz w:val="28"/>
          <w:szCs w:val="28"/>
          <w:lang w:eastAsia="zh-CN"/>
        </w:rPr>
        <w:t>2026年楼宇信息化升级改造项目</w:t>
      </w:r>
    </w:p>
    <w:p>
      <w:pPr>
        <w:spacing w:before="320" w:after="120" w:line="288" w:lineRule="auto"/>
        <w:ind w:firstLine="562"/>
        <w:jc w:val="center"/>
        <w:outlineLvl w:val="1"/>
        <w:rPr>
          <w:rFonts w:ascii="宋体" w:hAnsi="宋体" w:cs="宋体"/>
          <w:sz w:val="28"/>
          <w:szCs w:val="28"/>
        </w:rPr>
      </w:pPr>
      <w:r>
        <w:rPr>
          <w:rFonts w:hint="eastAsia" w:ascii="宋体" w:hAnsi="宋体" w:cs="宋体"/>
          <w:b/>
          <w:sz w:val="28"/>
          <w:szCs w:val="28"/>
        </w:rPr>
        <w:t>技术</w:t>
      </w:r>
      <w:bookmarkEnd w:id="0"/>
      <w:r>
        <w:rPr>
          <w:rFonts w:hint="eastAsia" w:ascii="宋体" w:hAnsi="宋体" w:cs="宋体"/>
          <w:b/>
          <w:sz w:val="28"/>
          <w:szCs w:val="28"/>
        </w:rPr>
        <w:t>标准和要求</w:t>
      </w:r>
    </w:p>
    <w:p>
      <w:pPr>
        <w:spacing w:before="300" w:after="120" w:line="288" w:lineRule="auto"/>
        <w:jc w:val="left"/>
        <w:outlineLvl w:val="2"/>
        <w:rPr>
          <w:rFonts w:ascii="宋体" w:hAnsi="宋体" w:cs="宋体"/>
          <w:sz w:val="24"/>
          <w:szCs w:val="24"/>
        </w:rPr>
      </w:pPr>
      <w:bookmarkStart w:id="1" w:name="heading_1"/>
      <w:r>
        <w:rPr>
          <w:rFonts w:hint="eastAsia" w:ascii="宋体" w:hAnsi="宋体" w:cs="宋体"/>
          <w:b/>
          <w:sz w:val="24"/>
          <w:szCs w:val="24"/>
        </w:rPr>
        <w:t>一、项目背景</w:t>
      </w:r>
      <w:bookmarkEnd w:id="1"/>
    </w:p>
    <w:p>
      <w:pPr>
        <w:pStyle w:val="4"/>
        <w:ind w:firstLine="420"/>
        <w:jc w:val="both"/>
        <w:rPr>
          <w:rFonts w:hint="eastAsia" w:ascii="宋体" w:hAnsi="宋体" w:eastAsia="宋体" w:cs="宋体"/>
          <w:sz w:val="24"/>
          <w:szCs w:val="24"/>
          <w:lang w:val="en-US" w:eastAsia="zh-CN"/>
        </w:rPr>
      </w:pPr>
      <w:r>
        <w:rPr>
          <w:rFonts w:ascii="宋体" w:hAnsi="宋体" w:eastAsia="宋体" w:cs="宋体"/>
          <w:sz w:val="24"/>
          <w:szCs w:val="24"/>
        </w:rPr>
        <w:t>为解决</w:t>
      </w:r>
      <w:r>
        <w:rPr>
          <w:rFonts w:ascii="宋体" w:hAnsi="宋体" w:cs="宋体"/>
          <w:sz w:val="24"/>
          <w:szCs w:val="24"/>
          <w:lang w:eastAsia="zh-CN"/>
        </w:rPr>
        <w:t>城</w:t>
      </w:r>
      <w:r>
        <w:rPr>
          <w:rFonts w:ascii="宋体" w:hAnsi="宋体" w:eastAsia="宋体" w:cs="宋体"/>
          <w:sz w:val="24"/>
          <w:szCs w:val="24"/>
        </w:rPr>
        <w:t>区</w:t>
      </w:r>
      <w:r>
        <w:rPr>
          <w:rFonts w:ascii="宋体" w:hAnsi="宋体" w:cs="宋体"/>
          <w:sz w:val="24"/>
          <w:szCs w:val="24"/>
          <w:lang w:eastAsia="zh-CN"/>
        </w:rPr>
        <w:t>楼宇</w:t>
      </w:r>
      <w:r>
        <w:rPr>
          <w:rFonts w:ascii="宋体" w:hAnsi="宋体" w:eastAsia="宋体" w:cs="宋体"/>
          <w:sz w:val="24"/>
          <w:szCs w:val="24"/>
        </w:rPr>
        <w:t>内</w:t>
      </w:r>
      <w:r>
        <w:rPr>
          <w:rFonts w:ascii="宋体" w:hAnsi="宋体" w:eastAsia="宋体" w:cs="宋体"/>
          <w:sz w:val="24"/>
          <w:szCs w:val="24"/>
          <w:lang w:eastAsia="zh-CN"/>
        </w:rPr>
        <w:t>监控</w:t>
      </w:r>
      <w:r>
        <w:rPr>
          <w:rFonts w:ascii="宋体" w:hAnsi="宋体" w:cs="宋体"/>
          <w:sz w:val="24"/>
          <w:szCs w:val="24"/>
          <w:lang w:eastAsia="zh-CN"/>
        </w:rPr>
        <w:t>故障和覆盖范围不够</w:t>
      </w:r>
      <w:r>
        <w:rPr>
          <w:rFonts w:ascii="宋体" w:hAnsi="宋体" w:eastAsia="宋体" w:cs="宋体"/>
          <w:sz w:val="24"/>
          <w:szCs w:val="24"/>
        </w:rPr>
        <w:t>等问题，特实施本次</w:t>
      </w:r>
      <w:r>
        <w:rPr>
          <w:rFonts w:hint="eastAsia" w:ascii="宋体" w:hAnsi="宋体" w:eastAsia="宋体" w:cs="宋体"/>
          <w:sz w:val="24"/>
          <w:szCs w:val="24"/>
          <w:lang w:eastAsia="zh-CN"/>
        </w:rPr>
        <w:t>2026年楼宇信息化升级改造项目</w:t>
      </w:r>
      <w:r>
        <w:rPr>
          <w:rFonts w:ascii="宋体" w:hAnsi="宋体" w:eastAsia="宋体" w:cs="宋体"/>
          <w:sz w:val="24"/>
          <w:szCs w:val="24"/>
        </w:rPr>
        <w:t>。</w:t>
      </w:r>
      <w:bookmarkStart w:id="2" w:name="heading_2"/>
      <w:r>
        <w:rPr>
          <w:rFonts w:hint="eastAsia" w:ascii="宋体" w:hAnsi="宋体" w:eastAsia="宋体" w:cs="宋体"/>
          <w:sz w:val="24"/>
          <w:szCs w:val="24"/>
          <w:lang w:val="en-US" w:eastAsia="zh-CN"/>
        </w:rPr>
        <w:t>总体实施目标：</w:t>
      </w:r>
    </w:p>
    <w:p>
      <w:pPr>
        <w:pStyle w:val="4"/>
        <w:ind w:firstLine="42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1、消除监控盲区</w:t>
      </w:r>
    </w:p>
    <w:p>
      <w:pPr>
        <w:pStyle w:val="4"/>
        <w:ind w:firstLine="42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通过实地勘测与科学规划，实现对楼宇出入口、公共走廊等重点区域的无死角覆盖，确保监控网络全域贯通、无遗漏。</w:t>
      </w:r>
    </w:p>
    <w:p>
      <w:pPr>
        <w:pStyle w:val="4"/>
        <w:ind w:firstLine="42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2、提升图像质量</w:t>
      </w:r>
    </w:p>
    <w:p>
      <w:pPr>
        <w:pStyle w:val="4"/>
        <w:ind w:firstLine="42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替换老旧模拟摄像机，部署400万像素及以上高清网络摄像机，支持宽动态、低照度成像等功能，确保白天清晰、夜间明亮，关键画面可精准识别人员行为细节</w:t>
      </w:r>
      <w:r>
        <w:rPr>
          <w:rFonts w:hint="eastAsia" w:ascii="宋体" w:hAnsi="宋体" w:eastAsia="宋体" w:cs="宋体"/>
          <w:sz w:val="24"/>
          <w:szCs w:val="24"/>
          <w:lang w:val="en-US" w:eastAsia="zh-CN"/>
        </w:rPr>
        <w:t>。</w:t>
      </w:r>
    </w:p>
    <w:p>
      <w:pPr>
        <w:pStyle w:val="4"/>
        <w:ind w:firstLine="42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3、数据安全可追溯</w:t>
      </w:r>
    </w:p>
    <w:p>
      <w:pPr>
        <w:pStyle w:val="4"/>
        <w:ind w:firstLine="42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采用级权限管理，确保视频数据存储安全，满足《个人信息保护法》要求，关键事件录像保留不少于</w:t>
      </w:r>
      <w:r>
        <w:rPr>
          <w:rFonts w:hint="eastAsia" w:ascii="宋体" w:hAnsi="宋体" w:eastAsia="宋体" w:cs="宋体"/>
          <w:sz w:val="24"/>
          <w:szCs w:val="24"/>
          <w:lang w:val="en-US" w:eastAsia="zh-CN"/>
        </w:rPr>
        <w:t>3</w:t>
      </w:r>
      <w:r>
        <w:rPr>
          <w:rFonts w:hint="default" w:ascii="宋体" w:hAnsi="宋体" w:eastAsia="宋体" w:cs="宋体"/>
          <w:sz w:val="24"/>
          <w:szCs w:val="24"/>
          <w:lang w:val="en-US" w:eastAsia="zh-CN"/>
        </w:rPr>
        <w:t>0天。</w:t>
      </w:r>
    </w:p>
    <w:p>
      <w:pPr>
        <w:pStyle w:val="4"/>
        <w:ind w:firstLine="420"/>
        <w:rPr>
          <w:rFonts w:hint="default" w:ascii="宋体" w:hAnsi="宋体" w:eastAsia="宋体" w:cs="宋体"/>
          <w:sz w:val="24"/>
          <w:szCs w:val="24"/>
          <w:lang w:val="en-US" w:eastAsia="zh-CN"/>
        </w:rPr>
      </w:pPr>
    </w:p>
    <w:p>
      <w:pPr>
        <w:spacing w:before="300" w:after="120" w:line="288" w:lineRule="auto"/>
        <w:jc w:val="left"/>
        <w:outlineLvl w:val="2"/>
        <w:rPr>
          <w:rFonts w:ascii="宋体" w:hAnsi="宋体" w:cs="宋体"/>
          <w:sz w:val="24"/>
          <w:szCs w:val="24"/>
        </w:rPr>
      </w:pPr>
      <w:r>
        <w:rPr>
          <w:rFonts w:hint="eastAsia" w:ascii="宋体" w:hAnsi="宋体" w:cs="宋体"/>
          <w:b/>
          <w:sz w:val="24"/>
          <w:szCs w:val="24"/>
        </w:rPr>
        <w:t>二、项目内容</w:t>
      </w:r>
      <w:bookmarkEnd w:id="2"/>
    </w:p>
    <w:p>
      <w:pPr>
        <w:numPr>
          <w:ilvl w:val="0"/>
          <w:numId w:val="1"/>
        </w:numPr>
        <w:spacing w:before="120" w:after="120" w:line="288" w:lineRule="auto"/>
        <w:ind w:firstLine="482"/>
        <w:jc w:val="left"/>
        <w:rPr>
          <w:rFonts w:ascii="宋体" w:hAnsi="宋体" w:cs="宋体"/>
          <w:b/>
          <w:bCs/>
          <w:sz w:val="24"/>
          <w:szCs w:val="24"/>
        </w:rPr>
      </w:pPr>
      <w:r>
        <w:rPr>
          <w:rFonts w:hint="eastAsia" w:ascii="宋体" w:hAnsi="宋体" w:cs="宋体"/>
          <w:b/>
          <w:bCs/>
          <w:sz w:val="24"/>
          <w:szCs w:val="24"/>
        </w:rPr>
        <w:t>项目概述</w:t>
      </w:r>
    </w:p>
    <w:p>
      <w:pPr>
        <w:spacing w:before="120" w:after="120" w:line="288" w:lineRule="auto"/>
        <w:ind w:firstLine="480"/>
        <w:jc w:val="both"/>
        <w:rPr>
          <w:rFonts w:ascii="宋体" w:hAnsi="宋体" w:cs="宋体"/>
          <w:sz w:val="24"/>
          <w:szCs w:val="24"/>
        </w:rPr>
      </w:pPr>
      <w:r>
        <w:rPr>
          <w:rFonts w:hint="eastAsia" w:ascii="宋体" w:hAnsi="宋体" w:cs="宋体"/>
          <w:sz w:val="24"/>
          <w:szCs w:val="24"/>
        </w:rPr>
        <w:t>本项目实施范围为：楼宇。旨在为</w:t>
      </w:r>
      <w:r>
        <w:rPr>
          <w:rFonts w:hint="eastAsia" w:ascii="宋体" w:hAnsi="宋体" w:cs="宋体"/>
          <w:sz w:val="24"/>
          <w:szCs w:val="24"/>
          <w:lang w:val="en-US" w:eastAsia="zh-CN"/>
        </w:rPr>
        <w:t>肇庆市</w:t>
      </w:r>
      <w:r>
        <w:rPr>
          <w:rFonts w:hint="eastAsia" w:ascii="宋体" w:hAnsi="宋体" w:cs="宋体"/>
          <w:sz w:val="24"/>
          <w:szCs w:val="24"/>
        </w:rPr>
        <w:t>楼宇进行监控升级改造建设项目</w:t>
      </w:r>
      <w:r>
        <w:rPr>
          <w:rFonts w:hint="eastAsia" w:ascii="宋体" w:hAnsi="宋体" w:cs="宋体"/>
          <w:sz w:val="24"/>
          <w:szCs w:val="24"/>
          <w:lang w:eastAsia="zh-CN"/>
        </w:rPr>
        <w:t>，</w:t>
      </w:r>
      <w:r>
        <w:rPr>
          <w:rFonts w:hint="eastAsia" w:ascii="宋体" w:hAnsi="宋体" w:cs="宋体"/>
          <w:sz w:val="24"/>
          <w:szCs w:val="24"/>
          <w:lang w:val="en-US" w:eastAsia="zh-CN"/>
        </w:rPr>
        <w:t>需要部署60台防水监控摄像头和20台防尘监控摄像头，为肇庆</w:t>
      </w:r>
      <w:r>
        <w:rPr>
          <w:rFonts w:hint="eastAsia" w:ascii="宋体" w:hAnsi="宋体" w:cs="宋体"/>
          <w:sz w:val="24"/>
          <w:szCs w:val="24"/>
        </w:rPr>
        <w:t>市楼宇</w:t>
      </w:r>
      <w:r>
        <w:rPr>
          <w:rFonts w:hint="eastAsia" w:ascii="宋体" w:hAnsi="宋体" w:cs="宋体"/>
          <w:sz w:val="24"/>
          <w:szCs w:val="24"/>
          <w:lang w:val="en-US" w:eastAsia="zh-CN"/>
        </w:rPr>
        <w:t>提供全面覆盖的监控网络</w:t>
      </w:r>
      <w:r>
        <w:rPr>
          <w:rFonts w:hint="eastAsia" w:ascii="宋体" w:hAnsi="宋体" w:cs="宋体"/>
          <w:sz w:val="24"/>
          <w:szCs w:val="24"/>
        </w:rPr>
        <w:t>。</w:t>
      </w:r>
    </w:p>
    <w:p>
      <w:pPr>
        <w:spacing w:before="300" w:after="120" w:line="288" w:lineRule="auto"/>
        <w:jc w:val="left"/>
        <w:outlineLvl w:val="2"/>
        <w:rPr>
          <w:rFonts w:ascii="宋体" w:hAnsi="宋体" w:cs="宋体"/>
          <w:sz w:val="24"/>
          <w:szCs w:val="24"/>
        </w:rPr>
      </w:pPr>
      <w:bookmarkStart w:id="3" w:name="heading_3"/>
      <w:r>
        <w:rPr>
          <w:rFonts w:hint="eastAsia" w:ascii="宋体" w:hAnsi="宋体" w:cs="宋体"/>
          <w:b/>
          <w:sz w:val="24"/>
          <w:szCs w:val="24"/>
        </w:rPr>
        <w:t>三、项目实施相关要求</w:t>
      </w:r>
      <w:bookmarkEnd w:id="3"/>
    </w:p>
    <w:p>
      <w:pPr>
        <w:spacing w:before="260" w:after="120" w:line="288" w:lineRule="auto"/>
        <w:jc w:val="left"/>
        <w:outlineLvl w:val="3"/>
        <w:rPr>
          <w:rFonts w:ascii="宋体" w:hAnsi="宋体" w:cs="宋体"/>
          <w:b/>
          <w:sz w:val="24"/>
          <w:szCs w:val="24"/>
        </w:rPr>
      </w:pPr>
      <w:bookmarkStart w:id="4" w:name="heading_4"/>
      <w:r>
        <w:rPr>
          <w:rFonts w:hint="eastAsia" w:ascii="宋体" w:hAnsi="宋体" w:cs="宋体"/>
          <w:b/>
          <w:sz w:val="24"/>
          <w:szCs w:val="24"/>
        </w:rPr>
        <w:t>（一）总体实施要求</w:t>
      </w:r>
      <w:bookmarkEnd w:id="4"/>
    </w:p>
    <w:p>
      <w:pPr>
        <w:numPr>
          <w:ilvl w:val="0"/>
          <w:numId w:val="2"/>
        </w:numPr>
        <w:spacing w:before="120" w:after="120" w:line="288" w:lineRule="auto"/>
        <w:ind w:firstLine="480"/>
        <w:jc w:val="left"/>
        <w:rPr>
          <w:rFonts w:ascii="宋体" w:hAnsi="宋体" w:cs="宋体"/>
          <w:sz w:val="24"/>
          <w:szCs w:val="24"/>
        </w:rPr>
      </w:pPr>
      <w:r>
        <w:rPr>
          <w:rFonts w:hint="eastAsia" w:ascii="宋体" w:hAnsi="宋体" w:cs="宋体"/>
          <w:sz w:val="24"/>
          <w:szCs w:val="24"/>
        </w:rPr>
        <w:t>工期要求：自合同签订之日起20个工作日内完成全部项目建设内容并达到验收标准。</w:t>
      </w:r>
    </w:p>
    <w:p>
      <w:pPr>
        <w:numPr>
          <w:ilvl w:val="0"/>
          <w:numId w:val="2"/>
        </w:numPr>
        <w:spacing w:before="120" w:after="120" w:line="288" w:lineRule="auto"/>
        <w:ind w:firstLine="480"/>
        <w:jc w:val="left"/>
        <w:rPr>
          <w:rFonts w:ascii="宋体" w:hAnsi="宋体" w:cs="宋体"/>
          <w:sz w:val="24"/>
          <w:szCs w:val="24"/>
        </w:rPr>
      </w:pPr>
      <w:r>
        <w:rPr>
          <w:rFonts w:hint="eastAsia" w:ascii="宋体" w:hAnsi="宋体" w:cs="宋体"/>
          <w:sz w:val="24"/>
          <w:szCs w:val="24"/>
        </w:rPr>
        <w:t>实施地点：以项目最终用户指定的具体区域为准，严格按照指定范围开展施工。</w:t>
      </w:r>
    </w:p>
    <w:p>
      <w:pPr>
        <w:spacing w:before="260" w:after="120" w:line="288" w:lineRule="auto"/>
        <w:jc w:val="left"/>
        <w:outlineLvl w:val="3"/>
        <w:rPr>
          <w:rFonts w:ascii="宋体" w:hAnsi="宋体" w:cs="宋体"/>
          <w:sz w:val="24"/>
          <w:szCs w:val="24"/>
        </w:rPr>
      </w:pPr>
      <w:bookmarkStart w:id="5" w:name="heading_5"/>
      <w:r>
        <w:rPr>
          <w:rFonts w:hint="eastAsia" w:ascii="宋体" w:hAnsi="宋体" w:cs="宋体"/>
          <w:b/>
          <w:sz w:val="24"/>
          <w:szCs w:val="24"/>
        </w:rPr>
        <w:t>（二）技术参数要求</w:t>
      </w:r>
      <w:bookmarkEnd w:id="5"/>
    </w:p>
    <w:p>
      <w:pPr>
        <w:pStyle w:val="4"/>
        <w:ind w:firstLine="420"/>
        <w:rPr>
          <w:rFonts w:hint="default"/>
        </w:rPr>
      </w:pPr>
      <w:bookmarkStart w:id="6" w:name="heading_6"/>
      <w:r>
        <w:rPr>
          <w:color w:val="000000"/>
          <w:sz w:val="21"/>
        </w:rPr>
        <w:t>1、实用性</w:t>
      </w:r>
    </w:p>
    <w:p>
      <w:pPr>
        <w:pStyle w:val="4"/>
        <w:ind w:firstLine="420"/>
        <w:rPr>
          <w:rFonts w:hint="default"/>
        </w:rPr>
      </w:pPr>
      <w:r>
        <w:rPr>
          <w:color w:val="000000"/>
          <w:sz w:val="21"/>
        </w:rPr>
        <w:t>依照用户要求，坚持实用性为主的原则，新建系统务必完全满足</w:t>
      </w:r>
      <w:r>
        <w:rPr>
          <w:color w:val="000000"/>
          <w:sz w:val="21"/>
          <w:lang w:eastAsia="zh-CN"/>
        </w:rPr>
        <w:t>公司监控</w:t>
      </w:r>
      <w:r>
        <w:rPr>
          <w:color w:val="000000"/>
          <w:sz w:val="21"/>
        </w:rPr>
        <w:t>的实际需求。</w:t>
      </w:r>
    </w:p>
    <w:p>
      <w:pPr>
        <w:pStyle w:val="4"/>
        <w:ind w:firstLine="420"/>
        <w:rPr>
          <w:rFonts w:hint="default"/>
        </w:rPr>
      </w:pPr>
      <w:r>
        <w:rPr>
          <w:color w:val="000000"/>
          <w:sz w:val="21"/>
          <w:lang w:eastAsia="zh-CN"/>
        </w:rPr>
        <w:t>2</w:t>
      </w:r>
      <w:r>
        <w:rPr>
          <w:color w:val="000000"/>
          <w:sz w:val="21"/>
        </w:rPr>
        <w:t>、易管理性、易维护性</w:t>
      </w:r>
    </w:p>
    <w:p>
      <w:pPr>
        <w:pStyle w:val="4"/>
        <w:ind w:firstLine="420"/>
        <w:rPr>
          <w:rFonts w:hint="default"/>
        </w:rPr>
      </w:pPr>
      <w:r>
        <w:rPr>
          <w:color w:val="000000"/>
          <w:sz w:val="21"/>
        </w:rPr>
        <w:t>采用稳定易用的硬件和软件，既降低对管理人员进行专业知识的培训费用，又节省日常管理与维护费用。</w:t>
      </w:r>
    </w:p>
    <w:bookmarkEnd w:id="6"/>
    <w:p>
      <w:pPr>
        <w:spacing w:before="260" w:after="120" w:line="288" w:lineRule="auto"/>
        <w:jc w:val="left"/>
        <w:outlineLvl w:val="3"/>
        <w:rPr>
          <w:rFonts w:ascii="宋体" w:hAnsi="宋体" w:cs="宋体"/>
          <w:sz w:val="24"/>
          <w:szCs w:val="24"/>
        </w:rPr>
      </w:pPr>
      <w:bookmarkStart w:id="7" w:name="heading_7"/>
      <w:r>
        <w:rPr>
          <w:rFonts w:hint="eastAsia" w:ascii="宋体" w:hAnsi="宋体" w:cs="宋体"/>
          <w:b/>
          <w:sz w:val="24"/>
          <w:szCs w:val="24"/>
        </w:rPr>
        <w:t>（三）验收要求</w:t>
      </w:r>
      <w:bookmarkEnd w:id="7"/>
    </w:p>
    <w:p>
      <w:pPr>
        <w:spacing w:before="120" w:after="120" w:line="288" w:lineRule="auto"/>
        <w:ind w:left="420" w:leftChars="200" w:firstLine="0" w:firstLineChars="0"/>
        <w:jc w:val="left"/>
      </w:pPr>
      <w:r>
        <w:t>1、交付验收标准依次序对照适用标准为：①符合中华人民共和国国家安全质量标准、环保标准或行业标准；②符合招标文件和响应承诺中采购人认可的合理最佳配置、参数及各项要求；③货物来源国官方标准。</w:t>
      </w:r>
    </w:p>
    <w:p>
      <w:pPr>
        <w:spacing w:before="120" w:after="120" w:line="288" w:lineRule="auto"/>
        <w:ind w:left="420" w:leftChars="200" w:firstLine="0" w:firstLineChars="0"/>
        <w:jc w:val="left"/>
      </w:pPr>
      <w:r>
        <w:t xml:space="preserve"> 2、进口产品（如有）必须具备原产地证明和商检局的检验证明及合法进货渠道证明。 </w:t>
      </w:r>
    </w:p>
    <w:p>
      <w:pPr>
        <w:spacing w:before="120" w:after="120" w:line="288" w:lineRule="auto"/>
        <w:ind w:left="420" w:leftChars="200" w:firstLine="0" w:firstLineChars="0"/>
        <w:jc w:val="left"/>
        <w:rPr>
          <w:rFonts w:hint="default" w:eastAsia="宋体"/>
          <w:lang w:val="en-US" w:eastAsia="zh-CN"/>
        </w:rPr>
      </w:pPr>
      <w:r>
        <w:t>3、货物为原厂商未启封全新包装，具出厂合格证，序列号、包装箱号与出厂批号一致，无污染，无侵权行为、表面无划损、无任何缺陷隐患，在中国境内可依常规安全合法使用，并可追索查阅。所有随设备的附件必须齐全。中标供应商</w:t>
      </w:r>
      <w:r>
        <w:rPr>
          <w:rFonts w:hint="eastAsia"/>
          <w:lang w:val="en-US" w:eastAsia="zh-CN"/>
        </w:rPr>
        <w:t>需要将所有设备安装调试完成直至所有设备可正常使用。</w:t>
      </w:r>
      <w:bookmarkStart w:id="12" w:name="_GoBack"/>
      <w:bookmarkEnd w:id="12"/>
    </w:p>
    <w:p>
      <w:pPr>
        <w:spacing w:before="120" w:after="120" w:line="288" w:lineRule="auto"/>
        <w:ind w:left="420" w:leftChars="200" w:firstLine="0" w:firstLineChars="0"/>
        <w:jc w:val="left"/>
      </w:pPr>
      <w:r>
        <w:t xml:space="preserve"> 4、中标供应商应将关键主机设备的用户手册、保修手册、有关单证资料及配备件、随机工具等交付给采购人，使用操作及安全须知等重要资料应附有中文说明。</w:t>
      </w:r>
    </w:p>
    <w:p>
      <w:pPr>
        <w:spacing w:before="260" w:after="120" w:line="288" w:lineRule="auto"/>
        <w:jc w:val="left"/>
        <w:outlineLvl w:val="3"/>
        <w:rPr>
          <w:rFonts w:ascii="宋体" w:hAnsi="宋体" w:cs="宋体"/>
          <w:sz w:val="24"/>
          <w:szCs w:val="24"/>
        </w:rPr>
      </w:pPr>
      <w:bookmarkStart w:id="8" w:name="heading_8"/>
      <w:r>
        <w:rPr>
          <w:rFonts w:hint="eastAsia" w:ascii="宋体" w:hAnsi="宋体" w:cs="宋体"/>
          <w:b/>
          <w:sz w:val="24"/>
          <w:szCs w:val="24"/>
        </w:rPr>
        <w:t>（四）售后服务要求</w:t>
      </w:r>
      <w:bookmarkEnd w:id="8"/>
    </w:p>
    <w:p>
      <w:pPr>
        <w:pStyle w:val="4"/>
        <w:ind w:firstLine="420"/>
        <w:jc w:val="both"/>
        <w:rPr>
          <w:rFonts w:hint="default"/>
        </w:rPr>
      </w:pPr>
      <w:r>
        <w:rPr>
          <w:sz w:val="21"/>
        </w:rPr>
        <w:t>1、为采购人提供全天候7×24小时服务，节假日和业余时间不加收服务费，并设立全天候7×24小时热线服务电话，指定专人负责处理和联系。2、本项目的质量保证期（简称“质保期”）自项目正式验收合格之日起至少</w:t>
      </w:r>
      <w:r>
        <w:rPr>
          <w:sz w:val="21"/>
          <w:lang w:eastAsia="zh-CN"/>
        </w:rPr>
        <w:t>1</w:t>
      </w:r>
      <w:r>
        <w:rPr>
          <w:sz w:val="21"/>
        </w:rPr>
        <w:t>年（若国家或生产厂家对本项目所涉及货物的保修期长于</w:t>
      </w:r>
      <w:r>
        <w:rPr>
          <w:sz w:val="21"/>
          <w:lang w:eastAsia="zh-CN"/>
        </w:rPr>
        <w:t>1</w:t>
      </w:r>
      <w:r>
        <w:rPr>
          <w:sz w:val="21"/>
        </w:rPr>
        <w:t>年的，按国家或生产厂家的规定执行），质保期内中标供应商对所供货物实行包修、包换、包退及合同约定的其它事项。</w:t>
      </w:r>
    </w:p>
    <w:p>
      <w:pPr>
        <w:pStyle w:val="4"/>
        <w:ind w:firstLine="420"/>
        <w:jc w:val="both"/>
        <w:rPr>
          <w:rFonts w:hint="default"/>
        </w:rPr>
      </w:pPr>
      <w:r>
        <w:rPr>
          <w:sz w:val="21"/>
        </w:rPr>
        <w:t>3、在质保期内，中标供应商对货物出现的质量及安全问题负责处理解决并承担一切费用。</w:t>
      </w:r>
    </w:p>
    <w:p>
      <w:pPr>
        <w:pStyle w:val="4"/>
        <w:ind w:firstLine="420"/>
        <w:jc w:val="both"/>
        <w:rPr>
          <w:rFonts w:hint="default"/>
        </w:rPr>
      </w:pPr>
      <w:r>
        <w:rPr>
          <w:sz w:val="21"/>
        </w:rPr>
        <w:t>4、质保期内，如设备或零部件因质量原因出现故障而造成短期停用时，则质保期和免费维修期相应顺延。如停用时间累计超过60天则质保期重新计算。</w:t>
      </w:r>
    </w:p>
    <w:p>
      <w:pPr>
        <w:pStyle w:val="4"/>
        <w:ind w:firstLine="420"/>
        <w:jc w:val="both"/>
        <w:rPr>
          <w:rFonts w:hint="default"/>
        </w:rPr>
      </w:pPr>
      <w:r>
        <w:rPr>
          <w:sz w:val="21"/>
        </w:rPr>
        <w:t>5、对采购人的服务通知，中标供应商在接报后30分钟内响应，</w:t>
      </w:r>
      <w:r>
        <w:rPr>
          <w:sz w:val="21"/>
          <w:lang w:eastAsia="zh-CN"/>
        </w:rPr>
        <w:t>6</w:t>
      </w:r>
      <w:r>
        <w:rPr>
          <w:sz w:val="21"/>
        </w:rPr>
        <w:t>小时内到达现场，24小时内处理完毕。</w:t>
      </w:r>
    </w:p>
    <w:p>
      <w:pPr>
        <w:pStyle w:val="4"/>
        <w:ind w:firstLine="420"/>
        <w:jc w:val="both"/>
        <w:rPr>
          <w:rFonts w:hint="default"/>
        </w:rPr>
      </w:pPr>
      <w:r>
        <w:rPr>
          <w:sz w:val="21"/>
        </w:rPr>
        <w:t>6、质保期后的保障服务</w:t>
      </w:r>
    </w:p>
    <w:p>
      <w:pPr>
        <w:pStyle w:val="4"/>
        <w:ind w:firstLine="420"/>
        <w:jc w:val="both"/>
        <w:rPr>
          <w:rFonts w:hint="default"/>
        </w:rPr>
      </w:pPr>
      <w:r>
        <w:rPr>
          <w:sz w:val="21"/>
        </w:rPr>
        <w:t>保修期后，中标供应商对其提供的设备提供终身技术支持，设备出现故障，在接报后30分钟内响应，</w:t>
      </w:r>
      <w:r>
        <w:rPr>
          <w:sz w:val="21"/>
          <w:lang w:eastAsia="zh-CN"/>
        </w:rPr>
        <w:t>6</w:t>
      </w:r>
      <w:r>
        <w:rPr>
          <w:sz w:val="21"/>
        </w:rPr>
        <w:t>小时内到达现场，24小时内处理完毕。超过保修期的机器设备，终生维修，维修时只收部件成本费。</w:t>
      </w:r>
    </w:p>
    <w:p>
      <w:pPr>
        <w:pStyle w:val="4"/>
        <w:ind w:firstLine="420"/>
        <w:jc w:val="both"/>
        <w:rPr>
          <w:rFonts w:hint="default"/>
        </w:rPr>
      </w:pPr>
      <w:r>
        <w:rPr>
          <w:sz w:val="21"/>
        </w:rPr>
        <w:t>7、维修维护服务收费标准</w:t>
      </w:r>
    </w:p>
    <w:p>
      <w:pPr>
        <w:pStyle w:val="4"/>
        <w:ind w:firstLine="420"/>
        <w:jc w:val="both"/>
        <w:rPr>
          <w:rFonts w:hint="default"/>
        </w:rPr>
      </w:pPr>
      <w:r>
        <w:rPr>
          <w:sz w:val="21"/>
        </w:rPr>
        <w:t>质保期内免费，质保期外只收取成本费。</w:t>
      </w:r>
    </w:p>
    <w:p>
      <w:pPr>
        <w:spacing w:before="300" w:after="120" w:line="288" w:lineRule="auto"/>
        <w:ind w:firstLine="0" w:firstLineChars="0"/>
        <w:jc w:val="left"/>
        <w:outlineLvl w:val="2"/>
        <w:rPr>
          <w:rFonts w:ascii="宋体" w:hAnsi="宋体" w:cs="宋体"/>
          <w:sz w:val="28"/>
          <w:szCs w:val="28"/>
        </w:rPr>
      </w:pPr>
      <w:bookmarkStart w:id="9" w:name="heading_12"/>
      <w:r>
        <w:rPr>
          <w:rFonts w:hint="eastAsia" w:ascii="宋体" w:hAnsi="宋体" w:cs="宋体"/>
          <w:b/>
          <w:sz w:val="28"/>
          <w:szCs w:val="28"/>
        </w:rPr>
        <w:t>（五）供货清单及要求</w:t>
      </w:r>
      <w:bookmarkEnd w:id="9"/>
    </w:p>
    <w:tbl>
      <w:tblPr>
        <w:tblStyle w:val="2"/>
        <w:tblW w:w="4997" w:type="pct"/>
        <w:tblInd w:w="0" w:type="dxa"/>
        <w:tblLayout w:type="autofit"/>
        <w:tblCellMar>
          <w:top w:w="0" w:type="dxa"/>
          <w:left w:w="108" w:type="dxa"/>
          <w:bottom w:w="0" w:type="dxa"/>
          <w:right w:w="108" w:type="dxa"/>
        </w:tblCellMar>
      </w:tblPr>
      <w:tblGrid>
        <w:gridCol w:w="1373"/>
        <w:gridCol w:w="2237"/>
        <w:gridCol w:w="2160"/>
        <w:gridCol w:w="1373"/>
        <w:gridCol w:w="1373"/>
      </w:tblGrid>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ind w:firstLine="0" w:firstLineChars="0"/>
              <w:jc w:val="center"/>
              <w:textAlignment w:val="center"/>
              <w:rPr>
                <w:rFonts w:ascii="宋体" w:hAnsi="宋体" w:cs="宋体"/>
                <w:color w:val="000000"/>
                <w:sz w:val="18"/>
                <w:szCs w:val="18"/>
                <w:lang w:bidi="ar"/>
              </w:rPr>
            </w:pPr>
            <w:bookmarkStart w:id="10" w:name="heading_10"/>
            <w:r>
              <w:rPr>
                <w:rFonts w:hint="eastAsia" w:ascii="宋体" w:hAnsi="宋体" w:cs="宋体"/>
                <w:color w:val="000000"/>
                <w:sz w:val="18"/>
                <w:szCs w:val="18"/>
                <w:lang w:bidi="ar"/>
              </w:rPr>
              <w:t>序号</w:t>
            </w:r>
          </w:p>
        </w:tc>
        <w:tc>
          <w:tcPr>
            <w:tcW w:w="1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产品名称</w:t>
            </w:r>
          </w:p>
        </w:tc>
        <w:tc>
          <w:tcPr>
            <w:tcW w:w="12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产品描述</w:t>
            </w:r>
          </w:p>
        </w:tc>
        <w:tc>
          <w:tcPr>
            <w:tcW w:w="8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单位</w:t>
            </w:r>
          </w:p>
        </w:tc>
        <w:tc>
          <w:tcPr>
            <w:tcW w:w="8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数量</w:t>
            </w:r>
          </w:p>
        </w:tc>
      </w:tr>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1</w:t>
            </w:r>
          </w:p>
        </w:tc>
        <w:tc>
          <w:tcPr>
            <w:tcW w:w="1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防喷水网络摄像机</w:t>
            </w:r>
          </w:p>
        </w:tc>
        <w:tc>
          <w:tcPr>
            <w:tcW w:w="12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最高分辨率可达3200 × 1800 @20 fps</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支持越界侦测，区域入侵侦测</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支持背光补偿，强光抑制，3D数字降噪，120 dB宽动态</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支持1个RJ45 10 M/100 M自适应以太网口，1个内置麦克风</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支持白光/红外双补光，红外光最远可达50 m，白光最远可达30 m</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符合IP66防尘防水设计，可靠性高</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台</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60</w:t>
            </w:r>
          </w:p>
        </w:tc>
      </w:tr>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2</w:t>
            </w:r>
          </w:p>
        </w:tc>
        <w:tc>
          <w:tcPr>
            <w:tcW w:w="1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防尘网络摄像机</w:t>
            </w:r>
          </w:p>
        </w:tc>
        <w:tc>
          <w:tcPr>
            <w:tcW w:w="12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最高分辨率可达3200 × 1800 @20 fps</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支持越界侦测，区域入侵侦测</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支持背光补偿，强光抑制，3D数字降噪，120 dB宽动态</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支持1个RJ45 10 M/100 M自适应以太网口，1个内置麦克风</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支持白光/红外双补光，红外光最远可达50 m，白光最远可达30 m</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符合IP67防尘防水设计，可靠性高</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台</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20</w:t>
            </w:r>
          </w:p>
        </w:tc>
      </w:tr>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3</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网络交换设备</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24口全千兆口云管理POE交换机24GE(POE)+2SFP</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台</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9</w:t>
            </w:r>
          </w:p>
        </w:tc>
      </w:tr>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4</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网络机柜</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9U网络机柜</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个</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4</w:t>
            </w:r>
          </w:p>
        </w:tc>
      </w:tr>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5</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网线</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超五类</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箱</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20</w:t>
            </w:r>
          </w:p>
        </w:tc>
      </w:tr>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6</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电源线</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RVV2*1.0</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卷</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2</w:t>
            </w:r>
          </w:p>
        </w:tc>
      </w:tr>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7</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监控录像设备</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硬盘录像机，接入能力128路、24盘</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台</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1</w:t>
            </w:r>
          </w:p>
        </w:tc>
      </w:tr>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8</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硬盘</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16T企业盘</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个</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8</w:t>
            </w:r>
          </w:p>
        </w:tc>
      </w:tr>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9</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网络汇聚交换设备</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16口  全千兆汇聚交换机</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台</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1</w:t>
            </w:r>
          </w:p>
        </w:tc>
      </w:tr>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10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机柜</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22U服务器机柜柜600*1000*1200</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个</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1</w:t>
            </w:r>
          </w:p>
        </w:tc>
      </w:tr>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11</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val="en-US" w:eastAsia="zh-CN" w:bidi="ar"/>
              </w:rPr>
            </w:pPr>
            <w:r>
              <w:rPr>
                <w:rFonts w:hint="eastAsia" w:ascii="宋体" w:hAnsi="宋体" w:cs="宋体"/>
                <w:color w:val="000000"/>
                <w:sz w:val="18"/>
                <w:szCs w:val="18"/>
                <w:lang w:val="en-US" w:eastAsia="zh-CN" w:bidi="ar"/>
              </w:rPr>
              <w:t>前后端设备安装及机柜设备安装</w:t>
            </w:r>
          </w:p>
        </w:tc>
        <w:tc>
          <w:tcPr>
            <w:tcW w:w="2160" w:type="dxa"/>
            <w:tcBorders>
              <w:top w:val="single" w:color="000000" w:sz="4" w:space="0"/>
              <w:left w:val="single" w:color="000000" w:sz="4" w:space="0"/>
              <w:bottom w:val="single" w:color="000000" w:sz="4" w:space="0"/>
              <w:right w:val="nil"/>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val="en-US" w:eastAsia="zh-CN" w:bidi="ar"/>
              </w:rPr>
            </w:pPr>
            <w:r>
              <w:rPr>
                <w:rFonts w:hint="eastAsia" w:ascii="宋体" w:hAnsi="宋体" w:cs="宋体"/>
                <w:color w:val="000000"/>
                <w:sz w:val="18"/>
                <w:szCs w:val="18"/>
                <w:lang w:val="en-US" w:eastAsia="zh-CN" w:bidi="ar"/>
              </w:rPr>
              <w:t>80个点的前后端设备安装搭建（摄像机、录像机、交换机等）并包含配套安装网络摄像使用的加长伸缩支架、收纳盒等、以及7个点的安装配套使用网络机柜PDU电源、配线架等</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项</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1</w:t>
            </w:r>
          </w:p>
        </w:tc>
      </w:tr>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12</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线路铺设</w:t>
            </w:r>
          </w:p>
        </w:tc>
        <w:tc>
          <w:tcPr>
            <w:tcW w:w="1268" w:type="pct"/>
            <w:tcBorders>
              <w:top w:val="single" w:color="000000" w:sz="4" w:space="0"/>
              <w:left w:val="single" w:color="000000" w:sz="4" w:space="0"/>
              <w:bottom w:val="single" w:color="000000" w:sz="4" w:space="0"/>
              <w:right w:val="nil"/>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整体线路规划、铺设（线管、网络线、电源线铺设）</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项</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1</w:t>
            </w:r>
          </w:p>
        </w:tc>
      </w:tr>
      <w:tr>
        <w:tblPrEx>
          <w:tblCellMar>
            <w:top w:w="0" w:type="dxa"/>
            <w:left w:w="108" w:type="dxa"/>
            <w:bottom w:w="0" w:type="dxa"/>
            <w:right w:w="108" w:type="dxa"/>
          </w:tblCellMar>
        </w:tblPrEx>
        <w:trPr>
          <w:trHeight w:val="23" w:hRule="atLeast"/>
        </w:trPr>
        <w:tc>
          <w:tcPr>
            <w:tcW w:w="8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13</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val="en-US" w:eastAsia="zh-CN" w:bidi="ar"/>
              </w:rPr>
              <w:t>运维服务</w:t>
            </w:r>
          </w:p>
        </w:tc>
        <w:tc>
          <w:tcPr>
            <w:tcW w:w="1268" w:type="pct"/>
            <w:tcBorders>
              <w:top w:val="single" w:color="000000" w:sz="4" w:space="0"/>
              <w:left w:val="single" w:color="000000" w:sz="4" w:space="0"/>
              <w:bottom w:val="single" w:color="000000" w:sz="4" w:space="0"/>
              <w:right w:val="nil"/>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1、工程维护范围为整个安防系统的定期检验、调校工作。</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2、所有线路接口的检测、前端后端的定期检查。</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3、前端摄像机的镜头清理、设备除尘、位置调整、设备维修及更换、故障排除等。</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4、设备检测、设备除尘、系统维护、设备维护、系统升级、故障排除等。</w:t>
            </w:r>
            <w:r>
              <w:rPr>
                <w:rFonts w:hint="eastAsia" w:ascii="宋体" w:hAnsi="宋体" w:cs="宋体"/>
                <w:color w:val="000000"/>
                <w:sz w:val="18"/>
                <w:szCs w:val="18"/>
                <w:lang w:bidi="ar"/>
              </w:rPr>
              <w:br w:type="textWrapping"/>
            </w:r>
            <w:r>
              <w:rPr>
                <w:rFonts w:hint="eastAsia" w:ascii="宋体" w:hAnsi="宋体" w:cs="宋体"/>
                <w:color w:val="000000"/>
                <w:sz w:val="18"/>
                <w:szCs w:val="18"/>
                <w:lang w:bidi="ar"/>
              </w:rPr>
              <w:t>5、安防系统操作人员的培训和指导。</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项</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000000"/>
                <w:sz w:val="18"/>
                <w:szCs w:val="18"/>
                <w:lang w:bidi="ar"/>
              </w:rPr>
            </w:pPr>
            <w:r>
              <w:rPr>
                <w:rFonts w:hint="eastAsia" w:ascii="宋体" w:hAnsi="宋体" w:cs="宋体"/>
                <w:color w:val="000000"/>
                <w:sz w:val="18"/>
                <w:szCs w:val="18"/>
                <w:lang w:bidi="ar"/>
              </w:rPr>
              <w:t>1</w:t>
            </w:r>
          </w:p>
        </w:tc>
      </w:tr>
    </w:tbl>
    <w:p>
      <w:pPr>
        <w:spacing w:before="300" w:after="120" w:line="288" w:lineRule="auto"/>
        <w:jc w:val="left"/>
        <w:outlineLvl w:val="2"/>
        <w:rPr>
          <w:rFonts w:ascii="宋体" w:hAnsi="宋体" w:cs="宋体"/>
          <w:b/>
          <w:sz w:val="24"/>
          <w:szCs w:val="24"/>
        </w:rPr>
      </w:pPr>
    </w:p>
    <w:p>
      <w:pPr>
        <w:spacing w:before="300" w:after="120" w:line="288" w:lineRule="auto"/>
        <w:jc w:val="left"/>
        <w:outlineLvl w:val="2"/>
        <w:rPr>
          <w:rFonts w:ascii="宋体" w:hAnsi="宋体" w:cs="宋体"/>
          <w:sz w:val="24"/>
          <w:szCs w:val="24"/>
        </w:rPr>
      </w:pPr>
      <w:r>
        <w:rPr>
          <w:rFonts w:hint="eastAsia" w:ascii="宋体" w:hAnsi="宋体" w:cs="宋体"/>
          <w:b/>
          <w:sz w:val="24"/>
          <w:szCs w:val="24"/>
        </w:rPr>
        <w:t>四、项目成果输出</w:t>
      </w:r>
      <w:bookmarkEnd w:id="10"/>
    </w:p>
    <w:p>
      <w:pPr>
        <w:numPr>
          <w:ilvl w:val="0"/>
          <w:numId w:val="3"/>
        </w:numPr>
        <w:spacing w:before="120" w:after="120" w:line="288" w:lineRule="auto"/>
        <w:ind w:firstLine="480"/>
        <w:jc w:val="left"/>
        <w:rPr>
          <w:rFonts w:ascii="宋体" w:hAnsi="宋体" w:cs="宋体"/>
          <w:sz w:val="24"/>
          <w:szCs w:val="24"/>
        </w:rPr>
      </w:pPr>
      <w:r>
        <w:rPr>
          <w:rFonts w:hint="eastAsia" w:ascii="宋体" w:hAnsi="宋体" w:cs="宋体"/>
          <w:sz w:val="24"/>
          <w:szCs w:val="24"/>
        </w:rPr>
        <w:t>提供项目全套施工技术资料，包括施工报告、材料设备合格证等。</w:t>
      </w:r>
    </w:p>
    <w:p>
      <w:pPr>
        <w:numPr>
          <w:ilvl w:val="0"/>
          <w:numId w:val="3"/>
        </w:numPr>
        <w:spacing w:before="120" w:after="120" w:line="288" w:lineRule="auto"/>
        <w:ind w:firstLine="480"/>
        <w:jc w:val="left"/>
        <w:rPr>
          <w:rFonts w:ascii="宋体" w:hAnsi="宋体" w:cs="宋体"/>
          <w:sz w:val="24"/>
          <w:szCs w:val="24"/>
        </w:rPr>
      </w:pPr>
      <w:r>
        <w:rPr>
          <w:rFonts w:hint="eastAsia" w:ascii="宋体" w:hAnsi="宋体" w:cs="宋体"/>
          <w:sz w:val="24"/>
          <w:szCs w:val="24"/>
        </w:rPr>
        <w:t>出具项目竣工验收资料，包括验收申请表、现场验收记录、《工程验收证书》等，所有资料签字盖章齐全、归档规范。</w:t>
      </w:r>
    </w:p>
    <w:p>
      <w:pPr>
        <w:numPr>
          <w:ilvl w:val="0"/>
          <w:numId w:val="3"/>
        </w:numPr>
        <w:spacing w:before="120" w:after="120" w:line="288" w:lineRule="auto"/>
        <w:ind w:firstLine="480"/>
        <w:jc w:val="left"/>
        <w:rPr>
          <w:rFonts w:ascii="宋体" w:hAnsi="宋体" w:cs="宋体"/>
          <w:sz w:val="24"/>
          <w:szCs w:val="24"/>
        </w:rPr>
      </w:pPr>
      <w:r>
        <w:rPr>
          <w:rFonts w:hint="eastAsia" w:ascii="宋体" w:hAnsi="宋体" w:cs="宋体"/>
          <w:sz w:val="24"/>
          <w:szCs w:val="24"/>
        </w:rPr>
        <w:t>提交项目售后服务方案及应急处置预案，明确保修期内巡查计划、整改流程、应急响应机制等。</w:t>
      </w:r>
    </w:p>
    <w:p>
      <w:pPr>
        <w:numPr>
          <w:ilvl w:val="0"/>
          <w:numId w:val="3"/>
        </w:numPr>
        <w:spacing w:before="120" w:after="120" w:line="288" w:lineRule="auto"/>
        <w:ind w:firstLine="480"/>
        <w:jc w:val="left"/>
        <w:rPr>
          <w:rFonts w:ascii="宋体" w:hAnsi="宋体" w:cs="宋体"/>
          <w:sz w:val="24"/>
          <w:szCs w:val="24"/>
        </w:rPr>
      </w:pPr>
      <w:r>
        <w:rPr>
          <w:rFonts w:hint="eastAsia" w:ascii="宋体" w:hAnsi="宋体" w:cs="宋体"/>
          <w:sz w:val="24"/>
          <w:szCs w:val="24"/>
        </w:rPr>
        <w:t>清理施工过程中产生的建筑垃圾及废弃线路、设施，形成施工场地清理完成证明，保障施工区域环境整洁。</w:t>
      </w:r>
    </w:p>
    <w:p>
      <w:pPr>
        <w:spacing w:before="300" w:after="120" w:line="288" w:lineRule="auto"/>
        <w:jc w:val="left"/>
        <w:outlineLvl w:val="2"/>
        <w:rPr>
          <w:rFonts w:ascii="宋体" w:hAnsi="宋体" w:cs="宋体"/>
          <w:sz w:val="24"/>
          <w:szCs w:val="24"/>
        </w:rPr>
      </w:pPr>
      <w:bookmarkStart w:id="11" w:name="heading_11"/>
      <w:r>
        <w:rPr>
          <w:rFonts w:hint="eastAsia" w:ascii="宋体" w:hAnsi="宋体" w:cs="宋体"/>
          <w:b/>
          <w:sz w:val="24"/>
          <w:szCs w:val="24"/>
        </w:rPr>
        <w:t>五、项目服务时间</w:t>
      </w:r>
      <w:bookmarkEnd w:id="11"/>
    </w:p>
    <w:p>
      <w:pPr>
        <w:numPr>
          <w:ilvl w:val="0"/>
          <w:numId w:val="4"/>
        </w:numPr>
        <w:spacing w:before="120" w:after="120" w:line="288" w:lineRule="auto"/>
        <w:ind w:firstLine="480"/>
        <w:jc w:val="left"/>
        <w:rPr>
          <w:rFonts w:ascii="宋体" w:hAnsi="宋体" w:cs="宋体"/>
          <w:bCs/>
          <w:sz w:val="24"/>
          <w:szCs w:val="24"/>
        </w:rPr>
      </w:pPr>
      <w:r>
        <w:rPr>
          <w:rFonts w:hint="eastAsia" w:ascii="宋体" w:hAnsi="宋体" w:cs="宋体"/>
          <w:bCs/>
          <w:sz w:val="24"/>
          <w:szCs w:val="24"/>
        </w:rPr>
        <w:t>施工服务时间：自合同签订之日起20个工作日内，完成全部项目建设内容并具备验收条件。</w:t>
      </w:r>
    </w:p>
    <w:p>
      <w:pPr>
        <w:numPr>
          <w:ilvl w:val="0"/>
          <w:numId w:val="4"/>
        </w:numPr>
        <w:spacing w:before="120" w:after="120" w:line="288" w:lineRule="auto"/>
        <w:ind w:firstLine="480"/>
        <w:rPr>
          <w:rFonts w:ascii="宋体" w:hAnsi="宋体" w:cs="宋体"/>
          <w:bCs/>
          <w:sz w:val="24"/>
          <w:szCs w:val="24"/>
        </w:rPr>
      </w:pPr>
      <w:r>
        <w:rPr>
          <w:rFonts w:hint="eastAsia" w:ascii="宋体" w:hAnsi="宋体" w:cs="宋体"/>
          <w:bCs/>
          <w:sz w:val="24"/>
          <w:szCs w:val="24"/>
        </w:rPr>
        <w:t>售后服务时间：本项目的质量保证期（简称“质保期”）自项目正式验收合格之日起至少1年（若国家或生产厂家对本项目所涉及货物的保修期长于1年的，按国家或生产厂家的规定执行），质保期内中标供应商对所供货物实行包修、包换、包退及合同约定的其它事项。</w:t>
      </w:r>
    </w:p>
    <w:p>
      <w:pPr>
        <w:numPr>
          <w:ilvl w:val="0"/>
          <w:numId w:val="4"/>
        </w:numPr>
        <w:spacing w:before="120" w:after="120" w:line="288" w:lineRule="auto"/>
        <w:ind w:firstLine="480"/>
        <w:rPr>
          <w:rFonts w:ascii="宋体" w:hAnsi="宋体" w:cs="宋体"/>
          <w:bCs/>
          <w:sz w:val="24"/>
          <w:szCs w:val="24"/>
        </w:rPr>
      </w:pPr>
      <w:r>
        <w:rPr>
          <w:rFonts w:hint="eastAsia" w:ascii="宋体" w:hAnsi="宋体" w:cs="宋体"/>
          <w:bCs/>
          <w:sz w:val="24"/>
          <w:szCs w:val="24"/>
        </w:rPr>
        <w:t>配合服务时间：保修期内，为采购人提供全天候7×24小时服务，节假日和业余时间不加收服务费，并设立全天候7×24小时热线服务电话，指定专人负责处理和联系，须在接到通知后24小时内响应，及时到场处理。</w:t>
      </w:r>
    </w:p>
    <w:p>
      <w:pPr>
        <w:spacing w:before="300" w:after="120" w:line="288" w:lineRule="auto"/>
        <w:jc w:val="left"/>
        <w:outlineLvl w:val="2"/>
        <w:rPr>
          <w:rFonts w:ascii="宋体" w:hAnsi="宋体" w:cs="宋体"/>
          <w:bCs/>
          <w:sz w:val="24"/>
          <w:szCs w:val="24"/>
        </w:rPr>
      </w:pPr>
      <w:r>
        <w:rPr>
          <w:rFonts w:hint="eastAsia" w:ascii="宋体" w:hAnsi="宋体" w:cs="宋体"/>
          <w:b/>
          <w:sz w:val="24"/>
          <w:szCs w:val="24"/>
        </w:rPr>
        <w:t>六、付款方式</w:t>
      </w:r>
    </w:p>
    <w:p>
      <w:pPr>
        <w:spacing w:line="360" w:lineRule="auto"/>
        <w:ind w:firstLine="480"/>
        <w:rPr>
          <w:rFonts w:hint="eastAsia" w:ascii="宋体" w:hAnsi="宋体" w:eastAsia="宋体" w:cs="宋体"/>
          <w:sz w:val="24"/>
          <w:szCs w:val="24"/>
          <w:lang w:val="en-US" w:eastAsia="zh-CN"/>
        </w:rPr>
      </w:pPr>
      <w:r>
        <w:rPr>
          <w:rFonts w:hint="eastAsia" w:ascii="宋体" w:hAnsi="宋体" w:cs="宋体"/>
          <w:sz w:val="24"/>
          <w:szCs w:val="24"/>
        </w:rPr>
        <w:t>项目初验后支付合同价的40%，项目终验后支付合同价的</w:t>
      </w:r>
      <w:r>
        <w:rPr>
          <w:rFonts w:hint="eastAsia" w:ascii="宋体" w:hAnsi="宋体" w:cs="宋体"/>
          <w:sz w:val="24"/>
          <w:szCs w:val="24"/>
          <w:lang w:val="en-US" w:eastAsia="zh-CN"/>
        </w:rPr>
        <w:t>55</w:t>
      </w:r>
      <w:r>
        <w:rPr>
          <w:rFonts w:hint="eastAsia" w:ascii="宋体" w:hAnsi="宋体" w:cs="宋体"/>
          <w:sz w:val="24"/>
          <w:szCs w:val="24"/>
        </w:rPr>
        <w:t>%</w:t>
      </w:r>
      <w:r>
        <w:rPr>
          <w:rFonts w:hint="eastAsia" w:ascii="宋体" w:hAnsi="宋体" w:cs="宋体"/>
          <w:sz w:val="24"/>
          <w:szCs w:val="24"/>
          <w:lang w:eastAsia="zh-CN"/>
        </w:rPr>
        <w:t>，</w:t>
      </w:r>
      <w:r>
        <w:rPr>
          <w:rFonts w:hint="eastAsia" w:ascii="宋体" w:hAnsi="宋体" w:cs="宋体"/>
          <w:sz w:val="24"/>
          <w:szCs w:val="24"/>
          <w:lang w:val="en-US" w:eastAsia="zh-CN"/>
        </w:rPr>
        <w:t>质保期一年后支付</w:t>
      </w:r>
      <w:r>
        <w:rPr>
          <w:rFonts w:hint="eastAsia" w:ascii="宋体" w:hAnsi="宋体" w:cs="宋体"/>
          <w:sz w:val="24"/>
          <w:szCs w:val="24"/>
        </w:rPr>
        <w:t>合同价的</w:t>
      </w:r>
      <w:r>
        <w:rPr>
          <w:rFonts w:hint="eastAsia" w:ascii="宋体" w:hAnsi="宋体" w:cs="宋体"/>
          <w:sz w:val="24"/>
          <w:szCs w:val="24"/>
          <w:lang w:val="en-US" w:eastAsia="zh-CN"/>
        </w:rPr>
        <w:t>5</w:t>
      </w:r>
      <w:r>
        <w:rPr>
          <w:rFonts w:hint="eastAsia" w:ascii="宋体" w:hAnsi="宋体" w:cs="宋体"/>
          <w:sz w:val="24"/>
          <w:szCs w:val="24"/>
        </w:rPr>
        <w:t>%</w:t>
      </w:r>
      <w:r>
        <w:rPr>
          <w:rFonts w:hint="eastAsia" w:ascii="宋体" w:hAnsi="宋体" w:cs="宋体"/>
          <w:sz w:val="24"/>
          <w:szCs w:val="24"/>
          <w:lang w:eastAsia="zh-CN"/>
        </w:rPr>
        <w:t>。</w:t>
      </w:r>
    </w:p>
    <w:sectPr>
      <w:headerReference r:id="rId5" w:type="default"/>
      <w:footerReference r:id="rId6" w:type="default"/>
      <w:pgSz w:w="11905" w:h="16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2869D3"/>
    <w:multiLevelType w:val="singleLevel"/>
    <w:tmpl w:val="AD2869D3"/>
    <w:lvl w:ilvl="0" w:tentative="0">
      <w:start w:val="1"/>
      <w:numFmt w:val="decimal"/>
      <w:suff w:val="nothing"/>
      <w:lvlText w:val="%1．"/>
      <w:lvlJc w:val="left"/>
      <w:pPr>
        <w:ind w:left="0" w:firstLine="400"/>
      </w:pPr>
      <w:rPr>
        <w:rFonts w:hint="default"/>
      </w:rPr>
    </w:lvl>
  </w:abstractNum>
  <w:abstractNum w:abstractNumId="1">
    <w:nsid w:val="C34D1A19"/>
    <w:multiLevelType w:val="singleLevel"/>
    <w:tmpl w:val="C34D1A19"/>
    <w:lvl w:ilvl="0" w:tentative="0">
      <w:start w:val="1"/>
      <w:numFmt w:val="decimal"/>
      <w:suff w:val="nothing"/>
      <w:lvlText w:val="%1．"/>
      <w:lvlJc w:val="left"/>
      <w:pPr>
        <w:ind w:left="0" w:firstLine="400"/>
      </w:pPr>
      <w:rPr>
        <w:rFonts w:hint="default"/>
      </w:rPr>
    </w:lvl>
  </w:abstractNum>
  <w:abstractNum w:abstractNumId="2">
    <w:nsid w:val="0F38903E"/>
    <w:multiLevelType w:val="singleLevel"/>
    <w:tmpl w:val="0F38903E"/>
    <w:lvl w:ilvl="0" w:tentative="0">
      <w:start w:val="1"/>
      <w:numFmt w:val="decimal"/>
      <w:suff w:val="nothing"/>
      <w:lvlText w:val="%1．"/>
      <w:lvlJc w:val="left"/>
      <w:pPr>
        <w:ind w:left="0" w:firstLine="400"/>
      </w:pPr>
      <w:rPr>
        <w:rFonts w:hint="default"/>
      </w:rPr>
    </w:lvl>
  </w:abstractNum>
  <w:abstractNum w:abstractNumId="3">
    <w:nsid w:val="6B6C33C0"/>
    <w:multiLevelType w:val="singleLevel"/>
    <w:tmpl w:val="6B6C33C0"/>
    <w:lvl w:ilvl="0" w:tentative="0">
      <w:start w:val="1"/>
      <w:numFmt w:val="decimal"/>
      <w:suff w:val="nothing"/>
      <w:lvlText w:val="%1．"/>
      <w:lvlJc w:val="left"/>
      <w:pPr>
        <w:ind w:left="0" w:firstLine="40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DYxODY2ZDM1NDhjZTIwNDFmMDhmMjJkMmMyYzI3ZDMifQ=="/>
  </w:docVars>
  <w:rsids>
    <w:rsidRoot w:val="0087643D"/>
    <w:rsid w:val="002B1B17"/>
    <w:rsid w:val="00383AD4"/>
    <w:rsid w:val="0087643D"/>
    <w:rsid w:val="00B721DD"/>
    <w:rsid w:val="0136557F"/>
    <w:rsid w:val="029702A0"/>
    <w:rsid w:val="046326A1"/>
    <w:rsid w:val="04FB74B7"/>
    <w:rsid w:val="08D6550D"/>
    <w:rsid w:val="0A4D56E8"/>
    <w:rsid w:val="0C4C4DA8"/>
    <w:rsid w:val="0D305579"/>
    <w:rsid w:val="146464BB"/>
    <w:rsid w:val="17216538"/>
    <w:rsid w:val="1AA83FBF"/>
    <w:rsid w:val="1BAD6CB2"/>
    <w:rsid w:val="1DB31FB1"/>
    <w:rsid w:val="1F5A0684"/>
    <w:rsid w:val="1FEB4110"/>
    <w:rsid w:val="20627AD5"/>
    <w:rsid w:val="24B403E6"/>
    <w:rsid w:val="24F60169"/>
    <w:rsid w:val="27431182"/>
    <w:rsid w:val="2A045393"/>
    <w:rsid w:val="2F8C3928"/>
    <w:rsid w:val="3264344B"/>
    <w:rsid w:val="3478172C"/>
    <w:rsid w:val="350A4E69"/>
    <w:rsid w:val="3BCB12A0"/>
    <w:rsid w:val="3FDE3868"/>
    <w:rsid w:val="411A4942"/>
    <w:rsid w:val="41360D0A"/>
    <w:rsid w:val="42C121F4"/>
    <w:rsid w:val="42EE5593"/>
    <w:rsid w:val="44750AB5"/>
    <w:rsid w:val="4995253C"/>
    <w:rsid w:val="4CE26E4E"/>
    <w:rsid w:val="4EE65DE9"/>
    <w:rsid w:val="52706A0C"/>
    <w:rsid w:val="574B7E86"/>
    <w:rsid w:val="57FF139C"/>
    <w:rsid w:val="5E61173D"/>
    <w:rsid w:val="5E874A04"/>
    <w:rsid w:val="656F05C0"/>
    <w:rsid w:val="65A73661"/>
    <w:rsid w:val="670A0EE2"/>
    <w:rsid w:val="675D3BC2"/>
    <w:rsid w:val="67725E35"/>
    <w:rsid w:val="69B23046"/>
    <w:rsid w:val="6B023E01"/>
    <w:rsid w:val="773D41CF"/>
    <w:rsid w:val="775F5FCE"/>
    <w:rsid w:val="77D17A45"/>
    <w:rsid w:val="77FE5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82" w:firstLineChars="200"/>
      <w:jc w:val="both"/>
    </w:pPr>
    <w:rPr>
      <w:rFonts w:ascii="Calibri" w:hAnsi="Calibri" w:eastAsia="宋体" w:cstheme="minorBidi"/>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 w:type="character" w:customStyle="1" w:styleId="5">
    <w:name w:val="font21"/>
    <w:basedOn w:val="3"/>
    <w:qFormat/>
    <w:uiPriority w:val="0"/>
    <w:rPr>
      <w:rFonts w:hint="eastAsia" w:ascii="宋体" w:hAnsi="宋体" w:eastAsia="宋体" w:cs="宋体"/>
      <w:color w:val="000000"/>
      <w:sz w:val="24"/>
      <w:szCs w:val="24"/>
      <w:u w:val="none"/>
    </w:rPr>
  </w:style>
  <w:style w:type="character" w:customStyle="1" w:styleId="6">
    <w:name w:val="font41"/>
    <w:basedOn w:val="3"/>
    <w:qFormat/>
    <w:uiPriority w:val="0"/>
    <w:rPr>
      <w:rFonts w:hint="default" w:ascii="Times New Roman" w:hAnsi="Times New Roman" w:cs="Times New Roman"/>
      <w:color w:val="000000"/>
      <w:sz w:val="24"/>
      <w:szCs w:val="24"/>
      <w:u w:val="none"/>
    </w:rPr>
  </w:style>
  <w:style w:type="character" w:customStyle="1" w:styleId="7">
    <w:name w:val="font71"/>
    <w:basedOn w:val="3"/>
    <w:qFormat/>
    <w:uiPriority w:val="0"/>
    <w:rPr>
      <w:rFonts w:hint="eastAsia" w:ascii="宋体" w:hAnsi="宋体" w:eastAsia="宋体" w:cs="宋体"/>
      <w:color w:val="000000"/>
      <w:sz w:val="21"/>
      <w:szCs w:val="21"/>
      <w:u w:val="none"/>
    </w:rPr>
  </w:style>
  <w:style w:type="character" w:customStyle="1" w:styleId="8">
    <w:name w:val="font81"/>
    <w:basedOn w:val="3"/>
    <w:qFormat/>
    <w:uiPriority w:val="0"/>
    <w:rPr>
      <w:rFonts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2474</Words>
  <Characters>2610</Characters>
  <Lines>17</Lines>
  <Paragraphs>4</Paragraphs>
  <TotalTime>2</TotalTime>
  <ScaleCrop>false</ScaleCrop>
  <LinksUpToDate>false</LinksUpToDate>
  <CharactersWithSpaces>2637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2026-01-26T08:58:00Z</dcterms:created>
  <dc:creator>Apache POI</dc:creator>
  <cp:lastModifiedBy>邱灏</cp:lastModifiedBy>
  <dcterms:modified xsi:type="dcterms:W3CDTF">2026-03-30T03:47:42Z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eyJoZGlkIjoiMmU4ODQwNzM3MTA3ZGYwY2QyNTBlMDU4Y2Q5MGNiNDUiLCJ1c2VySWQiOiIzNjczNzg2MDAifQ==</vt:lpwstr>
  </property>
  <property fmtid="{D5CDD505-2E9C-101B-9397-08002B2CF9AE}" pid="3" name="KSOProductBuildVer">
    <vt:lpwstr>2052-11.1.0.14309</vt:lpwstr>
  </property>
  <property fmtid="{D5CDD505-2E9C-101B-9397-08002B2CF9AE}" pid="4" name="ICV">
    <vt:lpwstr>01DE2DD0BFBF4E05B24E481AA523D421_12</vt:lpwstr>
  </property>
</Properties>
</file>