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26413">
      <w:pPr>
        <w:snapToGrid w:val="0"/>
        <w:jc w:val="center"/>
        <w:rPr>
          <w:rFonts w:hint="eastAsia" w:ascii="仿宋" w:hAnsi="仿宋" w:eastAsia="仿宋" w:cs="仿宋"/>
          <w:b/>
          <w:color w:val="000000"/>
          <w:sz w:val="44"/>
          <w:szCs w:val="44"/>
          <w:highlight w:val="none"/>
          <w:lang w:eastAsia="zh-CN"/>
        </w:rPr>
      </w:pPr>
      <w:r>
        <w:rPr>
          <w:rFonts w:hint="eastAsia" w:ascii="仿宋" w:hAnsi="仿宋" w:eastAsia="仿宋" w:cs="仿宋"/>
          <w:b/>
          <w:color w:val="000000"/>
          <w:sz w:val="44"/>
          <w:szCs w:val="44"/>
          <w:highlight w:val="none"/>
          <w:lang w:eastAsia="zh-CN"/>
        </w:rPr>
        <w:t>2026年度中国银行泉州分行茶叶采购项目</w:t>
      </w:r>
    </w:p>
    <w:p w14:paraId="7EDE3805">
      <w:pPr>
        <w:pStyle w:val="2"/>
        <w:spacing w:line="360" w:lineRule="auto"/>
      </w:pPr>
      <w:r>
        <w:rPr>
          <w:rFonts w:hint="eastAsia"/>
          <w:lang w:val="en-US" w:eastAsia="zh-CN"/>
        </w:rPr>
        <w:t>招标公告</w:t>
      </w:r>
    </w:p>
    <w:p w14:paraId="0141B440">
      <w:pPr>
        <w:ind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福建省中通通信有限公司受中国银行股份有限公司泉州分行委托，就2026年度中国银行泉州分行茶叶采购项目进行公开招标。项目资金由招标人自筹，资金已落实。</w:t>
      </w:r>
    </w:p>
    <w:p w14:paraId="0093F7F4">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0" w:name="_Toc31764"/>
      <w:bookmarkStart w:id="1" w:name="_Toc108796132"/>
      <w:bookmarkStart w:id="2" w:name="_Toc150933561"/>
      <w:bookmarkStart w:id="3" w:name="_Toc11694"/>
      <w:bookmarkStart w:id="4" w:name="_Toc149230385"/>
      <w:bookmarkStart w:id="5" w:name="_Toc6359"/>
      <w:r>
        <w:rPr>
          <w:rFonts w:hint="eastAsia" w:ascii="仿宋" w:hAnsi="仿宋" w:eastAsia="仿宋" w:cs="仿宋"/>
          <w:b/>
          <w:bCs/>
          <w:kern w:val="2"/>
          <w:sz w:val="24"/>
          <w:szCs w:val="21"/>
          <w:highlight w:val="none"/>
          <w:lang w:val="en-US" w:eastAsia="zh-CN" w:bidi="ar-SA"/>
        </w:rPr>
        <w:t>一、</w:t>
      </w:r>
      <w:r>
        <w:rPr>
          <w:rFonts w:hint="eastAsia" w:ascii="仿宋" w:hAnsi="仿宋" w:eastAsia="仿宋" w:cs="仿宋"/>
          <w:b/>
          <w:bCs/>
          <w:sz w:val="24"/>
          <w:szCs w:val="21"/>
          <w:highlight w:val="none"/>
        </w:rPr>
        <w:t>项目名称：</w:t>
      </w:r>
      <w:bookmarkEnd w:id="0"/>
      <w:bookmarkEnd w:id="1"/>
      <w:bookmarkEnd w:id="2"/>
      <w:bookmarkEnd w:id="3"/>
      <w:bookmarkEnd w:id="4"/>
      <w:bookmarkEnd w:id="5"/>
    </w:p>
    <w:p w14:paraId="4AF58661">
      <w:pPr>
        <w:numPr>
          <w:ilvl w:val="0"/>
          <w:numId w:val="0"/>
        </w:numPr>
        <w:spacing w:line="360" w:lineRule="auto"/>
        <w:ind w:left="0" w:leftChars="0" w:firstLine="0" w:firstLineChars="0"/>
        <w:outlineLvl w:val="1"/>
        <w:rPr>
          <w:rFonts w:hint="eastAsia" w:ascii="仿宋" w:hAnsi="仿宋" w:eastAsia="仿宋" w:cs="仿宋"/>
          <w:sz w:val="24"/>
          <w:szCs w:val="21"/>
          <w:highlight w:val="none"/>
          <w:lang w:val="en-US" w:eastAsia="zh-CN"/>
        </w:rPr>
      </w:pPr>
      <w:bookmarkStart w:id="6" w:name="_Toc13879"/>
      <w:r>
        <w:rPr>
          <w:rFonts w:hint="eastAsia" w:ascii="仿宋" w:hAnsi="仿宋" w:eastAsia="仿宋" w:cs="仿宋"/>
          <w:sz w:val="24"/>
          <w:szCs w:val="21"/>
          <w:highlight w:val="none"/>
          <w:lang w:val="en-US" w:eastAsia="zh-CN"/>
        </w:rPr>
        <w:t>2026年度中国银行泉州分行茶叶采购项目</w:t>
      </w:r>
    </w:p>
    <w:p w14:paraId="0CE65DEF">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二、</w:t>
      </w:r>
      <w:r>
        <w:rPr>
          <w:rFonts w:hint="eastAsia" w:ascii="仿宋" w:hAnsi="仿宋" w:eastAsia="仿宋" w:cs="仿宋"/>
          <w:b/>
          <w:bCs/>
          <w:sz w:val="24"/>
          <w:szCs w:val="21"/>
          <w:highlight w:val="none"/>
        </w:rPr>
        <w:t>招标编号：</w:t>
      </w:r>
      <w:bookmarkEnd w:id="6"/>
      <w:bookmarkStart w:id="7" w:name="_Toc15873"/>
      <w:bookmarkStart w:id="8" w:name="_Toc108796133"/>
      <w:bookmarkStart w:id="9" w:name="_Toc149230386"/>
      <w:bookmarkStart w:id="10" w:name="_Toc150933562"/>
      <w:bookmarkStart w:id="11" w:name="_Toc13130"/>
    </w:p>
    <w:p w14:paraId="601172E4">
      <w:pPr>
        <w:widowControl w:val="0"/>
        <w:spacing w:after="120" w:line="360" w:lineRule="auto"/>
        <w:ind w:left="0" w:leftChars="0" w:firstLine="480" w:firstLineChars="200"/>
        <w:jc w:val="both"/>
        <w:rPr>
          <w:rFonts w:ascii="仿宋" w:hAnsi="仿宋" w:eastAsia="仿宋" w:cs="Times New Roman"/>
          <w:kern w:val="2"/>
          <w:sz w:val="32"/>
          <w:szCs w:val="32"/>
          <w:highlight w:val="none"/>
          <w:lang w:val="en-US" w:eastAsia="zh-CN" w:bidi="ar-SA"/>
        </w:rPr>
      </w:pPr>
      <w:r>
        <w:rPr>
          <w:rFonts w:hint="eastAsia" w:ascii="仿宋" w:hAnsi="仿宋" w:eastAsia="仿宋" w:cs="仿宋"/>
          <w:kern w:val="2"/>
          <w:sz w:val="24"/>
          <w:szCs w:val="21"/>
          <w:highlight w:val="none"/>
          <w:lang w:val="en-US" w:eastAsia="zh-CN" w:bidi="ar-SA"/>
        </w:rPr>
        <w:t>【FJZT-2025-13143】</w:t>
      </w:r>
    </w:p>
    <w:p w14:paraId="48B86AA1">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12" w:name="_Toc8380"/>
      <w:r>
        <w:rPr>
          <w:rFonts w:hint="eastAsia" w:ascii="仿宋" w:hAnsi="仿宋" w:eastAsia="仿宋" w:cs="仿宋"/>
          <w:b/>
          <w:bCs/>
          <w:kern w:val="2"/>
          <w:sz w:val="24"/>
          <w:szCs w:val="21"/>
          <w:highlight w:val="none"/>
          <w:lang w:val="en-US" w:eastAsia="zh-CN" w:bidi="ar-SA"/>
        </w:rPr>
        <w:t>三、</w:t>
      </w:r>
      <w:r>
        <w:rPr>
          <w:rFonts w:hint="eastAsia" w:ascii="仿宋" w:hAnsi="仿宋" w:eastAsia="仿宋" w:cs="仿宋"/>
          <w:b/>
          <w:bCs/>
          <w:sz w:val="24"/>
          <w:szCs w:val="21"/>
          <w:highlight w:val="none"/>
        </w:rPr>
        <w:t>项目情况：</w:t>
      </w:r>
      <w:bookmarkEnd w:id="7"/>
      <w:bookmarkEnd w:id="8"/>
      <w:bookmarkEnd w:id="9"/>
      <w:bookmarkEnd w:id="10"/>
      <w:bookmarkEnd w:id="11"/>
      <w:bookmarkEnd w:id="12"/>
      <w:bookmarkStart w:id="13" w:name="_Toc150933563"/>
      <w:bookmarkStart w:id="14" w:name="_Toc149230387"/>
      <w:bookmarkStart w:id="15" w:name="_Toc31550"/>
      <w:bookmarkStart w:id="16" w:name="_Toc31246"/>
      <w:bookmarkStart w:id="17" w:name="_Toc108796134"/>
    </w:p>
    <w:p w14:paraId="5C7A5AEC">
      <w:pPr>
        <w:numPr>
          <w:ilvl w:val="0"/>
          <w:numId w:val="2"/>
        </w:numPr>
        <w:spacing w:line="360" w:lineRule="auto"/>
        <w:ind w:left="60" w:leftChars="0" w:firstLineChars="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内容：</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29"/>
        <w:gridCol w:w="1725"/>
        <w:gridCol w:w="3157"/>
      </w:tblGrid>
      <w:tr w14:paraId="0C9F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trPr>
        <w:tc>
          <w:tcPr>
            <w:tcW w:w="1061" w:type="pct"/>
            <w:shd w:val="clear" w:color="000000" w:fill="F2F2F2"/>
            <w:noWrap/>
            <w:vAlign w:val="center"/>
          </w:tcPr>
          <w:p w14:paraId="7D3DDDA8">
            <w:pPr>
              <w:widowControl/>
              <w:spacing w:line="360" w:lineRule="auto"/>
              <w:jc w:val="center"/>
              <w:rPr>
                <w:rFonts w:hint="default"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rPr>
              <w:t>序号</w:t>
            </w:r>
          </w:p>
        </w:tc>
        <w:tc>
          <w:tcPr>
            <w:tcW w:w="1073" w:type="pct"/>
            <w:shd w:val="clear" w:color="000000" w:fill="F2F2F2"/>
            <w:noWrap/>
            <w:vAlign w:val="center"/>
          </w:tcPr>
          <w:p w14:paraId="2A09E5B6">
            <w:pPr>
              <w:widowControl/>
              <w:spacing w:line="360" w:lineRule="auto"/>
              <w:jc w:val="center"/>
              <w:rPr>
                <w:rFonts w:hint="default" w:ascii="宋体" w:hAnsi="宋体" w:eastAsia="宋体"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采购标的</w:t>
            </w:r>
          </w:p>
        </w:tc>
        <w:tc>
          <w:tcPr>
            <w:tcW w:w="1012" w:type="pct"/>
            <w:shd w:val="clear" w:color="000000" w:fill="F2F2F2"/>
            <w:noWrap/>
            <w:vAlign w:val="center"/>
          </w:tcPr>
          <w:p w14:paraId="699827C9">
            <w:pPr>
              <w:widowControl/>
              <w:spacing w:line="360" w:lineRule="auto"/>
              <w:jc w:val="center"/>
              <w:rPr>
                <w:rFonts w:hint="default"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数量（单位）</w:t>
            </w:r>
          </w:p>
        </w:tc>
        <w:tc>
          <w:tcPr>
            <w:tcW w:w="1852" w:type="pct"/>
            <w:shd w:val="clear" w:color="000000" w:fill="F2F2F2"/>
            <w:noWrap/>
            <w:vAlign w:val="center"/>
          </w:tcPr>
          <w:p w14:paraId="31930491">
            <w:pPr>
              <w:widowControl/>
              <w:spacing w:line="360" w:lineRule="auto"/>
              <w:jc w:val="center"/>
              <w:rPr>
                <w:rFonts w:hint="default"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技术要求</w:t>
            </w:r>
          </w:p>
        </w:tc>
      </w:tr>
      <w:tr w14:paraId="2C6F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61" w:type="pct"/>
            <w:noWrap/>
            <w:vAlign w:val="center"/>
          </w:tcPr>
          <w:p w14:paraId="3FB92292">
            <w:pPr>
              <w:widowControl/>
              <w:spacing w:line="360" w:lineRule="auto"/>
              <w:jc w:val="center"/>
              <w:rPr>
                <w:rFonts w:hint="eastAsia"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1</w:t>
            </w:r>
          </w:p>
        </w:tc>
        <w:tc>
          <w:tcPr>
            <w:tcW w:w="1829" w:type="dxa"/>
            <w:vAlign w:val="center"/>
          </w:tcPr>
          <w:p w14:paraId="03AC7A27">
            <w:pPr>
              <w:widowControl/>
              <w:spacing w:line="360" w:lineRule="auto"/>
              <w:jc w:val="center"/>
              <w:rPr>
                <w:rFonts w:hint="default"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茶叶采购</w:t>
            </w:r>
          </w:p>
        </w:tc>
        <w:tc>
          <w:tcPr>
            <w:tcW w:w="1725" w:type="dxa"/>
            <w:vAlign w:val="center"/>
          </w:tcPr>
          <w:p w14:paraId="154024DE">
            <w:pPr>
              <w:widowControl/>
              <w:spacing w:line="360" w:lineRule="auto"/>
              <w:jc w:val="center"/>
              <w:rPr>
                <w:rFonts w:hint="default" w:ascii="宋体" w:hAnsi="宋体" w:eastAsia="仿宋"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1项</w:t>
            </w:r>
          </w:p>
        </w:tc>
        <w:tc>
          <w:tcPr>
            <w:tcW w:w="3157" w:type="dxa"/>
            <w:vAlign w:val="center"/>
          </w:tcPr>
          <w:p w14:paraId="3D16F775">
            <w:pPr>
              <w:widowControl/>
              <w:spacing w:line="360" w:lineRule="auto"/>
              <w:jc w:val="center"/>
              <w:rPr>
                <w:rFonts w:hint="default" w:ascii="宋体" w:hAnsi="宋体" w:eastAsia="宋体" w:cs="宋体"/>
                <w:kern w:val="0"/>
                <w:sz w:val="24"/>
                <w:szCs w:val="21"/>
                <w:highlight w:val="none"/>
                <w:lang w:val="en-US" w:eastAsia="zh-CN"/>
              </w:rPr>
            </w:pPr>
            <w:r>
              <w:rPr>
                <w:rFonts w:hint="eastAsia" w:ascii="宋体" w:hAnsi="宋体" w:eastAsia="仿宋" w:cs="宋体"/>
                <w:kern w:val="0"/>
                <w:sz w:val="24"/>
                <w:szCs w:val="21"/>
                <w:highlight w:val="none"/>
                <w:lang w:val="en-US" w:eastAsia="zh-CN"/>
              </w:rPr>
              <w:t>以招标文件第五部分采购需求书要求为准。</w:t>
            </w:r>
          </w:p>
        </w:tc>
      </w:tr>
    </w:tbl>
    <w:p w14:paraId="1BC3CA31">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240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元（含税）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其中办公用茶19.5万元（含税），营销用茶220.5万元（含税）</w:t>
      </w:r>
      <w:r>
        <w:rPr>
          <w:rFonts w:hint="eastAsia" w:ascii="宋体" w:hAnsi="宋体" w:eastAsia="仿宋" w:cs="宋体"/>
          <w:sz w:val="24"/>
          <w:szCs w:val="21"/>
          <w:highlight w:val="none"/>
          <w:lang w:eastAsia="zh-CN"/>
        </w:rPr>
        <w:t>。</w:t>
      </w:r>
    </w:p>
    <w:p w14:paraId="79DB55AC">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最高投标限价：最高投标</w:t>
      </w:r>
      <w:r>
        <w:rPr>
          <w:rFonts w:hint="eastAsia" w:ascii="仿宋" w:hAnsi="仿宋" w:eastAsia="仿宋" w:cs="仿宋"/>
          <w:color w:val="FF0000"/>
          <w:sz w:val="24"/>
          <w:szCs w:val="24"/>
          <w:highlight w:val="none"/>
          <w:lang w:val="en-US" w:eastAsia="zh-Hans"/>
        </w:rPr>
        <w:t>折扣</w:t>
      </w:r>
      <w:r>
        <w:rPr>
          <w:rFonts w:hint="eastAsia" w:ascii="仿宋" w:hAnsi="仿宋" w:eastAsia="仿宋" w:cs="仿宋"/>
          <w:sz w:val="24"/>
          <w:szCs w:val="24"/>
          <w:highlight w:val="none"/>
        </w:rPr>
        <w:t>限价为</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100</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rPr>
        <w:t>投标人投标报价高于最高投标</w:t>
      </w:r>
      <w:r>
        <w:rPr>
          <w:rFonts w:hint="eastAsia" w:ascii="仿宋" w:hAnsi="仿宋" w:eastAsia="仿宋" w:cs="仿宋"/>
          <w:sz w:val="24"/>
          <w:szCs w:val="24"/>
          <w:highlight w:val="none"/>
          <w:lang w:val="en-US" w:eastAsia="zh-CN"/>
        </w:rPr>
        <w:t>折扣</w:t>
      </w:r>
      <w:r>
        <w:rPr>
          <w:rFonts w:hint="eastAsia" w:ascii="仿宋" w:hAnsi="仿宋" w:eastAsia="仿宋" w:cs="仿宋"/>
          <w:sz w:val="24"/>
          <w:szCs w:val="24"/>
          <w:highlight w:val="none"/>
        </w:rPr>
        <w:t>限价的，其投标将被否决。</w:t>
      </w:r>
    </w:p>
    <w:p w14:paraId="01BDD3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标包划分：本项目不划分标包</w:t>
      </w:r>
      <w:r>
        <w:rPr>
          <w:rFonts w:hint="eastAsia" w:ascii="仿宋" w:hAnsi="仿宋" w:eastAsia="仿宋" w:cs="仿宋"/>
          <w:sz w:val="24"/>
          <w:szCs w:val="24"/>
          <w:highlight w:val="none"/>
          <w:lang w:val="en-US" w:eastAsia="zh-CN"/>
        </w:rPr>
        <w:t>。</w:t>
      </w:r>
    </w:p>
    <w:p w14:paraId="7789528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响应缺漏项处理：投标人须对本项目所有货物及服务进行响应及报价，否则其投标将被拒绝。</w:t>
      </w:r>
    </w:p>
    <w:p w14:paraId="17E11E6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中标人数量：</w:t>
      </w:r>
    </w:p>
    <w:p w14:paraId="2BE200C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当初步评审后有效投标人数量≥【12】个时，中标候选人数量为【6】个，中标人数量为【6】个；</w:t>
      </w:r>
    </w:p>
    <w:p w14:paraId="74C2461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当初步评审后有效投标人数量≥【10】个时，中标候选人数量为【5】个，中标人数量为【5】个；</w:t>
      </w:r>
    </w:p>
    <w:p w14:paraId="714F5C7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当初步评审后有效投标人数量≥【8】个时，中标候选人数量为【4】个，中标人数量为【4】个。</w:t>
      </w:r>
    </w:p>
    <w:p w14:paraId="77A44C1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注：有效应标投标人和选取投标人比例为2:1。</w:t>
      </w:r>
    </w:p>
    <w:p w14:paraId="6DB2729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如有效应标投标人为或超过12家选取排名前6家（综合评分第一名投标人承接项目预算金额的22.5%约54万，第二名投标人承接19.5%约46.8万，第三名投标人承接17.5%约42万,第四名投标人承接15.5%约37.2万,第五名投标人承接13.5%约32.4万,第六名投标人承接11.5%约27.6万）；</w:t>
      </w:r>
    </w:p>
    <w:p w14:paraId="305241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有效应标投标人为10-11家选取排名前5家（综合评分第一名投标人承接项目预算金额的25%约60万，第二名投标人承接22%约52.8万，第三名投标人承接20%约48万,第四名投标人承接18%约43.2万,第五名投标人承接15%约36万）；</w:t>
      </w:r>
    </w:p>
    <w:p w14:paraId="092CD87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3）有效应标投标人为8-9家选取排名前4家（综合评分第一名投标人承接项目预算金额的29%约69.6万，第二名投标人承接26%约62.4万，第三名投标人承接24%约57.6万,第四名投标人承接21%约50.4万）；</w:t>
      </w:r>
    </w:p>
    <w:p w14:paraId="077D67F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4）有效应标投标人数量应不少于8家</w:t>
      </w:r>
      <w:r>
        <w:rPr>
          <w:rFonts w:hint="eastAsia" w:ascii="宋体" w:hAnsi="宋体" w:eastAsia="仿宋" w:cs="Times New Roman"/>
          <w:sz w:val="24"/>
          <w:szCs w:val="21"/>
          <w:highlight w:val="none"/>
        </w:rPr>
        <w:t>。</w:t>
      </w:r>
    </w:p>
    <w:p w14:paraId="4AFAA21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（6）服务期：</w:t>
      </w:r>
      <w:r>
        <w:rPr>
          <w:rFonts w:hint="eastAsia" w:ascii="仿宋" w:hAnsi="仿宋" w:eastAsia="仿宋" w:cs="仿宋"/>
          <w:color w:val="auto"/>
          <w:sz w:val="24"/>
          <w:szCs w:val="24"/>
          <w:highlight w:val="none"/>
          <w:lang w:eastAsia="zh-CN"/>
        </w:rPr>
        <w:t>一年，</w:t>
      </w:r>
      <w:r>
        <w:rPr>
          <w:rFonts w:hint="eastAsia" w:ascii="仿宋" w:hAnsi="仿宋" w:eastAsia="仿宋" w:cs="仿宋"/>
          <w:sz w:val="24"/>
          <w:szCs w:val="24"/>
          <w:highlight w:val="none"/>
        </w:rPr>
        <w:t>最终合同金额与期限以实际采购结果为准</w:t>
      </w:r>
      <w:r>
        <w:rPr>
          <w:rFonts w:hint="eastAsia" w:ascii="仿宋" w:hAnsi="仿宋" w:eastAsia="仿宋" w:cs="仿宋"/>
          <w:sz w:val="24"/>
          <w:szCs w:val="24"/>
          <w:highlight w:val="none"/>
          <w:lang w:val="en-US" w:eastAsia="zh-CN"/>
        </w:rPr>
        <w:t>。</w:t>
      </w:r>
    </w:p>
    <w:p w14:paraId="4969953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（7）交货地点：招标人指定地点。</w:t>
      </w:r>
    </w:p>
    <w:p w14:paraId="195C266B">
      <w:pPr>
        <w:widowControl w:val="0"/>
        <w:spacing w:line="360" w:lineRule="auto"/>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（8）续签管理：不涉及。</w:t>
      </w:r>
    </w:p>
    <w:p w14:paraId="4F0F0F08">
      <w:pPr>
        <w:widowControl w:val="0"/>
        <w:spacing w:line="360" w:lineRule="auto"/>
        <w:ind w:firstLine="480" w:firstLineChars="20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4"/>
          <w:szCs w:val="24"/>
          <w:highlight w:val="none"/>
          <w:lang w:val="en-US" w:eastAsia="zh-CN" w:bidi="ar-SA"/>
        </w:rPr>
        <w:t>（9）投标保证金：【6020元】</w:t>
      </w:r>
    </w:p>
    <w:p w14:paraId="16DA1248">
      <w:pPr>
        <w:numPr>
          <w:ilvl w:val="0"/>
          <w:numId w:val="2"/>
        </w:numPr>
        <w:spacing w:line="360" w:lineRule="auto"/>
        <w:ind w:left="60" w:leftChars="0" w:firstLineChars="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流程：</w:t>
      </w:r>
    </w:p>
    <w:p w14:paraId="31D43BAB">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 xml:space="preserve">    </w:t>
      </w:r>
      <w:r>
        <w:rPr>
          <w:rFonts w:hint="eastAsia" w:ascii="仿宋" w:hAnsi="仿宋" w:eastAsia="仿宋" w:cs="仿宋"/>
          <w:kern w:val="2"/>
          <w:sz w:val="24"/>
          <w:szCs w:val="21"/>
          <w:highlight w:val="none"/>
          <w:lang w:val="en-US" w:eastAsia="zh-CN" w:bidi="ar-SA"/>
        </w:rPr>
        <w:t>本项目将进行资格后审，资格审查标准和内容见招标文件第三部分“评标办法”，凡未通过资格后审的投标人，其应答将被否决。</w:t>
      </w:r>
    </w:p>
    <w:p w14:paraId="067845ED">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18" w:name="_Toc10547"/>
      <w:r>
        <w:rPr>
          <w:rFonts w:hint="eastAsia" w:ascii="仿宋" w:hAnsi="仿宋" w:eastAsia="仿宋" w:cs="仿宋"/>
          <w:b/>
          <w:bCs/>
          <w:kern w:val="2"/>
          <w:sz w:val="24"/>
          <w:szCs w:val="21"/>
          <w:highlight w:val="none"/>
          <w:lang w:val="en-US" w:eastAsia="zh-CN" w:bidi="ar-SA"/>
        </w:rPr>
        <w:t>四、</w:t>
      </w:r>
      <w:r>
        <w:rPr>
          <w:rFonts w:hint="eastAsia" w:ascii="仿宋" w:hAnsi="仿宋" w:eastAsia="仿宋" w:cs="仿宋"/>
          <w:b/>
          <w:bCs/>
          <w:sz w:val="24"/>
          <w:szCs w:val="21"/>
          <w:highlight w:val="none"/>
        </w:rPr>
        <w:t>合格投标人的基本资质要求（须同时满足）：</w:t>
      </w:r>
      <w:bookmarkEnd w:id="13"/>
      <w:bookmarkEnd w:id="14"/>
      <w:bookmarkEnd w:id="15"/>
      <w:bookmarkEnd w:id="16"/>
      <w:bookmarkEnd w:id="17"/>
      <w:bookmarkEnd w:id="18"/>
      <w:bookmarkStart w:id="19" w:name="_Toc150933573"/>
      <w:bookmarkStart w:id="20" w:name="_Toc149230389"/>
      <w:bookmarkStart w:id="21" w:name="_Toc108796135"/>
      <w:bookmarkStart w:id="22" w:name="_Toc31641"/>
      <w:bookmarkStart w:id="23" w:name="_Toc5886"/>
    </w:p>
    <w:p w14:paraId="4D3B9F12">
      <w:pPr>
        <w:numPr>
          <w:ilvl w:val="0"/>
          <w:numId w:val="3"/>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hint="eastAsia" w:ascii="仿宋" w:hAnsi="仿宋" w:eastAsia="仿宋" w:cs="宋体"/>
          <w:b/>
          <w:bCs/>
          <w:sz w:val="24"/>
          <w:szCs w:val="21"/>
          <w:highlight w:val="none"/>
        </w:rPr>
        <w:t>投标人及所报服务</w:t>
      </w:r>
      <w:r>
        <w:rPr>
          <w:rFonts w:hint="eastAsia" w:ascii="仿宋" w:hAnsi="仿宋" w:eastAsia="仿宋" w:cs="Times New Roman"/>
          <w:b/>
          <w:bCs/>
          <w:sz w:val="24"/>
          <w:szCs w:val="21"/>
          <w:highlight w:val="none"/>
        </w:rPr>
        <w:t>的资质要求如下：</w:t>
      </w:r>
    </w:p>
    <w:p w14:paraId="393D4843">
      <w:pPr>
        <w:widowControl w:val="0"/>
        <w:numPr>
          <w:ilvl w:val="0"/>
          <w:numId w:val="4"/>
        </w:numPr>
        <w:autoSpaceDE w:val="0"/>
        <w:spacing w:beforeAutospacing="0" w:afterAutospacing="0" w:line="360" w:lineRule="auto"/>
        <w:ind w:leftChars="-25" w:firstLine="964" w:firstLineChars="4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b/>
          <w:bCs w:val="0"/>
          <w:kern w:val="2"/>
          <w:sz w:val="24"/>
          <w:szCs w:val="24"/>
          <w:highlight w:val="none"/>
          <w:shd w:val="clear" w:color="auto" w:fill="FFFFFF"/>
          <w:lang w:val="en-US" w:eastAsia="zh-CN" w:bidi="ar-SA"/>
        </w:rPr>
        <w:t>企业能力：</w:t>
      </w:r>
      <w:r>
        <w:rPr>
          <w:rFonts w:hint="eastAsia" w:ascii="仿宋" w:hAnsi="仿宋" w:eastAsia="仿宋" w:cs="仿宋"/>
          <w:bCs/>
          <w:kern w:val="2"/>
          <w:sz w:val="24"/>
          <w:szCs w:val="24"/>
          <w:highlight w:val="none"/>
          <w:shd w:val="clear" w:color="auto" w:fill="FFFFFF"/>
          <w:lang w:val="en-US" w:eastAsia="zh-CN" w:bidi="ar-SA"/>
        </w:rPr>
        <w:t>投标人须具有独立承担民事责任的能力，遵守法律、法规，具有良好的商业信誉和健全的财务会计制度</w:t>
      </w:r>
      <w:r>
        <w:rPr>
          <w:rFonts w:hint="eastAsia" w:ascii="仿宋" w:hAnsi="仿宋" w:eastAsia="仿宋" w:cs="仿宋"/>
          <w:kern w:val="0"/>
          <w:sz w:val="24"/>
          <w:szCs w:val="24"/>
          <w:highlight w:val="none"/>
          <w:lang w:val="en-US" w:eastAsia="zh-CN" w:bidi="ar-SA"/>
        </w:rPr>
        <w:t>。</w:t>
      </w:r>
    </w:p>
    <w:p w14:paraId="0F024A77">
      <w:pPr>
        <w:widowControl w:val="0"/>
        <w:numPr>
          <w:ilvl w:val="0"/>
          <w:numId w:val="4"/>
        </w:numPr>
        <w:autoSpaceDE w:val="0"/>
        <w:spacing w:beforeAutospacing="0" w:afterAutospacing="0" w:line="360" w:lineRule="auto"/>
        <w:ind w:leftChars="-25" w:firstLine="960" w:firstLineChars="4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投标人应具备相关资质，且经营状况良好，在经营活动中无违法和重大违约记录，应具备有效的《食品生产许可证》或《食品经营许可证》。</w:t>
      </w:r>
    </w:p>
    <w:p w14:paraId="16D28F6D">
      <w:pPr>
        <w:widowControl w:val="0"/>
        <w:numPr>
          <w:ilvl w:val="0"/>
          <w:numId w:val="4"/>
        </w:numPr>
        <w:autoSpaceDE w:val="0"/>
        <w:spacing w:beforeAutospacing="0" w:afterAutospacing="0" w:line="360" w:lineRule="auto"/>
        <w:ind w:left="-53" w:leftChars="-25" w:firstLine="960" w:firstLineChars="400"/>
        <w:jc w:val="left"/>
        <w:rPr>
          <w:rFonts w:hint="eastAsia"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投标人在近三年内不存在围串标等采购违规行为处罚记录。</w:t>
      </w:r>
    </w:p>
    <w:p w14:paraId="7B9BB6F5">
      <w:pPr>
        <w:widowControl w:val="0"/>
        <w:numPr>
          <w:ilvl w:val="0"/>
          <w:numId w:val="4"/>
        </w:numPr>
        <w:autoSpaceDE w:val="0"/>
        <w:spacing w:beforeAutospacing="0" w:afterAutospacing="0" w:line="360" w:lineRule="auto"/>
        <w:ind w:left="-53" w:leftChars="-25" w:firstLine="960" w:firstLineChars="4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不得为本项目（标段）的前期准备或者监理工作提供设计、咨询服务的任何法人及其任何附属机构（单位）；投标人不得为本项目（标段）的监理单位、招标代理机构、造价咨询单位、代建单位或全过程工程咨询单位。</w:t>
      </w:r>
    </w:p>
    <w:p w14:paraId="1B9144F7">
      <w:pPr>
        <w:numPr>
          <w:ilvl w:val="0"/>
          <w:numId w:val="3"/>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ascii="仿宋" w:hAnsi="仿宋" w:eastAsia="仿宋" w:cs="Times New Roman"/>
          <w:b/>
          <w:bCs/>
          <w:sz w:val="24"/>
          <w:szCs w:val="21"/>
          <w:highlight w:val="none"/>
        </w:rPr>
        <w:t>其他必须满足的要求：</w:t>
      </w:r>
    </w:p>
    <w:p w14:paraId="2B4D5B5E">
      <w:pPr>
        <w:numPr>
          <w:ilvl w:val="0"/>
          <w:numId w:val="0"/>
        </w:numPr>
        <w:spacing w:line="360" w:lineRule="auto"/>
        <w:ind w:leftChars="175" w:firstLine="482" w:firstLineChars="200"/>
        <w:rPr>
          <w:rFonts w:hint="eastAsia" w:ascii="仿宋" w:hAnsi="仿宋" w:eastAsia="仿宋" w:cs="仿宋"/>
          <w:sz w:val="24"/>
          <w:szCs w:val="21"/>
          <w:highlight w:val="none"/>
        </w:rPr>
      </w:pPr>
      <w:r>
        <w:rPr>
          <w:rFonts w:hint="eastAsia" w:ascii="仿宋" w:hAnsi="仿宋" w:eastAsia="仿宋" w:cs="仿宋"/>
          <w:b/>
          <w:bCs/>
          <w:sz w:val="24"/>
          <w:szCs w:val="21"/>
          <w:highlight w:val="none"/>
          <w:lang w:val="en-US" w:eastAsia="zh-CN"/>
        </w:rPr>
        <w:t>1.营业执照：</w:t>
      </w:r>
      <w:r>
        <w:rPr>
          <w:rFonts w:hint="eastAsia" w:ascii="仿宋" w:hAnsi="仿宋" w:eastAsia="仿宋" w:cs="仿宋"/>
          <w:bCs/>
          <w:kern w:val="2"/>
          <w:sz w:val="24"/>
          <w:szCs w:val="24"/>
          <w:highlight w:val="none"/>
          <w:shd w:val="clear" w:color="auto" w:fill="FFFFFF"/>
          <w:lang w:val="en-US" w:eastAsia="zh-CN" w:bidi="ar-SA"/>
        </w:rPr>
        <w:t>投标人</w:t>
      </w:r>
      <w:r>
        <w:rPr>
          <w:rFonts w:hint="eastAsia" w:ascii="仿宋" w:hAnsi="仿宋" w:eastAsia="仿宋" w:cs="仿宋"/>
          <w:sz w:val="24"/>
          <w:szCs w:val="21"/>
          <w:highlight w:val="none"/>
        </w:rPr>
        <w:t>应为中华人民共和国境内法律上和财务上独立的法人或依法登记注册的其他组织，合法运作并独立于招标人和招标代理机构，不得直接或间接地与招标人或其附属机构有任何关联。</w:t>
      </w:r>
    </w:p>
    <w:p w14:paraId="2D01B241">
      <w:pPr>
        <w:numPr>
          <w:ilvl w:val="0"/>
          <w:numId w:val="0"/>
        </w:numPr>
        <w:spacing w:line="360" w:lineRule="auto"/>
        <w:ind w:leftChars="175" w:firstLine="482" w:firstLineChars="200"/>
        <w:rPr>
          <w:rFonts w:hint="eastAsia" w:ascii="仿宋" w:hAnsi="仿宋" w:eastAsia="仿宋" w:cs="仿宋"/>
          <w:b/>
          <w:bCs/>
          <w:sz w:val="24"/>
          <w:szCs w:val="21"/>
          <w:highlight w:val="none"/>
          <w:lang w:val="en-US" w:eastAsia="zh-CN"/>
        </w:rPr>
      </w:pPr>
      <w:r>
        <w:rPr>
          <w:rFonts w:hint="eastAsia" w:ascii="仿宋" w:hAnsi="仿宋" w:eastAsia="仿宋" w:cs="仿宋"/>
          <w:b/>
          <w:bCs/>
          <w:sz w:val="24"/>
          <w:szCs w:val="21"/>
          <w:highlight w:val="none"/>
          <w:lang w:val="en-US" w:eastAsia="zh-CN"/>
        </w:rPr>
        <w:t>2.投标要求：</w:t>
      </w:r>
    </w:p>
    <w:p w14:paraId="22D6A9E5">
      <w:pPr>
        <w:numPr>
          <w:ilvl w:val="0"/>
          <w:numId w:val="0"/>
        </w:numPr>
        <w:spacing w:line="360" w:lineRule="auto"/>
        <w:ind w:leftChars="175"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lang w:val="en-US" w:eastAsia="zh-CN"/>
        </w:rPr>
        <w:t>（1）</w:t>
      </w:r>
      <w:r>
        <w:rPr>
          <w:rFonts w:hint="eastAsia" w:ascii="仿宋" w:hAnsi="仿宋" w:eastAsia="仿宋" w:cs="仿宋"/>
          <w:sz w:val="24"/>
          <w:szCs w:val="21"/>
          <w:highlight w:val="none"/>
        </w:rPr>
        <w:t>投标人必须从招标代理机构获得招标文件并登记备案，否则不能参加本次招标。</w:t>
      </w:r>
      <w:bookmarkStart w:id="24" w:name="_Toc150933564"/>
    </w:p>
    <w:p w14:paraId="1E45E5AA">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2</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投标人不得将本项目采购内容以任何方式进行分包。</w:t>
      </w:r>
    </w:p>
    <w:p w14:paraId="02B2BE44">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（3）投标人不得将本项目采购内容以任何方式进行转包。</w:t>
      </w:r>
    </w:p>
    <w:p w14:paraId="2CF88D0E">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（4）投标人之间不得相互串通投标报价，不得排挤其他投标人的公平竞争，损害招标人或者其他投标人的合法权益。</w:t>
      </w:r>
    </w:p>
    <w:p w14:paraId="2DB6B4BD">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（5）投标人提供的全部材料必须真实有效，投标人如提供虚假材料或存在弄虚作假行为，其投标将被拒绝，招标人有权将其列入中国银行供应商不良行为名单。</w:t>
      </w:r>
    </w:p>
    <w:p w14:paraId="3067F162">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（6）投标人应未受到联合国、中国或其他招标人认为需适用的制裁发布主体的制裁，也未被前述制裁对象拥有或实际控制。</w:t>
      </w:r>
    </w:p>
    <w:p w14:paraId="1AF6E3F6">
      <w:pPr>
        <w:keepNext w:val="0"/>
        <w:keepLines w:val="0"/>
        <w:widowControl w:val="0"/>
        <w:suppressLineNumbers w:val="0"/>
        <w:spacing w:before="0" w:beforeAutospacing="0" w:after="0" w:afterAutospacing="0" w:line="360" w:lineRule="auto"/>
        <w:ind w:left="0" w:right="0" w:firstLine="723" w:firstLineChars="300"/>
        <w:jc w:val="both"/>
        <w:rPr>
          <w:rFonts w:ascii="Times New Roman" w:hAnsi="Times New Roman" w:eastAsia="仿宋" w:cs="Times New Roman"/>
          <w:sz w:val="24"/>
          <w:szCs w:val="21"/>
          <w:highlight w:val="none"/>
        </w:rPr>
      </w:pPr>
      <w:r>
        <w:rPr>
          <w:rFonts w:hint="eastAsia" w:ascii="仿宋" w:hAnsi="仿宋" w:eastAsia="仿宋" w:cs="仿宋"/>
          <w:b/>
          <w:bCs/>
          <w:sz w:val="24"/>
          <w:szCs w:val="21"/>
          <w:highlight w:val="none"/>
          <w:lang w:val="en-US" w:eastAsia="zh-CN"/>
        </w:rPr>
        <w:t>3.</w:t>
      </w:r>
      <w:r>
        <w:rPr>
          <w:rFonts w:hint="eastAsia" w:ascii="仿宋" w:hAnsi="仿宋" w:eastAsia="仿宋" w:cs="仿宋"/>
          <w:b/>
          <w:bCs/>
          <w:sz w:val="24"/>
          <w:szCs w:val="21"/>
          <w:highlight w:val="none"/>
        </w:rPr>
        <w:t>联合体投标：</w:t>
      </w:r>
      <w:bookmarkEnd w:id="24"/>
      <w:bookmarkStart w:id="25" w:name="_Toc150933567"/>
      <w:r>
        <w:rPr>
          <w:rFonts w:hint="eastAsia" w:ascii="仿宋" w:hAnsi="仿宋" w:eastAsia="仿宋" w:cs="仿宋"/>
          <w:sz w:val="24"/>
          <w:szCs w:val="21"/>
          <w:highlight w:val="none"/>
        </w:rPr>
        <w:t>本项目不接受联合体投标</w:t>
      </w:r>
      <w:r>
        <w:rPr>
          <w:rFonts w:hint="eastAsia" w:ascii="仿宋" w:hAnsi="仿宋" w:eastAsia="仿宋" w:cs="仿宋"/>
          <w:sz w:val="24"/>
          <w:szCs w:val="21"/>
          <w:highlight w:val="none"/>
          <w:lang w:eastAsia="zh-CN"/>
        </w:rPr>
        <w:t>。</w:t>
      </w:r>
    </w:p>
    <w:p w14:paraId="46DD490D">
      <w:pPr>
        <w:numPr>
          <w:ilvl w:val="255"/>
          <w:numId w:val="0"/>
        </w:numPr>
        <w:spacing w:line="360" w:lineRule="auto"/>
        <w:ind w:firstLine="723" w:firstLineChars="3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4.</w:t>
      </w:r>
      <w:r>
        <w:rPr>
          <w:rFonts w:hint="eastAsia" w:ascii="宋体" w:hAnsi="宋体" w:eastAsia="宋体" w:cs="宋体"/>
          <w:b/>
          <w:bCs/>
          <w:color w:val="000000"/>
          <w:kern w:val="0"/>
          <w:sz w:val="24"/>
          <w:szCs w:val="24"/>
          <w:highlight w:val="none"/>
        </w:rPr>
        <w:t>控股、管理关系</w:t>
      </w:r>
      <w:r>
        <w:rPr>
          <w:rFonts w:hint="eastAsia" w:ascii="仿宋" w:hAnsi="仿宋" w:eastAsia="仿宋" w:cs="仿宋"/>
          <w:b/>
          <w:bCs/>
          <w:sz w:val="24"/>
          <w:szCs w:val="21"/>
          <w:highlight w:val="none"/>
          <w:lang w:val="en-US" w:eastAsia="zh-CN"/>
        </w:rPr>
        <w:t>：</w:t>
      </w:r>
      <w:r>
        <w:rPr>
          <w:rFonts w:hint="eastAsia" w:ascii="仿宋" w:hAnsi="仿宋" w:eastAsia="仿宋" w:cs="仿宋"/>
          <w:sz w:val="24"/>
          <w:szCs w:val="21"/>
          <w:highlight w:val="none"/>
        </w:rPr>
        <w:t>存在关联关系的投标人不同时参与：本项目。</w:t>
      </w:r>
    </w:p>
    <w:p w14:paraId="25502FB7">
      <w:pPr>
        <w:numPr>
          <w:ilvl w:val="255"/>
          <w:numId w:val="0"/>
        </w:num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关联关系投标人包含以下情况：</w:t>
      </w:r>
    </w:p>
    <w:p w14:paraId="0E874B29">
      <w:pPr>
        <w:numPr>
          <w:ilvl w:val="0"/>
          <w:numId w:val="0"/>
        </w:numPr>
        <w:spacing w:line="360" w:lineRule="auto"/>
        <w:ind w:leftChars="175"/>
        <w:outlineLvl w:val="9"/>
        <w:rPr>
          <w:rFonts w:ascii="仿宋" w:hAnsi="仿宋" w:eastAsia="仿宋" w:cs="仿宋"/>
          <w:sz w:val="24"/>
          <w:szCs w:val="21"/>
          <w:highlight w:val="none"/>
        </w:rPr>
      </w:pPr>
      <w:bookmarkStart w:id="26" w:name="_Toc150933571"/>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1</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与本投标人单位法定代表人</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负责人为同一人的其他投标人；</w:t>
      </w:r>
      <w:bookmarkEnd w:id="26"/>
      <w:bookmarkStart w:id="27" w:name="_Toc149230388"/>
    </w:p>
    <w:p w14:paraId="5701F187">
      <w:pPr>
        <w:numPr>
          <w:ilvl w:val="0"/>
          <w:numId w:val="0"/>
        </w:numPr>
        <w:spacing w:line="360" w:lineRule="auto"/>
        <w:ind w:leftChars="175"/>
        <w:outlineLvl w:val="9"/>
        <w:rPr>
          <w:rFonts w:ascii="仿宋" w:hAnsi="仿宋" w:eastAsia="仿宋" w:cs="仿宋"/>
          <w:sz w:val="24"/>
          <w:szCs w:val="24"/>
          <w:highlight w:val="none"/>
        </w:rPr>
      </w:pPr>
      <w:bookmarkStart w:id="28" w:name="_Toc150933572"/>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2</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与</w:t>
      </w:r>
      <w:r>
        <w:rPr>
          <w:rFonts w:hint="eastAsia" w:ascii="仿宋" w:hAnsi="仿宋" w:eastAsia="仿宋" w:cs="仿宋"/>
          <w:sz w:val="24"/>
          <w:szCs w:val="24"/>
          <w:highlight w:val="none"/>
        </w:rPr>
        <w:t>本投标人存在直接控股、管理关系的其他投标人。</w:t>
      </w:r>
      <w:bookmarkEnd w:id="27"/>
      <w:bookmarkEnd w:id="28"/>
    </w:p>
    <w:p w14:paraId="595AC725">
      <w:pPr>
        <w:numPr>
          <w:ilvl w:val="0"/>
          <w:numId w:val="0"/>
        </w:numPr>
        <w:spacing w:line="360" w:lineRule="auto"/>
        <w:ind w:leftChars="175" w:firstLine="480" w:firstLineChars="200"/>
        <w:rPr>
          <w:rFonts w:ascii="仿宋" w:hAnsi="仿宋" w:eastAsia="仿宋" w:cs="仿宋"/>
          <w:sz w:val="24"/>
          <w:szCs w:val="21"/>
          <w:highlight w:val="none"/>
        </w:rPr>
      </w:pPr>
      <w:r>
        <w:rPr>
          <w:rFonts w:hint="eastAsia" w:ascii="仿宋" w:hAnsi="仿宋" w:eastAsia="仿宋" w:cs="仿宋"/>
          <w:sz w:val="24"/>
          <w:szCs w:val="24"/>
          <w:highlight w:val="none"/>
        </w:rPr>
        <w:t>投标人应向招标人如实披露与本投标人存在关联关系的其他投标人。招标人有权取消关联关系投标人参与本项目的资格或重新组织招标。</w:t>
      </w:r>
      <w:bookmarkEnd w:id="25"/>
    </w:p>
    <w:p w14:paraId="4C63AC41">
      <w:pPr>
        <w:numPr>
          <w:ilvl w:val="0"/>
          <w:numId w:val="0"/>
        </w:numPr>
        <w:spacing w:line="360" w:lineRule="auto"/>
        <w:ind w:leftChars="175" w:firstLine="482" w:firstLineChars="2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5.企业信誉1：</w:t>
      </w:r>
      <w:r>
        <w:rPr>
          <w:rFonts w:hint="eastAsia" w:ascii="仿宋" w:hAnsi="仿宋" w:eastAsia="仿宋" w:cs="仿宋"/>
          <w:sz w:val="24"/>
          <w:szCs w:val="21"/>
          <w:highlight w:val="none"/>
        </w:rPr>
        <w:t>截至递交投标文件截止日</w:t>
      </w:r>
      <w:r>
        <w:rPr>
          <w:rFonts w:hint="eastAsia" w:ascii="仿宋" w:hAnsi="仿宋" w:eastAsia="仿宋" w:cs="Times New Roman"/>
          <w:sz w:val="24"/>
          <w:szCs w:val="21"/>
          <w:highlight w:val="none"/>
        </w:rPr>
        <w:t>（含）</w:t>
      </w:r>
      <w:r>
        <w:rPr>
          <w:rFonts w:hint="eastAsia" w:ascii="仿宋" w:hAnsi="仿宋" w:eastAsia="仿宋" w:cs="仿宋"/>
          <w:sz w:val="24"/>
          <w:szCs w:val="21"/>
          <w:highlight w:val="none"/>
        </w:rPr>
        <w:t>，投标人未被“信用中国”网站（</w:t>
      </w:r>
      <w:r>
        <w:rPr>
          <w:rFonts w:hint="eastAsia" w:ascii="仿宋" w:hAnsi="仿宋" w:eastAsia="仿宋" w:cs="仿宋"/>
          <w:bCs/>
          <w:sz w:val="24"/>
          <w:szCs w:val="24"/>
          <w:highlight w:val="none"/>
        </w:rPr>
        <w:t>http://www.creditchina.gov.cn）</w:t>
      </w:r>
      <w:r>
        <w:rPr>
          <w:rFonts w:hint="eastAsia" w:ascii="仿宋" w:hAnsi="仿宋" w:eastAsia="仿宋" w:cs="仿宋"/>
          <w:sz w:val="24"/>
          <w:szCs w:val="21"/>
          <w:highlight w:val="none"/>
        </w:rPr>
        <w:t>列入失信被执行人、重大税收违法失信主体、政府采购严重违法失信行为记录名单。</w:t>
      </w:r>
    </w:p>
    <w:p w14:paraId="19F13231">
      <w:pPr>
        <w:numPr>
          <w:ilvl w:val="0"/>
          <w:numId w:val="0"/>
        </w:numPr>
        <w:spacing w:line="360" w:lineRule="auto"/>
        <w:ind w:leftChars="175" w:firstLine="482" w:firstLineChars="2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6.企业信誉2：</w:t>
      </w:r>
      <w:r>
        <w:rPr>
          <w:rFonts w:hint="eastAsia" w:ascii="仿宋" w:hAnsi="仿宋" w:eastAsia="仿宋" w:cs="仿宋"/>
          <w:sz w:val="24"/>
          <w:szCs w:val="21"/>
          <w:highlight w:val="none"/>
        </w:rPr>
        <w:t>近3年（20</w:t>
      </w:r>
      <w:r>
        <w:rPr>
          <w:rFonts w:hint="eastAsia" w:ascii="仿宋" w:hAnsi="仿宋" w:eastAsia="仿宋" w:cs="仿宋"/>
          <w:sz w:val="24"/>
          <w:szCs w:val="21"/>
          <w:highlight w:val="none"/>
          <w:lang w:val="en-US" w:eastAsia="zh-CN"/>
        </w:rPr>
        <w:t>22</w:t>
      </w:r>
      <w:r>
        <w:rPr>
          <w:rFonts w:hint="eastAsia" w:ascii="仿宋" w:hAnsi="仿宋" w:eastAsia="仿宋" w:cs="仿宋"/>
          <w:sz w:val="24"/>
          <w:szCs w:val="21"/>
          <w:highlight w:val="none"/>
        </w:rPr>
        <w:t>年1月1日至递交投标文件截止日（含）），投标人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22BB2163">
      <w:pPr>
        <w:numPr>
          <w:ilvl w:val="0"/>
          <w:numId w:val="0"/>
        </w:numPr>
        <w:spacing w:line="360" w:lineRule="auto"/>
        <w:ind w:firstLine="964" w:firstLineChars="400"/>
        <w:rPr>
          <w:rFonts w:hint="default" w:ascii="仿宋" w:hAnsi="仿宋" w:eastAsia="仿宋" w:cs="仿宋"/>
          <w:b/>
          <w:bCs/>
          <w:sz w:val="24"/>
          <w:szCs w:val="21"/>
          <w:highlight w:val="none"/>
          <w:lang w:val="en-US" w:eastAsia="zh-CN"/>
        </w:rPr>
      </w:pPr>
      <w:r>
        <w:rPr>
          <w:rFonts w:hint="eastAsia" w:ascii="仿宋" w:hAnsi="仿宋" w:eastAsia="仿宋" w:cs="仿宋"/>
          <w:b/>
          <w:bCs/>
          <w:sz w:val="24"/>
          <w:szCs w:val="21"/>
          <w:highlight w:val="none"/>
          <w:lang w:val="en-US" w:eastAsia="zh-CN"/>
        </w:rPr>
        <w:t>7.企业信誉3：</w:t>
      </w:r>
      <w:r>
        <w:rPr>
          <w:rFonts w:hint="eastAsia" w:ascii="仿宋" w:hAnsi="仿宋" w:eastAsia="仿宋" w:cs="仿宋"/>
          <w:sz w:val="24"/>
          <w:szCs w:val="21"/>
          <w:highlight w:val="none"/>
          <w:lang w:val="en-US" w:eastAsia="zh-CN"/>
        </w:rPr>
        <w:t>截至递交投标文件截止日</w:t>
      </w:r>
      <w:r>
        <w:rPr>
          <w:rFonts w:hint="eastAsia" w:ascii="仿宋" w:hAnsi="仿宋" w:eastAsia="仿宋" w:cs="仿宋"/>
          <w:sz w:val="24"/>
          <w:szCs w:val="21"/>
          <w:highlight w:val="none"/>
        </w:rPr>
        <w:t>（含）</w:t>
      </w:r>
      <w:r>
        <w:rPr>
          <w:rFonts w:hint="eastAsia" w:ascii="仿宋" w:hAnsi="仿宋" w:eastAsia="仿宋" w:cs="仿宋"/>
          <w:sz w:val="24"/>
          <w:szCs w:val="21"/>
          <w:highlight w:val="none"/>
          <w:lang w:val="en-US" w:eastAsia="zh-CN"/>
        </w:rPr>
        <w:t>，投标人未处于中国银行供应商不良行为禁止准入处罚期内。</w:t>
      </w:r>
    </w:p>
    <w:p w14:paraId="616F39A9">
      <w:pPr>
        <w:numPr>
          <w:ilvl w:val="0"/>
          <w:numId w:val="0"/>
        </w:numPr>
        <w:spacing w:line="360" w:lineRule="auto"/>
        <w:ind w:firstLine="964" w:firstLineChars="400"/>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sz w:val="24"/>
          <w:szCs w:val="21"/>
          <w:highlight w:val="none"/>
          <w:lang w:val="en-US" w:eastAsia="zh-CN"/>
        </w:rPr>
        <w:t>8.企业责任：</w:t>
      </w:r>
      <w:r>
        <w:rPr>
          <w:rFonts w:hint="eastAsia" w:ascii="仿宋" w:hAnsi="仿宋" w:eastAsia="仿宋" w:cs="仿宋"/>
          <w:sz w:val="24"/>
          <w:szCs w:val="21"/>
          <w:highlight w:val="none"/>
        </w:rPr>
        <w:t>投标人须</w:t>
      </w:r>
      <w:r>
        <w:rPr>
          <w:rFonts w:hint="eastAsia" w:ascii="仿宋" w:hAnsi="仿宋" w:eastAsia="仿宋" w:cs="仿宋"/>
          <w:sz w:val="24"/>
          <w:szCs w:val="21"/>
          <w:highlight w:val="none"/>
          <w:lang w:val="en-US" w:eastAsia="zh-CN"/>
        </w:rPr>
        <w:t>承诺</w:t>
      </w:r>
      <w:r>
        <w:rPr>
          <w:rFonts w:hint="eastAsia" w:ascii="仿宋" w:hAnsi="仿宋" w:eastAsia="仿宋" w:cs="仿宋"/>
          <w:sz w:val="24"/>
          <w:szCs w:val="21"/>
          <w:highlight w:val="none"/>
        </w:rPr>
        <w:t>：招标人在使用其提供的服务时，在使用的国家</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地区不存在任何已知的不合法的情形，也不存在任何已知的与第三方专利权、著作权、商标权等知识产权、肖像权等民事权利相关的侵权行为。如果有任何因招标人使用投标人提供的服务而提起的侵权指控，投标人须依法承担全部责任。</w:t>
      </w:r>
    </w:p>
    <w:p w14:paraId="309C22ED">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29" w:name="_Toc18409"/>
      <w:r>
        <w:rPr>
          <w:rFonts w:hint="eastAsia" w:ascii="仿宋" w:hAnsi="仿宋" w:eastAsia="仿宋" w:cs="仿宋"/>
          <w:b/>
          <w:bCs/>
          <w:kern w:val="2"/>
          <w:sz w:val="24"/>
          <w:szCs w:val="21"/>
          <w:highlight w:val="none"/>
          <w:lang w:val="en-US" w:eastAsia="zh-CN" w:bidi="ar-SA"/>
        </w:rPr>
        <w:t>五、</w:t>
      </w:r>
      <w:r>
        <w:rPr>
          <w:rFonts w:hint="eastAsia" w:ascii="仿宋" w:hAnsi="仿宋" w:eastAsia="仿宋" w:cs="仿宋"/>
          <w:b/>
          <w:bCs/>
          <w:sz w:val="24"/>
          <w:szCs w:val="21"/>
          <w:highlight w:val="none"/>
        </w:rPr>
        <w:t>招标文件发售：</w:t>
      </w:r>
      <w:bookmarkEnd w:id="19"/>
      <w:bookmarkEnd w:id="20"/>
      <w:bookmarkEnd w:id="21"/>
      <w:bookmarkEnd w:id="22"/>
      <w:bookmarkEnd w:id="23"/>
      <w:bookmarkEnd w:id="29"/>
      <w:bookmarkStart w:id="30" w:name="_Toc150933574"/>
      <w:bookmarkStart w:id="31" w:name="_Toc149230390"/>
      <w:bookmarkStart w:id="32" w:name="_Toc108796136"/>
    </w:p>
    <w:p w14:paraId="144899EC">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.1招标文件发售时间:【20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3DFD31DD">
      <w:pPr>
        <w:spacing w:line="360" w:lineRule="auto"/>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.2招标文件获取方式：使用</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代理机构电子招投标平台进行缴费及购买文件。关注</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代理机构电子招投标平台（https://zb.chinaccsscm.cn/）并根据提示完成注册、</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文件费用支付，在“链捷招-投标”中根据提示完成</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文件费用支付（注册审核联系商务专员，电话：18060753032）</w:t>
      </w:r>
      <w:r>
        <w:rPr>
          <w:rFonts w:hint="eastAsia" w:ascii="仿宋" w:hAnsi="仿宋" w:eastAsia="仿宋" w:cs="仿宋"/>
          <w:sz w:val="24"/>
          <w:szCs w:val="24"/>
          <w:highlight w:val="none"/>
          <w:lang w:eastAsia="zh-CN"/>
        </w:rPr>
        <w:t>。</w:t>
      </w:r>
    </w:p>
    <w:p w14:paraId="5F7E986D">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3招标</w:t>
      </w:r>
      <w:r>
        <w:rPr>
          <w:rFonts w:hint="eastAsia" w:ascii="仿宋" w:hAnsi="仿宋" w:eastAsia="仿宋" w:cs="仿宋"/>
          <w:sz w:val="24"/>
          <w:szCs w:val="24"/>
          <w:highlight w:val="none"/>
        </w:rPr>
        <w:t>文件每套售价【300】元人民币，售后不退。</w:t>
      </w:r>
    </w:p>
    <w:p w14:paraId="22BF9DAD">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33" w:name="_Toc347770463"/>
      <w:bookmarkStart w:id="34" w:name="_Toc325969419"/>
      <w:bookmarkStart w:id="35" w:name="_Toc347771173"/>
      <w:bookmarkStart w:id="36" w:name="_Toc325969567"/>
      <w:bookmarkStart w:id="37" w:name="_Toc383529024"/>
      <w:bookmarkStart w:id="38" w:name="_Toc325969681"/>
      <w:bookmarkStart w:id="39" w:name="_Toc149224048"/>
      <w:bookmarkStart w:id="40" w:name="_Toc148110995"/>
      <w:bookmarkStart w:id="41" w:name="_Toc21217"/>
      <w:bookmarkStart w:id="42" w:name="_Toc148111101"/>
      <w:r>
        <w:rPr>
          <w:rFonts w:hint="eastAsia" w:ascii="仿宋" w:hAnsi="仿宋" w:eastAsia="仿宋" w:cs="仿宋"/>
          <w:b/>
          <w:bCs/>
          <w:kern w:val="2"/>
          <w:sz w:val="24"/>
          <w:szCs w:val="21"/>
          <w:highlight w:val="none"/>
          <w:lang w:val="en-US" w:eastAsia="zh-CN" w:bidi="ar-SA"/>
        </w:rPr>
        <w:t>六、</w:t>
      </w:r>
      <w:r>
        <w:rPr>
          <w:rFonts w:ascii="仿宋" w:hAnsi="仿宋" w:eastAsia="仿宋" w:cs="仿宋"/>
          <w:b/>
          <w:bCs/>
          <w:sz w:val="24"/>
          <w:szCs w:val="21"/>
          <w:highlight w:val="none"/>
        </w:rPr>
        <w:t>发布公告的媒介</w:t>
      </w:r>
      <w:bookmarkEnd w:id="33"/>
      <w:bookmarkEnd w:id="34"/>
      <w:bookmarkEnd w:id="35"/>
      <w:bookmarkEnd w:id="36"/>
      <w:bookmarkEnd w:id="37"/>
      <w:bookmarkEnd w:id="38"/>
      <w:r>
        <w:rPr>
          <w:rFonts w:ascii="仿宋" w:hAnsi="仿宋" w:eastAsia="仿宋" w:cs="仿宋"/>
          <w:b/>
          <w:bCs/>
          <w:sz w:val="24"/>
          <w:szCs w:val="21"/>
          <w:highlight w:val="none"/>
        </w:rPr>
        <w:t>：</w:t>
      </w:r>
      <w:bookmarkEnd w:id="39"/>
      <w:bookmarkEnd w:id="40"/>
      <w:bookmarkEnd w:id="41"/>
      <w:bookmarkEnd w:id="42"/>
    </w:p>
    <w:p w14:paraId="6FA463EF">
      <w:pPr>
        <w:keepNext w:val="0"/>
        <w:keepLines w:val="0"/>
        <w:pageBreakBefore w:val="0"/>
        <w:widowControl w:val="0"/>
        <w:kinsoku/>
        <w:wordWrap w:val="0"/>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val="en-US" w:eastAsia="zh-CN"/>
        </w:rPr>
      </w:pPr>
      <w:bookmarkStart w:id="4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43"/>
    </w:p>
    <w:p w14:paraId="5B23607C">
      <w:pPr>
        <w:numPr>
          <w:ilvl w:val="0"/>
          <w:numId w:val="0"/>
        </w:numPr>
        <w:spacing w:line="360" w:lineRule="auto"/>
        <w:ind w:left="0" w:leftChars="0" w:firstLine="0" w:firstLineChars="0"/>
        <w:outlineLvl w:val="1"/>
        <w:rPr>
          <w:rFonts w:ascii="仿宋" w:hAnsi="仿宋" w:eastAsia="仿宋" w:cs="仿宋"/>
          <w:b/>
          <w:color w:val="000000"/>
          <w:sz w:val="24"/>
          <w:szCs w:val="21"/>
          <w:highlight w:val="none"/>
        </w:rPr>
      </w:pPr>
      <w:bookmarkStart w:id="44" w:name="_Toc3680"/>
      <w:r>
        <w:rPr>
          <w:rFonts w:hint="eastAsia" w:ascii="仿宋" w:hAnsi="仿宋" w:eastAsia="仿宋" w:cs="仿宋"/>
          <w:b/>
          <w:color w:val="000000"/>
          <w:kern w:val="2"/>
          <w:sz w:val="24"/>
          <w:szCs w:val="21"/>
          <w:highlight w:val="none"/>
          <w:lang w:val="en-US" w:eastAsia="zh-CN" w:bidi="ar-SA"/>
        </w:rPr>
        <w:t>七、</w:t>
      </w:r>
      <w:r>
        <w:rPr>
          <w:rFonts w:hint="eastAsia" w:ascii="仿宋" w:hAnsi="仿宋" w:eastAsia="仿宋" w:cs="仿宋"/>
          <w:b/>
          <w:bCs/>
          <w:sz w:val="24"/>
          <w:szCs w:val="21"/>
          <w:highlight w:val="none"/>
        </w:rPr>
        <w:t>项目说明会</w:t>
      </w:r>
      <w:bookmarkEnd w:id="30"/>
      <w:bookmarkEnd w:id="31"/>
      <w:bookmarkEnd w:id="32"/>
      <w:bookmarkEnd w:id="44"/>
    </w:p>
    <w:p w14:paraId="7149E85E">
      <w:pPr>
        <w:tabs>
          <w:tab w:val="left" w:pos="1050"/>
        </w:tabs>
        <w:spacing w:line="360" w:lineRule="auto"/>
        <w:ind w:firstLine="482" w:firstLineChars="200"/>
        <w:rPr>
          <w:rFonts w:ascii="仿宋" w:hAnsi="仿宋" w:eastAsia="仿宋" w:cs="Times New Roman"/>
          <w:sz w:val="24"/>
          <w:szCs w:val="21"/>
          <w:highlight w:val="none"/>
        </w:rPr>
      </w:pPr>
      <w:bookmarkStart w:id="45" w:name="_Toc11865"/>
      <w:r>
        <w:rPr>
          <w:rFonts w:hint="eastAsia" w:ascii="仿宋" w:hAnsi="仿宋" w:eastAsia="仿宋" w:cs="仿宋"/>
          <w:b/>
          <w:sz w:val="24"/>
          <w:szCs w:val="24"/>
          <w:highlight w:val="none"/>
          <w:lang w:val="en-US" w:eastAsia="zh-CN"/>
        </w:rPr>
        <w:t>【本项目不涉及】</w:t>
      </w:r>
      <w:bookmarkEnd w:id="45"/>
    </w:p>
    <w:p w14:paraId="686D5EA7">
      <w:pPr>
        <w:numPr>
          <w:ilvl w:val="0"/>
          <w:numId w:val="0"/>
        </w:numPr>
        <w:spacing w:line="360" w:lineRule="auto"/>
        <w:ind w:left="0" w:leftChars="0" w:firstLine="0" w:firstLineChars="0"/>
        <w:outlineLvl w:val="1"/>
        <w:rPr>
          <w:rFonts w:ascii="仿宋" w:hAnsi="仿宋" w:eastAsia="仿宋" w:cs="仿宋"/>
          <w:b/>
          <w:color w:val="000000"/>
          <w:sz w:val="24"/>
          <w:szCs w:val="21"/>
          <w:highlight w:val="none"/>
        </w:rPr>
      </w:pPr>
      <w:bookmarkStart w:id="46" w:name="_Toc20896"/>
      <w:r>
        <w:rPr>
          <w:rFonts w:hint="eastAsia" w:ascii="仿宋" w:hAnsi="仿宋" w:eastAsia="仿宋" w:cs="仿宋"/>
          <w:b/>
          <w:color w:val="000000"/>
          <w:kern w:val="2"/>
          <w:sz w:val="24"/>
          <w:szCs w:val="21"/>
          <w:highlight w:val="none"/>
          <w:lang w:val="en-US" w:eastAsia="zh-CN" w:bidi="ar-SA"/>
        </w:rPr>
        <w:t>八、</w:t>
      </w:r>
      <w:r>
        <w:rPr>
          <w:rFonts w:hint="eastAsia" w:ascii="仿宋" w:hAnsi="仿宋" w:eastAsia="仿宋" w:cs="仿宋"/>
          <w:b/>
          <w:bCs/>
          <w:sz w:val="24"/>
          <w:szCs w:val="21"/>
          <w:highlight w:val="none"/>
        </w:rPr>
        <w:t>踏勘</w:t>
      </w:r>
      <w:bookmarkEnd w:id="46"/>
      <w:bookmarkStart w:id="47" w:name="_Toc25685"/>
      <w:bookmarkStart w:id="48" w:name="_Toc150933575"/>
      <w:bookmarkStart w:id="49" w:name="_Toc149230391"/>
      <w:bookmarkStart w:id="50" w:name="_Toc108796137"/>
      <w:bookmarkStart w:id="51" w:name="_Toc4643"/>
    </w:p>
    <w:p w14:paraId="2D1EAA84">
      <w:pPr>
        <w:spacing w:line="360" w:lineRule="auto"/>
        <w:ind w:firstLine="482" w:firstLineChars="200"/>
        <w:rPr>
          <w:rFonts w:hint="eastAsia" w:ascii="仿宋" w:hAnsi="仿宋" w:eastAsia="仿宋" w:cs="仿宋"/>
          <w:sz w:val="24"/>
          <w:szCs w:val="21"/>
          <w:highlight w:val="none"/>
        </w:rPr>
      </w:pPr>
      <w:r>
        <w:rPr>
          <w:rFonts w:hint="eastAsia" w:ascii="仿宋" w:hAnsi="仿宋" w:eastAsia="仿宋" w:cs="仿宋"/>
          <w:b/>
          <w:sz w:val="24"/>
          <w:szCs w:val="24"/>
          <w:highlight w:val="none"/>
          <w:lang w:val="en-US" w:eastAsia="zh-CN"/>
        </w:rPr>
        <w:t>【本项目不涉及】</w:t>
      </w:r>
      <w:r>
        <w:rPr>
          <w:rFonts w:hint="eastAsia" w:ascii="仿宋" w:hAnsi="仿宋" w:eastAsia="仿宋" w:cs="仿宋"/>
          <w:sz w:val="24"/>
          <w:szCs w:val="21"/>
          <w:highlight w:val="none"/>
        </w:rPr>
        <w:t xml:space="preserve"> </w:t>
      </w:r>
    </w:p>
    <w:p w14:paraId="6D5D5A2A">
      <w:pPr>
        <w:widowControl w:val="0"/>
        <w:ind w:left="0" w:leftChars="0" w:firstLine="0" w:firstLineChars="0"/>
        <w:jc w:val="both"/>
        <w:rPr>
          <w:rFonts w:hint="eastAsia" w:ascii="仿宋" w:hAnsi="仿宋" w:eastAsia="仿宋" w:cs="仿宋"/>
          <w:b/>
          <w:bCs/>
          <w:kern w:val="2"/>
          <w:sz w:val="24"/>
          <w:szCs w:val="21"/>
          <w:highlight w:val="none"/>
          <w:lang w:val="en-US" w:eastAsia="zh-CN" w:bidi="ar-SA"/>
        </w:rPr>
      </w:pPr>
      <w:r>
        <w:rPr>
          <w:rFonts w:hint="eastAsia" w:ascii="仿宋" w:hAnsi="仿宋" w:eastAsia="仿宋" w:cs="仿宋"/>
          <w:b/>
          <w:bCs/>
          <w:kern w:val="2"/>
          <w:sz w:val="24"/>
          <w:szCs w:val="21"/>
          <w:highlight w:val="none"/>
          <w:lang w:val="en-US" w:eastAsia="zh-CN" w:bidi="ar-SA"/>
        </w:rPr>
        <w:t>九、样品</w:t>
      </w:r>
    </w:p>
    <w:p w14:paraId="4BFF8E87">
      <w:pPr>
        <w:spacing w:line="360" w:lineRule="auto"/>
        <w:ind w:firstLine="480" w:firstLineChars="200"/>
        <w:rPr>
          <w:rFonts w:hint="eastAsia" w:ascii="仿宋" w:hAnsi="仿宋" w:eastAsia="仿宋" w:cs="仿宋"/>
          <w:kern w:val="2"/>
          <w:sz w:val="24"/>
          <w:szCs w:val="21"/>
          <w:highlight w:val="none"/>
          <w:lang w:val="en-US" w:eastAsia="zh-CN" w:bidi="ar-SA"/>
        </w:rPr>
      </w:pPr>
      <w:bookmarkStart w:id="52" w:name="_Toc17878"/>
      <w:r>
        <w:rPr>
          <w:rFonts w:hint="eastAsia" w:ascii="仿宋" w:hAnsi="仿宋" w:eastAsia="仿宋" w:cs="仿宋"/>
          <w:sz w:val="24"/>
          <w:szCs w:val="21"/>
          <w:highlight w:val="none"/>
          <w:lang w:val="en-US" w:eastAsia="zh-CN"/>
        </w:rPr>
        <w:t>1.递交样品名称及数量如下：</w:t>
      </w:r>
    </w:p>
    <w:p w14:paraId="5E62AD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 xml:space="preserve">①肉桂：需提供不少于3泡。  </w:t>
      </w:r>
    </w:p>
    <w:p w14:paraId="0A2F3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②水仙：需提供不少于3泡。</w:t>
      </w:r>
    </w:p>
    <w:p w14:paraId="469546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③</w:t>
      </w:r>
      <w:bookmarkStart w:id="59" w:name="_GoBack"/>
      <w:r>
        <w:rPr>
          <w:rFonts w:hint="eastAsia" w:ascii="仿宋" w:hAnsi="仿宋" w:eastAsia="仿宋" w:cs="仿宋"/>
          <w:kern w:val="2"/>
          <w:sz w:val="24"/>
          <w:szCs w:val="21"/>
          <w:highlight w:val="none"/>
          <w:lang w:val="en-US" w:eastAsia="zh-CN" w:bidi="ar-SA"/>
        </w:rPr>
        <w:t>铁观音（清香型）：需提供不少于3泡</w:t>
      </w:r>
      <w:bookmarkEnd w:id="59"/>
      <w:r>
        <w:rPr>
          <w:rFonts w:hint="eastAsia" w:ascii="仿宋" w:hAnsi="仿宋" w:eastAsia="仿宋" w:cs="仿宋"/>
          <w:kern w:val="2"/>
          <w:sz w:val="24"/>
          <w:szCs w:val="21"/>
          <w:highlight w:val="none"/>
          <w:lang w:val="en-US" w:eastAsia="zh-CN" w:bidi="ar-SA"/>
        </w:rPr>
        <w:t xml:space="preserve">。  </w:t>
      </w:r>
    </w:p>
    <w:p w14:paraId="6CBC47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 xml:space="preserve">④铁观音(浓香型）：需提供不少于3泡。 </w:t>
      </w:r>
    </w:p>
    <w:p w14:paraId="006E5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⑤岩茶（大红袍）：需提供不少于3泡。</w:t>
      </w:r>
    </w:p>
    <w:p w14:paraId="528BB3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⑥茶叶礼盒：需提供壹套完整的茶叶礼盒（含手提袋、茶叶礼盒、每泡茶的包装袋）</w:t>
      </w:r>
    </w:p>
    <w:p w14:paraId="69F3D6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⑦茶具：如投标人条件允许提供一套简易的茶具用于专家品鉴茶（此款投标人自行选择，非强制要求）</w:t>
      </w:r>
    </w:p>
    <w:p w14:paraId="4598C0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注：具体详见“第三部分 评标办法”及“第五部分 采购需求书”。</w:t>
      </w:r>
    </w:p>
    <w:p w14:paraId="01CBDA93">
      <w:pPr>
        <w:spacing w:line="360" w:lineRule="auto"/>
        <w:ind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2.</w:t>
      </w:r>
      <w:r>
        <w:rPr>
          <w:rFonts w:hint="eastAsia" w:ascii="仿宋" w:hAnsi="仿宋" w:eastAsia="仿宋" w:cs="仿宋"/>
          <w:b/>
          <w:bCs/>
          <w:sz w:val="24"/>
          <w:szCs w:val="21"/>
          <w:highlight w:val="yellow"/>
        </w:rPr>
        <w:t>样品递交的时间</w:t>
      </w:r>
      <w:r>
        <w:rPr>
          <w:rFonts w:hint="eastAsia" w:ascii="仿宋" w:hAnsi="仿宋" w:eastAsia="仿宋" w:cs="仿宋"/>
          <w:b/>
          <w:bCs/>
          <w:sz w:val="24"/>
          <w:szCs w:val="21"/>
          <w:highlight w:val="yellow"/>
          <w:lang w:eastAsia="zh-CN"/>
        </w:rPr>
        <w:t>：</w:t>
      </w:r>
      <w:r>
        <w:rPr>
          <w:rFonts w:hint="eastAsia" w:ascii="仿宋" w:hAnsi="仿宋" w:eastAsia="仿宋" w:cs="仿宋"/>
          <w:b/>
          <w:bCs/>
          <w:sz w:val="24"/>
          <w:szCs w:val="21"/>
          <w:highlight w:val="yellow"/>
          <w:lang w:val="en-US" w:eastAsia="zh-CN"/>
        </w:rPr>
        <w:t>2026年1月05日09时00分至17时30分（投标人须在规定时间内递交样品，否则不予接收，样品可邮寄，也可现场递交。）</w:t>
      </w:r>
    </w:p>
    <w:p w14:paraId="37E2D3AD">
      <w:pPr>
        <w:spacing w:line="360" w:lineRule="auto"/>
        <w:ind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3.</w:t>
      </w:r>
      <w:r>
        <w:rPr>
          <w:rFonts w:hint="eastAsia" w:ascii="仿宋" w:hAnsi="仿宋" w:eastAsia="仿宋" w:cs="仿宋"/>
          <w:sz w:val="24"/>
          <w:szCs w:val="21"/>
          <w:highlight w:val="none"/>
        </w:rPr>
        <w:t>样品递交的地点：</w:t>
      </w:r>
      <w:r>
        <w:rPr>
          <w:rFonts w:hint="eastAsia" w:ascii="仿宋" w:hAnsi="仿宋" w:eastAsia="仿宋" w:cs="仿宋"/>
          <w:sz w:val="24"/>
          <w:szCs w:val="24"/>
          <w:highlight w:val="none"/>
        </w:rPr>
        <w:t>福建省中通通信有限公司，福州市仓山区信平路10号6</w:t>
      </w:r>
      <w:r>
        <w:rPr>
          <w:rFonts w:hint="eastAsia" w:ascii="仿宋" w:hAnsi="仿宋" w:eastAsia="仿宋" w:cs="仿宋"/>
          <w:sz w:val="24"/>
          <w:szCs w:val="24"/>
          <w:highlight w:val="none"/>
          <w:lang w:val="en-US" w:eastAsia="zh-CN"/>
        </w:rPr>
        <w:t>楼</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第四会议室</w:t>
      </w:r>
      <w:r>
        <w:rPr>
          <w:rFonts w:hint="eastAsia" w:ascii="仿宋" w:hAnsi="仿宋" w:eastAsia="仿宋" w:cs="仿宋"/>
          <w:sz w:val="24"/>
          <w:szCs w:val="24"/>
          <w:highlight w:val="none"/>
        </w:rPr>
        <w:t>】</w:t>
      </w:r>
    </w:p>
    <w:p w14:paraId="1D2D397C">
      <w:pPr>
        <w:spacing w:line="360" w:lineRule="auto"/>
        <w:ind w:firstLine="480" w:firstLineChars="200"/>
        <w:rPr>
          <w:rFonts w:hint="eastAsia" w:ascii="宋体" w:hAnsi="宋体" w:eastAsia="仿宋" w:cs="仿宋"/>
          <w:b/>
          <w:bCs/>
          <w:color w:val="000000"/>
          <w:sz w:val="24"/>
          <w:szCs w:val="21"/>
          <w:highlight w:val="none"/>
          <w:lang w:val="en-US" w:eastAsia="zh-CN"/>
        </w:rPr>
      </w:pPr>
      <w:r>
        <w:rPr>
          <w:rFonts w:hint="eastAsia" w:ascii="仿宋" w:hAnsi="仿宋" w:eastAsia="仿宋" w:cs="仿宋"/>
          <w:sz w:val="24"/>
          <w:szCs w:val="21"/>
          <w:highlight w:val="none"/>
          <w:lang w:val="en-US" w:eastAsia="zh-CN"/>
        </w:rPr>
        <w:t>4.样品接收人及联系方式：</w:t>
      </w:r>
    </w:p>
    <w:p w14:paraId="08EF213B">
      <w:pPr>
        <w:numPr>
          <w:ilvl w:val="0"/>
          <w:numId w:val="0"/>
        </w:numPr>
        <w:spacing w:line="360" w:lineRule="auto"/>
        <w:ind w:left="0" w:leftChars="0" w:firstLine="480" w:firstLineChars="200"/>
        <w:outlineLvl w:val="1"/>
        <w:rPr>
          <w:rFonts w:hint="eastAsia" w:ascii="仿宋" w:hAnsi="仿宋" w:eastAsia="仿宋" w:cs="仿宋"/>
          <w:b w:val="0"/>
          <w:bCs w:val="0"/>
          <w:sz w:val="24"/>
          <w:szCs w:val="21"/>
          <w:highlight w:val="none"/>
          <w:lang w:eastAsia="zh-CN"/>
        </w:rPr>
      </w:pPr>
      <w:bookmarkStart w:id="53" w:name="_Toc20665"/>
      <w:r>
        <w:rPr>
          <w:rFonts w:hint="eastAsia" w:ascii="仿宋" w:hAnsi="仿宋" w:eastAsia="仿宋" w:cs="仿宋"/>
          <w:sz w:val="24"/>
          <w:szCs w:val="21"/>
          <w:highlight w:val="none"/>
          <w:lang w:val="en-US" w:eastAsia="zh-CN"/>
        </w:rPr>
        <w:t>5.</w:t>
      </w:r>
      <w:r>
        <w:rPr>
          <w:rFonts w:hint="eastAsia" w:ascii="仿宋" w:hAnsi="仿宋" w:eastAsia="仿宋" w:cs="仿宋"/>
          <w:b w:val="0"/>
          <w:bCs w:val="0"/>
          <w:sz w:val="24"/>
          <w:szCs w:val="21"/>
          <w:highlight w:val="none"/>
        </w:rPr>
        <w:t>投标人提供的样品作为本次评审依据</w:t>
      </w:r>
      <w:r>
        <w:rPr>
          <w:rFonts w:hint="eastAsia" w:ascii="仿宋" w:hAnsi="仿宋" w:eastAsia="仿宋" w:cs="仿宋"/>
          <w:b w:val="0"/>
          <w:bCs w:val="0"/>
          <w:sz w:val="24"/>
          <w:szCs w:val="21"/>
          <w:highlight w:val="none"/>
          <w:lang w:val="en-US" w:eastAsia="zh-CN"/>
        </w:rPr>
        <w:t>并全部不予退回</w:t>
      </w:r>
      <w:r>
        <w:rPr>
          <w:rFonts w:hint="eastAsia" w:ascii="仿宋" w:hAnsi="仿宋" w:eastAsia="仿宋" w:cs="仿宋"/>
          <w:b w:val="0"/>
          <w:bCs w:val="0"/>
          <w:sz w:val="24"/>
          <w:szCs w:val="21"/>
          <w:highlight w:val="none"/>
        </w:rPr>
        <w:t>，由此造成的相关费用由投标人自行承担。评标结束后，</w:t>
      </w:r>
      <w:r>
        <w:rPr>
          <w:rFonts w:hint="eastAsia" w:ascii="仿宋" w:hAnsi="仿宋" w:eastAsia="仿宋" w:cs="仿宋"/>
          <w:b w:val="0"/>
          <w:bCs w:val="0"/>
          <w:sz w:val="24"/>
          <w:szCs w:val="21"/>
          <w:highlight w:val="none"/>
          <w:lang w:val="en-US" w:eastAsia="zh-CN"/>
        </w:rPr>
        <w:t>招标人</w:t>
      </w:r>
      <w:r>
        <w:rPr>
          <w:rFonts w:hint="eastAsia" w:ascii="仿宋" w:hAnsi="仿宋" w:eastAsia="仿宋" w:cs="仿宋"/>
          <w:b w:val="0"/>
          <w:bCs w:val="0"/>
          <w:sz w:val="24"/>
          <w:szCs w:val="21"/>
          <w:highlight w:val="none"/>
        </w:rPr>
        <w:t>有权对中标人的样品封存保留作为测试验收依据,若</w:t>
      </w:r>
      <w:r>
        <w:rPr>
          <w:rFonts w:hint="eastAsia" w:ascii="仿宋" w:hAnsi="仿宋" w:eastAsia="仿宋" w:cs="仿宋"/>
          <w:b w:val="0"/>
          <w:bCs w:val="0"/>
          <w:sz w:val="24"/>
          <w:szCs w:val="21"/>
          <w:highlight w:val="none"/>
          <w:lang w:val="en-US" w:eastAsia="zh-CN"/>
        </w:rPr>
        <w:t>中标后</w:t>
      </w:r>
      <w:r>
        <w:rPr>
          <w:rFonts w:hint="eastAsia" w:ascii="仿宋" w:hAnsi="仿宋" w:eastAsia="仿宋" w:cs="仿宋"/>
          <w:b w:val="0"/>
          <w:bCs w:val="0"/>
          <w:sz w:val="24"/>
          <w:szCs w:val="21"/>
          <w:highlight w:val="none"/>
        </w:rPr>
        <w:t>所提供</w:t>
      </w:r>
      <w:r>
        <w:rPr>
          <w:rFonts w:hint="eastAsia" w:ascii="仿宋" w:hAnsi="仿宋" w:eastAsia="仿宋" w:cs="仿宋"/>
          <w:b w:val="0"/>
          <w:bCs w:val="0"/>
          <w:sz w:val="24"/>
          <w:szCs w:val="21"/>
          <w:highlight w:val="none"/>
          <w:lang w:val="en-US" w:eastAsia="zh-CN"/>
        </w:rPr>
        <w:t>货物</w:t>
      </w:r>
      <w:r>
        <w:rPr>
          <w:rFonts w:hint="eastAsia" w:ascii="仿宋" w:hAnsi="仿宋" w:eastAsia="仿宋" w:cs="仿宋"/>
          <w:b w:val="0"/>
          <w:bCs w:val="0"/>
          <w:sz w:val="24"/>
          <w:szCs w:val="21"/>
          <w:highlight w:val="none"/>
        </w:rPr>
        <w:t>与样品不符</w:t>
      </w:r>
      <w:r>
        <w:rPr>
          <w:rFonts w:hint="eastAsia" w:ascii="仿宋" w:hAnsi="仿宋" w:eastAsia="仿宋" w:cs="仿宋"/>
          <w:b w:val="0"/>
          <w:bCs w:val="0"/>
          <w:sz w:val="24"/>
          <w:szCs w:val="21"/>
          <w:highlight w:val="none"/>
          <w:lang w:eastAsia="zh-CN"/>
        </w:rPr>
        <w:t>（</w:t>
      </w:r>
      <w:r>
        <w:rPr>
          <w:rFonts w:hint="eastAsia" w:ascii="仿宋" w:hAnsi="仿宋" w:eastAsia="仿宋" w:cs="仿宋"/>
          <w:b w:val="0"/>
          <w:bCs w:val="0"/>
          <w:sz w:val="24"/>
          <w:szCs w:val="21"/>
          <w:highlight w:val="none"/>
          <w:lang w:val="en-US" w:eastAsia="zh-CN"/>
        </w:rPr>
        <w:t>或差距较大的</w:t>
      </w:r>
      <w:r>
        <w:rPr>
          <w:rFonts w:hint="eastAsia" w:ascii="仿宋" w:hAnsi="仿宋" w:eastAsia="仿宋" w:cs="仿宋"/>
          <w:b w:val="0"/>
          <w:bCs w:val="0"/>
          <w:sz w:val="24"/>
          <w:szCs w:val="21"/>
          <w:highlight w:val="none"/>
          <w:lang w:eastAsia="zh-CN"/>
        </w:rPr>
        <w:t>）</w:t>
      </w:r>
      <w:r>
        <w:rPr>
          <w:rFonts w:hint="eastAsia" w:ascii="仿宋" w:hAnsi="仿宋" w:eastAsia="仿宋" w:cs="仿宋"/>
          <w:b w:val="0"/>
          <w:bCs w:val="0"/>
          <w:sz w:val="24"/>
          <w:szCs w:val="21"/>
          <w:highlight w:val="none"/>
        </w:rPr>
        <w:t>，则</w:t>
      </w:r>
      <w:r>
        <w:rPr>
          <w:rFonts w:hint="eastAsia" w:ascii="仿宋" w:hAnsi="仿宋" w:eastAsia="仿宋" w:cs="仿宋"/>
          <w:b w:val="0"/>
          <w:bCs w:val="0"/>
          <w:sz w:val="24"/>
          <w:szCs w:val="21"/>
          <w:highlight w:val="none"/>
          <w:lang w:val="en-US" w:eastAsia="zh-CN"/>
        </w:rPr>
        <w:t>招标人</w:t>
      </w:r>
      <w:r>
        <w:rPr>
          <w:rFonts w:hint="eastAsia" w:ascii="仿宋" w:hAnsi="仿宋" w:eastAsia="仿宋" w:cs="仿宋"/>
          <w:b w:val="0"/>
          <w:bCs w:val="0"/>
          <w:sz w:val="24"/>
          <w:szCs w:val="21"/>
          <w:highlight w:val="none"/>
        </w:rPr>
        <w:t>有权退货，中标人按合同规定进行赔偿或</w:t>
      </w:r>
      <w:r>
        <w:rPr>
          <w:rFonts w:hint="eastAsia" w:ascii="仿宋" w:hAnsi="仿宋" w:eastAsia="仿宋" w:cs="仿宋"/>
          <w:b w:val="0"/>
          <w:bCs w:val="0"/>
          <w:sz w:val="24"/>
          <w:szCs w:val="21"/>
          <w:highlight w:val="none"/>
          <w:lang w:val="en-US" w:eastAsia="zh-CN"/>
        </w:rPr>
        <w:t>招标</w:t>
      </w:r>
      <w:r>
        <w:rPr>
          <w:rFonts w:hint="eastAsia" w:ascii="仿宋" w:hAnsi="仿宋" w:eastAsia="仿宋" w:cs="仿宋"/>
          <w:b w:val="0"/>
          <w:bCs w:val="0"/>
          <w:sz w:val="24"/>
          <w:szCs w:val="21"/>
          <w:highlight w:val="none"/>
        </w:rPr>
        <w:t>人暂时使用中标人提供的与样品不符的货物，直至中标人重新提供与样品相符（或更优）的货物</w:t>
      </w:r>
      <w:r>
        <w:rPr>
          <w:rFonts w:hint="eastAsia" w:ascii="仿宋" w:hAnsi="仿宋" w:eastAsia="仿宋" w:cs="仿宋"/>
          <w:b w:val="0"/>
          <w:bCs w:val="0"/>
          <w:sz w:val="24"/>
          <w:szCs w:val="21"/>
          <w:highlight w:val="none"/>
          <w:lang w:eastAsia="zh-CN"/>
        </w:rPr>
        <w:t>。</w:t>
      </w:r>
      <w:bookmarkEnd w:id="53"/>
    </w:p>
    <w:p w14:paraId="0887D984">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十、</w:t>
      </w:r>
      <w:r>
        <w:rPr>
          <w:rFonts w:hint="eastAsia" w:ascii="仿宋" w:hAnsi="仿宋" w:eastAsia="仿宋" w:cs="仿宋"/>
          <w:b/>
          <w:bCs/>
          <w:sz w:val="24"/>
          <w:szCs w:val="21"/>
          <w:highlight w:val="none"/>
        </w:rPr>
        <w:t>开标及投标：</w:t>
      </w:r>
      <w:bookmarkEnd w:id="47"/>
      <w:bookmarkEnd w:id="48"/>
      <w:bookmarkEnd w:id="49"/>
      <w:bookmarkEnd w:id="50"/>
      <w:bookmarkEnd w:id="51"/>
      <w:bookmarkEnd w:id="52"/>
      <w:bookmarkStart w:id="54" w:name="_Toc149230392"/>
      <w:bookmarkStart w:id="55" w:name="_Toc150933576"/>
    </w:p>
    <w:p w14:paraId="69F183EB">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投标文件递交截止时间（即</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分】。逾期送达或不符合规定的投标文件恕不接受。</w:t>
      </w:r>
    </w:p>
    <w:p w14:paraId="278FCBB8">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开标及递交投标文件地点：</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，福州市仓山区信平路10号6</w:t>
      </w:r>
      <w:r>
        <w:rPr>
          <w:rFonts w:hint="eastAsia" w:ascii="仿宋" w:hAnsi="仿宋" w:eastAsia="仿宋" w:cs="仿宋"/>
          <w:sz w:val="24"/>
          <w:szCs w:val="24"/>
          <w:highlight w:val="none"/>
          <w:lang w:val="en-US" w:eastAsia="zh-CN"/>
        </w:rPr>
        <w:t>楼</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第四会议室</w:t>
      </w:r>
      <w:r>
        <w:rPr>
          <w:rFonts w:hint="eastAsia" w:ascii="仿宋" w:hAnsi="仿宋" w:eastAsia="仿宋" w:cs="仿宋"/>
          <w:sz w:val="24"/>
          <w:szCs w:val="24"/>
          <w:highlight w:val="none"/>
        </w:rPr>
        <w:t>】。</w:t>
      </w:r>
    </w:p>
    <w:p w14:paraId="64FF553A">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rPr>
        <w:t>使用邮寄方式，投标人应为投标文件预留出足够的邮寄时间，逾期不接收，因邮寄或快递的原因未在开标截止时间前送达指定地点的，一切责任由投标人负责。【文件寄出后第一时间将邮寄、快递凭证通过邮件方式发送招标代理机构邮箱】</w:t>
      </w:r>
    </w:p>
    <w:p w14:paraId="6ADCE2F2">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本项目将于上述同一时间、地点进行开标，【招标人/招标代理机构】邀请投标人的法定代表人/负责人或者其委托代理人准时参加。</w:t>
      </w:r>
    </w:p>
    <w:p w14:paraId="5A20EECC">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招标文件要求递交纸质投标文件的，出现以下情形之一时，【招标人/招标代理机构】不予接收：</w:t>
      </w:r>
    </w:p>
    <w:p w14:paraId="65C48546">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.1逾期送达或者未送达指定地点的；</w:t>
      </w:r>
    </w:p>
    <w:p w14:paraId="35585995">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.2未按照招标文件要求密封的；</w:t>
      </w:r>
    </w:p>
    <w:p w14:paraId="7BE06B2A">
      <w:pPr>
        <w:spacing w:line="360" w:lineRule="auto"/>
        <w:ind w:firstLine="720" w:firstLineChars="300"/>
        <w:rPr>
          <w:rFonts w:ascii="仿宋" w:hAnsi="仿宋" w:eastAsia="仿宋" w:cs="仿宋"/>
          <w:sz w:val="24"/>
          <w:szCs w:val="21"/>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.3未按照本公告要求获得本项目招标文件的。</w:t>
      </w:r>
    </w:p>
    <w:p w14:paraId="7D183021">
      <w:pPr>
        <w:numPr>
          <w:ilvl w:val="0"/>
          <w:numId w:val="0"/>
        </w:numPr>
        <w:spacing w:line="360" w:lineRule="auto"/>
        <w:ind w:left="0" w:leftChars="0" w:firstLine="0" w:firstLineChars="0"/>
        <w:outlineLvl w:val="1"/>
        <w:rPr>
          <w:rFonts w:ascii="仿宋" w:hAnsi="仿宋" w:eastAsia="仿宋" w:cs="仿宋"/>
          <w:b/>
          <w:sz w:val="24"/>
          <w:szCs w:val="21"/>
          <w:highlight w:val="none"/>
        </w:rPr>
      </w:pPr>
      <w:bookmarkStart w:id="56" w:name="_Toc4546"/>
      <w:r>
        <w:rPr>
          <w:rFonts w:hint="eastAsia" w:ascii="仿宋" w:hAnsi="仿宋" w:eastAsia="仿宋" w:cs="仿宋"/>
          <w:b/>
          <w:kern w:val="2"/>
          <w:sz w:val="24"/>
          <w:szCs w:val="21"/>
          <w:highlight w:val="none"/>
          <w:lang w:val="en-US" w:eastAsia="zh-CN" w:bidi="ar-SA"/>
        </w:rPr>
        <w:t>十一、</w:t>
      </w:r>
      <w:r>
        <w:rPr>
          <w:rFonts w:hint="eastAsia" w:ascii="仿宋" w:hAnsi="仿宋" w:eastAsia="仿宋" w:cs="仿宋"/>
          <w:b/>
          <w:bCs/>
          <w:sz w:val="24"/>
          <w:szCs w:val="21"/>
          <w:highlight w:val="none"/>
        </w:rPr>
        <w:t>监督举报方式：</w:t>
      </w:r>
      <w:bookmarkEnd w:id="56"/>
    </w:p>
    <w:p w14:paraId="389599FA">
      <w:pPr>
        <w:widowControl w:val="0"/>
        <w:ind w:firstLine="471"/>
        <w:jc w:val="left"/>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供应商与采购人在接触及合作过程中，如遇采购人部门或员工的违法、违纪、违规等问题，可向采购人纪委办公室反映和举报。采购人保护举报人的合法权益，严肃处理打击报复的行为。</w:t>
      </w:r>
    </w:p>
    <w:p w14:paraId="063A2275">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14:paraId="66B10016">
      <w:pPr>
        <w:widowControl w:val="0"/>
        <w:spacing w:after="120"/>
        <w:ind w:left="0" w:leftChars="0" w:firstLine="480" w:firstLineChars="200"/>
        <w:jc w:val="both"/>
        <w:rPr>
          <w:rFonts w:ascii="仿宋" w:hAnsi="仿宋" w:eastAsia="仿宋" w:cs="Times New Roman"/>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信函地址：泉州分行附属楼一楼纪委办公室信箱。</w:t>
      </w:r>
    </w:p>
    <w:p w14:paraId="20C7FD3F">
      <w:pPr>
        <w:numPr>
          <w:ilvl w:val="0"/>
          <w:numId w:val="0"/>
        </w:numPr>
        <w:spacing w:line="360" w:lineRule="auto"/>
        <w:ind w:left="0" w:leftChars="0" w:firstLine="0" w:firstLineChars="0"/>
        <w:outlineLvl w:val="1"/>
        <w:rPr>
          <w:rFonts w:ascii="仿宋" w:hAnsi="仿宋" w:eastAsia="仿宋" w:cs="仿宋"/>
          <w:b/>
          <w:sz w:val="24"/>
          <w:szCs w:val="21"/>
          <w:highlight w:val="none"/>
        </w:rPr>
      </w:pPr>
      <w:bookmarkStart w:id="57" w:name="_Toc19715"/>
      <w:r>
        <w:rPr>
          <w:rFonts w:hint="eastAsia" w:ascii="仿宋" w:hAnsi="仿宋" w:eastAsia="仿宋" w:cs="仿宋"/>
          <w:b/>
          <w:kern w:val="2"/>
          <w:sz w:val="24"/>
          <w:szCs w:val="21"/>
          <w:highlight w:val="none"/>
          <w:lang w:val="en-US" w:eastAsia="zh-CN" w:bidi="ar-SA"/>
        </w:rPr>
        <w:t>十二、</w:t>
      </w:r>
      <w:r>
        <w:rPr>
          <w:rFonts w:hint="eastAsia" w:ascii="仿宋" w:hAnsi="仿宋" w:eastAsia="仿宋" w:cs="仿宋"/>
          <w:b/>
          <w:bCs/>
          <w:sz w:val="24"/>
          <w:szCs w:val="21"/>
          <w:highlight w:val="none"/>
        </w:rPr>
        <w:t>其他：</w:t>
      </w:r>
      <w:bookmarkEnd w:id="54"/>
      <w:bookmarkEnd w:id="55"/>
      <w:bookmarkEnd w:id="57"/>
    </w:p>
    <w:p w14:paraId="75DBDA2C">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本项目不属于依法必须进行招标的项目，也不属于政府采购项目，为招标人自行采购的项目。 </w:t>
      </w:r>
    </w:p>
    <w:p w14:paraId="70ADA901">
      <w:pPr>
        <w:numPr>
          <w:ilvl w:val="0"/>
          <w:numId w:val="0"/>
        </w:numPr>
        <w:spacing w:line="360" w:lineRule="auto"/>
        <w:ind w:left="0" w:leftChars="0" w:firstLine="0" w:firstLineChars="0"/>
        <w:outlineLvl w:val="1"/>
        <w:rPr>
          <w:rFonts w:ascii="仿宋" w:hAnsi="仿宋" w:eastAsia="仿宋" w:cs="仿宋"/>
          <w:b/>
          <w:sz w:val="24"/>
          <w:szCs w:val="21"/>
          <w:highlight w:val="none"/>
        </w:rPr>
      </w:pPr>
      <w:bookmarkStart w:id="58" w:name="_Toc13347"/>
      <w:r>
        <w:rPr>
          <w:rFonts w:hint="eastAsia" w:ascii="仿宋" w:hAnsi="仿宋" w:eastAsia="仿宋" w:cs="仿宋"/>
          <w:b/>
          <w:kern w:val="2"/>
          <w:sz w:val="24"/>
          <w:szCs w:val="21"/>
          <w:highlight w:val="none"/>
          <w:lang w:val="en-US" w:eastAsia="zh-CN" w:bidi="ar-SA"/>
        </w:rPr>
        <w:t>十三、</w:t>
      </w:r>
      <w:r>
        <w:rPr>
          <w:rFonts w:ascii="仿宋" w:hAnsi="仿宋" w:eastAsia="仿宋" w:cs="Times New Roman"/>
          <w:b/>
          <w:sz w:val="24"/>
          <w:szCs w:val="21"/>
          <w:highlight w:val="none"/>
        </w:rPr>
        <w:t>联系方式</w:t>
      </w:r>
      <w:r>
        <w:rPr>
          <w:rFonts w:hint="eastAsia" w:ascii="仿宋" w:hAnsi="仿宋" w:eastAsia="仿宋" w:cs="Times New Roman"/>
          <w:b/>
          <w:sz w:val="24"/>
          <w:szCs w:val="21"/>
          <w:highlight w:val="none"/>
        </w:rPr>
        <w:t>：</w:t>
      </w:r>
      <w:bookmarkEnd w:id="58"/>
    </w:p>
    <w:p w14:paraId="66CDED2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招 标 人：</w:t>
      </w:r>
      <w:r>
        <w:rPr>
          <w:rFonts w:hint="eastAsia" w:ascii="仿宋" w:hAnsi="仿宋" w:eastAsia="仿宋" w:cs="仿宋"/>
          <w:sz w:val="24"/>
          <w:szCs w:val="24"/>
          <w:highlight w:val="none"/>
          <w:lang w:val="en-US" w:eastAsia="zh-CN"/>
        </w:rPr>
        <w:t>中国银行股份有限公司泉州分行</w:t>
      </w:r>
    </w:p>
    <w:p w14:paraId="10966154">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5B42BE28">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邮    编：</w:t>
      </w:r>
      <w:r>
        <w:rPr>
          <w:rFonts w:hint="eastAsia" w:ascii="仿宋" w:hAnsi="仿宋" w:eastAsia="仿宋" w:cs="仿宋"/>
          <w:sz w:val="24"/>
          <w:szCs w:val="24"/>
          <w:highlight w:val="none"/>
          <w:lang w:val="en-US" w:eastAsia="zh-CN"/>
        </w:rPr>
        <w:t>362000</w:t>
      </w:r>
    </w:p>
    <w:p w14:paraId="7E36E0CF">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lang w:val="en-US" w:eastAsia="zh-CN"/>
        </w:rPr>
        <w:t>李经理</w:t>
      </w:r>
      <w:r>
        <w:rPr>
          <w:rFonts w:hint="eastAsia" w:ascii="仿宋" w:hAnsi="仿宋" w:eastAsia="仿宋" w:cs="仿宋"/>
          <w:sz w:val="24"/>
          <w:szCs w:val="24"/>
          <w:highlight w:val="none"/>
          <w:lang w:eastAsia="zh-CN"/>
        </w:rPr>
        <w:t>】</w:t>
      </w:r>
    </w:p>
    <w:p w14:paraId="05D5AE1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话：【</w:t>
      </w:r>
      <w:r>
        <w:rPr>
          <w:rFonts w:hint="eastAsia" w:ascii="仿宋" w:hAnsi="仿宋" w:eastAsia="仿宋" w:cs="仿宋"/>
          <w:sz w:val="24"/>
          <w:szCs w:val="24"/>
          <w:highlight w:val="none"/>
          <w:lang w:val="en-US" w:eastAsia="zh-CN"/>
        </w:rPr>
        <w:t>0595 22152232</w:t>
      </w:r>
      <w:r>
        <w:rPr>
          <w:rFonts w:hint="eastAsia" w:ascii="仿宋" w:hAnsi="仿宋" w:eastAsia="仿宋" w:cs="仿宋"/>
          <w:sz w:val="24"/>
          <w:szCs w:val="24"/>
          <w:highlight w:val="none"/>
          <w:lang w:eastAsia="zh-CN"/>
        </w:rPr>
        <w:t>】</w:t>
      </w:r>
    </w:p>
    <w:p w14:paraId="251E1BF0">
      <w:pPr>
        <w:spacing w:line="360" w:lineRule="auto"/>
        <w:ind w:firstLine="720" w:firstLineChars="300"/>
        <w:rPr>
          <w:rFonts w:hint="eastAsia" w:ascii="仿宋" w:hAnsi="仿宋" w:eastAsia="仿宋" w:cs="仿宋"/>
          <w:sz w:val="24"/>
          <w:szCs w:val="24"/>
          <w:highlight w:val="none"/>
        </w:rPr>
      </w:pPr>
    </w:p>
    <w:p w14:paraId="0CC835C3">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招标代理机构名称：</w:t>
      </w:r>
      <w:r>
        <w:rPr>
          <w:rFonts w:hint="eastAsia" w:ascii="仿宋" w:hAnsi="仿宋" w:eastAsia="仿宋" w:cs="仿宋"/>
          <w:sz w:val="24"/>
          <w:szCs w:val="24"/>
          <w:highlight w:val="none"/>
          <w:lang w:eastAsia="zh-CN"/>
        </w:rPr>
        <w:t>福建省中通通信有限公司</w:t>
      </w:r>
    </w:p>
    <w:p w14:paraId="28B8EE6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招标代理机构地址：福州市仓山区信平路10号</w:t>
      </w:r>
    </w:p>
    <w:p w14:paraId="24F7A79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7AC9827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【见投标文件递交截止地点】</w:t>
      </w:r>
    </w:p>
    <w:p w14:paraId="0D65976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样品接收联系人：</w:t>
      </w:r>
    </w:p>
    <w:p w14:paraId="0FE5DD3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【杨希来】</w:t>
      </w: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18960830097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14:paraId="12D482A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423F22A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374966A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3A30F92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649916DA">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p>
    <w:p w14:paraId="0411387E">
      <w:pPr>
        <w:keepNext w:val="0"/>
        <w:keepLines w:val="0"/>
        <w:widowControl/>
        <w:suppressLineNumbers w:val="0"/>
        <w:spacing w:before="75" w:beforeAutospacing="0" w:after="75" w:afterAutospacing="0"/>
        <w:ind w:left="0" w:right="0" w:firstLine="0"/>
        <w:jc w:val="left"/>
        <w:rPr>
          <w:rFonts w:ascii="宋体" w:hAnsi="宋体" w:eastAsia="宋体" w:cs="宋体"/>
          <w:i w:val="0"/>
          <w:iCs w:val="0"/>
          <w:caps w:val="0"/>
          <w:color w:val="000000"/>
          <w:spacing w:val="0"/>
          <w:kern w:val="0"/>
          <w:sz w:val="24"/>
          <w:szCs w:val="24"/>
          <w:highlight w:val="none"/>
          <w:lang w:val="en-US" w:eastAsia="zh-CN" w:bidi="ar-SA"/>
        </w:rPr>
      </w:pPr>
    </w:p>
    <w:p w14:paraId="2DD7E5A3">
      <w:pPr>
        <w:keepNext w:val="0"/>
        <w:keepLines w:val="0"/>
        <w:widowControl/>
        <w:suppressLineNumbers w:val="0"/>
        <w:spacing w:before="75" w:beforeAutospacing="0" w:after="75" w:afterAutospacing="0"/>
        <w:ind w:left="0" w:right="0" w:firstLine="0"/>
        <w:jc w:val="left"/>
        <w:rPr>
          <w:rFonts w:ascii="微软雅黑" w:hAnsi="微软雅黑" w:eastAsia="微软雅黑" w:cs="微软雅黑"/>
          <w:i w:val="0"/>
          <w:iCs w:val="0"/>
          <w:caps w:val="0"/>
          <w:color w:val="000000"/>
          <w:spacing w:val="0"/>
          <w:kern w:val="0"/>
          <w:sz w:val="27"/>
          <w:szCs w:val="27"/>
          <w:highlight w:val="none"/>
          <w:lang w:val="en-US" w:eastAsia="zh-CN" w:bidi="ar-SA"/>
        </w:rPr>
      </w:pPr>
      <w:r>
        <w:rPr>
          <w:rFonts w:ascii="宋体" w:hAnsi="宋体" w:eastAsia="宋体" w:cs="宋体"/>
          <w:i w:val="0"/>
          <w:iCs w:val="0"/>
          <w:caps w:val="0"/>
          <w:color w:val="000000"/>
          <w:spacing w:val="0"/>
          <w:kern w:val="0"/>
          <w:sz w:val="24"/>
          <w:szCs w:val="24"/>
          <w:highlight w:val="none"/>
          <w:lang w:val="en-US" w:eastAsia="zh-CN" w:bidi="ar-SA"/>
        </w:rPr>
        <w:t>附</w:t>
      </w:r>
      <w:r>
        <w:rPr>
          <w:rFonts w:hint="eastAsia" w:ascii="宋体" w:hAnsi="宋体" w:eastAsia="宋体" w:cs="宋体"/>
          <w:i w:val="0"/>
          <w:iCs w:val="0"/>
          <w:caps w:val="0"/>
          <w:color w:val="000000"/>
          <w:spacing w:val="0"/>
          <w:kern w:val="0"/>
          <w:sz w:val="24"/>
          <w:szCs w:val="24"/>
          <w:highlight w:val="none"/>
          <w:lang w:val="en-US" w:eastAsia="zh-CN" w:bidi="ar-SA"/>
        </w:rPr>
        <w:t>1：账户信息</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52D35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36E3EA87">
            <w:pPr>
              <w:keepNext w:val="0"/>
              <w:keepLines w:val="0"/>
              <w:widowControl/>
              <w:suppressLineNumbers w:val="0"/>
              <w:spacing w:before="0" w:beforeAutospacing="0" w:after="0" w:afterAutospacing="0"/>
              <w:ind w:left="0" w:right="0"/>
              <w:jc w:val="center"/>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2"/>
                <w:sz w:val="24"/>
                <w:szCs w:val="24"/>
                <w:highlight w:val="none"/>
                <w:lang w:val="en-US" w:eastAsia="zh-CN" w:bidi="ar-SA"/>
              </w:rPr>
              <w:t>投标保证金账户</w:t>
            </w:r>
          </w:p>
        </w:tc>
      </w:tr>
      <w:tr w14:paraId="4DF84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717A5CF6">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开户名称：</w:t>
            </w:r>
            <w:r>
              <w:rPr>
                <w:rFonts w:hint="eastAsia" w:ascii="宋体" w:hAnsi="宋体" w:eastAsia="宋体" w:cs="宋体"/>
                <w:b w:val="0"/>
                <w:bCs w:val="0"/>
                <w:color w:val="000000"/>
                <w:kern w:val="0"/>
                <w:sz w:val="24"/>
                <w:szCs w:val="21"/>
                <w:highlight w:val="none"/>
                <w:lang w:val="en-US" w:eastAsia="zh-CN" w:bidi="ar-SA"/>
              </w:rPr>
              <w:t>福建省中通通信有限公司</w:t>
            </w:r>
          </w:p>
        </w:tc>
      </w:tr>
      <w:tr w14:paraId="5BEA7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5CC9D3E7">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仿宋" w:cs="宋体"/>
                <w:i w:val="0"/>
                <w:iCs w:val="0"/>
                <w:caps w:val="0"/>
                <w:color w:val="000000"/>
                <w:spacing w:val="0"/>
                <w:kern w:val="0"/>
                <w:sz w:val="24"/>
                <w:szCs w:val="24"/>
                <w:highlight w:val="none"/>
                <w:lang w:val="en-US" w:eastAsia="zh-CN" w:bidi="ar-SA"/>
              </w:rPr>
              <w:t>账号：413085084436</w:t>
            </w:r>
          </w:p>
        </w:tc>
      </w:tr>
      <w:tr w14:paraId="4B7C9E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78B3FE3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开户银行：</w:t>
            </w:r>
            <w:r>
              <w:rPr>
                <w:rFonts w:hint="eastAsia" w:ascii="宋体" w:hAnsi="宋体" w:eastAsia="宋体" w:cs="宋体"/>
                <w:b w:val="0"/>
                <w:bCs w:val="0"/>
                <w:color w:val="000000"/>
                <w:kern w:val="0"/>
                <w:sz w:val="24"/>
                <w:szCs w:val="21"/>
                <w:highlight w:val="none"/>
                <w:lang w:val="en-US" w:eastAsia="zh-CN" w:bidi="ar-SA"/>
              </w:rPr>
              <w:t>中国银行福州金融街支行</w:t>
            </w:r>
          </w:p>
        </w:tc>
      </w:tr>
      <w:tr w14:paraId="75854C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14281177">
            <w:pPr>
              <w:keepNext w:val="0"/>
              <w:keepLines w:val="0"/>
              <w:widowControl/>
              <w:suppressLineNumbers w:val="0"/>
              <w:spacing w:before="0" w:beforeAutospacing="0" w:after="0" w:afterAutospacing="0"/>
              <w:ind w:left="0" w:right="0"/>
              <w:jc w:val="center"/>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2"/>
                <w:sz w:val="24"/>
                <w:szCs w:val="24"/>
                <w:highlight w:val="none"/>
                <w:lang w:val="en-US" w:eastAsia="zh-CN" w:bidi="ar-SA"/>
              </w:rPr>
              <w:t>特别提示</w:t>
            </w:r>
          </w:p>
        </w:tc>
      </w:tr>
      <w:tr w14:paraId="46CB7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15BC8125">
            <w:pPr>
              <w:keepNext w:val="0"/>
              <w:keepLines w:val="0"/>
              <w:widowControl/>
              <w:suppressLineNumbers w:val="0"/>
              <w:spacing w:before="0" w:beforeAutospacing="0" w:after="0" w:afterAutospacing="0"/>
              <w:ind w:left="0" w:right="0"/>
              <w:jc w:val="left"/>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1、投标人应认真核对账户信息，将投标保证金汇入以上账户，并自行承担因汇错投标保证金而产生的一切后果。</w:t>
            </w:r>
          </w:p>
          <w:p w14:paraId="1D829592">
            <w:pPr>
              <w:keepNext w:val="0"/>
              <w:keepLines w:val="0"/>
              <w:widowControl/>
              <w:suppressLineNumbers w:val="0"/>
              <w:spacing w:before="0" w:beforeAutospacing="0" w:after="0" w:afterAutospacing="0"/>
              <w:ind w:left="0" w:right="0"/>
              <w:jc w:val="left"/>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2、投标人在转账或电汇的凭证上应按照以下格式注明，以便核对：“（</w:t>
            </w:r>
            <w:r>
              <w:rPr>
                <w:rFonts w:hint="eastAsia" w:ascii="宋体" w:hAnsi="宋体" w:eastAsia="仿宋" w:cs="宋体"/>
                <w:i w:val="0"/>
                <w:iCs w:val="0"/>
                <w:caps w:val="0"/>
                <w:color w:val="000000"/>
                <w:spacing w:val="0"/>
                <w:kern w:val="0"/>
                <w:sz w:val="24"/>
                <w:szCs w:val="24"/>
                <w:highlight w:val="none"/>
                <w:lang w:val="en-US" w:eastAsia="zh-CN" w:bidi="ar-SA"/>
              </w:rPr>
              <w:t>招标</w:t>
            </w:r>
            <w:r>
              <w:rPr>
                <w:rFonts w:hint="eastAsia" w:ascii="宋体" w:hAnsi="宋体" w:eastAsia="宋体" w:cs="宋体"/>
                <w:i w:val="0"/>
                <w:iCs w:val="0"/>
                <w:caps w:val="0"/>
                <w:color w:val="000000"/>
                <w:spacing w:val="0"/>
                <w:kern w:val="0"/>
                <w:sz w:val="24"/>
                <w:szCs w:val="24"/>
                <w:highlight w:val="none"/>
                <w:lang w:val="en-US" w:eastAsia="zh-CN" w:bidi="ar-SA"/>
              </w:rPr>
              <w:t>编号：</w:t>
            </w:r>
            <w:r>
              <w:rPr>
                <w:rFonts w:hint="default" w:ascii="Times New Roman" w:hAnsi="Times New Roman" w:eastAsia="微软雅黑" w:cs="Times New Roman"/>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lang w:val="en-US" w:eastAsia="zh-CN" w:bidi="ar-SA"/>
              </w:rPr>
              <w:t>）的投标保证金”。</w:t>
            </w:r>
          </w:p>
        </w:tc>
      </w:tr>
    </w:tbl>
    <w:p w14:paraId="62297789">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1A581"/>
    <w:multiLevelType w:val="singleLevel"/>
    <w:tmpl w:val="9A11A581"/>
    <w:lvl w:ilvl="0" w:tentative="0">
      <w:start w:val="1"/>
      <w:numFmt w:val="decimal"/>
      <w:lvlText w:val="%1."/>
      <w:lvlJc w:val="left"/>
      <w:pPr>
        <w:tabs>
          <w:tab w:val="left" w:pos="312"/>
        </w:tabs>
      </w:p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3">
    <w:nsid w:val="35C200DD"/>
    <w:multiLevelType w:val="multilevel"/>
    <w:tmpl w:val="35C200DD"/>
    <w:lvl w:ilvl="0" w:tentative="0">
      <w:start w:val="1"/>
      <w:numFmt w:val="decimal"/>
      <w:pStyle w:val="23"/>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914CEF"/>
    <w:rsid w:val="07AB0349"/>
    <w:rsid w:val="0B5A2172"/>
    <w:rsid w:val="0B6701E5"/>
    <w:rsid w:val="0C8278CB"/>
    <w:rsid w:val="0ED62EEB"/>
    <w:rsid w:val="13F27F59"/>
    <w:rsid w:val="16394D7C"/>
    <w:rsid w:val="1685472A"/>
    <w:rsid w:val="1A766291"/>
    <w:rsid w:val="1E32315F"/>
    <w:rsid w:val="26E95F63"/>
    <w:rsid w:val="2AC31382"/>
    <w:rsid w:val="3045283A"/>
    <w:rsid w:val="32222E32"/>
    <w:rsid w:val="3DF15DAF"/>
    <w:rsid w:val="3EB968CD"/>
    <w:rsid w:val="406E1939"/>
    <w:rsid w:val="42E24862"/>
    <w:rsid w:val="4416031D"/>
    <w:rsid w:val="45631853"/>
    <w:rsid w:val="488C6E00"/>
    <w:rsid w:val="496833C9"/>
    <w:rsid w:val="4B3C4CB1"/>
    <w:rsid w:val="4B5A0CAD"/>
    <w:rsid w:val="5221680B"/>
    <w:rsid w:val="526606C2"/>
    <w:rsid w:val="53283BC9"/>
    <w:rsid w:val="55DA73FC"/>
    <w:rsid w:val="562E13A7"/>
    <w:rsid w:val="58F20F01"/>
    <w:rsid w:val="5B1909C7"/>
    <w:rsid w:val="5EF62DCD"/>
    <w:rsid w:val="63F57EA7"/>
    <w:rsid w:val="649966D5"/>
    <w:rsid w:val="6DB85E1E"/>
    <w:rsid w:val="6E7E7408"/>
    <w:rsid w:val="72AB2ABD"/>
    <w:rsid w:val="72C2298E"/>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link w:val="21"/>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Body Text"/>
    <w:basedOn w:val="1"/>
    <w:next w:val="1"/>
    <w:unhideWhenUsed/>
    <w:qFormat/>
    <w:uiPriority w:val="99"/>
    <w:pPr>
      <w:spacing w:after="120"/>
    </w:pPr>
  </w:style>
  <w:style w:type="paragraph" w:styleId="5">
    <w:name w:val="Body Text Indent"/>
    <w:basedOn w:val="1"/>
    <w:next w:val="1"/>
    <w:unhideWhenUsed/>
    <w:qFormat/>
    <w:uiPriority w:val="99"/>
    <w:pPr>
      <w:ind w:firstLine="795"/>
    </w:pPr>
    <w:rPr>
      <w:sz w:val="32"/>
      <w:szCs w:val="32"/>
    </w:rPr>
  </w:style>
  <w:style w:type="paragraph" w:styleId="6">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2"/>
    <w:basedOn w:val="1"/>
    <w:autoRedefine/>
    <w:qFormat/>
    <w:uiPriority w:val="0"/>
    <w:pPr>
      <w:spacing w:after="120" w:line="480" w:lineRule="auto"/>
    </w:pPr>
  </w:style>
  <w:style w:type="paragraph" w:styleId="9">
    <w:name w:val="Normal (Web)"/>
    <w:basedOn w:val="1"/>
    <w:autoRedefine/>
    <w:semiHidden/>
    <w:unhideWhenUsed/>
    <w:qFormat/>
    <w:uiPriority w:val="99"/>
    <w:rPr>
      <w:sz w:val="24"/>
    </w:rPr>
  </w:style>
  <w:style w:type="paragraph" w:styleId="10">
    <w:name w:val="Body Text First Indent"/>
    <w:basedOn w:val="4"/>
    <w:unhideWhenUsed/>
    <w:qFormat/>
    <w:uiPriority w:val="99"/>
    <w:pPr>
      <w:ind w:firstLine="420" w:firstLineChars="100"/>
    </w:pPr>
  </w:style>
  <w:style w:type="paragraph" w:styleId="11">
    <w:name w:val="Body Text First Indent 2"/>
    <w:basedOn w:val="5"/>
    <w:next w:val="10"/>
    <w:unhideWhenUsed/>
    <w:qFormat/>
    <w:uiPriority w:val="99"/>
    <w:pPr>
      <w:spacing w:after="120"/>
      <w:ind w:left="420" w:leftChars="200" w:firstLine="420" w:firstLineChars="200"/>
    </w:pPr>
  </w:style>
  <w:style w:type="character" w:styleId="14">
    <w:name w:val="Strong"/>
    <w:basedOn w:val="13"/>
    <w:autoRedefine/>
    <w:qFormat/>
    <w:uiPriority w:val="22"/>
    <w:rPr>
      <w:b/>
    </w:rPr>
  </w:style>
  <w:style w:type="character" w:styleId="15">
    <w:name w:val="Hyperlink"/>
    <w:autoRedefine/>
    <w:qFormat/>
    <w:uiPriority w:val="99"/>
    <w:rPr>
      <w:color w:val="0000FF"/>
      <w:u w:val="single"/>
    </w:rPr>
  </w:style>
  <w:style w:type="character" w:customStyle="1" w:styleId="16">
    <w:name w:val="页眉 Char"/>
    <w:basedOn w:val="13"/>
    <w:link w:val="7"/>
    <w:autoRedefine/>
    <w:qFormat/>
    <w:uiPriority w:val="99"/>
    <w:rPr>
      <w:sz w:val="18"/>
      <w:szCs w:val="18"/>
    </w:rPr>
  </w:style>
  <w:style w:type="character" w:customStyle="1" w:styleId="17">
    <w:name w:val="页脚 Char"/>
    <w:basedOn w:val="13"/>
    <w:link w:val="6"/>
    <w:autoRedefine/>
    <w:qFormat/>
    <w:uiPriority w:val="99"/>
    <w:rPr>
      <w:sz w:val="18"/>
      <w:szCs w:val="18"/>
    </w:rPr>
  </w:style>
  <w:style w:type="paragraph" w:customStyle="1" w:styleId="18">
    <w:name w:val="列出段落1"/>
    <w:basedOn w:val="1"/>
    <w:autoRedefine/>
    <w:unhideWhenUsed/>
    <w:qFormat/>
    <w:uiPriority w:val="34"/>
    <w:pPr>
      <w:ind w:firstLine="420" w:firstLineChars="200"/>
    </w:pPr>
  </w:style>
  <w:style w:type="character" w:customStyle="1" w:styleId="19">
    <w:name w:val="列出段落 Char"/>
    <w:basedOn w:val="13"/>
    <w:link w:val="20"/>
    <w:autoRedefine/>
    <w:qFormat/>
    <w:uiPriority w:val="34"/>
  </w:style>
  <w:style w:type="paragraph" w:styleId="20">
    <w:name w:val="List Paragraph"/>
    <w:basedOn w:val="1"/>
    <w:link w:val="19"/>
    <w:autoRedefine/>
    <w:unhideWhenUsed/>
    <w:qFormat/>
    <w:uiPriority w:val="34"/>
    <w:pPr>
      <w:ind w:firstLine="420" w:firstLineChars="200"/>
    </w:pPr>
  </w:style>
  <w:style w:type="character" w:customStyle="1" w:styleId="21">
    <w:name w:val="正文缩进 Char"/>
    <w:link w:val="3"/>
    <w:autoRedefine/>
    <w:qFormat/>
    <w:uiPriority w:val="99"/>
    <w:rPr>
      <w:rFonts w:ascii="楷体_GB2312" w:hAnsi="Times New Roman" w:eastAsia="楷体_GB2312" w:cs="Times New Roman"/>
      <w:kern w:val="0"/>
      <w:sz w:val="28"/>
      <w:szCs w:val="20"/>
    </w:rPr>
  </w:style>
  <w:style w:type="character" w:customStyle="1" w:styleId="22">
    <w:name w:val="样式1标题2 字符"/>
    <w:basedOn w:val="19"/>
    <w:link w:val="23"/>
    <w:autoRedefine/>
    <w:qFormat/>
    <w:uiPriority w:val="0"/>
    <w:rPr>
      <w:rFonts w:asciiTheme="minorEastAsia" w:hAnsiTheme="minorEastAsia" w:eastAsiaTheme="minorEastAsia"/>
      <w:b/>
      <w:szCs w:val="21"/>
    </w:rPr>
  </w:style>
  <w:style w:type="paragraph" w:customStyle="1" w:styleId="23">
    <w:name w:val="样式1标题2"/>
    <w:basedOn w:val="20"/>
    <w:link w:val="22"/>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3851</Words>
  <Characters>4261</Characters>
  <Lines>16</Lines>
  <Paragraphs>4</Paragraphs>
  <TotalTime>1</TotalTime>
  <ScaleCrop>false</ScaleCrop>
  <LinksUpToDate>false</LinksUpToDate>
  <CharactersWithSpaces>4340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2025-12-12T11:03:02Z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9FBECCE98CB943FD8A1CBF702D1030E1_12</vt:lpwstr>
  </property>
  <property fmtid="{D5CDD505-2E9C-101B-9397-08002B2CF9AE}" pid="4" name="KSOTemplateDocerSaveRecord">
    <vt:lpwstr>eyJoZGlkIjoiZWRmN2NhMDY5MzBmZDkzOTJmODliOTBhMmMzNWJlYzYiLCJ1c2VySWQiOiIxNTEwNTczNjUxIn0=</vt:lpwstr>
  </property>
</Properties>
</file>