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03ABD">
      <w:pPr>
        <w:pageBreakBefore w:val="0"/>
        <w:kinsoku/>
        <w:overflowPunct/>
        <w:bidi w:val="0"/>
        <w:spacing w:line="360" w:lineRule="auto"/>
        <w:rPr>
          <w:rFonts w:hint="eastAsia" w:ascii="宋体" w:hAnsi="宋体" w:eastAsia="宋体" w:cs="宋体"/>
          <w:b/>
          <w:color w:val="auto"/>
          <w:sz w:val="28"/>
          <w:szCs w:val="30"/>
          <w:lang w:eastAsia="zh-CN"/>
        </w:rPr>
      </w:pPr>
      <w:r>
        <w:rPr>
          <w:rFonts w:hint="eastAsia" w:ascii="宋体" w:hAnsi="宋体" w:eastAsia="宋体" w:cs="宋体"/>
          <w:b/>
          <w:color w:val="auto"/>
          <w:sz w:val="28"/>
          <w:szCs w:val="30"/>
        </w:rPr>
        <w:t>招标编号：</w:t>
      </w:r>
      <w:r>
        <w:rPr>
          <w:rFonts w:hint="eastAsia" w:ascii="宋体" w:hAnsi="宋体" w:cs="宋体"/>
          <w:b/>
          <w:color w:val="auto"/>
          <w:sz w:val="28"/>
          <w:szCs w:val="30"/>
          <w:lang w:eastAsia="zh-CN"/>
        </w:rPr>
        <w:t>GZBBFA202510270002</w:t>
      </w:r>
    </w:p>
    <w:p w14:paraId="52DC7393">
      <w:pPr>
        <w:pageBreakBefore w:val="0"/>
        <w:kinsoku/>
        <w:overflowPunct/>
        <w:bidi w:val="0"/>
        <w:spacing w:line="360" w:lineRule="auto"/>
        <w:ind w:firstLine="560"/>
        <w:rPr>
          <w:rFonts w:hint="eastAsia" w:ascii="宋体" w:hAnsi="宋体" w:eastAsia="宋体" w:cs="宋体"/>
          <w:color w:val="auto"/>
          <w:sz w:val="28"/>
          <w:szCs w:val="28"/>
        </w:rPr>
      </w:pPr>
    </w:p>
    <w:p w14:paraId="27EF3775">
      <w:pPr>
        <w:pageBreakBefore w:val="0"/>
        <w:kinsoku/>
        <w:overflowPunct/>
        <w:bidi w:val="0"/>
        <w:spacing w:line="360" w:lineRule="auto"/>
        <w:ind w:firstLine="560"/>
        <w:rPr>
          <w:rFonts w:hint="eastAsia" w:ascii="宋体" w:hAnsi="宋体" w:eastAsia="宋体" w:cs="宋体"/>
          <w:color w:val="auto"/>
          <w:sz w:val="28"/>
          <w:szCs w:val="28"/>
        </w:rPr>
      </w:pPr>
    </w:p>
    <w:p w14:paraId="2ABB1D56">
      <w:pPr>
        <w:pageBreakBefore w:val="0"/>
        <w:kinsoku/>
        <w:overflowPunct/>
        <w:bidi w:val="0"/>
        <w:spacing w:line="360" w:lineRule="auto"/>
        <w:ind w:firstLine="560"/>
        <w:rPr>
          <w:rFonts w:hint="eastAsia" w:ascii="宋体" w:hAnsi="宋体" w:eastAsia="宋体" w:cs="宋体"/>
          <w:color w:val="auto"/>
          <w:sz w:val="28"/>
          <w:szCs w:val="28"/>
        </w:rPr>
      </w:pPr>
    </w:p>
    <w:p w14:paraId="123FF461">
      <w:pPr>
        <w:pageBreakBefore w:val="0"/>
        <w:kinsoku/>
        <w:overflowPunct/>
        <w:bidi w:val="0"/>
        <w:spacing w:line="360" w:lineRule="auto"/>
        <w:ind w:firstLine="560"/>
        <w:rPr>
          <w:rFonts w:hint="eastAsia" w:ascii="宋体" w:hAnsi="宋体" w:eastAsia="宋体" w:cs="宋体"/>
          <w:color w:val="auto"/>
          <w:sz w:val="28"/>
          <w:szCs w:val="28"/>
        </w:rPr>
      </w:pPr>
    </w:p>
    <w:p w14:paraId="06F003F4">
      <w:pPr>
        <w:pageBreakBefore w:val="0"/>
        <w:kinsoku/>
        <w:overflowPunct/>
        <w:bidi w:val="0"/>
        <w:spacing w:line="360" w:lineRule="auto"/>
        <w:ind w:firstLine="560"/>
        <w:rPr>
          <w:rFonts w:hint="eastAsia" w:ascii="宋体" w:hAnsi="宋体" w:eastAsia="宋体" w:cs="宋体"/>
          <w:color w:val="auto"/>
          <w:sz w:val="28"/>
          <w:szCs w:val="28"/>
        </w:rPr>
      </w:pPr>
    </w:p>
    <w:p w14:paraId="296B2316">
      <w:pPr>
        <w:pageBreakBefore w:val="0"/>
        <w:kinsoku/>
        <w:overflowPunct/>
        <w:bidi w:val="0"/>
        <w:spacing w:line="360" w:lineRule="auto"/>
        <w:ind w:firstLine="560"/>
        <w:rPr>
          <w:rFonts w:hint="eastAsia" w:ascii="宋体" w:hAnsi="宋体" w:eastAsia="宋体" w:cs="宋体"/>
          <w:color w:val="auto"/>
          <w:sz w:val="28"/>
          <w:szCs w:val="28"/>
        </w:rPr>
      </w:pPr>
    </w:p>
    <w:p w14:paraId="562B1469">
      <w:pPr>
        <w:pageBreakBefore w:val="0"/>
        <w:kinsoku/>
        <w:overflowPunct/>
        <w:bidi w:val="0"/>
        <w:spacing w:line="360" w:lineRule="auto"/>
        <w:ind w:firstLine="560"/>
        <w:rPr>
          <w:rFonts w:hint="eastAsia" w:ascii="宋体" w:hAnsi="宋体" w:eastAsia="宋体" w:cs="宋体"/>
          <w:b/>
          <w:color w:val="auto"/>
          <w:szCs w:val="21"/>
          <w:u w:val="single"/>
        </w:rPr>
      </w:pPr>
    </w:p>
    <w:p w14:paraId="69B41FA9">
      <w:pPr>
        <w:pageBreakBefore w:val="0"/>
        <w:kinsoku/>
        <w:overflowPunct/>
        <w:bidi w:val="0"/>
        <w:spacing w:line="360" w:lineRule="auto"/>
        <w:jc w:val="center"/>
        <w:rPr>
          <w:rFonts w:hint="eastAsia" w:ascii="宋体" w:hAnsi="宋体" w:eastAsia="宋体" w:cs="宋体"/>
          <w:b/>
          <w:color w:val="auto"/>
          <w:sz w:val="36"/>
          <w:szCs w:val="36"/>
          <w:lang w:eastAsia="zh-CN"/>
        </w:rPr>
      </w:pPr>
      <w:r>
        <w:rPr>
          <w:rFonts w:hint="eastAsia" w:ascii="宋体" w:hAnsi="宋体" w:eastAsia="宋体" w:cs="宋体"/>
          <w:b/>
          <w:color w:val="auto"/>
          <w:sz w:val="36"/>
          <w:szCs w:val="36"/>
          <w:lang w:eastAsia="zh-CN"/>
        </w:rPr>
        <w:t>2025年中国电信贵阳分公司低压动力设备维护抢修服务框架采购</w:t>
      </w:r>
    </w:p>
    <w:p w14:paraId="7E080639">
      <w:pPr>
        <w:pageBreakBefore w:val="0"/>
        <w:kinsoku/>
        <w:overflowPunct/>
        <w:bidi w:val="0"/>
        <w:spacing w:after="120"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招标文件</w:t>
      </w:r>
    </w:p>
    <w:p w14:paraId="7451E1E0">
      <w:pPr>
        <w:pageBreakBefore w:val="0"/>
        <w:kinsoku/>
        <w:overflowPunct/>
        <w:bidi w:val="0"/>
        <w:spacing w:after="120" w:line="360" w:lineRule="auto"/>
        <w:jc w:val="center"/>
        <w:rPr>
          <w:rFonts w:hint="eastAsia" w:ascii="宋体" w:hAnsi="宋体" w:eastAsia="宋体" w:cs="宋体"/>
          <w:b/>
          <w:color w:val="auto"/>
          <w:sz w:val="32"/>
          <w:szCs w:val="32"/>
        </w:rPr>
      </w:pPr>
    </w:p>
    <w:p w14:paraId="3BCC041B">
      <w:pPr>
        <w:pageBreakBefore w:val="0"/>
        <w:kinsoku/>
        <w:overflowPunct/>
        <w:bidi w:val="0"/>
        <w:spacing w:after="120" w:line="360" w:lineRule="auto"/>
        <w:rPr>
          <w:rFonts w:hint="eastAsia" w:ascii="宋体" w:hAnsi="宋体" w:eastAsia="宋体" w:cs="宋体"/>
          <w:b/>
          <w:color w:val="auto"/>
          <w:sz w:val="32"/>
          <w:szCs w:val="32"/>
        </w:rPr>
      </w:pPr>
    </w:p>
    <w:p w14:paraId="645A2AF2">
      <w:pPr>
        <w:pageBreakBefore w:val="0"/>
        <w:kinsoku/>
        <w:overflowPunct/>
        <w:bidi w:val="0"/>
        <w:spacing w:after="120" w:line="360" w:lineRule="auto"/>
        <w:jc w:val="center"/>
        <w:rPr>
          <w:rFonts w:hint="eastAsia" w:ascii="宋体" w:hAnsi="宋体" w:eastAsia="宋体" w:cs="宋体"/>
          <w:b/>
          <w:color w:val="auto"/>
          <w:sz w:val="32"/>
          <w:szCs w:val="32"/>
        </w:rPr>
      </w:pPr>
    </w:p>
    <w:p w14:paraId="0A470619">
      <w:pPr>
        <w:pageBreakBefore w:val="0"/>
        <w:kinsoku/>
        <w:overflowPunct/>
        <w:bidi w:val="0"/>
        <w:spacing w:after="120" w:line="360" w:lineRule="auto"/>
        <w:jc w:val="center"/>
        <w:rPr>
          <w:rFonts w:hint="eastAsia" w:ascii="宋体" w:hAnsi="宋体" w:eastAsia="宋体" w:cs="宋体"/>
          <w:b/>
          <w:color w:val="auto"/>
          <w:sz w:val="32"/>
          <w:szCs w:val="32"/>
        </w:rPr>
      </w:pPr>
    </w:p>
    <w:p w14:paraId="7F102EBA">
      <w:pPr>
        <w:pageBreakBefore w:val="0"/>
        <w:kinsoku/>
        <w:overflowPunct/>
        <w:bidi w:val="0"/>
        <w:spacing w:after="120" w:line="360" w:lineRule="auto"/>
        <w:jc w:val="center"/>
        <w:rPr>
          <w:rFonts w:hint="eastAsia" w:ascii="宋体" w:hAnsi="宋体" w:eastAsia="宋体" w:cs="宋体"/>
          <w:b/>
          <w:color w:val="auto"/>
          <w:sz w:val="32"/>
          <w:szCs w:val="32"/>
        </w:rPr>
      </w:pPr>
    </w:p>
    <w:p w14:paraId="2BB53F30">
      <w:pPr>
        <w:pageBreakBefore w:val="0"/>
        <w:kinsoku/>
        <w:overflowPunct/>
        <w:bidi w:val="0"/>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招标人：</w:t>
      </w:r>
      <w:r>
        <w:rPr>
          <w:rFonts w:hint="eastAsia" w:ascii="宋体" w:hAnsi="宋体" w:eastAsia="宋体" w:cs="宋体"/>
          <w:b/>
          <w:color w:val="auto"/>
          <w:sz w:val="24"/>
          <w:u w:val="single"/>
        </w:rPr>
        <w:t>【</w:t>
      </w:r>
      <w:r>
        <w:rPr>
          <w:rFonts w:hint="eastAsia" w:ascii="宋体" w:hAnsi="宋体" w:eastAsia="宋体" w:cs="宋体"/>
          <w:b/>
          <w:color w:val="auto"/>
          <w:sz w:val="24"/>
          <w:u w:val="single"/>
          <w:lang w:eastAsia="zh-CN"/>
        </w:rPr>
        <w:t>中国电信股份有限公司贵阳分公司</w:t>
      </w:r>
      <w:r>
        <w:rPr>
          <w:rFonts w:hint="eastAsia" w:ascii="宋体" w:hAnsi="宋体" w:eastAsia="宋体" w:cs="宋体"/>
          <w:b/>
          <w:color w:val="auto"/>
          <w:sz w:val="24"/>
          <w:u w:val="single"/>
        </w:rPr>
        <w:t>】</w:t>
      </w:r>
    </w:p>
    <w:p w14:paraId="5F4971A0">
      <w:pPr>
        <w:pageBreakBefore w:val="0"/>
        <w:kinsoku/>
        <w:overflowPunct/>
        <w:bidi w:val="0"/>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招标代理机构：</w:t>
      </w:r>
      <w:r>
        <w:rPr>
          <w:rFonts w:hint="eastAsia" w:ascii="宋体" w:hAnsi="宋体" w:eastAsia="宋体" w:cs="宋体"/>
          <w:b/>
          <w:color w:val="auto"/>
          <w:sz w:val="24"/>
          <w:u w:val="single"/>
        </w:rPr>
        <w:t>【</w:t>
      </w:r>
      <w:r>
        <w:rPr>
          <w:rFonts w:hint="eastAsia" w:ascii="宋体" w:hAnsi="宋体" w:eastAsia="宋体" w:cs="宋体"/>
          <w:b/>
          <w:color w:val="auto"/>
          <w:sz w:val="24"/>
          <w:u w:val="single"/>
          <w:lang w:eastAsia="zh-CN"/>
        </w:rPr>
        <w:t>中通服供应链股份有限公司贵州分公司</w:t>
      </w:r>
      <w:r>
        <w:rPr>
          <w:rFonts w:hint="eastAsia" w:ascii="宋体" w:hAnsi="宋体" w:eastAsia="宋体" w:cs="宋体"/>
          <w:b/>
          <w:color w:val="auto"/>
          <w:sz w:val="24"/>
          <w:u w:val="single"/>
        </w:rPr>
        <w:t>】</w:t>
      </w:r>
    </w:p>
    <w:p w14:paraId="7C9FC10E">
      <w:pPr>
        <w:pageBreakBefore w:val="0"/>
        <w:kinsoku/>
        <w:overflowPunct/>
        <w:bidi w:val="0"/>
        <w:spacing w:line="360" w:lineRule="auto"/>
        <w:ind w:firstLine="2640" w:firstLineChars="1100"/>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u w:val="single"/>
        </w:rPr>
        <w:t>【</w:t>
      </w:r>
      <w:r>
        <w:rPr>
          <w:rFonts w:hint="eastAsia" w:ascii="宋体" w:hAnsi="宋体" w:eastAsia="宋体" w:cs="宋体"/>
          <w:b/>
          <w:bCs w:val="0"/>
          <w:color w:val="auto"/>
          <w:sz w:val="24"/>
          <w:highlight w:val="none"/>
          <w:u w:val="single"/>
          <w:lang w:val="en-US" w:eastAsia="zh-CN"/>
        </w:rPr>
        <w:t>2025</w:t>
      </w:r>
      <w:r>
        <w:rPr>
          <w:rFonts w:hint="eastAsia" w:ascii="宋体" w:hAnsi="宋体" w:eastAsia="宋体" w:cs="宋体"/>
          <w:b/>
          <w:bCs w:val="0"/>
          <w:color w:val="auto"/>
          <w:sz w:val="24"/>
          <w:highlight w:val="none"/>
          <w:u w:val="single"/>
        </w:rPr>
        <w:t>】</w:t>
      </w:r>
      <w:r>
        <w:rPr>
          <w:rFonts w:hint="eastAsia" w:ascii="宋体" w:hAnsi="宋体" w:eastAsia="宋体" w:cs="宋体"/>
          <w:b/>
          <w:bCs w:val="0"/>
          <w:color w:val="auto"/>
          <w:sz w:val="24"/>
          <w:highlight w:val="none"/>
        </w:rPr>
        <w:t>年</w:t>
      </w:r>
      <w:r>
        <w:rPr>
          <w:rFonts w:hint="eastAsia" w:ascii="宋体" w:hAnsi="宋体" w:eastAsia="宋体" w:cs="宋体"/>
          <w:b/>
          <w:bCs w:val="0"/>
          <w:color w:val="auto"/>
          <w:sz w:val="24"/>
          <w:highlight w:val="none"/>
          <w:u w:val="single"/>
        </w:rPr>
        <w:t>【</w:t>
      </w:r>
      <w:r>
        <w:rPr>
          <w:rFonts w:hint="eastAsia" w:ascii="宋体" w:hAnsi="宋体" w:eastAsia="宋体" w:cs="宋体"/>
          <w:b/>
          <w:bCs w:val="0"/>
          <w:color w:val="auto"/>
          <w:sz w:val="24"/>
          <w:highlight w:val="none"/>
          <w:u w:val="single"/>
          <w:lang w:val="en-US" w:eastAsia="zh-CN"/>
        </w:rPr>
        <w:t>10</w:t>
      </w:r>
      <w:r>
        <w:rPr>
          <w:rFonts w:hint="eastAsia" w:ascii="宋体" w:hAnsi="宋体" w:eastAsia="宋体" w:cs="宋体"/>
          <w:b/>
          <w:bCs w:val="0"/>
          <w:color w:val="auto"/>
          <w:sz w:val="24"/>
          <w:highlight w:val="none"/>
          <w:u w:val="single"/>
        </w:rPr>
        <w:t>】</w:t>
      </w:r>
      <w:r>
        <w:rPr>
          <w:rFonts w:hint="eastAsia" w:ascii="宋体" w:hAnsi="宋体" w:eastAsia="宋体" w:cs="宋体"/>
          <w:b/>
          <w:bCs w:val="0"/>
          <w:color w:val="auto"/>
          <w:sz w:val="24"/>
          <w:highlight w:val="none"/>
        </w:rPr>
        <w:t>月</w:t>
      </w:r>
      <w:r>
        <w:rPr>
          <w:rFonts w:hint="eastAsia" w:ascii="宋体" w:hAnsi="宋体" w:eastAsia="宋体" w:cs="宋体"/>
          <w:b/>
          <w:bCs w:val="0"/>
          <w:color w:val="auto"/>
          <w:sz w:val="24"/>
          <w:highlight w:val="none"/>
          <w:u w:val="single"/>
        </w:rPr>
        <w:t>【</w:t>
      </w:r>
      <w:r>
        <w:rPr>
          <w:rFonts w:hint="eastAsia" w:ascii="宋体" w:hAnsi="宋体" w:cs="宋体"/>
          <w:b/>
          <w:bCs w:val="0"/>
          <w:color w:val="auto"/>
          <w:sz w:val="24"/>
          <w:highlight w:val="none"/>
          <w:u w:val="single"/>
          <w:lang w:val="en-US" w:eastAsia="zh-CN"/>
        </w:rPr>
        <w:t>30</w:t>
      </w:r>
      <w:r>
        <w:rPr>
          <w:rFonts w:hint="eastAsia" w:ascii="宋体" w:hAnsi="宋体" w:eastAsia="宋体" w:cs="宋体"/>
          <w:b/>
          <w:bCs w:val="0"/>
          <w:color w:val="auto"/>
          <w:sz w:val="24"/>
          <w:highlight w:val="none"/>
          <w:u w:val="single"/>
        </w:rPr>
        <w:t>】</w:t>
      </w:r>
      <w:r>
        <w:rPr>
          <w:rFonts w:hint="eastAsia" w:ascii="宋体" w:hAnsi="宋体" w:eastAsia="宋体" w:cs="宋体"/>
          <w:b/>
          <w:bCs w:val="0"/>
          <w:color w:val="auto"/>
          <w:sz w:val="24"/>
          <w:highlight w:val="none"/>
        </w:rPr>
        <w:t>日</w:t>
      </w:r>
    </w:p>
    <w:p w14:paraId="432BFFC3">
      <w:pPr>
        <w:pageBreakBefore w:val="0"/>
        <w:kinsoku/>
        <w:overflowPunct/>
        <w:bidi w:val="0"/>
        <w:spacing w:after="120" w:line="360" w:lineRule="auto"/>
        <w:jc w:val="center"/>
        <w:rPr>
          <w:rFonts w:hint="eastAsia" w:ascii="宋体" w:hAnsi="宋体" w:eastAsia="宋体" w:cs="宋体"/>
          <w:color w:val="auto"/>
          <w:sz w:val="24"/>
          <w:highlight w:val="green"/>
        </w:rPr>
        <w:sectPr>
          <w:headerReference r:id="rId3" w:type="first"/>
          <w:footerReference r:id="rId4" w:type="default"/>
          <w:pgSz w:w="11906" w:h="16838"/>
          <w:pgMar w:top="1440" w:right="1701" w:bottom="1440" w:left="1701" w:header="851" w:footer="992" w:gutter="0"/>
          <w:pgNumType w:fmt="decimal"/>
          <w:cols w:space="720" w:num="1"/>
          <w:docGrid w:type="linesAndChars" w:linePitch="380" w:charSpace="0"/>
        </w:sectPr>
      </w:pPr>
    </w:p>
    <w:p w14:paraId="7EB7A724">
      <w:pPr>
        <w:pageBreakBefore w:val="0"/>
        <w:kinsoku/>
        <w:overflowPunct/>
        <w:bidi w:val="0"/>
        <w:spacing w:after="120" w:line="360" w:lineRule="auto"/>
        <w:jc w:val="center"/>
        <w:rPr>
          <w:rFonts w:hint="eastAsia" w:ascii="宋体" w:hAnsi="宋体" w:eastAsia="宋体" w:cs="宋体"/>
          <w:b/>
          <w:color w:val="auto"/>
          <w:sz w:val="24"/>
        </w:rPr>
      </w:pPr>
      <w:r>
        <w:rPr>
          <w:rFonts w:hint="eastAsia" w:ascii="宋体" w:hAnsi="宋体" w:eastAsia="宋体" w:cs="宋体"/>
          <w:b/>
          <w:color w:val="auto"/>
          <w:sz w:val="24"/>
        </w:rPr>
        <w:t>目  录</w:t>
      </w:r>
    </w:p>
    <w:p w14:paraId="0F3C5937">
      <w:pPr>
        <w:pStyle w:val="29"/>
        <w:pageBreakBefore w:val="0"/>
        <w:tabs>
          <w:tab w:val="right" w:leader="dot" w:pos="8504"/>
          <w:tab w:val="clear" w:pos="567"/>
          <w:tab w:val="clear" w:pos="709"/>
          <w:tab w:val="clear" w:pos="8505"/>
        </w:tabs>
        <w:kinsoku/>
        <w:overflowPunct/>
        <w:bidi w:val="0"/>
        <w:spacing w:line="360" w:lineRule="auto"/>
        <w:rPr>
          <w:rFonts w:hint="eastAsia" w:ascii="宋体" w:hAnsi="宋体" w:eastAsia="宋体" w:cs="宋体"/>
          <w:color w:val="auto"/>
        </w:rPr>
      </w:pPr>
      <w:r>
        <w:rPr>
          <w:rFonts w:hint="eastAsia" w:ascii="宋体" w:hAnsi="宋体" w:eastAsia="宋体" w:cs="宋体"/>
          <w:bCs/>
          <w:color w:val="auto"/>
          <w:szCs w:val="21"/>
        </w:rPr>
        <w:fldChar w:fldCharType="begin"/>
      </w:r>
      <w:r>
        <w:rPr>
          <w:rFonts w:hint="eastAsia" w:ascii="宋体" w:hAnsi="宋体" w:eastAsia="宋体" w:cs="宋体"/>
          <w:bCs/>
          <w:color w:val="auto"/>
          <w:szCs w:val="21"/>
        </w:rPr>
        <w:instrText xml:space="preserve"> TOC \o "1-3" \h \z \u </w:instrText>
      </w:r>
      <w:r>
        <w:rPr>
          <w:rFonts w:hint="eastAsia" w:ascii="宋体" w:hAnsi="宋体" w:eastAsia="宋体" w:cs="宋体"/>
          <w:bCs/>
          <w:color w:val="auto"/>
          <w:szCs w:val="21"/>
        </w:rPr>
        <w:fldChar w:fldCharType="separate"/>
      </w:r>
      <w:r>
        <w:rPr>
          <w:rFonts w:hint="eastAsia" w:ascii="宋体" w:hAnsi="宋体" w:eastAsia="宋体" w:cs="宋体"/>
          <w:bCs/>
          <w:color w:val="auto"/>
          <w:szCs w:val="21"/>
        </w:rPr>
        <w:fldChar w:fldCharType="begin"/>
      </w:r>
      <w:r>
        <w:rPr>
          <w:rFonts w:hint="eastAsia" w:ascii="宋体" w:hAnsi="宋体" w:eastAsia="宋体" w:cs="宋体"/>
          <w:bCs/>
          <w:color w:val="auto"/>
          <w:szCs w:val="21"/>
        </w:rPr>
        <w:instrText xml:space="preserve"> HYPERLINK \l _Toc10924 </w:instrText>
      </w:r>
      <w:r>
        <w:rPr>
          <w:rFonts w:hint="eastAsia" w:ascii="宋体" w:hAnsi="宋体" w:eastAsia="宋体" w:cs="宋体"/>
          <w:bCs/>
          <w:color w:val="auto"/>
          <w:szCs w:val="21"/>
        </w:rPr>
        <w:fldChar w:fldCharType="separate"/>
      </w:r>
      <w:r>
        <w:rPr>
          <w:rFonts w:hint="eastAsia" w:ascii="宋体" w:hAnsi="宋体" w:eastAsia="宋体" w:cs="宋体"/>
          <w:bCs w:val="0"/>
          <w:color w:val="auto"/>
          <w:kern w:val="0"/>
          <w:szCs w:val="28"/>
        </w:rPr>
        <w:t>第一章  招标公告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_Toc10924 \h </w:instrText>
      </w:r>
      <w:r>
        <w:rPr>
          <w:rFonts w:hint="eastAsia" w:ascii="宋体" w:hAnsi="宋体" w:eastAsia="宋体" w:cs="宋体"/>
          <w:color w:val="auto"/>
        </w:rPr>
        <w:fldChar w:fldCharType="separate"/>
      </w:r>
      <w:r>
        <w:rPr>
          <w:rFonts w:hint="eastAsia" w:ascii="宋体" w:hAnsi="宋体" w:eastAsia="宋体" w:cs="宋体"/>
          <w:color w:val="auto"/>
        </w:rPr>
        <w:t>1</w:t>
      </w:r>
      <w:r>
        <w:rPr>
          <w:rFonts w:hint="eastAsia" w:ascii="宋体" w:hAnsi="宋体" w:eastAsia="宋体" w:cs="宋体"/>
          <w:color w:val="auto"/>
        </w:rPr>
        <w:fldChar w:fldCharType="end"/>
      </w:r>
      <w:r>
        <w:rPr>
          <w:rFonts w:hint="eastAsia" w:ascii="宋体" w:hAnsi="宋体" w:eastAsia="宋体" w:cs="宋体"/>
          <w:bCs/>
          <w:color w:val="auto"/>
          <w:szCs w:val="21"/>
        </w:rPr>
        <w:fldChar w:fldCharType="end"/>
      </w:r>
    </w:p>
    <w:p w14:paraId="3666DF79">
      <w:pPr>
        <w:pStyle w:val="29"/>
        <w:pageBreakBefore w:val="0"/>
        <w:tabs>
          <w:tab w:val="right" w:leader="dot" w:pos="8504"/>
          <w:tab w:val="clear" w:pos="567"/>
          <w:tab w:val="clear" w:pos="709"/>
          <w:tab w:val="clear" w:pos="8505"/>
        </w:tabs>
        <w:kinsoku/>
        <w:overflowPunct/>
        <w:bidi w:val="0"/>
        <w:spacing w:line="36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_Toc28026 </w:instrText>
      </w:r>
      <w:r>
        <w:rPr>
          <w:rFonts w:hint="eastAsia" w:ascii="宋体" w:hAnsi="宋体" w:eastAsia="宋体" w:cs="宋体"/>
          <w:color w:val="auto"/>
          <w:szCs w:val="21"/>
        </w:rPr>
        <w:fldChar w:fldCharType="separate"/>
      </w:r>
      <w:r>
        <w:rPr>
          <w:rFonts w:hint="eastAsia" w:ascii="宋体" w:hAnsi="宋体" w:eastAsia="宋体" w:cs="宋体"/>
          <w:bCs w:val="0"/>
          <w:color w:val="auto"/>
          <w:kern w:val="0"/>
          <w:szCs w:val="28"/>
        </w:rPr>
        <w:t>第二章 投标人须知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_Toc28026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1CC43867">
      <w:pPr>
        <w:pStyle w:val="29"/>
        <w:pageBreakBefore w:val="0"/>
        <w:tabs>
          <w:tab w:val="right" w:leader="dot" w:pos="8504"/>
          <w:tab w:val="clear" w:pos="567"/>
          <w:tab w:val="clear" w:pos="709"/>
          <w:tab w:val="clear" w:pos="8505"/>
        </w:tabs>
        <w:kinsoku/>
        <w:overflowPunct/>
        <w:bidi w:val="0"/>
        <w:spacing w:line="36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_Toc26387 </w:instrText>
      </w:r>
      <w:r>
        <w:rPr>
          <w:rFonts w:hint="eastAsia" w:ascii="宋体" w:hAnsi="宋体" w:eastAsia="宋体" w:cs="宋体"/>
          <w:color w:val="auto"/>
          <w:szCs w:val="21"/>
        </w:rPr>
        <w:fldChar w:fldCharType="separate"/>
      </w:r>
      <w:r>
        <w:rPr>
          <w:rFonts w:hint="eastAsia" w:ascii="宋体" w:hAnsi="宋体" w:eastAsia="宋体" w:cs="宋体"/>
          <w:bCs w:val="0"/>
          <w:color w:val="auto"/>
          <w:kern w:val="0"/>
          <w:szCs w:val="28"/>
        </w:rPr>
        <w:t>第三章 评标办法（综合评估法）</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_Toc26387 \h </w:instrText>
      </w:r>
      <w:r>
        <w:rPr>
          <w:rFonts w:hint="eastAsia" w:ascii="宋体" w:hAnsi="宋体" w:eastAsia="宋体" w:cs="宋体"/>
          <w:color w:val="auto"/>
        </w:rPr>
        <w:fldChar w:fldCharType="separate"/>
      </w:r>
      <w:r>
        <w:rPr>
          <w:rFonts w:hint="eastAsia" w:ascii="宋体" w:hAnsi="宋体" w:eastAsia="宋体" w:cs="宋体"/>
          <w:color w:val="auto"/>
        </w:rPr>
        <w:t>33</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21F76364">
      <w:pPr>
        <w:pStyle w:val="29"/>
        <w:pageBreakBefore w:val="0"/>
        <w:tabs>
          <w:tab w:val="right" w:leader="dot" w:pos="8504"/>
          <w:tab w:val="clear" w:pos="567"/>
          <w:tab w:val="clear" w:pos="709"/>
          <w:tab w:val="clear" w:pos="8505"/>
        </w:tabs>
        <w:kinsoku/>
        <w:overflowPunct/>
        <w:bidi w:val="0"/>
        <w:spacing w:line="36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_Toc2678 </w:instrText>
      </w:r>
      <w:r>
        <w:rPr>
          <w:rFonts w:hint="eastAsia" w:ascii="宋体" w:hAnsi="宋体" w:eastAsia="宋体" w:cs="宋体"/>
          <w:color w:val="auto"/>
          <w:szCs w:val="21"/>
        </w:rPr>
        <w:fldChar w:fldCharType="separate"/>
      </w:r>
      <w:r>
        <w:rPr>
          <w:rFonts w:hint="eastAsia" w:ascii="宋体" w:hAnsi="宋体" w:eastAsia="宋体" w:cs="宋体"/>
          <w:bCs w:val="0"/>
          <w:color w:val="auto"/>
          <w:kern w:val="0"/>
          <w:szCs w:val="28"/>
        </w:rPr>
        <w:t xml:space="preserve">第四章 </w:t>
      </w:r>
      <w:r>
        <w:rPr>
          <w:rFonts w:hint="eastAsia" w:ascii="宋体" w:hAnsi="宋体" w:eastAsia="宋体" w:cs="宋体"/>
          <w:bCs w:val="0"/>
          <w:color w:val="auto"/>
          <w:kern w:val="0"/>
          <w:szCs w:val="28"/>
          <w:lang w:val="en-US" w:eastAsia="zh-CN"/>
        </w:rPr>
        <w:t>商务及</w:t>
      </w:r>
      <w:r>
        <w:rPr>
          <w:rFonts w:hint="eastAsia" w:ascii="宋体" w:hAnsi="宋体" w:eastAsia="宋体" w:cs="宋体"/>
          <w:bCs w:val="0"/>
          <w:color w:val="auto"/>
          <w:kern w:val="0"/>
          <w:szCs w:val="28"/>
        </w:rPr>
        <w:t>合同条款</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_Toc2678 \h </w:instrText>
      </w:r>
      <w:r>
        <w:rPr>
          <w:rFonts w:hint="eastAsia" w:ascii="宋体" w:hAnsi="宋体" w:eastAsia="宋体" w:cs="宋体"/>
          <w:color w:val="auto"/>
        </w:rPr>
        <w:fldChar w:fldCharType="separate"/>
      </w:r>
      <w:r>
        <w:rPr>
          <w:rFonts w:hint="eastAsia" w:ascii="宋体" w:hAnsi="宋体" w:eastAsia="宋体" w:cs="宋体"/>
          <w:color w:val="auto"/>
        </w:rPr>
        <w:t>46</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52F78E8A">
      <w:pPr>
        <w:pStyle w:val="29"/>
        <w:pageBreakBefore w:val="0"/>
        <w:tabs>
          <w:tab w:val="right" w:leader="dot" w:pos="8504"/>
          <w:tab w:val="clear" w:pos="567"/>
          <w:tab w:val="clear" w:pos="709"/>
          <w:tab w:val="clear" w:pos="8505"/>
        </w:tabs>
        <w:kinsoku/>
        <w:overflowPunct/>
        <w:bidi w:val="0"/>
        <w:spacing w:line="36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_Toc15329 </w:instrText>
      </w:r>
      <w:r>
        <w:rPr>
          <w:rFonts w:hint="eastAsia" w:ascii="宋体" w:hAnsi="宋体" w:eastAsia="宋体" w:cs="宋体"/>
          <w:color w:val="auto"/>
          <w:szCs w:val="21"/>
        </w:rPr>
        <w:fldChar w:fldCharType="separate"/>
      </w:r>
      <w:r>
        <w:rPr>
          <w:rFonts w:hint="eastAsia" w:ascii="宋体" w:hAnsi="宋体" w:eastAsia="宋体" w:cs="宋体"/>
          <w:bCs w:val="0"/>
          <w:color w:val="auto"/>
          <w:kern w:val="0"/>
          <w:szCs w:val="22"/>
        </w:rPr>
        <w:t>第五章 技术规范书</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_Toc15329 \h </w:instrText>
      </w:r>
      <w:r>
        <w:rPr>
          <w:rFonts w:hint="eastAsia" w:ascii="宋体" w:hAnsi="宋体" w:eastAsia="宋体" w:cs="宋体"/>
          <w:color w:val="auto"/>
        </w:rPr>
        <w:fldChar w:fldCharType="separate"/>
      </w:r>
      <w:r>
        <w:rPr>
          <w:rFonts w:hint="eastAsia" w:ascii="宋体" w:hAnsi="宋体" w:eastAsia="宋体" w:cs="宋体"/>
          <w:color w:val="auto"/>
        </w:rPr>
        <w:t>72</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6824CCFD">
      <w:pPr>
        <w:pStyle w:val="29"/>
        <w:pageBreakBefore w:val="0"/>
        <w:tabs>
          <w:tab w:val="right" w:leader="dot" w:pos="8504"/>
          <w:tab w:val="clear" w:pos="567"/>
          <w:tab w:val="clear" w:pos="709"/>
          <w:tab w:val="clear" w:pos="8505"/>
        </w:tabs>
        <w:kinsoku/>
        <w:overflowPunct/>
        <w:bidi w:val="0"/>
        <w:spacing w:line="36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_Toc13382 </w:instrText>
      </w:r>
      <w:r>
        <w:rPr>
          <w:rFonts w:hint="eastAsia" w:ascii="宋体" w:hAnsi="宋体" w:eastAsia="宋体" w:cs="宋体"/>
          <w:color w:val="auto"/>
          <w:szCs w:val="21"/>
        </w:rPr>
        <w:fldChar w:fldCharType="separate"/>
      </w:r>
      <w:r>
        <w:rPr>
          <w:rFonts w:hint="eastAsia" w:ascii="宋体" w:hAnsi="宋体" w:eastAsia="宋体" w:cs="宋体"/>
          <w:bCs w:val="0"/>
          <w:color w:val="auto"/>
          <w:kern w:val="0"/>
          <w:szCs w:val="28"/>
        </w:rPr>
        <w:t>第六章  投标文件格式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_Toc13382 \h </w:instrText>
      </w:r>
      <w:r>
        <w:rPr>
          <w:rFonts w:hint="eastAsia" w:ascii="宋体" w:hAnsi="宋体" w:eastAsia="宋体" w:cs="宋体"/>
          <w:color w:val="auto"/>
        </w:rPr>
        <w:fldChar w:fldCharType="separate"/>
      </w:r>
      <w:r>
        <w:rPr>
          <w:rFonts w:hint="eastAsia" w:ascii="宋体" w:hAnsi="宋体" w:eastAsia="宋体" w:cs="宋体"/>
          <w:color w:val="auto"/>
        </w:rPr>
        <w:t>92</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6C3F0DDC">
      <w:pPr>
        <w:pStyle w:val="29"/>
        <w:pageBreakBefore w:val="0"/>
        <w:tabs>
          <w:tab w:val="right" w:leader="dot" w:pos="8504"/>
          <w:tab w:val="clear" w:pos="567"/>
          <w:tab w:val="clear" w:pos="709"/>
          <w:tab w:val="clear" w:pos="8505"/>
        </w:tabs>
        <w:kinsoku/>
        <w:overflowPunct/>
        <w:bidi w:val="0"/>
        <w:spacing w:line="360" w:lineRule="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_Toc3316 </w:instrText>
      </w:r>
      <w:r>
        <w:rPr>
          <w:rFonts w:hint="eastAsia" w:ascii="宋体" w:hAnsi="宋体" w:eastAsia="宋体" w:cs="宋体"/>
          <w:color w:val="auto"/>
          <w:szCs w:val="21"/>
        </w:rPr>
        <w:fldChar w:fldCharType="separate"/>
      </w:r>
      <w:r>
        <w:rPr>
          <w:rFonts w:hint="eastAsia" w:ascii="宋体" w:hAnsi="宋体" w:eastAsia="宋体" w:cs="宋体"/>
          <w:bCs w:val="0"/>
          <w:color w:val="auto"/>
          <w:kern w:val="0"/>
          <w:szCs w:val="28"/>
        </w:rPr>
        <w:t>第七章  其他</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_Toc3316 \h </w:instrText>
      </w:r>
      <w:r>
        <w:rPr>
          <w:rFonts w:hint="eastAsia" w:ascii="宋体" w:hAnsi="宋体" w:eastAsia="宋体" w:cs="宋体"/>
          <w:color w:val="auto"/>
        </w:rPr>
        <w:fldChar w:fldCharType="separate"/>
      </w:r>
      <w:r>
        <w:rPr>
          <w:rFonts w:hint="eastAsia" w:ascii="宋体" w:hAnsi="宋体" w:eastAsia="宋体" w:cs="宋体"/>
          <w:color w:val="auto"/>
        </w:rPr>
        <w:t>136</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347611E3">
      <w:pPr>
        <w:pageBreakBefore w:val="0"/>
        <w:kinsoku/>
        <w:overflowPunct/>
        <w:bidi w:val="0"/>
        <w:spacing w:after="120" w:line="360" w:lineRule="auto"/>
        <w:rPr>
          <w:rFonts w:hint="eastAsia" w:ascii="宋体" w:hAnsi="宋体" w:eastAsia="宋体" w:cs="宋体"/>
          <w:color w:val="auto"/>
          <w:sz w:val="24"/>
        </w:rPr>
        <w:sectPr>
          <w:footerReference r:id="rId5" w:type="default"/>
          <w:pgSz w:w="11906" w:h="16838"/>
          <w:pgMar w:top="1440" w:right="1701" w:bottom="1440" w:left="1701" w:header="851" w:footer="992" w:gutter="0"/>
          <w:pgNumType w:fmt="decimal" w:start="1"/>
          <w:cols w:space="720" w:num="1"/>
          <w:docGrid w:type="linesAndChars" w:linePitch="380" w:charSpace="0"/>
        </w:sectPr>
      </w:pPr>
      <w:r>
        <w:rPr>
          <w:rFonts w:hint="eastAsia" w:ascii="宋体" w:hAnsi="宋体" w:eastAsia="宋体" w:cs="宋体"/>
          <w:color w:val="auto"/>
          <w:szCs w:val="21"/>
        </w:rPr>
        <w:fldChar w:fldCharType="end"/>
      </w:r>
    </w:p>
    <w:p w14:paraId="4E286B46">
      <w:pPr>
        <w:pStyle w:val="50"/>
        <w:pageBreakBefore w:val="0"/>
        <w:kinsoku/>
        <w:overflowPunct/>
        <w:bidi w:val="0"/>
        <w:spacing w:before="240" w:after="120" w:line="360" w:lineRule="auto"/>
        <w:rPr>
          <w:rFonts w:hint="eastAsia" w:ascii="宋体" w:hAnsi="宋体" w:eastAsia="宋体" w:cs="宋体"/>
          <w:b/>
          <w:bCs w:val="0"/>
          <w:color w:val="auto"/>
          <w:kern w:val="0"/>
          <w:sz w:val="28"/>
          <w:szCs w:val="28"/>
        </w:rPr>
      </w:pPr>
      <w:bookmarkStart w:id="0" w:name="_Toc447188662"/>
      <w:bookmarkStart w:id="1" w:name="_Toc447265797"/>
      <w:bookmarkStart w:id="2" w:name="_Toc38007946"/>
      <w:bookmarkStart w:id="3" w:name="_Toc10924"/>
      <w:bookmarkStart w:id="4" w:name="_Toc447265497"/>
      <w:bookmarkStart w:id="5" w:name="_Toc447265211"/>
      <w:r>
        <w:rPr>
          <w:rFonts w:hint="eastAsia" w:ascii="宋体" w:hAnsi="宋体" w:eastAsia="宋体" w:cs="宋体"/>
          <w:b/>
          <w:bCs w:val="0"/>
          <w:color w:val="auto"/>
          <w:kern w:val="0"/>
          <w:sz w:val="28"/>
          <w:szCs w:val="28"/>
        </w:rPr>
        <w:t>第一章  招标公告</w:t>
      </w:r>
      <w:bookmarkEnd w:id="0"/>
      <w:bookmarkEnd w:id="1"/>
      <w:bookmarkEnd w:id="2"/>
      <w:bookmarkEnd w:id="3"/>
      <w:bookmarkEnd w:id="4"/>
      <w:bookmarkEnd w:id="5"/>
    </w:p>
    <w:p w14:paraId="7B7FF478">
      <w:pPr>
        <w:pageBreakBefore w:val="0"/>
        <w:kinsoku/>
        <w:overflowPunct/>
        <w:bidi w:val="0"/>
        <w:adjustRightInd w:val="0"/>
        <w:snapToGrid w:val="0"/>
        <w:spacing w:line="360" w:lineRule="auto"/>
        <w:ind w:firstLine="420" w:firstLineChars="200"/>
        <w:rPr>
          <w:rFonts w:hint="eastAsia" w:ascii="宋体" w:hAnsi="宋体" w:eastAsia="宋体" w:cs="宋体"/>
          <w:color w:val="auto"/>
          <w:szCs w:val="21"/>
        </w:rPr>
      </w:pPr>
      <w:bookmarkStart w:id="1614" w:name="_GoBack"/>
      <w:r>
        <w:rPr>
          <w:rFonts w:hint="eastAsia" w:ascii="宋体" w:hAnsi="宋体" w:eastAsia="宋体" w:cs="宋体"/>
          <w:color w:val="auto"/>
          <w:szCs w:val="21"/>
        </w:rPr>
        <w:t>本招标项目为</w:t>
      </w:r>
      <w:r>
        <w:rPr>
          <w:rFonts w:hint="eastAsia" w:ascii="宋体" w:hAnsi="宋体" w:eastAsia="宋体" w:cs="宋体"/>
          <w:color w:val="auto"/>
          <w:szCs w:val="21"/>
          <w:u w:val="single"/>
          <w:lang w:eastAsia="zh-CN"/>
        </w:rPr>
        <w:t>2025年中国电信贵阳分公司低压动力设备维护抢修服务框架采购</w:t>
      </w:r>
      <w:r>
        <w:rPr>
          <w:rFonts w:hint="eastAsia" w:ascii="宋体" w:hAnsi="宋体" w:eastAsia="宋体" w:cs="宋体"/>
          <w:color w:val="auto"/>
          <w:u w:val="none"/>
        </w:rPr>
        <w:t>项目</w:t>
      </w:r>
      <w:r>
        <w:rPr>
          <w:rFonts w:hint="eastAsia" w:ascii="宋体" w:hAnsi="宋体" w:eastAsia="宋体" w:cs="宋体"/>
          <w:color w:val="auto"/>
          <w:szCs w:val="21"/>
          <w:u w:val="none"/>
        </w:rPr>
        <w:t>，（招标编号：</w:t>
      </w:r>
      <w:r>
        <w:rPr>
          <w:rFonts w:hint="eastAsia" w:ascii="宋体" w:hAnsi="宋体" w:cs="宋体"/>
          <w:color w:val="auto"/>
          <w:szCs w:val="21"/>
          <w:u w:val="single"/>
          <w:lang w:eastAsia="zh-CN"/>
        </w:rPr>
        <w:t>GZBBFA202510270002</w:t>
      </w:r>
      <w:r>
        <w:rPr>
          <w:rFonts w:hint="eastAsia" w:ascii="宋体" w:hAnsi="宋体" w:eastAsia="宋体" w:cs="宋体"/>
          <w:color w:val="auto"/>
          <w:szCs w:val="21"/>
          <w:u w:val="none"/>
        </w:rPr>
        <w:t>），招标人为</w:t>
      </w:r>
      <w:r>
        <w:rPr>
          <w:rFonts w:hint="eastAsia" w:ascii="宋体" w:hAnsi="宋体" w:eastAsia="宋体" w:cs="宋体"/>
          <w:color w:val="auto"/>
          <w:u w:val="single"/>
          <w:lang w:eastAsia="zh-CN"/>
        </w:rPr>
        <w:t>中国电信股份有限公司贵阳分公司</w:t>
      </w:r>
      <w:r>
        <w:rPr>
          <w:rFonts w:hint="eastAsia" w:ascii="宋体" w:hAnsi="宋体" w:eastAsia="宋体" w:cs="宋体"/>
          <w:color w:val="auto"/>
          <w:szCs w:val="21"/>
        </w:rPr>
        <w:t>，招标代理机构为</w:t>
      </w:r>
      <w:r>
        <w:rPr>
          <w:rFonts w:hint="eastAsia" w:ascii="宋体" w:hAnsi="宋体" w:eastAsia="宋体" w:cs="宋体"/>
          <w:color w:val="auto"/>
          <w:u w:val="single"/>
          <w:lang w:eastAsia="zh-CN"/>
        </w:rPr>
        <w:t>中通服供应链股份有限公司贵州分公司</w:t>
      </w:r>
      <w:r>
        <w:rPr>
          <w:rFonts w:hint="eastAsia" w:ascii="宋体" w:hAnsi="宋体" w:eastAsia="宋体" w:cs="宋体"/>
          <w:color w:val="auto"/>
          <w:szCs w:val="21"/>
          <w:u w:val="none"/>
        </w:rPr>
        <w:t>。项目资金由招标人自筹，资</w:t>
      </w:r>
      <w:r>
        <w:rPr>
          <w:rFonts w:hint="eastAsia" w:ascii="宋体" w:hAnsi="宋体" w:eastAsia="宋体" w:cs="宋体"/>
          <w:color w:val="auto"/>
          <w:szCs w:val="21"/>
        </w:rPr>
        <w:t>金已落实。项目已具备招标条件，现进行公开招标，特邀请有意向的且具有提供标的物能力的潜在投标人（以下简称投标人）参加投标。</w:t>
      </w:r>
    </w:p>
    <w:p w14:paraId="1A167BDC">
      <w:pPr>
        <w:pStyle w:val="51"/>
        <w:pageBreakBefore w:val="0"/>
        <w:numPr>
          <w:ilvl w:val="0"/>
          <w:numId w:val="2"/>
        </w:numPr>
        <w:kinsoku/>
        <w:overflowPunct/>
        <w:bidi w:val="0"/>
        <w:adjustRightInd w:val="0"/>
        <w:snapToGrid w:val="0"/>
        <w:spacing w:line="360" w:lineRule="auto"/>
        <w:ind w:left="0" w:firstLine="424" w:firstLineChars="201"/>
        <w:rPr>
          <w:rFonts w:hint="eastAsia" w:ascii="宋体" w:hAnsi="宋体" w:eastAsia="宋体" w:cs="宋体"/>
          <w:b/>
          <w:color w:val="auto"/>
          <w:szCs w:val="21"/>
        </w:rPr>
      </w:pPr>
      <w:r>
        <w:rPr>
          <w:rFonts w:hint="eastAsia" w:ascii="宋体" w:hAnsi="宋体" w:eastAsia="宋体" w:cs="宋体"/>
          <w:b/>
          <w:color w:val="auto"/>
          <w:szCs w:val="21"/>
        </w:rPr>
        <w:t>项目概况与招标内容</w:t>
      </w:r>
    </w:p>
    <w:p w14:paraId="036AA224">
      <w:pPr>
        <w:pStyle w:val="51"/>
        <w:pageBreakBefore w:val="0"/>
        <w:numPr>
          <w:ilvl w:val="1"/>
          <w:numId w:val="2"/>
        </w:numPr>
        <w:kinsoku/>
        <w:overflowPunct/>
        <w:bidi w:val="0"/>
        <w:adjustRightInd w:val="0"/>
        <w:snapToGrid w:val="0"/>
        <w:spacing w:line="360" w:lineRule="auto"/>
        <w:ind w:left="-6" w:leftChars="0" w:firstLine="425" w:firstLineChars="0"/>
        <w:rPr>
          <w:rFonts w:hint="eastAsia" w:ascii="宋体" w:hAnsi="宋体" w:eastAsia="宋体" w:cs="宋体"/>
          <w:color w:val="auto"/>
          <w:szCs w:val="21"/>
        </w:rPr>
      </w:pPr>
      <w:r>
        <w:rPr>
          <w:rFonts w:hint="eastAsia" w:ascii="宋体" w:hAnsi="宋体" w:eastAsia="宋体" w:cs="宋体"/>
          <w:color w:val="auto"/>
          <w:szCs w:val="21"/>
        </w:rPr>
        <w:t>项目概况</w:t>
      </w:r>
    </w:p>
    <w:p w14:paraId="62624AB0">
      <w:pPr>
        <w:pStyle w:val="51"/>
        <w:pageBreakBefore w:val="0"/>
        <w:kinsoku/>
        <w:overflowPunct/>
        <w:bidi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lang w:val="en-US" w:eastAsia="zh-CN"/>
        </w:rPr>
        <w:t>本项目为2025年中国电信贵阳分公司低压动力设备维护抢修服务框架采购，服务内容主要为贵阳分公司机房阀控式密封蓄电池、-48V直流电源、240V直流设备、低压配电设备、ATS设备、断路器、直流配电设备、防雷等设备维护抢修服务。</w:t>
      </w:r>
      <w:r>
        <w:rPr>
          <w:rFonts w:hint="eastAsia" w:ascii="宋体" w:hAnsi="宋体" w:eastAsia="宋体" w:cs="宋体"/>
          <w:color w:val="auto"/>
          <w:sz w:val="21"/>
          <w:szCs w:val="21"/>
          <w:highlight w:val="none"/>
          <w:lang w:val="en-US" w:eastAsia="zh-CN"/>
        </w:rPr>
        <w:t>具体详见招标文件第五章技术规范书。</w:t>
      </w:r>
    </w:p>
    <w:p w14:paraId="4B149A78">
      <w:pPr>
        <w:pStyle w:val="51"/>
        <w:pageBreakBefore w:val="0"/>
        <w:numPr>
          <w:ilvl w:val="1"/>
          <w:numId w:val="2"/>
        </w:numPr>
        <w:kinsoku/>
        <w:overflowPunct/>
        <w:bidi w:val="0"/>
        <w:adjustRightInd w:val="0"/>
        <w:snapToGrid w:val="0"/>
        <w:spacing w:line="360" w:lineRule="auto"/>
        <w:ind w:left="-6" w:leftChars="0" w:firstLine="425" w:firstLineChars="0"/>
        <w:rPr>
          <w:rFonts w:hint="eastAsia" w:ascii="宋体" w:hAnsi="宋体" w:eastAsia="宋体" w:cs="宋体"/>
          <w:color w:val="auto"/>
          <w:szCs w:val="21"/>
        </w:rPr>
      </w:pPr>
      <w:r>
        <w:rPr>
          <w:rFonts w:hint="eastAsia" w:ascii="宋体" w:hAnsi="宋体" w:eastAsia="宋体" w:cs="宋体"/>
          <w:color w:val="auto"/>
          <w:szCs w:val="21"/>
        </w:rPr>
        <w:t>招标内容</w:t>
      </w:r>
    </w:p>
    <w:p w14:paraId="4A5B31A9">
      <w:pPr>
        <w:pStyle w:val="51"/>
        <w:pageBreakBefore w:val="0"/>
        <w:kinsoku/>
        <w:wordWrap w:val="0"/>
        <w:overflowPunct/>
        <w:bidi w:val="0"/>
        <w:spacing w:line="360" w:lineRule="auto"/>
        <w:rPr>
          <w:rFonts w:hint="eastAsia" w:ascii="宋体" w:hAnsi="宋体" w:eastAsia="宋体" w:cs="宋体"/>
          <w:color w:val="auto"/>
          <w:szCs w:val="21"/>
        </w:rPr>
      </w:pPr>
      <w:r>
        <w:rPr>
          <w:rFonts w:hint="eastAsia" w:ascii="宋体" w:hAnsi="宋体" w:eastAsia="宋体" w:cs="宋体"/>
          <w:color w:val="auto"/>
          <w:szCs w:val="21"/>
          <w:lang w:val="en-US" w:eastAsia="zh-CN"/>
        </w:rPr>
        <w:t>本项目为2025年中国电信贵阳分公司低压动力设备维护抢修服务框架采购，本次采用框架+订单形式，预估金额120.2万元人民币（不含税），最终采购数量以实际结算为准，框架合同预估金额按采购预估金额签订。</w:t>
      </w:r>
    </w:p>
    <w:p w14:paraId="19D41329">
      <w:pPr>
        <w:pStyle w:val="51"/>
        <w:pageBreakBefore w:val="0"/>
        <w:kinsoku/>
        <w:wordWrap w:val="0"/>
        <w:overflowPunct/>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本项目将按照最新的《中国电信供应商不良行为管理规则》执行供应商不良行为处理结果，请重点关注处理结果适用的供应商主体、被处理产品、处理范围、禁限期、处理措施等关键内容，请务必登录中国电信阳光采购网（https://caigou.chinatelecom.com.cn）查阅《中国电信供应商不良行为管理规则》。 </w:t>
      </w:r>
    </w:p>
    <w:p w14:paraId="7C935771">
      <w:pPr>
        <w:pStyle w:val="51"/>
        <w:pageBreakBefore w:val="0"/>
        <w:numPr>
          <w:ilvl w:val="1"/>
          <w:numId w:val="2"/>
        </w:numPr>
        <w:kinsoku/>
        <w:overflowPunct/>
        <w:bidi w:val="0"/>
        <w:adjustRightInd w:val="0"/>
        <w:snapToGrid w:val="0"/>
        <w:spacing w:line="360" w:lineRule="auto"/>
        <w:ind w:left="-6" w:leftChars="0" w:firstLine="425" w:firstLineChars="0"/>
        <w:rPr>
          <w:rFonts w:hint="eastAsia" w:ascii="宋体" w:hAnsi="宋体" w:eastAsia="宋体" w:cs="宋体"/>
          <w:color w:val="auto"/>
          <w:szCs w:val="21"/>
        </w:rPr>
      </w:pPr>
      <w:bookmarkStart w:id="6" w:name="_Toc184704555"/>
      <w:bookmarkStart w:id="7" w:name="_Toc319769473"/>
      <w:bookmarkStart w:id="8" w:name="_Toc319394714"/>
      <w:r>
        <w:rPr>
          <w:rFonts w:hint="eastAsia" w:ascii="宋体" w:hAnsi="宋体" w:eastAsia="宋体" w:cs="宋体"/>
          <w:color w:val="auto"/>
          <w:szCs w:val="21"/>
        </w:rPr>
        <w:t>本项目不划分标包及份额</w:t>
      </w:r>
      <w:r>
        <w:rPr>
          <w:rFonts w:hint="eastAsia" w:ascii="宋体" w:hAnsi="宋体" w:eastAsia="宋体" w:cs="宋体"/>
          <w:color w:val="auto"/>
          <w:szCs w:val="21"/>
          <w:lang w:eastAsia="zh-CN"/>
        </w:rPr>
        <w:t>。</w:t>
      </w:r>
    </w:p>
    <w:p w14:paraId="17CEA454">
      <w:pPr>
        <w:pStyle w:val="51"/>
        <w:pageBreakBefore w:val="0"/>
        <w:numPr>
          <w:ilvl w:val="1"/>
          <w:numId w:val="2"/>
        </w:numPr>
        <w:kinsoku/>
        <w:overflowPunct/>
        <w:bidi w:val="0"/>
        <w:adjustRightInd w:val="0"/>
        <w:snapToGrid w:val="0"/>
        <w:spacing w:line="360" w:lineRule="auto"/>
        <w:ind w:left="-6" w:leftChars="0" w:firstLine="425" w:firstLineChars="0"/>
        <w:rPr>
          <w:rFonts w:hint="eastAsia" w:ascii="宋体" w:hAnsi="宋体" w:eastAsia="宋体" w:cs="宋体"/>
          <w:color w:val="auto"/>
          <w:szCs w:val="21"/>
        </w:rPr>
      </w:pPr>
      <w:r>
        <w:rPr>
          <w:rFonts w:hint="eastAsia" w:ascii="宋体" w:hAnsi="宋体" w:eastAsia="宋体" w:cs="宋体"/>
          <w:b w:val="0"/>
          <w:bCs w:val="0"/>
          <w:color w:val="auto"/>
          <w:szCs w:val="21"/>
        </w:rPr>
        <w:t>★服务时间</w:t>
      </w:r>
      <w:r>
        <w:rPr>
          <w:rFonts w:hint="eastAsia" w:ascii="宋体" w:hAnsi="宋体" w:eastAsia="宋体" w:cs="宋体"/>
          <w:b w:val="0"/>
          <w:bCs w:val="0"/>
          <w:color w:val="auto"/>
          <w:szCs w:val="21"/>
          <w:lang w:eastAsia="zh-CN"/>
        </w:rPr>
        <w:t>：</w:t>
      </w:r>
      <w:r>
        <w:rPr>
          <w:rFonts w:hint="eastAsia" w:ascii="宋体" w:hAnsi="宋体" w:eastAsia="宋体" w:cs="宋体"/>
          <w:color w:val="auto"/>
          <w:szCs w:val="21"/>
          <w:lang w:val="en-US" w:eastAsia="zh-CN"/>
        </w:rPr>
        <w:t>7*24小时响应。</w:t>
      </w:r>
    </w:p>
    <w:p w14:paraId="782011EF">
      <w:pPr>
        <w:pStyle w:val="51"/>
        <w:pageBreakBefore w:val="0"/>
        <w:numPr>
          <w:ilvl w:val="1"/>
          <w:numId w:val="2"/>
        </w:numPr>
        <w:kinsoku/>
        <w:overflowPunct/>
        <w:bidi w:val="0"/>
        <w:adjustRightInd w:val="0"/>
        <w:snapToGrid w:val="0"/>
        <w:spacing w:line="360" w:lineRule="auto"/>
        <w:ind w:left="-6" w:leftChars="0" w:firstLine="425" w:firstLineChars="0"/>
        <w:rPr>
          <w:rFonts w:hint="eastAsia" w:ascii="宋体" w:hAnsi="宋体" w:eastAsia="宋体" w:cs="宋体"/>
          <w:color w:val="auto"/>
          <w:szCs w:val="21"/>
        </w:rPr>
      </w:pPr>
      <w:r>
        <w:rPr>
          <w:rFonts w:hint="eastAsia" w:ascii="宋体" w:hAnsi="宋体" w:eastAsia="宋体" w:cs="宋体"/>
          <w:b w:val="0"/>
          <w:bCs w:val="0"/>
          <w:color w:val="auto"/>
          <w:szCs w:val="21"/>
        </w:rPr>
        <w:t>★</w:t>
      </w:r>
      <w:r>
        <w:rPr>
          <w:rFonts w:hint="eastAsia" w:ascii="宋体" w:hAnsi="宋体" w:eastAsia="宋体" w:cs="宋体"/>
          <w:color w:val="auto"/>
          <w:szCs w:val="21"/>
        </w:rPr>
        <w:t>服务期限</w:t>
      </w:r>
      <w:r>
        <w:rPr>
          <w:rFonts w:hint="eastAsia" w:ascii="宋体" w:hAnsi="宋体" w:eastAsia="宋体" w:cs="宋体"/>
          <w:color w:val="auto"/>
          <w:szCs w:val="21"/>
          <w:lang w:eastAsia="zh-CN"/>
        </w:rPr>
        <w:t>：自合同签订之日起12个月。</w:t>
      </w:r>
    </w:p>
    <w:p w14:paraId="0F918450">
      <w:pPr>
        <w:pStyle w:val="51"/>
        <w:pageBreakBefore w:val="0"/>
        <w:numPr>
          <w:ilvl w:val="1"/>
          <w:numId w:val="2"/>
        </w:numPr>
        <w:kinsoku/>
        <w:overflowPunct/>
        <w:bidi w:val="0"/>
        <w:adjustRightInd w:val="0"/>
        <w:snapToGrid w:val="0"/>
        <w:spacing w:line="360" w:lineRule="auto"/>
        <w:ind w:left="-6" w:leftChars="0" w:firstLine="425" w:firstLineChars="0"/>
        <w:rPr>
          <w:rFonts w:hint="eastAsia" w:ascii="宋体" w:hAnsi="宋体" w:eastAsia="宋体" w:cs="宋体"/>
          <w:color w:val="auto"/>
          <w:szCs w:val="21"/>
        </w:rPr>
      </w:pPr>
      <w:r>
        <w:rPr>
          <w:rFonts w:hint="eastAsia" w:ascii="宋体" w:hAnsi="宋体" w:eastAsia="宋体" w:cs="宋体"/>
          <w:b w:val="0"/>
          <w:bCs w:val="0"/>
          <w:color w:val="auto"/>
          <w:szCs w:val="21"/>
        </w:rPr>
        <w:t>★</w:t>
      </w:r>
      <w:r>
        <w:rPr>
          <w:rFonts w:hint="eastAsia" w:ascii="宋体" w:hAnsi="宋体" w:eastAsia="宋体" w:cs="宋体"/>
          <w:color w:val="auto"/>
          <w:szCs w:val="21"/>
        </w:rPr>
        <w:t>服务地点</w:t>
      </w:r>
      <w:r>
        <w:rPr>
          <w:rFonts w:hint="eastAsia" w:ascii="宋体" w:hAnsi="宋体" w:eastAsia="宋体" w:cs="宋体"/>
          <w:color w:val="auto"/>
          <w:szCs w:val="21"/>
          <w:lang w:eastAsia="zh-CN"/>
        </w:rPr>
        <w:t>：贵州省范围内指定地点。</w:t>
      </w:r>
    </w:p>
    <w:p w14:paraId="4F4B5275">
      <w:pPr>
        <w:pStyle w:val="51"/>
        <w:pageBreakBefore w:val="0"/>
        <w:numPr>
          <w:ilvl w:val="1"/>
          <w:numId w:val="2"/>
        </w:numPr>
        <w:kinsoku/>
        <w:overflowPunct/>
        <w:bidi w:val="0"/>
        <w:adjustRightInd w:val="0"/>
        <w:snapToGrid w:val="0"/>
        <w:spacing w:line="360" w:lineRule="auto"/>
        <w:ind w:left="-6" w:leftChars="0" w:firstLine="425" w:firstLineChars="0"/>
        <w:rPr>
          <w:rFonts w:hint="eastAsia" w:ascii="宋体" w:hAnsi="宋体" w:eastAsia="宋体" w:cs="宋体"/>
          <w:b/>
          <w:bCs/>
          <w:color w:val="auto"/>
          <w:szCs w:val="21"/>
        </w:rPr>
      </w:pPr>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本项目设置不含税折扣最高限价100%，投标人不含税折扣报价高于不含税折扣最高限价的，其投标将被否决</w:t>
      </w:r>
      <w:r>
        <w:rPr>
          <w:rFonts w:hint="eastAsia" w:ascii="宋体" w:hAnsi="宋体" w:eastAsia="宋体" w:cs="宋体"/>
          <w:b/>
          <w:bCs/>
          <w:color w:val="auto"/>
          <w:szCs w:val="21"/>
          <w:highlight w:val="none"/>
          <w:lang w:eastAsia="zh-CN"/>
        </w:rPr>
        <w:t>。</w:t>
      </w:r>
    </w:p>
    <w:p w14:paraId="34AA6FAA">
      <w:pPr>
        <w:pStyle w:val="51"/>
        <w:pageBreakBefore w:val="0"/>
        <w:numPr>
          <w:ilvl w:val="0"/>
          <w:numId w:val="2"/>
        </w:numPr>
        <w:kinsoku/>
        <w:overflowPunct/>
        <w:bidi w:val="0"/>
        <w:adjustRightInd w:val="0"/>
        <w:snapToGrid w:val="0"/>
        <w:spacing w:line="360" w:lineRule="auto"/>
        <w:ind w:left="0" w:firstLine="424" w:firstLineChars="201"/>
        <w:rPr>
          <w:rFonts w:hint="eastAsia" w:ascii="宋体" w:hAnsi="宋体" w:eastAsia="宋体" w:cs="宋体"/>
          <w:b/>
          <w:color w:val="auto"/>
          <w:szCs w:val="21"/>
        </w:rPr>
      </w:pPr>
      <w:r>
        <w:rPr>
          <w:rFonts w:hint="eastAsia" w:ascii="宋体" w:hAnsi="宋体" w:eastAsia="宋体" w:cs="宋体"/>
          <w:b/>
          <w:color w:val="auto"/>
          <w:szCs w:val="21"/>
        </w:rPr>
        <w:t>投标人资格要求</w:t>
      </w:r>
      <w:bookmarkEnd w:id="6"/>
      <w:bookmarkEnd w:id="7"/>
      <w:bookmarkEnd w:id="8"/>
    </w:p>
    <w:p w14:paraId="0B58280D">
      <w:pPr>
        <w:pStyle w:val="51"/>
        <w:pageBreakBefore w:val="0"/>
        <w:numPr>
          <w:ilvl w:val="1"/>
          <w:numId w:val="2"/>
        </w:numPr>
        <w:kinsoku/>
        <w:overflowPunct/>
        <w:bidi w:val="0"/>
        <w:adjustRightInd w:val="0"/>
        <w:snapToGrid w:val="0"/>
        <w:spacing w:line="360" w:lineRule="auto"/>
        <w:ind w:left="-6" w:leftChars="0" w:firstLine="426" w:firstLineChars="0"/>
        <w:rPr>
          <w:rFonts w:hint="eastAsia" w:ascii="宋体" w:hAnsi="宋体" w:eastAsia="宋体" w:cs="宋体"/>
          <w:b/>
          <w:color w:val="auto"/>
          <w:szCs w:val="21"/>
        </w:rPr>
      </w:pPr>
      <w:bookmarkStart w:id="9" w:name="_Toc319394715"/>
      <w:bookmarkStart w:id="10" w:name="_Toc319769474"/>
      <w:bookmarkStart w:id="11" w:name="_Toc184704556"/>
      <w:r>
        <w:rPr>
          <w:rFonts w:hint="eastAsia" w:ascii="宋体" w:hAnsi="宋体" w:eastAsia="宋体" w:cs="宋体"/>
          <w:b/>
          <w:color w:val="auto"/>
          <w:szCs w:val="21"/>
        </w:rPr>
        <w:t>投标人基本资格要求</w:t>
      </w:r>
    </w:p>
    <w:p w14:paraId="31BB7C43">
      <w:pPr>
        <w:pageBreakBefore w:val="0"/>
        <w:tabs>
          <w:tab w:val="left" w:pos="0"/>
          <w:tab w:val="left" w:pos="993"/>
          <w:tab w:val="left" w:pos="1142"/>
        </w:tabs>
        <w:kinsoku/>
        <w:overflowPunct/>
        <w:bidi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1）投标人应为中华人民共和国境内法律上和财务上独立的法人或依法登记注册的其他组织，合法运作并独立于招标人和招标代理机构，具备有效期内的合法企业工商营业执照。法人下属不具备法人资格的分支机构参与投标的，应提供所属法人针对本项目或覆盖本项目的经营事项的有效授权。</w:t>
      </w:r>
    </w:p>
    <w:p w14:paraId="00994FDE">
      <w:pPr>
        <w:pageBreakBefore w:val="0"/>
        <w:tabs>
          <w:tab w:val="left" w:pos="0"/>
          <w:tab w:val="left" w:pos="993"/>
          <w:tab w:val="left" w:pos="1142"/>
        </w:tabs>
        <w:kinsoku/>
        <w:overflowPunct/>
        <w:bidi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（2）投标人的法定代表人或负责人为同一人或者存在控股、管理关系的不同投标人，不得参加同一标段投标或者未划分标段的同一招标项目投标。</w:t>
      </w:r>
    </w:p>
    <w:p w14:paraId="31DDA630">
      <w:pPr>
        <w:pageBreakBefore w:val="0"/>
        <w:tabs>
          <w:tab w:val="left" w:pos="0"/>
          <w:tab w:val="left" w:pos="993"/>
          <w:tab w:val="left" w:pos="1142"/>
        </w:tabs>
        <w:kinsoku/>
        <w:overflowPunct/>
        <w:bidi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（3）投标人须承诺为本项目开具增值税专用发票（提供承诺函，承诺函格式自拟）。</w:t>
      </w:r>
    </w:p>
    <w:p w14:paraId="13DC8869">
      <w:pPr>
        <w:pageBreakBefore w:val="0"/>
        <w:tabs>
          <w:tab w:val="left" w:pos="0"/>
          <w:tab w:val="left" w:pos="993"/>
          <w:tab w:val="left" w:pos="1142"/>
        </w:tabs>
        <w:kinsoku/>
        <w:overflowPunct/>
        <w:bidi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（4）本项目不接受联合体投标（提供承诺函，承诺函格式自拟）。</w:t>
      </w:r>
    </w:p>
    <w:p w14:paraId="036E755E">
      <w:pPr>
        <w:pageBreakBefore w:val="0"/>
        <w:tabs>
          <w:tab w:val="left" w:pos="0"/>
          <w:tab w:val="left" w:pos="993"/>
          <w:tab w:val="left" w:pos="1142"/>
        </w:tabs>
        <w:kinsoku/>
        <w:overflowPunct/>
        <w:bidi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（5）投标人须具备行政主管部门核发的有效安全生产许可证。</w:t>
      </w:r>
    </w:p>
    <w:p w14:paraId="6AE14B3B">
      <w:pPr>
        <w:pageBreakBefore w:val="0"/>
        <w:tabs>
          <w:tab w:val="left" w:pos="0"/>
          <w:tab w:val="left" w:pos="993"/>
          <w:tab w:val="left" w:pos="1142"/>
        </w:tabs>
        <w:kinsoku/>
        <w:overflowPunct/>
        <w:bidi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（6）投标人须具备行政主管部门核发的有效电力工程施工总承包三级及以上资质证书或输变电工程专业承包三级及以上资质证书。</w:t>
      </w:r>
    </w:p>
    <w:p w14:paraId="5A4A8FF1">
      <w:pPr>
        <w:pageBreakBefore w:val="0"/>
        <w:tabs>
          <w:tab w:val="left" w:pos="0"/>
          <w:tab w:val="left" w:pos="993"/>
          <w:tab w:val="left" w:pos="1142"/>
        </w:tabs>
        <w:kinsoku/>
        <w:overflowPunct/>
        <w:bidi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注：如已按照《住房和城乡建设部关于印发建设工程企业资质管理制度改革方案的通知》（建市（2020）94号）规定取得新资质证书的，资质相应等级对应上述要求。</w:t>
      </w:r>
    </w:p>
    <w:p w14:paraId="62AADCBB">
      <w:pPr>
        <w:pageBreakBefore w:val="0"/>
        <w:tabs>
          <w:tab w:val="left" w:pos="0"/>
          <w:tab w:val="left" w:pos="993"/>
          <w:tab w:val="left" w:pos="1142"/>
        </w:tabs>
        <w:kinsoku/>
        <w:overflowPunct/>
        <w:bidi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（7）投标人须具备国家能源局或其派出机构颁发的许可类别和等级为承装类五级及以上、承修类五级及以上、承试类五级及以上的承装（修、试）电力设施许可证。</w:t>
      </w:r>
    </w:p>
    <w:p w14:paraId="476D8E32">
      <w:pPr>
        <w:pageBreakBefore w:val="0"/>
        <w:tabs>
          <w:tab w:val="left" w:pos="0"/>
          <w:tab w:val="left" w:pos="993"/>
          <w:tab w:val="left" w:pos="1142"/>
        </w:tabs>
        <w:kinsoku/>
        <w:overflowPunct/>
        <w:bidi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注：或依据《国家能源局关于做好承装（试）电力设施许可证换领和延续工作的通知》（国能发资质〔2025〕44号）国家能源局或其派出机构颁发的有效的同专业、同等级及以上资质。</w:t>
      </w:r>
    </w:p>
    <w:p w14:paraId="7BEDDFE7">
      <w:pPr>
        <w:pageBreakBefore w:val="0"/>
        <w:tabs>
          <w:tab w:val="left" w:pos="0"/>
          <w:tab w:val="left" w:pos="993"/>
          <w:tab w:val="left" w:pos="1142"/>
        </w:tabs>
        <w:kinsoku/>
        <w:overflowPunct/>
        <w:bidi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（8）投标人至少为本项目提供1名特种作业人员，且须持有应急管理部门（或原安全生产监督管理局）颁发有效的电工作业证。</w:t>
      </w:r>
    </w:p>
    <w:p w14:paraId="652D1656">
      <w:pPr>
        <w:pageBreakBefore w:val="0"/>
        <w:tabs>
          <w:tab w:val="left" w:pos="0"/>
          <w:tab w:val="left" w:pos="993"/>
          <w:tab w:val="left" w:pos="1142"/>
        </w:tabs>
        <w:kinsoku/>
        <w:overflowPunct/>
        <w:bidi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注：须提供身份证正反面扫描件、证书扫描件、投标人为其缴纳的2025年1月至投标文件递交截至时间前任意连续3个月及以上社保证明材料扫描件，资料未提供或提供不全则无效。</w:t>
      </w:r>
    </w:p>
    <w:p w14:paraId="62FAA8D4">
      <w:pPr>
        <w:pageBreakBefore w:val="0"/>
        <w:tabs>
          <w:tab w:val="left" w:pos="0"/>
          <w:tab w:val="left" w:pos="993"/>
          <w:tab w:val="left" w:pos="1142"/>
        </w:tabs>
        <w:kinsoku/>
        <w:overflowPunct/>
        <w:bidi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（9）投标人至少为本项目提供1名特种作业人员，且须同时持有应急管理部门（或原安全生产监督管理局）颁发有效的高处作业证。</w:t>
      </w:r>
    </w:p>
    <w:p w14:paraId="62A60985">
      <w:pPr>
        <w:pageBreakBefore w:val="0"/>
        <w:tabs>
          <w:tab w:val="left" w:pos="0"/>
          <w:tab w:val="left" w:pos="993"/>
          <w:tab w:val="left" w:pos="1142"/>
        </w:tabs>
        <w:kinsoku/>
        <w:overflowPunct/>
        <w:bidi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注：须提供身份证正反面扫描件、证书扫描件、投标人为其缴纳的2025年1月至投标文件递交截至时间前任意连续3个月及以上社保证明材料扫描件，资料未提供或提供不全则无效。</w:t>
      </w:r>
    </w:p>
    <w:p w14:paraId="21AAEBAA">
      <w:pPr>
        <w:pStyle w:val="51"/>
        <w:pageBreakBefore w:val="0"/>
        <w:numPr>
          <w:ilvl w:val="1"/>
          <w:numId w:val="2"/>
        </w:numPr>
        <w:kinsoku/>
        <w:overflowPunct/>
        <w:bidi w:val="0"/>
        <w:adjustRightInd w:val="0"/>
        <w:snapToGrid w:val="0"/>
        <w:spacing w:line="360" w:lineRule="auto"/>
        <w:ind w:left="-6" w:leftChars="0" w:firstLine="426" w:firstLineChars="0"/>
        <w:rPr>
          <w:rFonts w:hint="eastAsia" w:ascii="宋体" w:hAnsi="宋体" w:eastAsia="宋体" w:cs="宋体"/>
          <w:b/>
          <w:color w:val="auto"/>
          <w:szCs w:val="21"/>
        </w:rPr>
      </w:pPr>
      <w:r>
        <w:rPr>
          <w:rFonts w:hint="eastAsia" w:ascii="宋体" w:hAnsi="宋体" w:eastAsia="宋体" w:cs="宋体"/>
          <w:b/>
          <w:color w:val="auto"/>
          <w:szCs w:val="21"/>
        </w:rPr>
        <w:t>投标人不得存在下列情形之一</w:t>
      </w:r>
    </w:p>
    <w:p w14:paraId="5EE77AB9">
      <w:pPr>
        <w:pageBreakBefore w:val="0"/>
        <w:tabs>
          <w:tab w:val="left" w:pos="0"/>
          <w:tab w:val="left" w:pos="993"/>
          <w:tab w:val="left" w:pos="1142"/>
        </w:tabs>
        <w:kinsoku/>
        <w:overflowPunct/>
        <w:bidi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（1）为招标人不具有独立法人资格的附属机构（单位）；</w:t>
      </w:r>
    </w:p>
    <w:p w14:paraId="37691AB0">
      <w:pPr>
        <w:pageBreakBefore w:val="0"/>
        <w:tabs>
          <w:tab w:val="left" w:pos="0"/>
          <w:tab w:val="left" w:pos="993"/>
          <w:tab w:val="left" w:pos="1142"/>
        </w:tabs>
        <w:kinsoku/>
        <w:overflowPunct/>
        <w:bidi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（2）被依法暂停或取消投标资格的；</w:t>
      </w:r>
    </w:p>
    <w:p w14:paraId="0C0F3932">
      <w:pPr>
        <w:pageBreakBefore w:val="0"/>
        <w:tabs>
          <w:tab w:val="left" w:pos="0"/>
          <w:tab w:val="left" w:pos="993"/>
          <w:tab w:val="left" w:pos="1142"/>
        </w:tabs>
        <w:kinsoku/>
        <w:overflowPunct/>
        <w:bidi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（3）被责令停产停业、暂扣或者吊销许可证、暂扣或者吊销执照；</w:t>
      </w:r>
    </w:p>
    <w:p w14:paraId="298859D6">
      <w:pPr>
        <w:pageBreakBefore w:val="0"/>
        <w:tabs>
          <w:tab w:val="left" w:pos="0"/>
          <w:tab w:val="left" w:pos="993"/>
          <w:tab w:val="left" w:pos="1142"/>
        </w:tabs>
        <w:kinsoku/>
        <w:overflowPunct/>
        <w:bidi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（4）进入清算程序，或被宣告破产，或其他丧失履约能力的情形；</w:t>
      </w:r>
    </w:p>
    <w:p w14:paraId="17C88009">
      <w:pPr>
        <w:pageBreakBefore w:val="0"/>
        <w:tabs>
          <w:tab w:val="left" w:pos="0"/>
          <w:tab w:val="left" w:pos="993"/>
          <w:tab w:val="left" w:pos="1142"/>
        </w:tabs>
        <w:kinsoku/>
        <w:overflowPunct/>
        <w:bidi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（5）在最近三年内（投标截止时间前36个月）被相关行业主管部门或司法机关认定有骗取中标、严重违约、重大工程质量或者安全问题的；</w:t>
      </w:r>
    </w:p>
    <w:p w14:paraId="3E69500D">
      <w:pPr>
        <w:pageBreakBefore w:val="0"/>
        <w:tabs>
          <w:tab w:val="left" w:pos="0"/>
          <w:tab w:val="left" w:pos="993"/>
          <w:tab w:val="left" w:pos="1142"/>
        </w:tabs>
        <w:kinsoku/>
        <w:overflowPunct/>
        <w:bidi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（6）在最近五年内（投标截止时间前60个月）被判处单位行贿罪，且行贿行为与采购活动相关的（以“中国裁判文书网”的生效判决为准）；</w:t>
      </w:r>
    </w:p>
    <w:p w14:paraId="15F5AD87">
      <w:pPr>
        <w:pageBreakBefore w:val="0"/>
        <w:tabs>
          <w:tab w:val="left" w:pos="0"/>
          <w:tab w:val="left" w:pos="993"/>
          <w:tab w:val="left" w:pos="1142"/>
        </w:tabs>
        <w:kinsoku/>
        <w:overflowPunct/>
        <w:bidi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（7）在最近五年内（投标截止时间前60个月）被判处合同诈骗罪的（以“中国裁判文书网”的生效判决为准）；</w:t>
      </w:r>
    </w:p>
    <w:p w14:paraId="209A4A9D">
      <w:pPr>
        <w:pageBreakBefore w:val="0"/>
        <w:tabs>
          <w:tab w:val="left" w:pos="0"/>
          <w:tab w:val="left" w:pos="993"/>
          <w:tab w:val="left" w:pos="1142"/>
        </w:tabs>
        <w:kinsoku/>
        <w:overflowPunct/>
        <w:bidi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（8）被最高人民法院在“信用中国”网站（www.creditchina.gov.cn）或各级信用信息共享平台中列入失信被执行人名单，已执行完毕或不再执行的除外；</w:t>
      </w:r>
    </w:p>
    <w:p w14:paraId="300E965B">
      <w:pPr>
        <w:pageBreakBefore w:val="0"/>
        <w:tabs>
          <w:tab w:val="left" w:pos="0"/>
          <w:tab w:val="left" w:pos="993"/>
          <w:tab w:val="left" w:pos="1142"/>
        </w:tabs>
        <w:kinsoku/>
        <w:overflowPunct/>
        <w:bidi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（9）为本招标项目提供过设计、编制技术规范和其他文件的咨询服务；</w:t>
      </w:r>
    </w:p>
    <w:p w14:paraId="25836FF3">
      <w:pPr>
        <w:pageBreakBefore w:val="0"/>
        <w:tabs>
          <w:tab w:val="left" w:pos="0"/>
          <w:tab w:val="left" w:pos="993"/>
          <w:tab w:val="left" w:pos="1142"/>
        </w:tabs>
        <w:kinsoku/>
        <w:overflowPunct/>
        <w:bidi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（10）为本工程项目的相关监理人，或者与本工程项目的相关监理人存在隶属关系或者其他利害关系；</w:t>
      </w:r>
    </w:p>
    <w:p w14:paraId="7D6C151A">
      <w:pPr>
        <w:pageBreakBefore w:val="0"/>
        <w:tabs>
          <w:tab w:val="left" w:pos="0"/>
          <w:tab w:val="left" w:pos="993"/>
          <w:tab w:val="left" w:pos="1142"/>
        </w:tabs>
        <w:kinsoku/>
        <w:overflowPunct/>
        <w:bidi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（11）为本招标项目的代建人；</w:t>
      </w:r>
    </w:p>
    <w:p w14:paraId="53E12DB9">
      <w:pPr>
        <w:pageBreakBefore w:val="0"/>
        <w:tabs>
          <w:tab w:val="left" w:pos="0"/>
          <w:tab w:val="left" w:pos="993"/>
          <w:tab w:val="left" w:pos="1142"/>
        </w:tabs>
        <w:kinsoku/>
        <w:overflowPunct/>
        <w:bidi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（12）为本招标项目的招标代理机构；</w:t>
      </w:r>
    </w:p>
    <w:p w14:paraId="25014BA3">
      <w:pPr>
        <w:pageBreakBefore w:val="0"/>
        <w:tabs>
          <w:tab w:val="left" w:pos="0"/>
          <w:tab w:val="left" w:pos="993"/>
          <w:tab w:val="left" w:pos="1142"/>
        </w:tabs>
        <w:kinsoku/>
        <w:overflowPunct/>
        <w:bidi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（13）与本招标项目的监理人或代建人或招标代理机构同为一个法定代表人；</w:t>
      </w:r>
    </w:p>
    <w:p w14:paraId="38025C9E">
      <w:pPr>
        <w:pageBreakBefore w:val="0"/>
        <w:tabs>
          <w:tab w:val="left" w:pos="0"/>
          <w:tab w:val="left" w:pos="993"/>
          <w:tab w:val="left" w:pos="1142"/>
        </w:tabs>
        <w:kinsoku/>
        <w:overflowPunct/>
        <w:bidi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（14）与本招标项目的监理人或代建人或招标代理机构存在控股或参股关系；</w:t>
      </w:r>
    </w:p>
    <w:p w14:paraId="73CEAF59">
      <w:pPr>
        <w:pageBreakBefore w:val="0"/>
        <w:tabs>
          <w:tab w:val="left" w:pos="0"/>
          <w:tab w:val="left" w:pos="993"/>
          <w:tab w:val="left" w:pos="1142"/>
        </w:tabs>
        <w:kinsoku/>
        <w:overflowPunct/>
        <w:bidi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（15）被工商行政管理机关在国家企业信用信息公示系统中列入严重违法失信企业名单的；</w:t>
      </w:r>
    </w:p>
    <w:p w14:paraId="3A2575E2">
      <w:pPr>
        <w:pageBreakBefore w:val="0"/>
        <w:tabs>
          <w:tab w:val="left" w:pos="0"/>
          <w:tab w:val="left" w:pos="993"/>
          <w:tab w:val="left" w:pos="1142"/>
        </w:tabs>
        <w:kinsoku/>
        <w:overflowPunct/>
        <w:bidi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（16）中国电信在职员工违规担任供应商法定代表人并参与采购活动的；</w:t>
      </w:r>
    </w:p>
    <w:p w14:paraId="4A706556">
      <w:pPr>
        <w:pageBreakBefore w:val="0"/>
        <w:tabs>
          <w:tab w:val="left" w:pos="0"/>
          <w:tab w:val="left" w:pos="993"/>
          <w:tab w:val="left" w:pos="1142"/>
        </w:tabs>
        <w:kinsoku/>
        <w:overflowPunct/>
        <w:bidi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（17）中国电信集团有限公司/中国电信股份有限公司中层及以上管理人员违反有关领导人员配偶、子女及其配偶经商办企业行为管理规定，其配偶、子女及其配偶经商办企业参与采购活动的；</w:t>
      </w:r>
    </w:p>
    <w:p w14:paraId="76E01C7F">
      <w:pPr>
        <w:pageBreakBefore w:val="0"/>
        <w:tabs>
          <w:tab w:val="left" w:pos="0"/>
          <w:tab w:val="left" w:pos="993"/>
          <w:tab w:val="left" w:pos="1142"/>
        </w:tabs>
        <w:kinsoku/>
        <w:overflowPunct/>
        <w:bidi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（18）中国电信领导人员离职或退休后三年内违反《国有企业领导人员廉洁从业若干规定》等相关规定任职、投资入股的私营企业、外资企业和中介机构，参与其原任职单位采购活动的；</w:t>
      </w:r>
    </w:p>
    <w:p w14:paraId="3E50DCB8">
      <w:pPr>
        <w:pageBreakBefore w:val="0"/>
        <w:tabs>
          <w:tab w:val="left" w:pos="0"/>
          <w:tab w:val="left" w:pos="993"/>
          <w:tab w:val="left" w:pos="1142"/>
        </w:tabs>
        <w:kinsoku/>
        <w:overflowPunct/>
        <w:bidi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（19）【其他按照中国电信供应商不良行为处理结果及《中国电信供应商不良行为管理规则》的结果执行规则，应对投标人及其投标产品在本项目中执行禁止采购处理措施的；</w:t>
      </w:r>
    </w:p>
    <w:p w14:paraId="3802EFE5">
      <w:pPr>
        <w:pageBreakBefore w:val="0"/>
        <w:tabs>
          <w:tab w:val="left" w:pos="0"/>
          <w:tab w:val="left" w:pos="993"/>
          <w:tab w:val="left" w:pos="1142"/>
        </w:tabs>
        <w:kinsoku/>
        <w:overflowPunct/>
        <w:bidi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（20）法律法规、招标文件限定的其他情形。</w:t>
      </w:r>
    </w:p>
    <w:p w14:paraId="3C06C2E0">
      <w:pPr>
        <w:pStyle w:val="51"/>
        <w:pageBreakBefore w:val="0"/>
        <w:numPr>
          <w:ilvl w:val="1"/>
          <w:numId w:val="2"/>
        </w:numPr>
        <w:kinsoku/>
        <w:overflowPunct/>
        <w:bidi w:val="0"/>
        <w:adjustRightInd w:val="0"/>
        <w:snapToGrid w:val="0"/>
        <w:spacing w:line="360" w:lineRule="auto"/>
        <w:ind w:left="-6" w:leftChars="0" w:firstLine="426" w:firstLineChars="0"/>
        <w:rPr>
          <w:rFonts w:hint="eastAsia" w:ascii="宋体" w:hAnsi="宋体" w:eastAsia="宋体" w:cs="宋体"/>
          <w:color w:val="auto"/>
          <w:szCs w:val="21"/>
        </w:rPr>
      </w:pPr>
      <w:r>
        <w:rPr>
          <w:rFonts w:hint="eastAsia" w:ascii="宋体" w:hAnsi="宋体" w:eastAsia="宋体" w:cs="宋体"/>
          <w:b/>
          <w:color w:val="auto"/>
          <w:szCs w:val="21"/>
        </w:rPr>
        <w:t>各投标产品资格要求</w:t>
      </w:r>
      <w:r>
        <w:rPr>
          <w:rFonts w:hint="eastAsia" w:ascii="宋体" w:hAnsi="宋体" w:eastAsia="宋体" w:cs="宋体"/>
          <w:b/>
          <w:color w:val="auto"/>
          <w:szCs w:val="21"/>
          <w:lang w:eastAsia="zh-CN"/>
        </w:rPr>
        <w:t>：</w:t>
      </w:r>
      <w:r>
        <w:rPr>
          <w:rFonts w:hint="eastAsia" w:ascii="宋体" w:hAnsi="宋体" w:eastAsia="宋体" w:cs="宋体"/>
          <w:color w:val="auto"/>
          <w:szCs w:val="21"/>
        </w:rPr>
        <w:t>无。</w:t>
      </w:r>
    </w:p>
    <w:p w14:paraId="5E722180">
      <w:pPr>
        <w:pageBreakBefore w:val="0"/>
        <w:tabs>
          <w:tab w:val="left" w:pos="0"/>
          <w:tab w:val="left" w:pos="993"/>
          <w:tab w:val="left" w:pos="1142"/>
        </w:tabs>
        <w:kinsoku/>
        <w:overflowPunct/>
        <w:bidi w:val="0"/>
        <w:spacing w:line="360" w:lineRule="auto"/>
        <w:ind w:firstLine="426" w:firstLineChars="202"/>
        <w:rPr>
          <w:rFonts w:hint="eastAsia" w:ascii="宋体" w:hAnsi="宋体" w:eastAsia="宋体" w:cs="宋体"/>
          <w:color w:val="auto"/>
          <w:szCs w:val="21"/>
        </w:rPr>
      </w:pPr>
      <w:r>
        <w:rPr>
          <w:rFonts w:hint="eastAsia" w:ascii="宋体" w:hAnsi="宋体" w:eastAsia="宋体" w:cs="宋体"/>
          <w:b/>
          <w:color w:val="auto"/>
          <w:kern w:val="2"/>
          <w:sz w:val="21"/>
          <w:szCs w:val="21"/>
          <w:lang w:val="en-US" w:eastAsia="zh-CN" w:bidi="ar-SA"/>
        </w:rPr>
        <w:t>2.4 各投标产品制造商（集成商、软件开发商等）资格要求；</w:t>
      </w:r>
      <w:r>
        <w:rPr>
          <w:rFonts w:hint="eastAsia" w:ascii="宋体" w:hAnsi="宋体" w:eastAsia="宋体" w:cs="宋体"/>
          <w:color w:val="auto"/>
          <w:szCs w:val="21"/>
        </w:rPr>
        <w:t>无。</w:t>
      </w:r>
    </w:p>
    <w:p w14:paraId="3ACE67E2">
      <w:pPr>
        <w:pageBreakBefore w:val="0"/>
        <w:tabs>
          <w:tab w:val="left" w:pos="0"/>
          <w:tab w:val="left" w:pos="993"/>
          <w:tab w:val="left" w:pos="1142"/>
        </w:tabs>
        <w:kinsoku/>
        <w:overflowPunct/>
        <w:bidi w:val="0"/>
        <w:spacing w:line="360" w:lineRule="auto"/>
        <w:ind w:firstLine="426" w:firstLineChars="202"/>
        <w:rPr>
          <w:rFonts w:hint="eastAsia" w:ascii="宋体" w:hAnsi="宋体" w:eastAsia="宋体" w:cs="宋体"/>
          <w:color w:val="auto"/>
          <w:szCs w:val="21"/>
        </w:rPr>
      </w:pPr>
      <w:r>
        <w:rPr>
          <w:rFonts w:hint="eastAsia" w:ascii="宋体" w:hAnsi="宋体" w:eastAsia="宋体" w:cs="宋体"/>
          <w:b/>
          <w:color w:val="auto"/>
          <w:kern w:val="2"/>
          <w:sz w:val="21"/>
          <w:szCs w:val="21"/>
          <w:lang w:val="en-US" w:eastAsia="zh-CN" w:bidi="ar-SA"/>
        </w:rPr>
        <w:t>2.5 各【评价检测】：</w:t>
      </w:r>
      <w:r>
        <w:rPr>
          <w:rFonts w:hint="eastAsia" w:ascii="宋体" w:hAnsi="宋体" w:eastAsia="宋体" w:cs="宋体"/>
          <w:color w:val="auto"/>
          <w:szCs w:val="21"/>
        </w:rPr>
        <w:t>无。</w:t>
      </w:r>
    </w:p>
    <w:p w14:paraId="5F461575">
      <w:pPr>
        <w:pStyle w:val="51"/>
        <w:pageBreakBefore w:val="0"/>
        <w:numPr>
          <w:ilvl w:val="0"/>
          <w:numId w:val="0"/>
        </w:numPr>
        <w:kinsoku/>
        <w:overflowPunct/>
        <w:bidi w:val="0"/>
        <w:adjustRightInd w:val="0"/>
        <w:snapToGrid w:val="0"/>
        <w:spacing w:line="360" w:lineRule="auto"/>
        <w:ind w:left="426" w:leftChars="0"/>
        <w:rPr>
          <w:rFonts w:hint="eastAsia" w:ascii="宋体" w:hAnsi="宋体" w:eastAsia="宋体" w:cs="宋体"/>
          <w:b/>
          <w:color w:val="auto"/>
          <w:szCs w:val="21"/>
        </w:rPr>
      </w:pPr>
      <w:r>
        <w:rPr>
          <w:rFonts w:hint="eastAsia" w:ascii="宋体" w:hAnsi="宋体" w:eastAsia="宋体" w:cs="宋体"/>
          <w:b/>
          <w:color w:val="auto"/>
          <w:kern w:val="2"/>
          <w:sz w:val="21"/>
          <w:szCs w:val="21"/>
          <w:lang w:val="en-US" w:eastAsia="zh-CN" w:bidi="ar-SA"/>
        </w:rPr>
        <w:t>2.6</w:t>
      </w:r>
      <w:r>
        <w:rPr>
          <w:rFonts w:hint="eastAsia" w:ascii="宋体" w:hAnsi="宋体" w:eastAsia="宋体" w:cs="宋体"/>
          <w:b/>
          <w:color w:val="auto"/>
          <w:szCs w:val="21"/>
        </w:rPr>
        <w:t>各法律法规规定的其他要求。</w:t>
      </w:r>
    </w:p>
    <w:p w14:paraId="68E85EC7">
      <w:pPr>
        <w:pStyle w:val="51"/>
        <w:pageBreakBefore w:val="0"/>
        <w:numPr>
          <w:ilvl w:val="0"/>
          <w:numId w:val="2"/>
        </w:numPr>
        <w:kinsoku/>
        <w:overflowPunct/>
        <w:bidi w:val="0"/>
        <w:adjustRightInd w:val="0"/>
        <w:snapToGrid w:val="0"/>
        <w:spacing w:line="360" w:lineRule="auto"/>
        <w:ind w:left="0" w:firstLine="424" w:firstLineChars="201"/>
        <w:rPr>
          <w:rFonts w:hint="eastAsia" w:ascii="宋体" w:hAnsi="宋体" w:eastAsia="宋体" w:cs="宋体"/>
          <w:b/>
          <w:color w:val="auto"/>
          <w:szCs w:val="21"/>
        </w:rPr>
      </w:pPr>
      <w:r>
        <w:rPr>
          <w:rFonts w:hint="eastAsia" w:ascii="宋体" w:hAnsi="宋体" w:eastAsia="宋体" w:cs="宋体"/>
          <w:b/>
          <w:color w:val="auto"/>
          <w:szCs w:val="21"/>
        </w:rPr>
        <w:t>资格审查方法</w:t>
      </w:r>
      <w:bookmarkEnd w:id="9"/>
      <w:bookmarkEnd w:id="10"/>
      <w:bookmarkEnd w:id="11"/>
    </w:p>
    <w:p w14:paraId="2B2DCBB4">
      <w:pPr>
        <w:pStyle w:val="51"/>
        <w:pageBreakBefore w:val="0"/>
        <w:kinsoku/>
        <w:overflowPunct/>
        <w:bidi w:val="0"/>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本项目将进行资格后审，资格审查标准和内容见招标文件第三章“评标办法”，凡未通过资格后审的投标人，其投标将被否决。</w:t>
      </w:r>
    </w:p>
    <w:p w14:paraId="6A57F1A7">
      <w:pPr>
        <w:pStyle w:val="51"/>
        <w:pageBreakBefore w:val="0"/>
        <w:numPr>
          <w:ilvl w:val="0"/>
          <w:numId w:val="3"/>
        </w:numPr>
        <w:kinsoku/>
        <w:overflowPunct/>
        <w:bidi w:val="0"/>
        <w:adjustRightInd w:val="0"/>
        <w:snapToGrid w:val="0"/>
        <w:spacing w:line="360" w:lineRule="auto"/>
        <w:ind w:left="0" w:firstLine="426" w:firstLineChars="202"/>
        <w:rPr>
          <w:rFonts w:hint="eastAsia" w:ascii="宋体" w:hAnsi="宋体" w:eastAsia="宋体" w:cs="宋体"/>
          <w:b/>
          <w:color w:val="auto"/>
          <w:szCs w:val="21"/>
        </w:rPr>
      </w:pPr>
      <w:r>
        <w:rPr>
          <w:rFonts w:hint="eastAsia" w:ascii="宋体" w:hAnsi="宋体" w:eastAsia="宋体" w:cs="宋体"/>
          <w:b/>
          <w:color w:val="auto"/>
          <w:szCs w:val="21"/>
        </w:rPr>
        <w:t>招标文件的获取</w:t>
      </w:r>
    </w:p>
    <w:p w14:paraId="235DE32D">
      <w:pPr>
        <w:pStyle w:val="51"/>
        <w:pageBreakBefore w:val="0"/>
        <w:numPr>
          <w:ilvl w:val="1"/>
          <w:numId w:val="3"/>
        </w:numPr>
        <w:kinsoku/>
        <w:overflowPunct/>
        <w:bidi w:val="0"/>
        <w:adjustRightInd w:val="0"/>
        <w:snapToGrid w:val="0"/>
        <w:spacing w:line="360" w:lineRule="auto"/>
        <w:ind w:left="0" w:firstLine="426"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招标文件获取时间</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2025</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10</w:t>
      </w:r>
      <w:r>
        <w:rPr>
          <w:rFonts w:hint="eastAsia" w:ascii="宋体" w:hAnsi="宋体" w:eastAsia="宋体" w:cs="宋体"/>
          <w:b/>
          <w:bCs/>
          <w:color w:val="auto"/>
          <w:szCs w:val="21"/>
          <w:highlight w:val="none"/>
        </w:rPr>
        <w:t>月</w:t>
      </w:r>
      <w:r>
        <w:rPr>
          <w:rFonts w:hint="eastAsia" w:ascii="宋体" w:hAnsi="宋体" w:cs="宋体"/>
          <w:b/>
          <w:bCs/>
          <w:color w:val="auto"/>
          <w:szCs w:val="21"/>
          <w:highlight w:val="none"/>
          <w:lang w:val="en-US" w:eastAsia="zh-CN"/>
        </w:rPr>
        <w:t>31</w:t>
      </w:r>
      <w:r>
        <w:rPr>
          <w:rFonts w:hint="eastAsia" w:ascii="宋体" w:hAnsi="宋体" w:eastAsia="宋体" w:cs="宋体"/>
          <w:b/>
          <w:bCs/>
          <w:color w:val="auto"/>
          <w:szCs w:val="21"/>
          <w:highlight w:val="none"/>
        </w:rPr>
        <w:t>日</w:t>
      </w:r>
      <w:r>
        <w:rPr>
          <w:rFonts w:hint="eastAsia" w:ascii="宋体" w:hAnsi="宋体" w:eastAsia="宋体" w:cs="宋体"/>
          <w:b/>
          <w:bCs/>
          <w:color w:val="auto"/>
          <w:szCs w:val="21"/>
          <w:highlight w:val="none"/>
          <w:lang w:val="en-US" w:eastAsia="zh-CN"/>
        </w:rPr>
        <w:t>09</w:t>
      </w:r>
      <w:r>
        <w:rPr>
          <w:rFonts w:hint="eastAsia" w:ascii="宋体" w:hAnsi="宋体" w:eastAsia="宋体" w:cs="宋体"/>
          <w:b/>
          <w:bCs/>
          <w:color w:val="auto"/>
          <w:szCs w:val="21"/>
          <w:highlight w:val="none"/>
        </w:rPr>
        <w:t>时</w:t>
      </w:r>
      <w:r>
        <w:rPr>
          <w:rFonts w:hint="eastAsia" w:ascii="宋体" w:hAnsi="宋体" w:eastAsia="宋体" w:cs="宋体"/>
          <w:b/>
          <w:bCs/>
          <w:color w:val="auto"/>
          <w:szCs w:val="21"/>
          <w:highlight w:val="none"/>
          <w:lang w:val="en-US" w:eastAsia="zh-CN"/>
        </w:rPr>
        <w:t>00</w:t>
      </w:r>
      <w:r>
        <w:rPr>
          <w:rFonts w:hint="eastAsia" w:ascii="宋体" w:hAnsi="宋体" w:eastAsia="宋体" w:cs="宋体"/>
          <w:b/>
          <w:bCs/>
          <w:color w:val="auto"/>
          <w:szCs w:val="21"/>
          <w:highlight w:val="none"/>
        </w:rPr>
        <w:t>分至</w:t>
      </w:r>
      <w:r>
        <w:rPr>
          <w:rFonts w:hint="eastAsia" w:ascii="宋体" w:hAnsi="宋体" w:eastAsia="宋体" w:cs="宋体"/>
          <w:b/>
          <w:bCs/>
          <w:color w:val="auto"/>
          <w:szCs w:val="21"/>
          <w:highlight w:val="none"/>
          <w:lang w:val="en-US" w:eastAsia="zh-CN"/>
        </w:rPr>
        <w:t>2025</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1</w:t>
      </w:r>
      <w:r>
        <w:rPr>
          <w:rFonts w:hint="eastAsia" w:ascii="宋体" w:hAnsi="宋体" w:cs="宋体"/>
          <w:b/>
          <w:bCs/>
          <w:color w:val="auto"/>
          <w:szCs w:val="21"/>
          <w:highlight w:val="none"/>
          <w:lang w:val="en-US" w:eastAsia="zh-CN"/>
        </w:rPr>
        <w:t>1</w:t>
      </w:r>
      <w:r>
        <w:rPr>
          <w:rFonts w:hint="eastAsia" w:ascii="宋体" w:hAnsi="宋体" w:eastAsia="宋体" w:cs="宋体"/>
          <w:b/>
          <w:bCs/>
          <w:color w:val="auto"/>
          <w:szCs w:val="21"/>
          <w:highlight w:val="none"/>
        </w:rPr>
        <w:t>月</w:t>
      </w:r>
      <w:r>
        <w:rPr>
          <w:rFonts w:hint="eastAsia" w:ascii="宋体" w:hAnsi="宋体" w:cs="宋体"/>
          <w:b/>
          <w:bCs/>
          <w:color w:val="auto"/>
          <w:szCs w:val="21"/>
          <w:highlight w:val="none"/>
          <w:lang w:val="en-US" w:eastAsia="zh-CN"/>
        </w:rPr>
        <w:t>05</w:t>
      </w:r>
      <w:r>
        <w:rPr>
          <w:rFonts w:hint="eastAsia" w:ascii="宋体" w:hAnsi="宋体" w:eastAsia="宋体" w:cs="宋体"/>
          <w:b/>
          <w:bCs/>
          <w:color w:val="auto"/>
          <w:szCs w:val="21"/>
          <w:highlight w:val="none"/>
        </w:rPr>
        <w:t>日</w:t>
      </w:r>
      <w:r>
        <w:rPr>
          <w:rFonts w:hint="eastAsia" w:ascii="宋体" w:hAnsi="宋体" w:eastAsia="宋体" w:cs="宋体"/>
          <w:b/>
          <w:bCs/>
          <w:color w:val="auto"/>
          <w:szCs w:val="21"/>
          <w:highlight w:val="none"/>
          <w:lang w:val="en-US" w:eastAsia="zh-CN"/>
        </w:rPr>
        <w:t>17</w:t>
      </w:r>
      <w:r>
        <w:rPr>
          <w:rFonts w:hint="eastAsia" w:ascii="宋体" w:hAnsi="宋体" w:eastAsia="宋体" w:cs="宋体"/>
          <w:b/>
          <w:bCs/>
          <w:color w:val="auto"/>
          <w:szCs w:val="21"/>
          <w:highlight w:val="none"/>
        </w:rPr>
        <w:t>时</w:t>
      </w:r>
      <w:r>
        <w:rPr>
          <w:rFonts w:hint="eastAsia" w:ascii="宋体" w:hAnsi="宋体" w:eastAsia="宋体" w:cs="宋体"/>
          <w:b/>
          <w:bCs/>
          <w:color w:val="auto"/>
          <w:szCs w:val="21"/>
          <w:highlight w:val="none"/>
          <w:lang w:val="en-US" w:eastAsia="zh-CN"/>
        </w:rPr>
        <w:t>00</w:t>
      </w:r>
      <w:r>
        <w:rPr>
          <w:rFonts w:hint="eastAsia" w:ascii="宋体" w:hAnsi="宋体" w:eastAsia="宋体" w:cs="宋体"/>
          <w:b/>
          <w:bCs/>
          <w:color w:val="auto"/>
          <w:szCs w:val="21"/>
          <w:highlight w:val="none"/>
        </w:rPr>
        <w:t>分】（北京时间，下同）。</w:t>
      </w:r>
    </w:p>
    <w:p w14:paraId="7C0D3F7A">
      <w:pPr>
        <w:pStyle w:val="51"/>
        <w:pageBreakBefore w:val="0"/>
        <w:numPr>
          <w:ilvl w:val="1"/>
          <w:numId w:val="3"/>
        </w:numPr>
        <w:kinsoku/>
        <w:overflowPunct/>
        <w:bidi w:val="0"/>
        <w:adjustRightInd w:val="0"/>
        <w:snapToGrid w:val="0"/>
        <w:spacing w:line="360" w:lineRule="auto"/>
        <w:ind w:left="0" w:firstLine="424" w:firstLineChars="202"/>
        <w:rPr>
          <w:rFonts w:hint="eastAsia" w:ascii="宋体" w:hAnsi="宋体" w:eastAsia="宋体" w:cs="宋体"/>
          <w:color w:val="auto"/>
          <w:szCs w:val="21"/>
        </w:rPr>
      </w:pPr>
      <w:r>
        <w:rPr>
          <w:rFonts w:hint="eastAsia" w:ascii="宋体" w:hAnsi="宋体" w:eastAsia="宋体" w:cs="宋体"/>
          <w:color w:val="auto"/>
          <w:szCs w:val="21"/>
        </w:rPr>
        <w:t>招标文件获取方式：凡有意参与投标的潜在投标人，请按以下步骤顺序进行操作，获取招标文件：</w:t>
      </w:r>
    </w:p>
    <w:p w14:paraId="10DCB9EB">
      <w:pPr>
        <w:pStyle w:val="51"/>
        <w:pageBreakBefore w:val="0"/>
        <w:tabs>
          <w:tab w:val="left" w:pos="993"/>
        </w:tabs>
        <w:kinsoku/>
        <w:wordWrap w:val="0"/>
        <w:overflowPunct/>
        <w:bidi w:val="0"/>
        <w:adjustRightInd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4.2.1登录“【中国电信阳光采购网（https://caigou.chinatelecom.com.cn）”后，通过“招投标-采购文件领取”模块或通过“电子采购入口”跳转中国电信电子采购系统，进入本项目进行招标文件登记申领。未在系统注册的投标人须先进行注册，注册方法详见本公告“7投标人注册”。】</w:t>
      </w:r>
    </w:p>
    <w:p w14:paraId="12E2A8C2">
      <w:pPr>
        <w:pStyle w:val="51"/>
        <w:pageBreakBefore w:val="0"/>
        <w:numPr>
          <w:ilvl w:val="1"/>
          <w:numId w:val="3"/>
        </w:numPr>
        <w:kinsoku/>
        <w:wordWrap w:val="0"/>
        <w:overflowPunct/>
        <w:bidi w:val="0"/>
        <w:adjustRightInd w:val="0"/>
        <w:snapToGrid w:val="0"/>
        <w:spacing w:line="360" w:lineRule="auto"/>
        <w:ind w:left="0" w:firstLine="424" w:firstLineChars="202"/>
        <w:rPr>
          <w:rFonts w:hint="eastAsia" w:ascii="宋体" w:hAnsi="宋体" w:eastAsia="宋体" w:cs="宋体"/>
          <w:color w:val="auto"/>
          <w:szCs w:val="21"/>
        </w:rPr>
      </w:pPr>
      <w:r>
        <w:rPr>
          <w:rFonts w:hint="eastAsia" w:ascii="宋体" w:hAnsi="宋体" w:eastAsia="宋体" w:cs="宋体"/>
          <w:color w:val="auto"/>
          <w:szCs w:val="21"/>
        </w:rPr>
        <w:t>招标文件费用：</w:t>
      </w:r>
      <w:r>
        <w:rPr>
          <w:rFonts w:hint="eastAsia" w:ascii="宋体" w:hAnsi="宋体" w:eastAsia="宋体" w:cs="宋体"/>
          <w:color w:val="auto"/>
          <w:spacing w:val="2"/>
          <w:szCs w:val="21"/>
        </w:rPr>
        <w:t>【获取本招标文件不收取费用。</w:t>
      </w:r>
      <w:r>
        <w:rPr>
          <w:rFonts w:hint="eastAsia" w:ascii="宋体" w:hAnsi="宋体" w:eastAsia="宋体" w:cs="宋体"/>
          <w:color w:val="auto"/>
        </w:rPr>
        <w:t>】</w:t>
      </w:r>
    </w:p>
    <w:p w14:paraId="4B081A39">
      <w:pPr>
        <w:pStyle w:val="51"/>
        <w:pageBreakBefore w:val="0"/>
        <w:numPr>
          <w:ilvl w:val="0"/>
          <w:numId w:val="3"/>
        </w:numPr>
        <w:kinsoku/>
        <w:overflowPunct/>
        <w:bidi w:val="0"/>
        <w:adjustRightInd w:val="0"/>
        <w:snapToGrid w:val="0"/>
        <w:spacing w:line="360" w:lineRule="auto"/>
        <w:ind w:left="0" w:firstLine="424" w:firstLineChars="202"/>
        <w:rPr>
          <w:rFonts w:hint="eastAsia" w:ascii="宋体" w:hAnsi="宋体" w:eastAsia="宋体" w:cs="宋体"/>
          <w:b/>
          <w:color w:val="auto"/>
          <w:szCs w:val="21"/>
        </w:rPr>
      </w:pPr>
      <w:r>
        <w:rPr>
          <w:rFonts w:hint="eastAsia" w:ascii="宋体" w:hAnsi="宋体" w:eastAsia="宋体" w:cs="宋体"/>
          <w:b w:val="0"/>
          <w:bCs/>
          <w:color w:val="auto"/>
          <w:szCs w:val="21"/>
        </w:rPr>
        <w:t>投标文件的递交截止时间（即投标截止时间）为</w:t>
      </w:r>
      <w:r>
        <w:rPr>
          <w:rFonts w:hint="eastAsia" w:ascii="宋体" w:hAnsi="宋体" w:eastAsia="宋体" w:cs="宋体"/>
          <w:b w:val="0"/>
          <w:bCs/>
          <w:color w:val="auto"/>
          <w:szCs w:val="21"/>
          <w:highlight w:val="none"/>
        </w:rPr>
        <w:t>：</w:t>
      </w:r>
      <w:r>
        <w:rPr>
          <w:rFonts w:hint="eastAsia" w:ascii="宋体" w:hAnsi="宋体" w:eastAsia="宋体" w:cs="宋体"/>
          <w:b/>
          <w:color w:val="auto"/>
          <w:szCs w:val="21"/>
          <w:highlight w:val="none"/>
          <w:lang w:val="en-US" w:eastAsia="zh-CN"/>
        </w:rPr>
        <w:t>2025</w:t>
      </w:r>
      <w:r>
        <w:rPr>
          <w:rFonts w:hint="eastAsia" w:ascii="宋体" w:hAnsi="宋体" w:eastAsia="宋体" w:cs="宋体"/>
          <w:b/>
          <w:color w:val="auto"/>
          <w:szCs w:val="21"/>
          <w:highlight w:val="none"/>
        </w:rPr>
        <w:t>年</w:t>
      </w:r>
      <w:r>
        <w:rPr>
          <w:rFonts w:hint="eastAsia" w:ascii="宋体" w:hAnsi="宋体" w:eastAsia="宋体" w:cs="宋体"/>
          <w:b/>
          <w:color w:val="auto"/>
          <w:szCs w:val="21"/>
          <w:highlight w:val="none"/>
          <w:lang w:val="en-US" w:eastAsia="zh-CN"/>
        </w:rPr>
        <w:t>11</w:t>
      </w:r>
      <w:r>
        <w:rPr>
          <w:rFonts w:hint="eastAsia" w:ascii="宋体" w:hAnsi="宋体" w:eastAsia="宋体" w:cs="宋体"/>
          <w:b/>
          <w:color w:val="auto"/>
          <w:szCs w:val="21"/>
          <w:highlight w:val="none"/>
        </w:rPr>
        <w:t>月</w:t>
      </w:r>
      <w:r>
        <w:rPr>
          <w:rFonts w:hint="eastAsia" w:ascii="宋体" w:hAnsi="宋体" w:cs="宋体"/>
          <w:b/>
          <w:color w:val="auto"/>
          <w:szCs w:val="21"/>
          <w:highlight w:val="none"/>
          <w:lang w:val="en-US" w:eastAsia="zh-CN"/>
        </w:rPr>
        <w:t>18</w:t>
      </w:r>
      <w:r>
        <w:rPr>
          <w:rFonts w:hint="eastAsia" w:ascii="宋体" w:hAnsi="宋体" w:eastAsia="宋体" w:cs="宋体"/>
          <w:b/>
          <w:color w:val="auto"/>
          <w:szCs w:val="21"/>
          <w:highlight w:val="none"/>
        </w:rPr>
        <w:t>日</w:t>
      </w:r>
      <w:r>
        <w:rPr>
          <w:rFonts w:hint="eastAsia" w:ascii="宋体" w:hAnsi="宋体" w:eastAsia="宋体" w:cs="宋体"/>
          <w:b/>
          <w:color w:val="auto"/>
          <w:szCs w:val="21"/>
          <w:highlight w:val="none"/>
          <w:lang w:val="en-US" w:eastAsia="zh-CN"/>
        </w:rPr>
        <w:t>10</w:t>
      </w:r>
      <w:r>
        <w:rPr>
          <w:rFonts w:hint="eastAsia" w:ascii="宋体" w:hAnsi="宋体" w:eastAsia="宋体" w:cs="宋体"/>
          <w:b/>
          <w:color w:val="auto"/>
          <w:szCs w:val="21"/>
          <w:highlight w:val="none"/>
        </w:rPr>
        <w:t>时</w:t>
      </w:r>
      <w:r>
        <w:rPr>
          <w:rFonts w:hint="eastAsia" w:ascii="宋体" w:hAnsi="宋体" w:eastAsia="宋体" w:cs="宋体"/>
          <w:b/>
          <w:color w:val="auto"/>
          <w:szCs w:val="21"/>
          <w:highlight w:val="none"/>
          <w:lang w:val="en-US" w:eastAsia="zh-CN"/>
        </w:rPr>
        <w:t>00</w:t>
      </w:r>
      <w:r>
        <w:rPr>
          <w:rFonts w:hint="eastAsia" w:ascii="宋体" w:hAnsi="宋体" w:eastAsia="宋体" w:cs="宋体"/>
          <w:b/>
          <w:color w:val="auto"/>
          <w:szCs w:val="21"/>
          <w:highlight w:val="none"/>
        </w:rPr>
        <w:t>分</w:t>
      </w:r>
      <w:r>
        <w:rPr>
          <w:rFonts w:hint="eastAsia" w:ascii="宋体" w:hAnsi="宋体" w:eastAsia="宋体" w:cs="宋体"/>
          <w:b/>
          <w:color w:val="auto"/>
          <w:szCs w:val="21"/>
          <w:highlight w:val="none"/>
          <w:lang w:eastAsia="zh-CN"/>
        </w:rPr>
        <w:t>。</w:t>
      </w:r>
    </w:p>
    <w:p w14:paraId="3DC742DA">
      <w:pPr>
        <w:pStyle w:val="51"/>
        <w:pageBreakBefore w:val="0"/>
        <w:numPr>
          <w:ilvl w:val="1"/>
          <w:numId w:val="3"/>
        </w:numPr>
        <w:kinsoku/>
        <w:overflowPunct/>
        <w:bidi w:val="0"/>
        <w:adjustRightInd w:val="0"/>
        <w:snapToGrid w:val="0"/>
        <w:spacing w:line="360" w:lineRule="auto"/>
        <w:ind w:left="0" w:firstLine="426"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电子投标文件的递交：【登录中国电信阳光采购网（https://caigou.chinatelecom.com.cn）后，通过“招投标-我的项目”模块或通过“电子采购入口”跳转中国电信电子采购系统，选择本项目进行投标文件递交，投标人应在投标文件递交截止时间之前通过电子采购系统完成加密电子投标文件的上传。投标人未在电子采购系统进行招标文件申领登记或电子投标文件未按照要求加密的，将无法通过电子采购系统提交电子投标文件。】 </w:t>
      </w:r>
    </w:p>
    <w:p w14:paraId="71D148BA">
      <w:pPr>
        <w:pStyle w:val="51"/>
        <w:pageBreakBefore w:val="0"/>
        <w:numPr>
          <w:ilvl w:val="1"/>
          <w:numId w:val="3"/>
        </w:numPr>
        <w:kinsoku/>
        <w:overflowPunct/>
        <w:bidi w:val="0"/>
        <w:adjustRightInd w:val="0"/>
        <w:snapToGrid w:val="0"/>
        <w:spacing w:line="360" w:lineRule="auto"/>
        <w:ind w:left="0" w:firstLine="426"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本项目将于投标文件递交截止同一时间通过中国电信电子采购系统开标，【招标人/招标代理机构】邀请投标人的法定代表人/负责人或者其委托代理人准时参加。</w:t>
      </w:r>
    </w:p>
    <w:p w14:paraId="38AAA169">
      <w:pPr>
        <w:pStyle w:val="51"/>
        <w:pageBreakBefore w:val="0"/>
        <w:numPr>
          <w:ilvl w:val="0"/>
          <w:numId w:val="3"/>
        </w:numPr>
        <w:kinsoku/>
        <w:overflowPunct/>
        <w:bidi w:val="0"/>
        <w:adjustRightInd w:val="0"/>
        <w:snapToGrid w:val="0"/>
        <w:spacing w:line="360" w:lineRule="auto"/>
        <w:ind w:left="0" w:firstLine="426" w:firstLineChars="202"/>
        <w:rPr>
          <w:rFonts w:hint="eastAsia" w:ascii="宋体" w:hAnsi="宋体" w:eastAsia="宋体" w:cs="宋体"/>
          <w:color w:val="auto"/>
          <w:szCs w:val="21"/>
          <w:lang w:val="en-US" w:eastAsia="zh-CN"/>
        </w:rPr>
      </w:pPr>
      <w:r>
        <w:rPr>
          <w:rFonts w:hint="eastAsia" w:ascii="宋体" w:hAnsi="宋体" w:eastAsia="宋体" w:cs="宋体"/>
          <w:b/>
          <w:color w:val="auto"/>
          <w:szCs w:val="21"/>
        </w:rPr>
        <w:t>【样品的递交】</w:t>
      </w:r>
      <w:r>
        <w:rPr>
          <w:rFonts w:hint="eastAsia" w:ascii="宋体" w:hAnsi="宋体" w:eastAsia="宋体" w:cs="宋体"/>
          <w:b/>
          <w:color w:val="auto"/>
          <w:szCs w:val="21"/>
          <w:lang w:eastAsia="zh-CN"/>
        </w:rPr>
        <w:t>：</w:t>
      </w:r>
      <w:r>
        <w:rPr>
          <w:rFonts w:hint="eastAsia" w:ascii="宋体" w:hAnsi="宋体" w:eastAsia="宋体" w:cs="宋体"/>
          <w:color w:val="auto"/>
          <w:szCs w:val="21"/>
          <w:lang w:val="en-US" w:eastAsia="zh-CN"/>
        </w:rPr>
        <w:t>/</w:t>
      </w:r>
    </w:p>
    <w:p w14:paraId="44195FE1">
      <w:pPr>
        <w:pStyle w:val="51"/>
        <w:pageBreakBefore w:val="0"/>
        <w:numPr>
          <w:ilvl w:val="0"/>
          <w:numId w:val="3"/>
        </w:numPr>
        <w:kinsoku/>
        <w:overflowPunct/>
        <w:bidi w:val="0"/>
        <w:adjustRightInd w:val="0"/>
        <w:snapToGrid w:val="0"/>
        <w:spacing w:line="360" w:lineRule="auto"/>
        <w:ind w:left="0" w:firstLine="426" w:firstLineChars="202"/>
        <w:rPr>
          <w:rFonts w:hint="eastAsia" w:ascii="宋体" w:hAnsi="宋体" w:eastAsia="宋体" w:cs="宋体"/>
          <w:b/>
          <w:color w:val="auto"/>
          <w:szCs w:val="21"/>
        </w:rPr>
      </w:pPr>
      <w:r>
        <w:rPr>
          <w:rFonts w:hint="eastAsia" w:ascii="宋体" w:hAnsi="宋体" w:eastAsia="宋体" w:cs="宋体"/>
          <w:b/>
          <w:color w:val="auto"/>
          <w:szCs w:val="21"/>
        </w:rPr>
        <w:t>投标人注册</w:t>
      </w:r>
    </w:p>
    <w:p w14:paraId="42EC73BB">
      <w:pPr>
        <w:pStyle w:val="51"/>
        <w:pageBreakBefore w:val="0"/>
        <w:numPr>
          <w:ilvl w:val="0"/>
          <w:numId w:val="0"/>
        </w:numPr>
        <w:kinsoku/>
        <w:overflowPunct/>
        <w:bidi w:val="0"/>
        <w:adjustRightInd w:val="0"/>
        <w:snapToGrid w:val="0"/>
        <w:spacing w:line="360" w:lineRule="auto"/>
        <w:ind w:left="426" w:leftChars="0"/>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eastAsia="宋体" w:cs="宋体"/>
          <w:color w:val="auto"/>
          <w:szCs w:val="21"/>
        </w:rPr>
        <w:t>.1</w:t>
      </w:r>
      <w:r>
        <w:rPr>
          <w:rFonts w:hint="eastAsia" w:ascii="宋体" w:hAnsi="宋体" w:eastAsia="宋体" w:cs="宋体"/>
          <w:color w:val="auto"/>
          <w:szCs w:val="21"/>
        </w:rPr>
        <w:tab/>
      </w:r>
      <w:r>
        <w:rPr>
          <w:rFonts w:hint="eastAsia" w:ascii="宋体" w:hAnsi="宋体" w:eastAsia="宋体" w:cs="宋体"/>
          <w:color w:val="auto"/>
          <w:szCs w:val="21"/>
        </w:rPr>
        <w:t>【中国电信阳光采购网】注册</w:t>
      </w:r>
    </w:p>
    <w:p w14:paraId="32B705B2">
      <w:pPr>
        <w:pStyle w:val="51"/>
        <w:pageBreakBefore w:val="0"/>
        <w:numPr>
          <w:ilvl w:val="0"/>
          <w:numId w:val="0"/>
        </w:numPr>
        <w:kinsoku/>
        <w:overflowPunct/>
        <w:bidi w:val="0"/>
        <w:adjustRightInd w:val="0"/>
        <w:snapToGrid w:val="0"/>
        <w:spacing w:line="360" w:lineRule="auto"/>
        <w:ind w:left="426" w:leftChars="0"/>
        <w:rPr>
          <w:rFonts w:hint="eastAsia" w:ascii="宋体" w:hAnsi="宋体" w:eastAsia="宋体" w:cs="宋体"/>
          <w:color w:val="auto"/>
          <w:szCs w:val="21"/>
        </w:rPr>
      </w:pPr>
      <w:r>
        <w:rPr>
          <w:rFonts w:hint="eastAsia" w:ascii="宋体" w:hAnsi="宋体" w:eastAsia="宋体" w:cs="宋体"/>
          <w:color w:val="auto"/>
          <w:szCs w:val="21"/>
        </w:rPr>
        <w:t>未注册过的潜在投标人，须通过【中国电信阳光采购网（https://caigou.chinatelecom.com.cn）】首页“立即注册”模块完成注册后，方可申领本项目招标文件。</w:t>
      </w:r>
    </w:p>
    <w:p w14:paraId="46DE129F">
      <w:pPr>
        <w:pStyle w:val="51"/>
        <w:pageBreakBefore w:val="0"/>
        <w:numPr>
          <w:ilvl w:val="0"/>
          <w:numId w:val="0"/>
        </w:numPr>
        <w:kinsoku/>
        <w:overflowPunct/>
        <w:bidi w:val="0"/>
        <w:adjustRightInd w:val="0"/>
        <w:snapToGrid w:val="0"/>
        <w:spacing w:line="360" w:lineRule="auto"/>
        <w:ind w:left="426" w:leftChars="0"/>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eastAsia="宋体" w:cs="宋体"/>
          <w:color w:val="auto"/>
          <w:szCs w:val="21"/>
        </w:rPr>
        <w:t>.2 CA证书办理</w:t>
      </w:r>
    </w:p>
    <w:p w14:paraId="6D144392">
      <w:pPr>
        <w:pStyle w:val="51"/>
        <w:pageBreakBefore w:val="0"/>
        <w:numPr>
          <w:ilvl w:val="0"/>
          <w:numId w:val="0"/>
        </w:numPr>
        <w:kinsoku/>
        <w:overflowPunct/>
        <w:bidi w:val="0"/>
        <w:adjustRightInd w:val="0"/>
        <w:snapToGrid w:val="0"/>
        <w:spacing w:line="360" w:lineRule="auto"/>
        <w:ind w:left="426" w:leftChars="0"/>
        <w:rPr>
          <w:rFonts w:hint="eastAsia" w:ascii="宋体" w:hAnsi="宋体" w:eastAsia="宋体" w:cs="宋体"/>
          <w:color w:val="auto"/>
          <w:szCs w:val="21"/>
        </w:rPr>
      </w:pPr>
      <w:r>
        <w:rPr>
          <w:rFonts w:hint="eastAsia" w:ascii="宋体" w:hAnsi="宋体" w:eastAsia="宋体" w:cs="宋体"/>
          <w:color w:val="auto"/>
          <w:szCs w:val="21"/>
        </w:rPr>
        <w:t>参与电子采购的潜在投标人须提前办理CA证书进行电子投标文件编制和投标，并确保CA证书在使用时有效。【CA证书办理流程详见中国电信阳光采购网首页“操作指引-CA办理”。】</w:t>
      </w:r>
    </w:p>
    <w:p w14:paraId="18974CBF">
      <w:pPr>
        <w:pStyle w:val="51"/>
        <w:pageBreakBefore w:val="0"/>
        <w:numPr>
          <w:ilvl w:val="0"/>
          <w:numId w:val="0"/>
        </w:numPr>
        <w:kinsoku/>
        <w:overflowPunct/>
        <w:bidi w:val="0"/>
        <w:adjustRightInd w:val="0"/>
        <w:snapToGrid w:val="0"/>
        <w:spacing w:line="360" w:lineRule="auto"/>
        <w:ind w:left="426" w:leftChars="0"/>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eastAsia="宋体" w:cs="宋体"/>
          <w:color w:val="auto"/>
          <w:szCs w:val="21"/>
        </w:rPr>
        <w:t>.3技术支撑联系方式</w:t>
      </w:r>
    </w:p>
    <w:p w14:paraId="25F7417A">
      <w:pPr>
        <w:pStyle w:val="51"/>
        <w:pageBreakBefore w:val="0"/>
        <w:kinsoku/>
        <w:wordWrap w:val="0"/>
        <w:overflowPunct/>
        <w:bidi w:val="0"/>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服务热线：010-56107929 /010-56107880</w:t>
      </w:r>
    </w:p>
    <w:p w14:paraId="4FDF8A22">
      <w:pPr>
        <w:pStyle w:val="51"/>
        <w:pageBreakBefore w:val="0"/>
        <w:kinsoku/>
        <w:wordWrap w:val="0"/>
        <w:overflowPunct/>
        <w:bidi w:val="0"/>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服务邮箱：zb_support@chinatelecom.cn（电子采购系统技术支撑）</w:t>
      </w:r>
    </w:p>
    <w:p w14:paraId="1CDC935B">
      <w:pPr>
        <w:pStyle w:val="51"/>
        <w:pageBreakBefore w:val="0"/>
        <w:kinsoku/>
        <w:wordWrap w:val="0"/>
        <w:overflowPunct/>
        <w:bidi w:val="0"/>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ctsc@chinatelecom.cn（CA证书办理技术支撑）</w:t>
      </w:r>
    </w:p>
    <w:p w14:paraId="68F649F9">
      <w:pPr>
        <w:pStyle w:val="51"/>
        <w:pageBreakBefore w:val="0"/>
        <w:numPr>
          <w:ilvl w:val="0"/>
          <w:numId w:val="3"/>
        </w:numPr>
        <w:kinsoku/>
        <w:overflowPunct/>
        <w:bidi w:val="0"/>
        <w:adjustRightInd w:val="0"/>
        <w:snapToGrid w:val="0"/>
        <w:spacing w:line="360" w:lineRule="auto"/>
        <w:ind w:left="0" w:firstLine="426" w:firstLineChars="202"/>
        <w:rPr>
          <w:rFonts w:hint="eastAsia" w:ascii="宋体" w:hAnsi="宋体" w:eastAsia="宋体" w:cs="宋体"/>
          <w:b/>
          <w:color w:val="auto"/>
          <w:szCs w:val="21"/>
        </w:rPr>
      </w:pPr>
      <w:r>
        <w:rPr>
          <w:rFonts w:hint="eastAsia" w:ascii="宋体" w:hAnsi="宋体" w:eastAsia="宋体" w:cs="宋体"/>
          <w:b/>
          <w:color w:val="auto"/>
          <w:szCs w:val="21"/>
        </w:rPr>
        <w:t>发布公告的媒介</w:t>
      </w:r>
    </w:p>
    <w:p w14:paraId="12FD3933">
      <w:pPr>
        <w:pStyle w:val="51"/>
        <w:pageBreakBefore w:val="0"/>
        <w:kinsoku/>
        <w:wordWrap w:val="0"/>
        <w:overflowPunct/>
        <w:bidi w:val="0"/>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本招标公告同时</w:t>
      </w:r>
      <w:r>
        <w:rPr>
          <w:rFonts w:hint="eastAsia" w:ascii="宋体" w:hAnsi="宋体" w:eastAsia="宋体" w:cs="宋体"/>
          <w:color w:val="auto"/>
        </w:rPr>
        <w:t>且仅在中国招标投标公共服务平台（http://www.cebpubservice.com/）、中国电信阳光采购网（https://caigou.chinatelecom.com.cn）</w:t>
      </w:r>
      <w:r>
        <w:rPr>
          <w:rFonts w:hint="eastAsia" w:ascii="宋体" w:hAnsi="宋体" w:eastAsia="宋体" w:cs="宋体"/>
          <w:color w:val="auto"/>
          <w:szCs w:val="21"/>
        </w:rPr>
        <w:t>上发布，其他媒介转载无效。</w:t>
      </w:r>
    </w:p>
    <w:p w14:paraId="63489127">
      <w:pPr>
        <w:pStyle w:val="51"/>
        <w:pageBreakBefore w:val="0"/>
        <w:numPr>
          <w:ilvl w:val="0"/>
          <w:numId w:val="3"/>
        </w:numPr>
        <w:kinsoku/>
        <w:overflowPunct/>
        <w:bidi w:val="0"/>
        <w:adjustRightInd w:val="0"/>
        <w:snapToGrid w:val="0"/>
        <w:spacing w:line="360" w:lineRule="auto"/>
        <w:ind w:left="0" w:firstLine="426" w:firstLineChars="202"/>
        <w:rPr>
          <w:rFonts w:hint="eastAsia" w:ascii="宋体" w:hAnsi="宋体" w:eastAsia="宋体" w:cs="宋体"/>
          <w:b/>
          <w:color w:val="auto"/>
          <w:szCs w:val="21"/>
        </w:rPr>
      </w:pPr>
      <w:r>
        <w:rPr>
          <w:rFonts w:hint="eastAsia" w:ascii="宋体" w:hAnsi="宋体" w:eastAsia="宋体" w:cs="宋体"/>
          <w:b/>
          <w:color w:val="auto"/>
          <w:szCs w:val="21"/>
        </w:rPr>
        <w:t>联系及异议接收方式</w:t>
      </w:r>
    </w:p>
    <w:p w14:paraId="5E111024">
      <w:pPr>
        <w:pStyle w:val="51"/>
        <w:pageBreakBefore w:val="0"/>
        <w:kinsoku/>
        <w:overflowPunct/>
        <w:bidi w:val="0"/>
        <w:spacing w:line="360" w:lineRule="auto"/>
        <w:ind w:firstLine="422" w:firstLineChars="0"/>
        <w:rPr>
          <w:rFonts w:hint="eastAsia" w:ascii="宋体" w:hAnsi="宋体" w:eastAsia="宋体" w:cs="宋体"/>
          <w:color w:val="auto"/>
        </w:rPr>
      </w:pPr>
      <w:r>
        <w:rPr>
          <w:rFonts w:hint="eastAsia" w:ascii="宋体" w:hAnsi="宋体" w:eastAsia="宋体" w:cs="宋体"/>
          <w:color w:val="auto"/>
          <w:lang w:val="en-US" w:eastAsia="zh-CN"/>
        </w:rPr>
        <w:t>8</w:t>
      </w:r>
      <w:r>
        <w:rPr>
          <w:rFonts w:hint="eastAsia" w:ascii="宋体" w:hAnsi="宋体" w:eastAsia="宋体" w:cs="宋体"/>
          <w:color w:val="auto"/>
        </w:rPr>
        <w:t>.1联系方式</w:t>
      </w:r>
    </w:p>
    <w:p w14:paraId="6F017C68">
      <w:pPr>
        <w:pStyle w:val="51"/>
        <w:pageBreakBefore w:val="0"/>
        <w:kinsoku/>
        <w:overflowPunct/>
        <w:bidi w:val="0"/>
        <w:spacing w:line="360" w:lineRule="auto"/>
        <w:ind w:left="425" w:firstLine="0" w:firstLineChars="0"/>
        <w:rPr>
          <w:rFonts w:hint="eastAsia" w:ascii="宋体" w:hAnsi="宋体" w:eastAsia="宋体" w:cs="宋体"/>
          <w:color w:val="auto"/>
        </w:rPr>
      </w:pPr>
      <w:r>
        <w:rPr>
          <w:rFonts w:hint="eastAsia" w:ascii="宋体" w:hAnsi="宋体" w:eastAsia="宋体" w:cs="宋体"/>
          <w:color w:val="auto"/>
          <w:lang w:val="en-US" w:eastAsia="zh-CN"/>
        </w:rPr>
        <w:t>招 标</w:t>
      </w:r>
      <w:r>
        <w:rPr>
          <w:rFonts w:hint="eastAsia" w:ascii="宋体" w:hAnsi="宋体" w:eastAsia="宋体" w:cs="宋体"/>
          <w:color w:val="auto"/>
        </w:rPr>
        <w:t xml:space="preserve"> 人：</w:t>
      </w:r>
      <w:r>
        <w:rPr>
          <w:rFonts w:hint="eastAsia" w:ascii="宋体" w:hAnsi="宋体" w:eastAsia="宋体" w:cs="宋体"/>
          <w:color w:val="auto"/>
          <w:lang w:eastAsia="zh-CN"/>
        </w:rPr>
        <w:t>中国电信股份有限公司贵阳分公司</w:t>
      </w:r>
    </w:p>
    <w:p w14:paraId="7D794A28">
      <w:pPr>
        <w:pStyle w:val="51"/>
        <w:pageBreakBefore w:val="0"/>
        <w:kinsoku/>
        <w:overflowPunct/>
        <w:bidi w:val="0"/>
        <w:spacing w:line="360" w:lineRule="auto"/>
        <w:ind w:left="425" w:firstLine="0" w:firstLineChars="0"/>
        <w:rPr>
          <w:rFonts w:hint="eastAsia" w:ascii="宋体" w:hAnsi="宋体" w:eastAsia="宋体" w:cs="宋体"/>
          <w:color w:val="auto"/>
        </w:rPr>
      </w:pPr>
      <w:r>
        <w:rPr>
          <w:rFonts w:hint="eastAsia" w:ascii="宋体" w:hAnsi="宋体" w:eastAsia="宋体" w:cs="宋体"/>
          <w:color w:val="auto"/>
        </w:rPr>
        <w:t>地    址：</w:t>
      </w:r>
      <w:r>
        <w:rPr>
          <w:rFonts w:hint="eastAsia" w:ascii="宋体" w:hAnsi="宋体" w:eastAsia="宋体" w:cs="宋体"/>
          <w:color w:val="auto"/>
          <w:lang w:eastAsia="zh-CN"/>
        </w:rPr>
        <w:t>贵州省贵阳市云岩区半边街17号</w:t>
      </w:r>
    </w:p>
    <w:p w14:paraId="284E8F78">
      <w:pPr>
        <w:pStyle w:val="51"/>
        <w:pageBreakBefore w:val="0"/>
        <w:kinsoku/>
        <w:overflowPunct/>
        <w:bidi w:val="0"/>
        <w:spacing w:line="360" w:lineRule="auto"/>
        <w:ind w:left="425" w:firstLine="0" w:firstLineChars="0"/>
        <w:rPr>
          <w:rFonts w:hint="eastAsia" w:ascii="宋体" w:hAnsi="宋体" w:eastAsia="宋体" w:cs="宋体"/>
          <w:color w:val="auto"/>
        </w:rPr>
      </w:pPr>
      <w:r>
        <w:rPr>
          <w:rFonts w:hint="eastAsia" w:ascii="宋体" w:hAnsi="宋体" w:eastAsia="宋体" w:cs="宋体"/>
          <w:color w:val="auto"/>
        </w:rPr>
        <w:t>邮    编：</w:t>
      </w:r>
      <w:r>
        <w:rPr>
          <w:rFonts w:hint="eastAsia" w:ascii="宋体" w:hAnsi="宋体" w:eastAsia="宋体" w:cs="宋体"/>
          <w:color w:val="auto"/>
          <w:lang w:eastAsia="zh-CN"/>
        </w:rPr>
        <w:t>【55</w:t>
      </w:r>
      <w:r>
        <w:rPr>
          <w:rFonts w:hint="eastAsia" w:ascii="宋体" w:hAnsi="宋体" w:eastAsia="宋体" w:cs="宋体"/>
          <w:color w:val="auto"/>
          <w:lang w:val="en-US" w:eastAsia="zh-CN"/>
        </w:rPr>
        <w:t>0000</w:t>
      </w:r>
      <w:r>
        <w:rPr>
          <w:rFonts w:hint="eastAsia" w:ascii="宋体" w:hAnsi="宋体" w:eastAsia="宋体" w:cs="宋体"/>
          <w:color w:val="auto"/>
          <w:lang w:eastAsia="zh-CN"/>
        </w:rPr>
        <w:t>】</w:t>
      </w:r>
    </w:p>
    <w:p w14:paraId="724D38C7">
      <w:pPr>
        <w:pStyle w:val="51"/>
        <w:pageBreakBefore w:val="0"/>
        <w:kinsoku/>
        <w:overflowPunct/>
        <w:bidi w:val="0"/>
        <w:spacing w:line="360" w:lineRule="auto"/>
        <w:ind w:left="425" w:firstLine="0" w:firstLineChars="0"/>
        <w:rPr>
          <w:rFonts w:hint="eastAsia" w:ascii="宋体" w:hAnsi="宋体" w:eastAsia="宋体" w:cs="宋体"/>
          <w:color w:val="auto"/>
          <w:lang w:val="en-US" w:eastAsia="zh-CN"/>
        </w:rPr>
      </w:pPr>
      <w:r>
        <w:rPr>
          <w:rFonts w:hint="eastAsia" w:ascii="宋体" w:hAnsi="宋体" w:eastAsia="宋体" w:cs="宋体"/>
          <w:color w:val="auto"/>
        </w:rPr>
        <w:t>联 系 人：</w:t>
      </w:r>
      <w:r>
        <w:rPr>
          <w:rFonts w:hint="eastAsia" w:ascii="宋体" w:hAnsi="宋体" w:eastAsia="宋体" w:cs="宋体"/>
          <w:color w:val="auto"/>
          <w:lang w:val="en-US" w:eastAsia="zh-CN"/>
        </w:rPr>
        <w:t>余老师</w:t>
      </w:r>
    </w:p>
    <w:p w14:paraId="6FE32F14">
      <w:pPr>
        <w:pStyle w:val="51"/>
        <w:pageBreakBefore w:val="0"/>
        <w:kinsoku/>
        <w:overflowPunct/>
        <w:bidi w:val="0"/>
        <w:spacing w:line="360" w:lineRule="auto"/>
        <w:ind w:left="425" w:firstLine="0" w:firstLineChars="0"/>
        <w:rPr>
          <w:rFonts w:hint="eastAsia" w:ascii="宋体" w:hAnsi="宋体" w:eastAsia="宋体" w:cs="宋体"/>
          <w:color w:val="auto"/>
          <w:lang w:val="en-US" w:eastAsia="zh-CN"/>
        </w:rPr>
      </w:pPr>
      <w:r>
        <w:rPr>
          <w:rFonts w:hint="eastAsia" w:ascii="宋体" w:hAnsi="宋体" w:eastAsia="宋体" w:cs="宋体"/>
          <w:color w:val="auto"/>
        </w:rPr>
        <w:t>电    话：</w:t>
      </w:r>
      <w:r>
        <w:rPr>
          <w:rFonts w:hint="eastAsia" w:ascii="宋体" w:hAnsi="宋体" w:eastAsia="宋体" w:cs="宋体"/>
          <w:color w:val="auto"/>
          <w:highlight w:val="none"/>
          <w:lang w:eastAsia="zh-CN"/>
        </w:rPr>
        <w:t>0851-</w:t>
      </w:r>
      <w:r>
        <w:rPr>
          <w:rFonts w:hint="eastAsia" w:ascii="宋体" w:hAnsi="宋体" w:eastAsia="宋体" w:cs="宋体"/>
          <w:color w:val="auto"/>
          <w:highlight w:val="none"/>
          <w:lang w:val="en-US" w:eastAsia="zh-CN"/>
        </w:rPr>
        <w:t>86619420</w:t>
      </w:r>
    </w:p>
    <w:p w14:paraId="5C467C17">
      <w:pPr>
        <w:pStyle w:val="51"/>
        <w:pageBreakBefore w:val="0"/>
        <w:kinsoku/>
        <w:overflowPunct/>
        <w:bidi w:val="0"/>
        <w:spacing w:line="360" w:lineRule="auto"/>
        <w:ind w:left="425" w:firstLine="0" w:firstLineChars="0"/>
        <w:rPr>
          <w:rFonts w:hint="eastAsia" w:ascii="宋体" w:hAnsi="宋体" w:eastAsia="宋体" w:cs="宋体"/>
          <w:color w:val="auto"/>
        </w:rPr>
      </w:pPr>
      <w:r>
        <w:rPr>
          <w:rFonts w:hint="eastAsia" w:ascii="宋体" w:hAnsi="宋体" w:eastAsia="宋体" w:cs="宋体"/>
          <w:color w:val="auto"/>
        </w:rPr>
        <w:t>电子邮件：</w:t>
      </w:r>
      <w:r>
        <w:rPr>
          <w:rFonts w:hint="eastAsia" w:ascii="宋体" w:hAnsi="宋体" w:eastAsia="宋体" w:cs="宋体"/>
          <w:color w:val="auto"/>
          <w:highlight w:val="none"/>
          <w:lang w:val="en-US" w:eastAsia="zh-CN"/>
        </w:rPr>
        <w:t>【/】</w:t>
      </w:r>
    </w:p>
    <w:p w14:paraId="6C3BFCB7">
      <w:pPr>
        <w:pStyle w:val="51"/>
        <w:pageBreakBefore w:val="0"/>
        <w:kinsoku/>
        <w:overflowPunct/>
        <w:bidi w:val="0"/>
        <w:spacing w:line="360" w:lineRule="auto"/>
        <w:ind w:left="425" w:firstLine="0" w:firstLineChars="0"/>
        <w:rPr>
          <w:rFonts w:hint="eastAsia" w:ascii="宋体" w:hAnsi="宋体" w:eastAsia="宋体" w:cs="宋体"/>
          <w:color w:val="auto"/>
        </w:rPr>
      </w:pPr>
      <w:r>
        <w:rPr>
          <w:rFonts w:hint="eastAsia" w:ascii="宋体" w:hAnsi="宋体" w:eastAsia="宋体" w:cs="宋体"/>
          <w:color w:val="auto"/>
          <w:lang w:val="en-US" w:eastAsia="zh-CN"/>
        </w:rPr>
        <w:t>招标</w:t>
      </w:r>
      <w:r>
        <w:rPr>
          <w:rFonts w:hint="eastAsia" w:ascii="宋体" w:hAnsi="宋体" w:eastAsia="宋体" w:cs="宋体"/>
          <w:color w:val="auto"/>
        </w:rPr>
        <w:t>代理机构：</w:t>
      </w:r>
      <w:r>
        <w:rPr>
          <w:rFonts w:hint="eastAsia" w:ascii="宋体" w:hAnsi="宋体" w:eastAsia="宋体" w:cs="宋体"/>
          <w:color w:val="auto"/>
          <w:lang w:eastAsia="zh-CN"/>
        </w:rPr>
        <w:t>中通服供应链股份有限公司贵州分公司</w:t>
      </w:r>
    </w:p>
    <w:p w14:paraId="0771F6F0">
      <w:pPr>
        <w:pageBreakBefore w:val="0"/>
        <w:kinsoku/>
        <w:overflowPunct/>
        <w:bidi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地    址：贵州省贵阳市金阳北路27号麒龙贵州塔16楼</w:t>
      </w:r>
      <w:r>
        <w:rPr>
          <w:rFonts w:hint="eastAsia" w:ascii="宋体" w:hAnsi="宋体" w:eastAsia="宋体" w:cs="宋体"/>
          <w:color w:val="auto"/>
          <w:lang w:val="en-US" w:eastAsia="zh-CN"/>
        </w:rPr>
        <w:t>招标</w:t>
      </w:r>
      <w:r>
        <w:rPr>
          <w:rFonts w:hint="eastAsia" w:ascii="宋体" w:hAnsi="宋体" w:eastAsia="宋体" w:cs="宋体"/>
          <w:color w:val="auto"/>
        </w:rPr>
        <w:t>部</w:t>
      </w:r>
    </w:p>
    <w:p w14:paraId="11C44E33">
      <w:pPr>
        <w:pStyle w:val="51"/>
        <w:pageBreakBefore w:val="0"/>
        <w:kinsoku/>
        <w:overflowPunct/>
        <w:bidi w:val="0"/>
        <w:spacing w:line="360" w:lineRule="auto"/>
        <w:ind w:left="425" w:firstLine="0" w:firstLineChars="0"/>
        <w:rPr>
          <w:rFonts w:hint="eastAsia" w:ascii="宋体" w:hAnsi="宋体" w:eastAsia="宋体" w:cs="宋体"/>
          <w:color w:val="auto"/>
          <w:lang w:eastAsia="zh-CN"/>
        </w:rPr>
      </w:pPr>
      <w:r>
        <w:rPr>
          <w:rFonts w:hint="eastAsia" w:ascii="宋体" w:hAnsi="宋体" w:eastAsia="宋体" w:cs="宋体"/>
          <w:color w:val="auto"/>
        </w:rPr>
        <w:t>邮    编：</w:t>
      </w:r>
      <w:r>
        <w:rPr>
          <w:rFonts w:hint="eastAsia" w:ascii="宋体" w:hAnsi="宋体" w:eastAsia="宋体" w:cs="宋体"/>
          <w:color w:val="auto"/>
          <w:lang w:eastAsia="zh-CN"/>
        </w:rPr>
        <w:t>【55</w:t>
      </w:r>
      <w:r>
        <w:rPr>
          <w:rFonts w:hint="eastAsia" w:ascii="宋体" w:hAnsi="宋体" w:eastAsia="宋体" w:cs="宋体"/>
          <w:color w:val="auto"/>
          <w:lang w:val="en-US" w:eastAsia="zh-CN"/>
        </w:rPr>
        <w:t>0000</w:t>
      </w:r>
      <w:r>
        <w:rPr>
          <w:rFonts w:hint="eastAsia" w:ascii="宋体" w:hAnsi="宋体" w:eastAsia="宋体" w:cs="宋体"/>
          <w:color w:val="auto"/>
          <w:lang w:eastAsia="zh-CN"/>
        </w:rPr>
        <w:t>】</w:t>
      </w:r>
    </w:p>
    <w:p w14:paraId="1A7CA723">
      <w:pPr>
        <w:pStyle w:val="51"/>
        <w:pageBreakBefore w:val="0"/>
        <w:kinsoku/>
        <w:overflowPunct/>
        <w:bidi w:val="0"/>
        <w:spacing w:line="360" w:lineRule="auto"/>
        <w:ind w:left="425" w:firstLine="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项目总负责人：李琦 </w:t>
      </w:r>
    </w:p>
    <w:p w14:paraId="4F13B493">
      <w:pPr>
        <w:pStyle w:val="51"/>
        <w:pageBreakBefore w:val="0"/>
        <w:kinsoku/>
        <w:overflowPunct/>
        <w:bidi w:val="0"/>
        <w:spacing w:line="360" w:lineRule="auto"/>
        <w:ind w:left="425" w:firstLine="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项目经理：廖吉飞 18085189857</w:t>
      </w:r>
    </w:p>
    <w:p w14:paraId="4B1D87DF">
      <w:pPr>
        <w:pStyle w:val="51"/>
        <w:pageBreakBefore w:val="0"/>
        <w:kinsoku/>
        <w:overflowPunct/>
        <w:bidi w:val="0"/>
        <w:spacing w:line="360" w:lineRule="auto"/>
        <w:ind w:left="425" w:firstLine="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项目</w:t>
      </w:r>
      <w:r>
        <w:rPr>
          <w:rFonts w:hint="eastAsia" w:ascii="宋体" w:hAnsi="宋体" w:eastAsia="宋体" w:cs="宋体"/>
          <w:color w:val="auto"/>
        </w:rPr>
        <w:t>联系人：</w:t>
      </w:r>
      <w:r>
        <w:rPr>
          <w:rFonts w:hint="eastAsia" w:ascii="宋体" w:hAnsi="宋体" w:eastAsia="宋体" w:cs="宋体"/>
          <w:color w:val="auto"/>
          <w:lang w:val="en-US" w:eastAsia="zh-CN"/>
        </w:rPr>
        <w:t>黄娟</w:t>
      </w:r>
      <w:r>
        <w:rPr>
          <w:rFonts w:hint="eastAsia" w:ascii="宋体" w:hAnsi="宋体" w:eastAsia="宋体" w:cs="宋体"/>
          <w:color w:val="auto"/>
          <w:szCs w:val="20"/>
          <w:lang w:val="en-US" w:eastAsia="zh-CN"/>
        </w:rPr>
        <w:t>15285220146、</w:t>
      </w:r>
      <w:r>
        <w:rPr>
          <w:rFonts w:hint="eastAsia" w:ascii="宋体" w:hAnsi="宋体" w:eastAsia="宋体" w:cs="宋体"/>
          <w:color w:val="auto"/>
          <w:lang w:val="en-US" w:eastAsia="zh-CN"/>
        </w:rPr>
        <w:t>李欣骏13308519735、雷雨薇18198623251</w:t>
      </w:r>
    </w:p>
    <w:p w14:paraId="70A8788A">
      <w:pPr>
        <w:pageBreakBefore w:val="0"/>
        <w:kinsoku/>
        <w:overflowPunct/>
        <w:bidi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电子邮件：</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"mailto:2116573176@qq.com" </w:instrText>
      </w:r>
      <w:r>
        <w:rPr>
          <w:rFonts w:hint="eastAsia" w:ascii="宋体" w:hAnsi="宋体" w:eastAsia="宋体" w:cs="宋体"/>
          <w:color w:val="auto"/>
        </w:rPr>
        <w:fldChar w:fldCharType="separate"/>
      </w:r>
      <w:r>
        <w:rPr>
          <w:rStyle w:val="47"/>
          <w:rFonts w:hint="eastAsia" w:ascii="宋体" w:hAnsi="宋体" w:eastAsia="宋体" w:cs="宋体"/>
          <w:color w:val="auto"/>
          <w:szCs w:val="21"/>
          <w:u w:val="none"/>
          <w:lang w:val="en-US" w:eastAsia="zh-CN"/>
        </w:rPr>
        <w:t>1874218120</w:t>
      </w:r>
      <w:r>
        <w:rPr>
          <w:rStyle w:val="47"/>
          <w:rFonts w:hint="eastAsia" w:ascii="宋体" w:hAnsi="宋体" w:eastAsia="宋体" w:cs="宋体"/>
          <w:color w:val="auto"/>
          <w:szCs w:val="21"/>
          <w:u w:val="none"/>
        </w:rPr>
        <w:t>@qq.com</w:t>
      </w:r>
      <w:r>
        <w:rPr>
          <w:rStyle w:val="47"/>
          <w:rFonts w:hint="eastAsia" w:ascii="宋体" w:hAnsi="宋体" w:eastAsia="宋体" w:cs="宋体"/>
          <w:color w:val="auto"/>
          <w:szCs w:val="21"/>
          <w:u w:val="none"/>
        </w:rPr>
        <w:fldChar w:fldCharType="end"/>
      </w:r>
    </w:p>
    <w:p w14:paraId="4CF00A98">
      <w:pPr>
        <w:pStyle w:val="51"/>
        <w:pageBreakBefore w:val="0"/>
        <w:kinsoku/>
        <w:overflowPunct/>
        <w:bidi w:val="0"/>
        <w:spacing w:line="360" w:lineRule="auto"/>
        <w:ind w:firstLine="424" w:firstLineChars="202"/>
        <w:rPr>
          <w:rFonts w:hint="eastAsia" w:ascii="宋体" w:hAnsi="宋体" w:eastAsia="宋体" w:cs="宋体"/>
          <w:color w:val="auto"/>
          <w:lang w:val="en-US" w:eastAsia="zh-CN"/>
        </w:rPr>
      </w:pPr>
      <w:r>
        <w:rPr>
          <w:rFonts w:hint="eastAsia" w:ascii="宋体" w:hAnsi="宋体" w:eastAsia="宋体" w:cs="宋体"/>
          <w:color w:val="auto"/>
          <w:lang w:val="en-US" w:eastAsia="zh-CN"/>
        </w:rPr>
        <w:t>开户名：中通服供应链股份有限公司贵州分公司 </w:t>
      </w:r>
    </w:p>
    <w:p w14:paraId="108B01F9">
      <w:pPr>
        <w:pStyle w:val="51"/>
        <w:pageBreakBefore w:val="0"/>
        <w:kinsoku/>
        <w:overflowPunct/>
        <w:bidi w:val="0"/>
        <w:spacing w:line="360" w:lineRule="auto"/>
        <w:ind w:firstLine="424" w:firstLineChars="202"/>
        <w:rPr>
          <w:rFonts w:hint="eastAsia" w:ascii="宋体" w:hAnsi="宋体" w:eastAsia="宋体" w:cs="宋体"/>
          <w:color w:val="auto"/>
          <w:lang w:val="en-US" w:eastAsia="zh-CN"/>
        </w:rPr>
      </w:pPr>
      <w:r>
        <w:rPr>
          <w:rFonts w:hint="eastAsia" w:ascii="宋体" w:hAnsi="宋体" w:eastAsia="宋体" w:cs="宋体"/>
          <w:color w:val="auto"/>
          <w:lang w:val="en-US" w:eastAsia="zh-CN"/>
        </w:rPr>
        <w:t>账号：</w:t>
      </w:r>
      <w:r>
        <w:rPr>
          <w:rFonts w:hint="eastAsia" w:ascii="宋体" w:hAnsi="宋体" w:cs="宋体"/>
          <w:color w:val="auto"/>
          <w:lang w:val="en-US" w:eastAsia="zh-CN"/>
        </w:rPr>
        <w:t>3113230078540000105</w:t>
      </w:r>
      <w:r>
        <w:rPr>
          <w:rFonts w:hint="eastAsia" w:ascii="宋体" w:hAnsi="宋体" w:eastAsia="宋体" w:cs="宋体"/>
          <w:color w:val="auto"/>
          <w:lang w:val="en-US" w:eastAsia="zh-CN"/>
        </w:rPr>
        <w:t> </w:t>
      </w:r>
    </w:p>
    <w:p w14:paraId="60B5FDBE">
      <w:pPr>
        <w:pStyle w:val="51"/>
        <w:pageBreakBefore w:val="0"/>
        <w:kinsoku/>
        <w:overflowPunct/>
        <w:bidi w:val="0"/>
        <w:spacing w:line="360" w:lineRule="auto"/>
        <w:ind w:firstLine="424" w:firstLineChars="202"/>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开户行：中信银行股份有限公司贵阳林城西路支行 </w:t>
      </w:r>
    </w:p>
    <w:p w14:paraId="2FE6AA84">
      <w:pPr>
        <w:pStyle w:val="51"/>
        <w:pageBreakBefore w:val="0"/>
        <w:kinsoku/>
        <w:overflowPunct/>
        <w:bidi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lang w:val="en-US" w:eastAsia="zh-CN"/>
        </w:rPr>
        <w:t>8</w:t>
      </w:r>
      <w:r>
        <w:rPr>
          <w:rFonts w:hint="eastAsia" w:ascii="宋体" w:hAnsi="宋体" w:eastAsia="宋体" w:cs="宋体"/>
          <w:color w:val="auto"/>
        </w:rPr>
        <w:t>.2异议接收方式</w:t>
      </w:r>
    </w:p>
    <w:p w14:paraId="2FC81DF6">
      <w:pPr>
        <w:pStyle w:val="51"/>
        <w:pageBreakBefore w:val="0"/>
        <w:kinsoku/>
        <w:wordWrap w:val="0"/>
        <w:overflowPunct/>
        <w:bidi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【登录中国电信阳光采购网（https://caigou.chinatelecom.com.cn）后，通过“招投标-采购异议-提出异议”模块提出。】</w:t>
      </w:r>
    </w:p>
    <w:p w14:paraId="53942559">
      <w:pPr>
        <w:pageBreakBefore w:val="0"/>
        <w:kinsoku/>
        <w:overflowPunct/>
        <w:bidi w:val="0"/>
        <w:spacing w:line="360" w:lineRule="auto"/>
        <w:ind w:right="699"/>
        <w:jc w:val="right"/>
        <w:rPr>
          <w:rFonts w:hint="eastAsia" w:ascii="宋体" w:hAnsi="宋体" w:eastAsia="宋体" w:cs="宋体"/>
          <w:color w:val="auto"/>
          <w:szCs w:val="21"/>
        </w:rPr>
      </w:pPr>
      <w:r>
        <w:rPr>
          <w:rFonts w:hint="eastAsia" w:ascii="宋体" w:hAnsi="宋体" w:eastAsia="宋体" w:cs="宋体"/>
          <w:color w:val="auto"/>
          <w:szCs w:val="21"/>
        </w:rPr>
        <w:t>招标代理机构：</w:t>
      </w:r>
      <w:r>
        <w:rPr>
          <w:rFonts w:hint="eastAsia" w:ascii="宋体" w:hAnsi="宋体" w:eastAsia="宋体" w:cs="宋体"/>
          <w:color w:val="auto"/>
          <w:szCs w:val="21"/>
          <w:u w:val="single"/>
        </w:rPr>
        <w:t>【</w:t>
      </w:r>
      <w:r>
        <w:rPr>
          <w:rFonts w:hint="eastAsia" w:ascii="宋体" w:hAnsi="宋体" w:eastAsia="宋体" w:cs="宋体"/>
          <w:color w:val="auto"/>
          <w:szCs w:val="21"/>
          <w:u w:val="single"/>
          <w:lang w:eastAsia="zh-CN"/>
        </w:rPr>
        <w:t>中通服供应链股份有限公司贵州分公司</w:t>
      </w:r>
      <w:r>
        <w:rPr>
          <w:rFonts w:hint="eastAsia" w:ascii="宋体" w:hAnsi="宋体" w:eastAsia="宋体" w:cs="宋体"/>
          <w:color w:val="auto"/>
          <w:szCs w:val="21"/>
          <w:u w:val="single"/>
        </w:rPr>
        <w:t xml:space="preserve">】 </w:t>
      </w:r>
    </w:p>
    <w:p w14:paraId="7135E9CC">
      <w:pPr>
        <w:pageBreakBefore w:val="0"/>
        <w:kinsoku/>
        <w:overflowPunct/>
        <w:bidi w:val="0"/>
        <w:spacing w:line="360" w:lineRule="auto"/>
        <w:ind w:firstLine="4960" w:firstLineChars="2362"/>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2025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日】</w:t>
      </w:r>
      <w:bookmarkEnd w:id="1614"/>
    </w:p>
    <w:p w14:paraId="6CB742BE">
      <w:pPr>
        <w:pageBreakBefore w:val="0"/>
        <w:widowControl/>
        <w:kinsoku/>
        <w:overflowPunct/>
        <w:bidi w:val="0"/>
        <w:spacing w:line="360" w:lineRule="auto"/>
        <w:jc w:val="left"/>
        <w:rPr>
          <w:rFonts w:hint="eastAsia" w:ascii="宋体" w:hAnsi="宋体" w:eastAsia="宋体" w:cs="宋体"/>
          <w:color w:val="auto"/>
          <w:szCs w:val="21"/>
        </w:rPr>
        <w:sectPr>
          <w:footerReference r:id="rId6" w:type="default"/>
          <w:pgSz w:w="11906" w:h="16838"/>
          <w:pgMar w:top="1440" w:right="1800" w:bottom="1440" w:left="1800" w:header="851" w:footer="992" w:gutter="0"/>
          <w:pgNumType w:fmt="decimal" w:start="1"/>
          <w:cols w:space="425" w:num="1"/>
          <w:docGrid w:type="lines" w:linePitch="312" w:charSpace="0"/>
        </w:sectPr>
      </w:pPr>
    </w:p>
    <w:p w14:paraId="6BFB21F4">
      <w:pPr>
        <w:pStyle w:val="50"/>
        <w:pageBreakBefore w:val="0"/>
        <w:kinsoku/>
        <w:overflowPunct/>
        <w:bidi w:val="0"/>
        <w:spacing w:before="240" w:after="120" w:line="360" w:lineRule="auto"/>
        <w:rPr>
          <w:rFonts w:hint="eastAsia" w:ascii="宋体" w:hAnsi="宋体" w:eastAsia="宋体" w:cs="宋体"/>
          <w:b/>
          <w:color w:val="auto"/>
          <w:sz w:val="28"/>
          <w:szCs w:val="28"/>
        </w:rPr>
      </w:pPr>
      <w:bookmarkStart w:id="12" w:name="_Toc447265214"/>
      <w:bookmarkStart w:id="13" w:name="_Toc447265500"/>
      <w:bookmarkStart w:id="14" w:name="_Toc28026"/>
      <w:bookmarkStart w:id="15" w:name="_Toc38007949"/>
      <w:bookmarkStart w:id="16" w:name="_Toc447188665"/>
      <w:r>
        <w:rPr>
          <w:rFonts w:hint="eastAsia" w:ascii="宋体" w:hAnsi="宋体" w:eastAsia="宋体" w:cs="宋体"/>
          <w:b/>
          <w:bCs w:val="0"/>
          <w:color w:val="auto"/>
          <w:kern w:val="0"/>
          <w:sz w:val="28"/>
          <w:szCs w:val="28"/>
        </w:rPr>
        <w:t>第二章 投标人须知</w:t>
      </w:r>
      <w:bookmarkEnd w:id="12"/>
      <w:bookmarkEnd w:id="13"/>
      <w:bookmarkEnd w:id="14"/>
      <w:bookmarkEnd w:id="15"/>
      <w:bookmarkEnd w:id="16"/>
    </w:p>
    <w:p w14:paraId="1AD81548">
      <w:pPr>
        <w:pStyle w:val="3"/>
        <w:pageBreakBefore w:val="0"/>
        <w:kinsoku/>
        <w:overflowPunct/>
        <w:bidi w:val="0"/>
        <w:snapToGrid w:val="0"/>
        <w:spacing w:before="240" w:after="120" w:line="360" w:lineRule="auto"/>
        <w:rPr>
          <w:rFonts w:hint="eastAsia" w:ascii="宋体" w:hAnsi="宋体" w:eastAsia="宋体" w:cs="宋体"/>
          <w:color w:val="auto"/>
          <w:sz w:val="24"/>
          <w:szCs w:val="24"/>
        </w:rPr>
      </w:pPr>
      <w:bookmarkStart w:id="17" w:name="_Toc30189"/>
      <w:bookmarkStart w:id="18" w:name="_Toc2138"/>
      <w:bookmarkStart w:id="19" w:name="_Toc15281"/>
      <w:bookmarkStart w:id="20" w:name="_Toc14384"/>
      <w:bookmarkStart w:id="21" w:name="_Toc447188666"/>
      <w:bookmarkStart w:id="22" w:name="_Toc18628"/>
      <w:bookmarkStart w:id="23" w:name="_Toc227057884"/>
      <w:bookmarkStart w:id="24" w:name="_Toc32108"/>
      <w:bookmarkStart w:id="25" w:name="_Toc28629"/>
      <w:bookmarkStart w:id="26" w:name="_Toc24428"/>
      <w:bookmarkStart w:id="27" w:name="_Toc19089"/>
      <w:bookmarkStart w:id="28" w:name="_Toc21535"/>
      <w:bookmarkStart w:id="29" w:name="_Toc447265501"/>
      <w:bookmarkStart w:id="30" w:name="_Toc5035"/>
      <w:bookmarkStart w:id="31" w:name="_Toc447265215"/>
      <w:bookmarkStart w:id="32" w:name="_Toc11508"/>
      <w:bookmarkStart w:id="33" w:name="_Toc21387"/>
      <w:bookmarkStart w:id="34" w:name="_Toc226969277"/>
      <w:bookmarkStart w:id="35" w:name="_Toc15785"/>
      <w:bookmarkStart w:id="36" w:name="_Toc38007950"/>
      <w:r>
        <w:rPr>
          <w:rFonts w:hint="eastAsia" w:ascii="宋体" w:hAnsi="宋体" w:eastAsia="宋体" w:cs="宋体"/>
          <w:b w:val="0"/>
          <w:bCs w:val="0"/>
          <w:color w:val="auto"/>
          <w:sz w:val="24"/>
          <w:szCs w:val="24"/>
        </w:rPr>
        <w:t>投标人须知前附表</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058D4660">
      <w:pPr>
        <w:pageBreakBefore w:val="0"/>
        <w:kinsoku/>
        <w:overflowPunct/>
        <w:autoSpaceDE w:val="0"/>
        <w:autoSpaceDN w:val="0"/>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本投标人须知前附表是对投标人须知正文的具体补充和修改，如有矛盾，以本前附表为准。</w:t>
      </w:r>
    </w:p>
    <w:tbl>
      <w:tblPr>
        <w:tblStyle w:val="41"/>
        <w:tblW w:w="8301" w:type="dxa"/>
        <w:tblInd w:w="2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840"/>
        <w:gridCol w:w="1666"/>
        <w:gridCol w:w="5795"/>
      </w:tblGrid>
      <w:tr w14:paraId="35D16B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27" w:hRule="atLeast"/>
          <w:tblHeader/>
        </w:trPr>
        <w:tc>
          <w:tcPr>
            <w:tcW w:w="840" w:type="dxa"/>
            <w:vAlign w:val="center"/>
          </w:tcPr>
          <w:p w14:paraId="71C4D7EC">
            <w:pPr>
              <w:pageBreakBefore w:val="0"/>
              <w:kinsoku/>
              <w:overflowPunct/>
              <w:autoSpaceDE w:val="0"/>
              <w:autoSpaceDN w:val="0"/>
              <w:bidi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条款号</w:t>
            </w:r>
          </w:p>
        </w:tc>
        <w:tc>
          <w:tcPr>
            <w:tcW w:w="1666" w:type="dxa"/>
            <w:vAlign w:val="center"/>
          </w:tcPr>
          <w:p w14:paraId="6FB3CFDE">
            <w:pPr>
              <w:pageBreakBefore w:val="0"/>
              <w:kinsoku/>
              <w:overflowPunct/>
              <w:autoSpaceDE w:val="0"/>
              <w:autoSpaceDN w:val="0"/>
              <w:bidi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条款名称</w:t>
            </w:r>
          </w:p>
        </w:tc>
        <w:tc>
          <w:tcPr>
            <w:tcW w:w="5795" w:type="dxa"/>
            <w:vAlign w:val="center"/>
          </w:tcPr>
          <w:p w14:paraId="54EA3E0B">
            <w:pPr>
              <w:pageBreakBefore w:val="0"/>
              <w:kinsoku/>
              <w:overflowPunct/>
              <w:autoSpaceDE w:val="0"/>
              <w:autoSpaceDN w:val="0"/>
              <w:bidi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编列内容</w:t>
            </w:r>
          </w:p>
        </w:tc>
      </w:tr>
      <w:tr w14:paraId="5FED06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5585363">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1.1.2</w:t>
            </w:r>
          </w:p>
        </w:tc>
        <w:tc>
          <w:tcPr>
            <w:tcW w:w="1666" w:type="dxa"/>
            <w:vAlign w:val="center"/>
          </w:tcPr>
          <w:p w14:paraId="1CC74FA0">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招标人</w:t>
            </w:r>
          </w:p>
        </w:tc>
        <w:tc>
          <w:tcPr>
            <w:tcW w:w="5795" w:type="dxa"/>
            <w:vAlign w:val="center"/>
          </w:tcPr>
          <w:p w14:paraId="2011B3FF">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招标人名称：</w:t>
            </w:r>
            <w:r>
              <w:rPr>
                <w:rFonts w:hint="eastAsia" w:ascii="宋体" w:hAnsi="宋体" w:eastAsia="宋体" w:cs="宋体"/>
                <w:color w:val="auto"/>
                <w:szCs w:val="21"/>
                <w:highlight w:val="none"/>
                <w:lang w:eastAsia="zh-CN"/>
              </w:rPr>
              <w:t>中国电信股份有限公司贵阳分公司</w:t>
            </w:r>
          </w:p>
          <w:p w14:paraId="176394EC">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招标人地址：</w:t>
            </w:r>
            <w:r>
              <w:rPr>
                <w:rFonts w:hint="eastAsia" w:ascii="宋体" w:hAnsi="宋体" w:eastAsia="宋体" w:cs="宋体"/>
                <w:color w:val="auto"/>
                <w:lang w:eastAsia="zh-CN"/>
              </w:rPr>
              <w:t>贵州省贵阳市云岩区半边街17号</w:t>
            </w:r>
          </w:p>
          <w:p w14:paraId="72DD8FFB">
            <w:pPr>
              <w:pageBreakBefore w:val="0"/>
              <w:kinsoku/>
              <w:overflowPunct/>
              <w:bidi w:val="0"/>
              <w:spacing w:line="360" w:lineRule="auto"/>
              <w:rPr>
                <w:rFonts w:hint="eastAsia" w:ascii="宋体" w:hAnsi="宋体" w:eastAsia="宋体" w:cs="宋体"/>
                <w:color w:val="auto"/>
                <w:szCs w:val="21"/>
                <w:lang w:val="en-US"/>
              </w:rPr>
            </w:pPr>
            <w:r>
              <w:rPr>
                <w:rFonts w:hint="eastAsia" w:ascii="宋体" w:hAnsi="宋体" w:eastAsia="宋体" w:cs="宋体"/>
                <w:color w:val="auto"/>
                <w:szCs w:val="21"/>
              </w:rPr>
              <w:t>招标人联系方式：</w:t>
            </w:r>
            <w:r>
              <w:rPr>
                <w:rFonts w:hint="eastAsia" w:ascii="宋体" w:hAnsi="宋体" w:eastAsia="宋体" w:cs="宋体"/>
                <w:color w:val="auto"/>
                <w:szCs w:val="21"/>
                <w:lang w:val="en-US" w:eastAsia="zh-CN"/>
              </w:rPr>
              <w:t>余</w:t>
            </w:r>
            <w:r>
              <w:rPr>
                <w:rFonts w:hint="eastAsia" w:ascii="宋体" w:hAnsi="宋体" w:eastAsia="宋体" w:cs="宋体"/>
                <w:color w:val="auto"/>
                <w:szCs w:val="21"/>
                <w:highlight w:val="none"/>
                <w:lang w:val="en-US" w:eastAsia="zh-CN"/>
              </w:rPr>
              <w:t xml:space="preserve">老师  </w:t>
            </w:r>
            <w:r>
              <w:rPr>
                <w:rFonts w:hint="eastAsia" w:ascii="宋体" w:hAnsi="宋体" w:eastAsia="宋体" w:cs="宋体"/>
                <w:color w:val="auto"/>
                <w:highlight w:val="none"/>
                <w:lang w:eastAsia="zh-CN"/>
              </w:rPr>
              <w:t>0851-</w:t>
            </w:r>
            <w:r>
              <w:rPr>
                <w:rFonts w:hint="eastAsia" w:ascii="宋体" w:hAnsi="宋体" w:eastAsia="宋体" w:cs="宋体"/>
                <w:color w:val="auto"/>
                <w:highlight w:val="none"/>
                <w:lang w:val="en-US" w:eastAsia="zh-CN"/>
              </w:rPr>
              <w:t>86619420</w:t>
            </w:r>
          </w:p>
        </w:tc>
      </w:tr>
      <w:tr w14:paraId="0B5A56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661726B">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1.1.3</w:t>
            </w:r>
          </w:p>
        </w:tc>
        <w:tc>
          <w:tcPr>
            <w:tcW w:w="1666" w:type="dxa"/>
            <w:vAlign w:val="center"/>
          </w:tcPr>
          <w:p w14:paraId="418A190C">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招标项目名称</w:t>
            </w:r>
          </w:p>
        </w:tc>
        <w:tc>
          <w:tcPr>
            <w:tcW w:w="5795" w:type="dxa"/>
            <w:vAlign w:val="center"/>
          </w:tcPr>
          <w:p w14:paraId="28F22F9E">
            <w:pPr>
              <w:pageBreakBefore w:val="0"/>
              <w:kinsoku/>
              <w:overflowPunct/>
              <w:autoSpaceDE w:val="0"/>
              <w:autoSpaceDN w:val="0"/>
              <w:bidi w:val="0"/>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rPr>
              <w:t>项目名称：</w:t>
            </w:r>
            <w:r>
              <w:rPr>
                <w:rFonts w:hint="eastAsia" w:ascii="宋体" w:hAnsi="宋体" w:eastAsia="宋体" w:cs="宋体"/>
                <w:color w:val="auto"/>
                <w:szCs w:val="21"/>
                <w:u w:val="single"/>
                <w:lang w:eastAsia="zh-CN"/>
              </w:rPr>
              <w:t>2025年中国电信贵阳分公司低压动力设备维护抢修服务框架采购</w:t>
            </w:r>
            <w:r>
              <w:rPr>
                <w:rFonts w:hint="eastAsia" w:ascii="宋体" w:hAnsi="宋体" w:eastAsia="宋体" w:cs="宋体"/>
                <w:color w:val="auto"/>
                <w:szCs w:val="21"/>
                <w:u w:val="single"/>
                <w:lang w:val="en-US" w:eastAsia="zh-CN"/>
              </w:rPr>
              <w:t xml:space="preserve"> </w:t>
            </w:r>
          </w:p>
          <w:p w14:paraId="2173F5AE">
            <w:pPr>
              <w:pageBreakBefore w:val="0"/>
              <w:kinsoku/>
              <w:overflowPunct/>
              <w:autoSpaceDE w:val="0"/>
              <w:autoSpaceDN w:val="0"/>
              <w:bidi w:val="0"/>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招标编号：</w:t>
            </w:r>
            <w:r>
              <w:rPr>
                <w:rFonts w:hint="eastAsia" w:ascii="宋体" w:hAnsi="宋体" w:cs="宋体"/>
                <w:color w:val="auto"/>
                <w:szCs w:val="21"/>
                <w:lang w:eastAsia="zh-CN"/>
              </w:rPr>
              <w:t>GZBBFA202510270002</w:t>
            </w:r>
          </w:p>
        </w:tc>
      </w:tr>
      <w:tr w14:paraId="533C9E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03B9D28">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1.2</w:t>
            </w:r>
          </w:p>
        </w:tc>
        <w:tc>
          <w:tcPr>
            <w:tcW w:w="1666" w:type="dxa"/>
            <w:vAlign w:val="center"/>
          </w:tcPr>
          <w:p w14:paraId="0A89D9B4">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资金来源</w:t>
            </w:r>
          </w:p>
        </w:tc>
        <w:tc>
          <w:tcPr>
            <w:tcW w:w="5795" w:type="dxa"/>
            <w:vAlign w:val="center"/>
          </w:tcPr>
          <w:p w14:paraId="20E538CB">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rPr>
              <w:t>招标人自筹</w:t>
            </w:r>
          </w:p>
          <w:p w14:paraId="1DB23A30">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□使用财政资金</w:t>
            </w:r>
          </w:p>
          <w:p w14:paraId="77D7A58D">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□银行贷款</w:t>
            </w:r>
          </w:p>
          <w:p w14:paraId="7AF74A44">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□国家融资</w:t>
            </w:r>
          </w:p>
          <w:p w14:paraId="5DDEAFCB">
            <w:pPr>
              <w:pageBreakBefore w:val="0"/>
              <w:kinsoku/>
              <w:overflowPunct/>
              <w:autoSpaceDE w:val="0"/>
              <w:autoSpaceDN w:val="0"/>
              <w:bidi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□其他：</w:t>
            </w:r>
          </w:p>
        </w:tc>
      </w:tr>
      <w:tr w14:paraId="78E7FF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9664157">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1.3</w:t>
            </w:r>
          </w:p>
        </w:tc>
        <w:tc>
          <w:tcPr>
            <w:tcW w:w="1666" w:type="dxa"/>
            <w:vAlign w:val="center"/>
          </w:tcPr>
          <w:p w14:paraId="58025D15">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招标范围</w:t>
            </w:r>
          </w:p>
        </w:tc>
        <w:tc>
          <w:tcPr>
            <w:tcW w:w="5795" w:type="dxa"/>
            <w:vAlign w:val="center"/>
          </w:tcPr>
          <w:p w14:paraId="0AA34308">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详见第一章【招标公告】。</w:t>
            </w:r>
          </w:p>
        </w:tc>
      </w:tr>
      <w:tr w14:paraId="570810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0435A05">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1.4</w:t>
            </w:r>
          </w:p>
        </w:tc>
        <w:tc>
          <w:tcPr>
            <w:tcW w:w="1666" w:type="dxa"/>
            <w:vAlign w:val="center"/>
          </w:tcPr>
          <w:p w14:paraId="4D4D0977">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标包划分</w:t>
            </w:r>
          </w:p>
        </w:tc>
        <w:tc>
          <w:tcPr>
            <w:tcW w:w="5795" w:type="dxa"/>
            <w:vAlign w:val="center"/>
          </w:tcPr>
          <w:p w14:paraId="3031E8D9">
            <w:pPr>
              <w:pageBreakBefore w:val="0"/>
              <w:kinsoku/>
              <w:overflowPunct/>
              <w:autoSpaceDE w:val="0"/>
              <w:autoSpaceDN w:val="0"/>
              <w:bidi w:val="0"/>
              <w:spacing w:line="360" w:lineRule="auto"/>
              <w:rPr>
                <w:rFonts w:hint="eastAsia" w:ascii="宋体" w:hAnsi="宋体" w:eastAsia="宋体" w:cs="宋体"/>
                <w:color w:val="auto"/>
              </w:rPr>
            </w:pPr>
            <w:r>
              <w:rPr>
                <w:rFonts w:hint="eastAsia" w:ascii="宋体" w:hAnsi="宋体" w:eastAsia="宋体" w:cs="宋体"/>
                <w:color w:val="auto"/>
                <w:szCs w:val="21"/>
                <w:lang w:eastAsia="zh-CN"/>
              </w:rPr>
              <w:t>☑</w:t>
            </w:r>
            <w:r>
              <w:rPr>
                <w:rFonts w:hint="eastAsia" w:ascii="宋体" w:hAnsi="宋体" w:eastAsia="宋体" w:cs="宋体"/>
                <w:color w:val="auto"/>
                <w:szCs w:val="21"/>
              </w:rPr>
              <w:t>不划分标包</w:t>
            </w:r>
          </w:p>
          <w:p w14:paraId="422B0A85">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rPr>
              <w:t>标包招标</w:t>
            </w:r>
          </w:p>
        </w:tc>
      </w:tr>
      <w:tr w14:paraId="7D983B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0ED8572">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1.5.1</w:t>
            </w:r>
          </w:p>
        </w:tc>
        <w:tc>
          <w:tcPr>
            <w:tcW w:w="1666" w:type="dxa"/>
            <w:vAlign w:val="center"/>
          </w:tcPr>
          <w:p w14:paraId="1D6D340D">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招标方式</w:t>
            </w:r>
          </w:p>
        </w:tc>
        <w:tc>
          <w:tcPr>
            <w:tcW w:w="5795" w:type="dxa"/>
            <w:vAlign w:val="center"/>
          </w:tcPr>
          <w:p w14:paraId="34DE0BB2">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rPr>
              <w:t>公开招标</w:t>
            </w:r>
          </w:p>
          <w:p w14:paraId="414A4F55">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□邀请招标</w:t>
            </w:r>
          </w:p>
        </w:tc>
      </w:tr>
      <w:tr w14:paraId="715BB6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0D65B9E">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1.6</w:t>
            </w:r>
          </w:p>
        </w:tc>
        <w:tc>
          <w:tcPr>
            <w:tcW w:w="1666" w:type="dxa"/>
            <w:vAlign w:val="center"/>
          </w:tcPr>
          <w:p w14:paraId="598D5EAE">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招标组织形式</w:t>
            </w:r>
          </w:p>
        </w:tc>
        <w:tc>
          <w:tcPr>
            <w:tcW w:w="5795" w:type="dxa"/>
            <w:vAlign w:val="center"/>
          </w:tcPr>
          <w:p w14:paraId="12BA06C6">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□自行招标</w:t>
            </w:r>
          </w:p>
          <w:p w14:paraId="6AB9D2A5">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rPr>
              <w:t>委托招标代理机构代理招标</w:t>
            </w:r>
          </w:p>
          <w:p w14:paraId="0DAA3F14">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招标代理机构名称：</w:t>
            </w:r>
            <w:r>
              <w:rPr>
                <w:rFonts w:hint="eastAsia" w:ascii="宋体" w:hAnsi="宋体" w:eastAsia="宋体" w:cs="宋体"/>
                <w:color w:val="auto"/>
                <w:szCs w:val="21"/>
                <w:u w:val="single"/>
              </w:rPr>
              <w:t>【</w:t>
            </w:r>
            <w:r>
              <w:rPr>
                <w:rFonts w:hint="eastAsia" w:ascii="宋体" w:hAnsi="宋体" w:eastAsia="宋体" w:cs="宋体"/>
                <w:color w:val="auto"/>
                <w:szCs w:val="21"/>
                <w:u w:val="single"/>
                <w:lang w:eastAsia="zh-CN"/>
              </w:rPr>
              <w:t>中通服供应链股份有限公司贵州分公司</w:t>
            </w:r>
            <w:r>
              <w:rPr>
                <w:rFonts w:hint="eastAsia" w:ascii="宋体" w:hAnsi="宋体" w:eastAsia="宋体" w:cs="宋体"/>
                <w:color w:val="auto"/>
                <w:szCs w:val="21"/>
                <w:u w:val="single"/>
              </w:rPr>
              <w:t>】</w:t>
            </w:r>
          </w:p>
          <w:p w14:paraId="4EC0F95F">
            <w:pPr>
              <w:pageBreakBefore w:val="0"/>
              <w:kinsoku/>
              <w:overflowPunct/>
              <w:autoSpaceDE w:val="0"/>
              <w:autoSpaceDN w:val="0"/>
              <w:bidi w:val="0"/>
              <w:spacing w:line="360" w:lineRule="auto"/>
              <w:rPr>
                <w:rFonts w:hint="eastAsia" w:ascii="宋体" w:hAnsi="宋体" w:eastAsia="宋体" w:cs="宋体"/>
                <w:color w:val="auto"/>
                <w:szCs w:val="21"/>
                <w:u w:val="single"/>
                <w:lang w:eastAsia="zh-CN"/>
              </w:rPr>
            </w:pPr>
            <w:r>
              <w:rPr>
                <w:rFonts w:hint="eastAsia" w:ascii="宋体" w:hAnsi="宋体" w:eastAsia="宋体" w:cs="宋体"/>
                <w:color w:val="auto"/>
                <w:szCs w:val="21"/>
              </w:rPr>
              <w:t>招标代理机构地址：</w:t>
            </w:r>
            <w:r>
              <w:rPr>
                <w:rFonts w:hint="eastAsia" w:ascii="宋体" w:hAnsi="宋体" w:eastAsia="宋体" w:cs="宋体"/>
                <w:color w:val="auto"/>
                <w:szCs w:val="21"/>
                <w:u w:val="single"/>
                <w:lang w:eastAsia="zh-CN"/>
              </w:rPr>
              <w:t>【贵州省贵阳市金阳北路27号麒龙贵州塔16楼】</w:t>
            </w:r>
          </w:p>
          <w:p w14:paraId="557708C0">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招标代理机构联系人：</w:t>
            </w:r>
            <w:r>
              <w:rPr>
                <w:rFonts w:hint="eastAsia" w:ascii="宋体" w:hAnsi="宋体" w:eastAsia="宋体" w:cs="宋体"/>
                <w:color w:val="auto"/>
                <w:szCs w:val="21"/>
                <w:u w:val="single"/>
              </w:rPr>
              <w:t>【</w:t>
            </w:r>
            <w:r>
              <w:rPr>
                <w:rFonts w:hint="eastAsia" w:ascii="宋体" w:hAnsi="宋体" w:eastAsia="宋体" w:cs="宋体"/>
                <w:color w:val="auto"/>
                <w:szCs w:val="21"/>
                <w:u w:val="single"/>
                <w:lang w:val="en-US" w:eastAsia="zh-CN"/>
              </w:rPr>
              <w:t>黄娟</w:t>
            </w:r>
            <w:r>
              <w:rPr>
                <w:rFonts w:hint="eastAsia" w:ascii="宋体" w:hAnsi="宋体" w:eastAsia="宋体" w:cs="宋体"/>
                <w:color w:val="auto"/>
                <w:szCs w:val="21"/>
                <w:u w:val="single"/>
              </w:rPr>
              <w:t>】</w:t>
            </w:r>
          </w:p>
          <w:p w14:paraId="05E98B2C">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招标代理机构电话：</w:t>
            </w:r>
            <w:r>
              <w:rPr>
                <w:rFonts w:hint="eastAsia" w:ascii="宋体" w:hAnsi="宋体" w:eastAsia="宋体" w:cs="宋体"/>
                <w:color w:val="auto"/>
                <w:szCs w:val="21"/>
                <w:u w:val="single"/>
              </w:rPr>
              <w:t>【</w:t>
            </w:r>
            <w:r>
              <w:rPr>
                <w:rFonts w:hint="eastAsia" w:ascii="宋体" w:hAnsi="宋体" w:eastAsia="宋体" w:cs="宋体"/>
                <w:color w:val="auto"/>
                <w:szCs w:val="21"/>
                <w:u w:val="single"/>
                <w:lang w:val="en-US" w:eastAsia="zh-CN"/>
              </w:rPr>
              <w:t>15285220146</w:t>
            </w:r>
            <w:r>
              <w:rPr>
                <w:rFonts w:hint="eastAsia" w:ascii="宋体" w:hAnsi="宋体" w:eastAsia="宋体" w:cs="宋体"/>
                <w:color w:val="auto"/>
                <w:szCs w:val="21"/>
                <w:u w:val="single"/>
              </w:rPr>
              <w:t>】</w:t>
            </w:r>
          </w:p>
        </w:tc>
      </w:tr>
      <w:tr w14:paraId="3CC99F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4FE6552">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1.7</w:t>
            </w:r>
          </w:p>
        </w:tc>
        <w:tc>
          <w:tcPr>
            <w:tcW w:w="1666" w:type="dxa"/>
            <w:vAlign w:val="center"/>
          </w:tcPr>
          <w:p w14:paraId="5D67752F">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资格审查方式</w:t>
            </w:r>
          </w:p>
        </w:tc>
        <w:tc>
          <w:tcPr>
            <w:tcW w:w="5795" w:type="dxa"/>
            <w:vAlign w:val="center"/>
          </w:tcPr>
          <w:p w14:paraId="770078B1">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□资格预审，本项目已完成资格预审。</w:t>
            </w:r>
          </w:p>
          <w:p w14:paraId="23E31A80">
            <w:pPr>
              <w:pageBreakBefore w:val="0"/>
              <w:kinsoku/>
              <w:overflowPunct/>
              <w:autoSpaceDE w:val="0"/>
              <w:autoSpaceDN w:val="0"/>
              <w:bidi w:val="0"/>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w:t>
            </w:r>
            <w:r>
              <w:rPr>
                <w:rFonts w:hint="eastAsia" w:ascii="宋体" w:hAnsi="宋体" w:eastAsia="宋体" w:cs="宋体"/>
                <w:color w:val="auto"/>
                <w:szCs w:val="21"/>
              </w:rPr>
              <w:t>资格后审，资格条件详见第一章【招标公告】。</w:t>
            </w:r>
          </w:p>
        </w:tc>
      </w:tr>
      <w:tr w14:paraId="35DB68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45530A9">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1.8.1</w:t>
            </w:r>
          </w:p>
        </w:tc>
        <w:tc>
          <w:tcPr>
            <w:tcW w:w="1666" w:type="dxa"/>
            <w:vAlign w:val="center"/>
          </w:tcPr>
          <w:p w14:paraId="360D650E">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投标人不得存在的情形</w:t>
            </w:r>
          </w:p>
        </w:tc>
        <w:tc>
          <w:tcPr>
            <w:tcW w:w="5795" w:type="dxa"/>
            <w:vAlign w:val="center"/>
          </w:tcPr>
          <w:p w14:paraId="3D55081B">
            <w:pPr>
              <w:pageBreakBefore w:val="0"/>
              <w:tabs>
                <w:tab w:val="left" w:pos="585"/>
              </w:tabs>
              <w:kinsoku/>
              <w:overflowPunct/>
              <w:bidi w:val="0"/>
              <w:spacing w:line="360" w:lineRule="auto"/>
              <w:ind w:left="18"/>
              <w:rPr>
                <w:rFonts w:hint="eastAsia" w:ascii="宋体" w:hAnsi="宋体" w:eastAsia="宋体" w:cs="宋体"/>
                <w:color w:val="auto"/>
                <w:szCs w:val="21"/>
              </w:rPr>
            </w:pPr>
            <w:r>
              <w:rPr>
                <w:rFonts w:hint="eastAsia" w:ascii="宋体" w:hAnsi="宋体" w:eastAsia="宋体" w:cs="宋体"/>
                <w:color w:val="auto"/>
                <w:szCs w:val="21"/>
              </w:rPr>
              <w:t>本条款替换为：</w:t>
            </w:r>
          </w:p>
          <w:p w14:paraId="116BB09E">
            <w:pPr>
              <w:pageBreakBefore w:val="0"/>
              <w:tabs>
                <w:tab w:val="left" w:pos="585"/>
              </w:tabs>
              <w:kinsoku/>
              <w:overflowPunct/>
              <w:bidi w:val="0"/>
              <w:spacing w:line="360" w:lineRule="auto"/>
              <w:ind w:left="18"/>
              <w:rPr>
                <w:rFonts w:hint="eastAsia" w:ascii="宋体" w:hAnsi="宋体" w:eastAsia="宋体" w:cs="宋体"/>
                <w:color w:val="auto"/>
              </w:rPr>
            </w:pPr>
            <w:r>
              <w:rPr>
                <w:rFonts w:hint="eastAsia" w:ascii="宋体" w:hAnsi="宋体" w:eastAsia="宋体" w:cs="宋体"/>
                <w:color w:val="auto"/>
              </w:rPr>
              <w:t>□资格预审，详见资格预审文件。</w:t>
            </w:r>
          </w:p>
          <w:p w14:paraId="71AD1D01">
            <w:pPr>
              <w:pageBreakBefore w:val="0"/>
              <w:tabs>
                <w:tab w:val="left" w:pos="585"/>
              </w:tabs>
              <w:kinsoku/>
              <w:overflowPunct/>
              <w:bidi w:val="0"/>
              <w:spacing w:line="360" w:lineRule="auto"/>
              <w:ind w:left="18"/>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rPr>
              <w:t>资格后审，详见第一章【招标公告】。</w:t>
            </w:r>
          </w:p>
        </w:tc>
      </w:tr>
      <w:tr w14:paraId="73D39F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E39A337">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2.1.1</w:t>
            </w:r>
          </w:p>
        </w:tc>
        <w:tc>
          <w:tcPr>
            <w:tcW w:w="1666" w:type="dxa"/>
            <w:vAlign w:val="center"/>
          </w:tcPr>
          <w:p w14:paraId="42389398">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招标文件的组成</w:t>
            </w:r>
          </w:p>
        </w:tc>
        <w:tc>
          <w:tcPr>
            <w:tcW w:w="5795" w:type="dxa"/>
            <w:vAlign w:val="center"/>
          </w:tcPr>
          <w:p w14:paraId="2258BF7C">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本条款替换为：</w:t>
            </w:r>
          </w:p>
          <w:p w14:paraId="71827087">
            <w:pPr>
              <w:pageBreakBefore w:val="0"/>
              <w:tabs>
                <w:tab w:val="left" w:pos="799"/>
              </w:tabs>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第一章 招标公告</w:t>
            </w:r>
          </w:p>
          <w:p w14:paraId="6DB14719">
            <w:pPr>
              <w:pageBreakBefore w:val="0"/>
              <w:tabs>
                <w:tab w:val="left" w:pos="799"/>
              </w:tabs>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第二章 投标人须知</w:t>
            </w:r>
          </w:p>
          <w:p w14:paraId="495B98E3">
            <w:pPr>
              <w:pageBreakBefore w:val="0"/>
              <w:tabs>
                <w:tab w:val="left" w:pos="799"/>
              </w:tabs>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第三章 评标办法</w:t>
            </w:r>
          </w:p>
          <w:p w14:paraId="64A99424">
            <w:pPr>
              <w:pageBreakBefore w:val="0"/>
              <w:tabs>
                <w:tab w:val="left" w:pos="799"/>
              </w:tabs>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第四章 合同条款</w:t>
            </w:r>
          </w:p>
          <w:p w14:paraId="7ED828F0">
            <w:pPr>
              <w:pageBreakBefore w:val="0"/>
              <w:tabs>
                <w:tab w:val="left" w:pos="799"/>
              </w:tabs>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第五章 技术规范书</w:t>
            </w:r>
          </w:p>
          <w:p w14:paraId="6B4FCEF4">
            <w:pPr>
              <w:pageBreakBefore w:val="0"/>
              <w:tabs>
                <w:tab w:val="left" w:pos="799"/>
              </w:tabs>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第六章 投标文件格式</w:t>
            </w:r>
          </w:p>
          <w:p w14:paraId="02F2D17B">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第七章 其他</w:t>
            </w:r>
          </w:p>
        </w:tc>
      </w:tr>
      <w:tr w14:paraId="7BEEB4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DD02011">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2.1.3</w:t>
            </w:r>
          </w:p>
        </w:tc>
        <w:tc>
          <w:tcPr>
            <w:tcW w:w="1666" w:type="dxa"/>
            <w:vAlign w:val="center"/>
          </w:tcPr>
          <w:p w14:paraId="2C5D7882">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招标文件实质性要求的标识及非实质性要求的偏离要求</w:t>
            </w:r>
          </w:p>
        </w:tc>
        <w:tc>
          <w:tcPr>
            <w:tcW w:w="5795" w:type="dxa"/>
            <w:vAlign w:val="center"/>
          </w:tcPr>
          <w:p w14:paraId="609126F5">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（1）招标文件中标识“★”的条款，均为实质性条款，投标人任何不满足实质性条款的投标均将被否决。</w:t>
            </w:r>
          </w:p>
          <w:p w14:paraId="4FF24A25">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（2）非实质性要求的偏离要求：</w:t>
            </w:r>
            <w:r>
              <w:rPr>
                <w:rFonts w:hint="eastAsia" w:ascii="宋体" w:hAnsi="宋体" w:eastAsia="宋体" w:cs="宋体"/>
                <w:color w:val="auto"/>
              </w:rPr>
              <w:t>允许偏差的最大范围</w:t>
            </w:r>
            <w:r>
              <w:rPr>
                <w:rFonts w:hint="eastAsia" w:ascii="宋体" w:hAnsi="宋体" w:eastAsia="宋体" w:cs="宋体"/>
                <w:color w:val="auto"/>
                <w:lang w:val="en-US" w:eastAsia="zh-CN"/>
              </w:rPr>
              <w:t>/</w:t>
            </w:r>
            <w:r>
              <w:rPr>
                <w:rFonts w:hint="eastAsia" w:ascii="宋体" w:hAnsi="宋体" w:eastAsia="宋体" w:cs="宋体"/>
                <w:color w:val="auto"/>
              </w:rPr>
              <w:t>、最高项数</w:t>
            </w:r>
            <w:r>
              <w:rPr>
                <w:rFonts w:hint="eastAsia" w:ascii="宋体" w:hAnsi="宋体" w:eastAsia="宋体" w:cs="宋体"/>
                <w:b/>
                <w:bCs/>
                <w:color w:val="auto"/>
                <w:szCs w:val="21"/>
                <w:highlight w:val="none"/>
                <w:u w:val="single"/>
                <w:lang w:val="en-US" w:eastAsia="zh-CN"/>
              </w:rPr>
              <w:t>4项</w:t>
            </w:r>
            <w:r>
              <w:rPr>
                <w:rFonts w:hint="eastAsia" w:ascii="宋体" w:hAnsi="宋体" w:eastAsia="宋体" w:cs="宋体"/>
                <w:b w:val="0"/>
                <w:bCs w:val="0"/>
                <w:color w:val="auto"/>
              </w:rPr>
              <w:t>，</w:t>
            </w:r>
            <w:r>
              <w:rPr>
                <w:rFonts w:hint="eastAsia" w:ascii="宋体" w:hAnsi="宋体" w:eastAsia="宋体" w:cs="宋体"/>
                <w:color w:val="auto"/>
              </w:rPr>
              <w:t>超出最大范围、最高项数视为实质性偏离。</w:t>
            </w:r>
          </w:p>
        </w:tc>
      </w:tr>
      <w:tr w14:paraId="3BB6A83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28E5E87">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2.1.4</w:t>
            </w:r>
          </w:p>
        </w:tc>
        <w:tc>
          <w:tcPr>
            <w:tcW w:w="1666" w:type="dxa"/>
            <w:vAlign w:val="center"/>
          </w:tcPr>
          <w:p w14:paraId="13BC1CAD">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是否以单项报价核定低于成本</w:t>
            </w:r>
          </w:p>
        </w:tc>
        <w:tc>
          <w:tcPr>
            <w:tcW w:w="5795" w:type="dxa"/>
            <w:vAlign w:val="center"/>
          </w:tcPr>
          <w:p w14:paraId="58A67BEB">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rPr>
              <w:t>不要求</w:t>
            </w:r>
          </w:p>
          <w:p w14:paraId="2B8FB71C">
            <w:pPr>
              <w:pageBreakBefore w:val="0"/>
              <w:kinsoku/>
              <w:overflowPunct/>
              <w:autoSpaceDE w:val="0"/>
              <w:autoSpaceDN w:val="0"/>
              <w:bidi w:val="0"/>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w:t>
            </w:r>
            <w:r>
              <w:rPr>
                <w:rFonts w:hint="eastAsia" w:ascii="宋体" w:hAnsi="宋体" w:eastAsia="宋体" w:cs="宋体"/>
                <w:color w:val="auto"/>
                <w:szCs w:val="21"/>
              </w:rPr>
              <w:t>要求</w:t>
            </w:r>
            <w:r>
              <w:rPr>
                <w:rFonts w:hint="eastAsia" w:ascii="宋体" w:hAnsi="宋体" w:eastAsia="宋体" w:cs="宋体"/>
                <w:color w:val="auto"/>
                <w:szCs w:val="21"/>
                <w:lang w:val="en-US" w:eastAsia="zh-CN"/>
              </w:rPr>
              <w:t>，具体要求如下：评标委员会发现投标人的单项报价明显低于其他投标报价，认为投标报价可能低于成本的，将书面要求该投标人做出书面说明并提供相关证明材料。投标人不能合理说明或者不能提供相应证明材料的，由评标委员会认定该投标人以低于成本报价竞标，评标委员会将否决其投标。</w:t>
            </w:r>
          </w:p>
        </w:tc>
      </w:tr>
      <w:tr w14:paraId="21B610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7A32390">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2.2.1</w:t>
            </w:r>
          </w:p>
        </w:tc>
        <w:tc>
          <w:tcPr>
            <w:tcW w:w="1666" w:type="dxa"/>
            <w:vAlign w:val="center"/>
          </w:tcPr>
          <w:p w14:paraId="20411145">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踏勘现场</w:t>
            </w:r>
          </w:p>
        </w:tc>
        <w:tc>
          <w:tcPr>
            <w:tcW w:w="5795" w:type="dxa"/>
            <w:vAlign w:val="center"/>
          </w:tcPr>
          <w:p w14:paraId="07C89C4A">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rPr>
              <w:t>不组织</w:t>
            </w:r>
          </w:p>
          <w:p w14:paraId="5FC2A288">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□组织，踏勘现场的时间、地点：</w:t>
            </w:r>
            <w:r>
              <w:rPr>
                <w:rFonts w:hint="eastAsia" w:ascii="宋体" w:hAnsi="宋体" w:eastAsia="宋体" w:cs="宋体"/>
                <w:color w:val="auto"/>
                <w:szCs w:val="21"/>
                <w:u w:val="single"/>
              </w:rPr>
              <w:t>【</w:t>
            </w:r>
            <w:r>
              <w:rPr>
                <w:rFonts w:hint="eastAsia" w:ascii="宋体" w:hAnsi="宋体" w:eastAsia="宋体" w:cs="宋体"/>
                <w:color w:val="auto"/>
                <w:szCs w:val="21"/>
                <w:u w:val="single"/>
                <w:lang w:val="en-US" w:eastAsia="zh-CN"/>
              </w:rPr>
              <w:t>/</w:t>
            </w:r>
            <w:r>
              <w:rPr>
                <w:rFonts w:hint="eastAsia" w:ascii="宋体" w:hAnsi="宋体" w:eastAsia="宋体" w:cs="宋体"/>
                <w:color w:val="auto"/>
                <w:szCs w:val="21"/>
                <w:u w:val="single"/>
              </w:rPr>
              <w:t>】</w:t>
            </w:r>
          </w:p>
        </w:tc>
      </w:tr>
      <w:tr w14:paraId="640DF44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70B2466">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2.3</w:t>
            </w:r>
          </w:p>
        </w:tc>
        <w:tc>
          <w:tcPr>
            <w:tcW w:w="1666" w:type="dxa"/>
            <w:vAlign w:val="center"/>
          </w:tcPr>
          <w:p w14:paraId="0FC2CDD9">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投标预备会</w:t>
            </w:r>
          </w:p>
        </w:tc>
        <w:tc>
          <w:tcPr>
            <w:tcW w:w="5795" w:type="dxa"/>
            <w:vAlign w:val="center"/>
          </w:tcPr>
          <w:p w14:paraId="6648AE11">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rPr>
              <w:t>不召开</w:t>
            </w:r>
          </w:p>
          <w:p w14:paraId="7C3E83E4">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□召开，召开投标预备会时间、地点：</w:t>
            </w:r>
            <w:r>
              <w:rPr>
                <w:rFonts w:hint="eastAsia" w:ascii="宋体" w:hAnsi="宋体" w:eastAsia="宋体" w:cs="宋体"/>
                <w:color w:val="auto"/>
                <w:szCs w:val="21"/>
                <w:u w:val="single"/>
              </w:rPr>
              <w:t>【</w:t>
            </w:r>
            <w:r>
              <w:rPr>
                <w:rFonts w:hint="eastAsia" w:ascii="宋体" w:hAnsi="宋体" w:eastAsia="宋体" w:cs="宋体"/>
                <w:color w:val="auto"/>
                <w:szCs w:val="21"/>
                <w:u w:val="single"/>
                <w:lang w:val="en-US" w:eastAsia="zh-CN"/>
              </w:rPr>
              <w:t>/</w:t>
            </w:r>
            <w:r>
              <w:rPr>
                <w:rFonts w:hint="eastAsia" w:ascii="宋体" w:hAnsi="宋体" w:eastAsia="宋体" w:cs="宋体"/>
                <w:color w:val="auto"/>
                <w:szCs w:val="21"/>
                <w:u w:val="single"/>
              </w:rPr>
              <w:t>】</w:t>
            </w:r>
          </w:p>
        </w:tc>
      </w:tr>
      <w:tr w14:paraId="77B82A6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54554AE">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2.4.1</w:t>
            </w:r>
          </w:p>
        </w:tc>
        <w:tc>
          <w:tcPr>
            <w:tcW w:w="1666" w:type="dxa"/>
            <w:vAlign w:val="center"/>
          </w:tcPr>
          <w:p w14:paraId="73E499A0">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投标人提出澄清问题的截止时间和方式</w:t>
            </w:r>
          </w:p>
        </w:tc>
        <w:tc>
          <w:tcPr>
            <w:tcW w:w="5795" w:type="dxa"/>
            <w:vAlign w:val="center"/>
          </w:tcPr>
          <w:p w14:paraId="7312225C">
            <w:pPr>
              <w:pageBreakBefore w:val="0"/>
              <w:kinsoku/>
              <w:overflowPunct/>
              <w:autoSpaceDE w:val="0"/>
              <w:autoSpaceDN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color w:val="auto"/>
                <w:szCs w:val="21"/>
                <w:highlight w:val="none"/>
                <w:u w:val="single"/>
              </w:rPr>
              <w:t>年</w:t>
            </w:r>
            <w:r>
              <w:rPr>
                <w:rFonts w:hint="eastAsia" w:ascii="宋体" w:hAnsi="宋体" w:eastAsia="宋体" w:cs="宋体"/>
                <w:color w:val="auto"/>
                <w:szCs w:val="21"/>
                <w:highlight w:val="none"/>
                <w:u w:val="single"/>
                <w:lang w:val="en-US" w:eastAsia="zh-CN"/>
              </w:rPr>
              <w:t>11</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07</w:t>
            </w:r>
            <w:r>
              <w:rPr>
                <w:rFonts w:hint="eastAsia" w:ascii="宋体" w:hAnsi="宋体" w:eastAsia="宋体" w:cs="宋体"/>
                <w:color w:val="auto"/>
                <w:szCs w:val="21"/>
                <w:highlight w:val="none"/>
                <w:u w:val="single"/>
              </w:rPr>
              <w:t>日</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时</w:t>
            </w:r>
            <w:r>
              <w:rPr>
                <w:rFonts w:hint="eastAsia" w:ascii="宋体" w:hAnsi="宋体" w:eastAsia="宋体" w:cs="宋体"/>
                <w:color w:val="auto"/>
                <w:szCs w:val="21"/>
                <w:highlight w:val="none"/>
                <w:u w:val="single"/>
                <w:lang w:val="en-US" w:eastAsia="zh-CN"/>
              </w:rPr>
              <w:t>00</w:t>
            </w:r>
            <w:r>
              <w:rPr>
                <w:rFonts w:hint="eastAsia" w:ascii="宋体" w:hAnsi="宋体" w:eastAsia="宋体" w:cs="宋体"/>
                <w:color w:val="auto"/>
                <w:szCs w:val="21"/>
                <w:highlight w:val="none"/>
                <w:u w:val="single"/>
              </w:rPr>
              <w:t>分】</w:t>
            </w:r>
          </w:p>
          <w:p w14:paraId="3F9A5802">
            <w:pPr>
              <w:pageBreakBefore w:val="0"/>
              <w:kinsoku/>
              <w:overflowPunct/>
              <w:autoSpaceDE w:val="0"/>
              <w:autoSpaceDN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提出澄清的方式：</w:t>
            </w:r>
            <w:r>
              <w:rPr>
                <w:rFonts w:hint="eastAsia" w:ascii="宋体" w:hAnsi="宋体" w:eastAsia="宋体" w:cs="宋体"/>
                <w:color w:val="auto"/>
                <w:szCs w:val="21"/>
                <w:highlight w:val="none"/>
                <w:u w:val="single"/>
              </w:rPr>
              <w:t>【通过中国电信电子采购系统提出】</w:t>
            </w:r>
          </w:p>
        </w:tc>
      </w:tr>
      <w:tr w14:paraId="6EB4B7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029FE1F">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2.4.2</w:t>
            </w:r>
          </w:p>
        </w:tc>
        <w:tc>
          <w:tcPr>
            <w:tcW w:w="1666" w:type="dxa"/>
            <w:vAlign w:val="center"/>
          </w:tcPr>
          <w:p w14:paraId="6A0EFCDB">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招标人发出招标文件澄清或者修改的截止时间和方式</w:t>
            </w:r>
          </w:p>
        </w:tc>
        <w:tc>
          <w:tcPr>
            <w:tcW w:w="5795" w:type="dxa"/>
            <w:vAlign w:val="center"/>
          </w:tcPr>
          <w:p w14:paraId="487A813B">
            <w:pPr>
              <w:pageBreakBefore w:val="0"/>
              <w:kinsoku/>
              <w:overflowPunct/>
              <w:autoSpaceDE w:val="0"/>
              <w:autoSpaceDN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color w:val="auto"/>
                <w:szCs w:val="21"/>
                <w:highlight w:val="none"/>
                <w:u w:val="single"/>
              </w:rPr>
              <w:t>年</w:t>
            </w:r>
            <w:r>
              <w:rPr>
                <w:rFonts w:hint="eastAsia" w:ascii="宋体" w:hAnsi="宋体" w:eastAsia="宋体" w:cs="宋体"/>
                <w:color w:val="auto"/>
                <w:szCs w:val="21"/>
                <w:highlight w:val="none"/>
                <w:u w:val="single"/>
                <w:lang w:val="en-US" w:eastAsia="zh-CN"/>
              </w:rPr>
              <w:t>11</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07</w:t>
            </w:r>
            <w:r>
              <w:rPr>
                <w:rFonts w:hint="eastAsia" w:ascii="宋体" w:hAnsi="宋体" w:eastAsia="宋体" w:cs="宋体"/>
                <w:color w:val="auto"/>
                <w:szCs w:val="21"/>
                <w:highlight w:val="none"/>
                <w:u w:val="single"/>
              </w:rPr>
              <w:t>日</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时</w:t>
            </w:r>
            <w:r>
              <w:rPr>
                <w:rFonts w:hint="eastAsia" w:ascii="宋体" w:hAnsi="宋体" w:eastAsia="宋体" w:cs="宋体"/>
                <w:color w:val="auto"/>
                <w:szCs w:val="21"/>
                <w:highlight w:val="none"/>
                <w:u w:val="single"/>
                <w:lang w:val="en-US" w:eastAsia="zh-CN"/>
              </w:rPr>
              <w:t>00</w:t>
            </w:r>
            <w:r>
              <w:rPr>
                <w:rFonts w:hint="eastAsia" w:ascii="宋体" w:hAnsi="宋体" w:eastAsia="宋体" w:cs="宋体"/>
                <w:color w:val="auto"/>
                <w:szCs w:val="21"/>
                <w:highlight w:val="none"/>
                <w:u w:val="single"/>
              </w:rPr>
              <w:t>分】</w:t>
            </w:r>
            <w:r>
              <w:rPr>
                <w:rFonts w:hint="eastAsia" w:ascii="宋体" w:hAnsi="宋体" w:eastAsia="宋体" w:cs="宋体"/>
                <w:color w:val="auto"/>
                <w:szCs w:val="21"/>
                <w:highlight w:val="none"/>
              </w:rPr>
              <w:t>前</w:t>
            </w:r>
          </w:p>
          <w:p w14:paraId="76579409">
            <w:pPr>
              <w:pageBreakBefore w:val="0"/>
              <w:kinsoku/>
              <w:overflowPunct/>
              <w:autoSpaceDE w:val="0"/>
              <w:autoSpaceDN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发出澄清或者修改的方式：</w:t>
            </w:r>
            <w:r>
              <w:rPr>
                <w:rFonts w:hint="eastAsia" w:ascii="宋体" w:hAnsi="宋体" w:eastAsia="宋体" w:cs="宋体"/>
                <w:color w:val="auto"/>
                <w:szCs w:val="21"/>
                <w:highlight w:val="none"/>
                <w:u w:val="single"/>
              </w:rPr>
              <w:t>【通过中国电信电子采购系统发出】</w:t>
            </w:r>
          </w:p>
        </w:tc>
      </w:tr>
      <w:tr w14:paraId="640820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C69EB28">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2.4.4</w:t>
            </w:r>
          </w:p>
        </w:tc>
        <w:tc>
          <w:tcPr>
            <w:tcW w:w="1666" w:type="dxa"/>
            <w:vAlign w:val="center"/>
          </w:tcPr>
          <w:p w14:paraId="035304C7">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投标人确认收到澄清或者修改的时间和方式</w:t>
            </w:r>
          </w:p>
        </w:tc>
        <w:tc>
          <w:tcPr>
            <w:tcW w:w="5795" w:type="dxa"/>
            <w:vAlign w:val="center"/>
          </w:tcPr>
          <w:p w14:paraId="680EFF40">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【投标人收到澄清或修改文件后1日内以</w:t>
            </w:r>
            <w:r>
              <w:rPr>
                <w:rFonts w:hint="eastAsia" w:ascii="宋体" w:hAnsi="宋体" w:eastAsia="宋体" w:cs="宋体"/>
                <w:color w:val="auto"/>
                <w:szCs w:val="21"/>
                <w:u w:val="single"/>
              </w:rPr>
              <w:t>书面方式确认（包括中国电信电子采购系统等形式）】</w:t>
            </w:r>
          </w:p>
        </w:tc>
      </w:tr>
      <w:tr w14:paraId="183905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1D8F082">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2.5</w:t>
            </w:r>
          </w:p>
        </w:tc>
        <w:tc>
          <w:tcPr>
            <w:tcW w:w="1666" w:type="dxa"/>
            <w:vAlign w:val="center"/>
          </w:tcPr>
          <w:p w14:paraId="2822B3EB">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招标文件的异议</w:t>
            </w:r>
          </w:p>
        </w:tc>
        <w:tc>
          <w:tcPr>
            <w:tcW w:w="5795" w:type="dxa"/>
            <w:vAlign w:val="center"/>
          </w:tcPr>
          <w:p w14:paraId="1FFF5755">
            <w:pPr>
              <w:pageBreakBefore w:val="0"/>
              <w:kinsoku/>
              <w:overflowPunct/>
              <w:autoSpaceDE w:val="0"/>
              <w:autoSpaceDN w:val="0"/>
              <w:bidi w:val="0"/>
              <w:spacing w:line="360" w:lineRule="auto"/>
              <w:ind w:firstLine="441" w:firstLineChars="210"/>
              <w:rPr>
                <w:rFonts w:hint="eastAsia" w:ascii="宋体" w:hAnsi="宋体" w:eastAsia="宋体" w:cs="宋体"/>
                <w:color w:val="auto"/>
                <w:szCs w:val="21"/>
              </w:rPr>
            </w:pPr>
            <w:r>
              <w:rPr>
                <w:rFonts w:hint="eastAsia" w:ascii="宋体" w:hAnsi="宋体" w:eastAsia="宋体" w:cs="宋体"/>
                <w:color w:val="auto"/>
                <w:szCs w:val="21"/>
              </w:rPr>
              <w:t>潜在投标人或者其他利害关系人对招标文件有异议的，应当在投标截止时间 10 日前【登录中国电信阳光采购网</w:t>
            </w:r>
            <w:r>
              <w:rPr>
                <w:rFonts w:hint="eastAsia" w:ascii="宋体" w:hAnsi="宋体" w:eastAsia="宋体" w:cs="宋体"/>
                <w:color w:val="auto"/>
              </w:rPr>
              <w:t>（https://caigou.chinatelecom.com.cn）</w:t>
            </w:r>
            <w:r>
              <w:rPr>
                <w:rFonts w:hint="eastAsia" w:ascii="宋体" w:hAnsi="宋体" w:eastAsia="宋体" w:cs="宋体"/>
                <w:color w:val="auto"/>
                <w:szCs w:val="21"/>
              </w:rPr>
              <w:t>后，通过“招投标-采购异议-提出异议”模块提出】。招标人将在收到异议之日起 3 日内作出答复；作出答复前，将暂停招标投标活动。已作出明确答复，且无新的事实证据，就同一事项反复提出异议的，不予受理。</w:t>
            </w:r>
          </w:p>
        </w:tc>
      </w:tr>
      <w:tr w14:paraId="6220FC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A65CB56">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3.1</w:t>
            </w:r>
          </w:p>
        </w:tc>
        <w:tc>
          <w:tcPr>
            <w:tcW w:w="1666" w:type="dxa"/>
            <w:vAlign w:val="center"/>
          </w:tcPr>
          <w:p w14:paraId="56EF76AB">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投标文件组成</w:t>
            </w:r>
          </w:p>
        </w:tc>
        <w:tc>
          <w:tcPr>
            <w:tcW w:w="5795" w:type="dxa"/>
            <w:vAlign w:val="center"/>
          </w:tcPr>
          <w:p w14:paraId="552BCB2A">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投标文件需按照以下顺序编制</w:t>
            </w:r>
          </w:p>
          <w:p w14:paraId="76B630D3">
            <w:pPr>
              <w:pStyle w:val="51"/>
              <w:pageBreakBefore w:val="0"/>
              <w:tabs>
                <w:tab w:val="left" w:pos="567"/>
                <w:tab w:val="left" w:pos="795"/>
              </w:tabs>
              <w:kinsoku/>
              <w:overflowPunct/>
              <w:bidi w:val="0"/>
              <w:adjustRightInd w:val="0"/>
              <w:snapToGrid w:val="0"/>
              <w:spacing w:line="360" w:lineRule="auto"/>
              <w:ind w:firstLine="0" w:firstLineChars="0"/>
              <w:jc w:val="left"/>
              <w:rPr>
                <w:rFonts w:hint="eastAsia" w:ascii="宋体" w:hAnsi="宋体" w:eastAsia="宋体" w:cs="宋体"/>
                <w:b/>
                <w:color w:val="auto"/>
                <w:szCs w:val="21"/>
              </w:rPr>
            </w:pPr>
            <w:r>
              <w:rPr>
                <w:rFonts w:hint="eastAsia" w:ascii="宋体" w:hAnsi="宋体" w:eastAsia="宋体" w:cs="宋体"/>
                <w:b/>
                <w:color w:val="auto"/>
                <w:szCs w:val="21"/>
              </w:rPr>
              <w:t>3.1.1第一分册 商务投标文件</w:t>
            </w:r>
          </w:p>
          <w:p w14:paraId="4728E7AD">
            <w:pPr>
              <w:pStyle w:val="51"/>
              <w:pageBreakBefore w:val="0"/>
              <w:numPr>
                <w:ilvl w:val="0"/>
                <w:numId w:val="4"/>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商务投标文件封面</w:t>
            </w:r>
          </w:p>
          <w:p w14:paraId="3116E697">
            <w:pPr>
              <w:pStyle w:val="51"/>
              <w:pageBreakBefore w:val="0"/>
              <w:numPr>
                <w:ilvl w:val="0"/>
                <w:numId w:val="4"/>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初步评审索引表</w:t>
            </w:r>
          </w:p>
          <w:p w14:paraId="41A8D797">
            <w:pPr>
              <w:pStyle w:val="51"/>
              <w:pageBreakBefore w:val="0"/>
              <w:numPr>
                <w:ilvl w:val="0"/>
                <w:numId w:val="4"/>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商务评审索引表</w:t>
            </w:r>
          </w:p>
          <w:p w14:paraId="5EAEAA61">
            <w:pPr>
              <w:pStyle w:val="51"/>
              <w:pageBreakBefore w:val="0"/>
              <w:numPr>
                <w:ilvl w:val="0"/>
                <w:numId w:val="4"/>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投标专用印章授权函（如有）</w:t>
            </w:r>
          </w:p>
          <w:p w14:paraId="5B097468">
            <w:pPr>
              <w:pStyle w:val="51"/>
              <w:pageBreakBefore w:val="0"/>
              <w:numPr>
                <w:ilvl w:val="0"/>
                <w:numId w:val="4"/>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 xml:space="preserve">投标函 </w:t>
            </w:r>
          </w:p>
          <w:p w14:paraId="0D2C212C">
            <w:pPr>
              <w:pStyle w:val="51"/>
              <w:pageBreakBefore w:val="0"/>
              <w:numPr>
                <w:ilvl w:val="0"/>
                <w:numId w:val="4"/>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法定代表人/负责人身份证明</w:t>
            </w:r>
          </w:p>
          <w:p w14:paraId="78ABB240">
            <w:pPr>
              <w:pStyle w:val="51"/>
              <w:pageBreakBefore w:val="0"/>
              <w:numPr>
                <w:ilvl w:val="0"/>
                <w:numId w:val="4"/>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法定代表人/负责人授权委托书</w:t>
            </w:r>
          </w:p>
          <w:p w14:paraId="16EFCFB8">
            <w:pPr>
              <w:pStyle w:val="51"/>
              <w:pageBreakBefore w:val="0"/>
              <w:numPr>
                <w:ilvl w:val="0"/>
                <w:numId w:val="4"/>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廉洁投标承诺书</w:t>
            </w:r>
          </w:p>
          <w:p w14:paraId="6EB9897F">
            <w:pPr>
              <w:pStyle w:val="51"/>
              <w:pageBreakBefore w:val="0"/>
              <w:numPr>
                <w:ilvl w:val="0"/>
                <w:numId w:val="4"/>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bookmarkStart w:id="37" w:name="_Toc205217519"/>
            <w:bookmarkStart w:id="38" w:name="_Toc17375"/>
            <w:r>
              <w:rPr>
                <w:rFonts w:hint="eastAsia" w:ascii="宋体" w:hAnsi="宋体" w:eastAsia="宋体" w:cs="宋体"/>
                <w:color w:val="auto"/>
                <w:szCs w:val="21"/>
              </w:rPr>
              <w:t>特定关系信息收集表</w:t>
            </w:r>
            <w:bookmarkEnd w:id="37"/>
            <w:bookmarkEnd w:id="38"/>
          </w:p>
          <w:p w14:paraId="767D2F98">
            <w:pPr>
              <w:pStyle w:val="51"/>
              <w:pageBreakBefore w:val="0"/>
              <w:numPr>
                <w:ilvl w:val="0"/>
                <w:numId w:val="4"/>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近【五】年发生的诉讼及仲裁情况</w:t>
            </w:r>
          </w:p>
          <w:p w14:paraId="575F581E">
            <w:pPr>
              <w:pStyle w:val="51"/>
              <w:pageBreakBefore w:val="0"/>
              <w:numPr>
                <w:ilvl w:val="0"/>
                <w:numId w:val="4"/>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招标代理服务费支付承诺函</w:t>
            </w:r>
          </w:p>
          <w:p w14:paraId="3FF0E3A3">
            <w:pPr>
              <w:pStyle w:val="51"/>
              <w:pageBreakBefore w:val="0"/>
              <w:numPr>
                <w:ilvl w:val="0"/>
                <w:numId w:val="4"/>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资格审查资料</w:t>
            </w:r>
          </w:p>
          <w:p w14:paraId="34086942">
            <w:pPr>
              <w:pStyle w:val="51"/>
              <w:pageBreakBefore w:val="0"/>
              <w:numPr>
                <w:ilvl w:val="0"/>
                <w:numId w:val="4"/>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投标人控股及管理关系情况申报表</w:t>
            </w:r>
          </w:p>
          <w:p w14:paraId="09721A9B">
            <w:pPr>
              <w:pStyle w:val="51"/>
              <w:pageBreakBefore w:val="0"/>
              <w:numPr>
                <w:ilvl w:val="0"/>
                <w:numId w:val="4"/>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合同条款偏离表</w:t>
            </w:r>
          </w:p>
          <w:p w14:paraId="23FEF817">
            <w:pPr>
              <w:pStyle w:val="51"/>
              <w:pageBreakBefore w:val="0"/>
              <w:numPr>
                <w:ilvl w:val="0"/>
                <w:numId w:val="4"/>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网络及信息安全承诺书</w:t>
            </w:r>
          </w:p>
          <w:p w14:paraId="04834F42">
            <w:pPr>
              <w:pStyle w:val="51"/>
              <w:pageBreakBefore w:val="0"/>
              <w:numPr>
                <w:ilvl w:val="0"/>
                <w:numId w:val="4"/>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投标</w:t>
            </w:r>
            <w:r>
              <w:rPr>
                <w:rFonts w:hint="eastAsia" w:ascii="宋体" w:hAnsi="宋体" w:eastAsia="宋体" w:cs="宋体"/>
                <w:color w:val="auto"/>
                <w:szCs w:val="21"/>
                <w:lang w:val="en-US" w:eastAsia="zh-CN"/>
              </w:rPr>
              <w:t>保证金</w:t>
            </w:r>
          </w:p>
          <w:p w14:paraId="58E7DE0C">
            <w:pPr>
              <w:pStyle w:val="51"/>
              <w:pageBreakBefore w:val="0"/>
              <w:numPr>
                <w:ilvl w:val="0"/>
                <w:numId w:val="4"/>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基本开户银行情况</w:t>
            </w:r>
          </w:p>
          <w:p w14:paraId="75437CD0">
            <w:pPr>
              <w:pStyle w:val="51"/>
              <w:pageBreakBefore w:val="0"/>
              <w:numPr>
                <w:ilvl w:val="0"/>
                <w:numId w:val="4"/>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lang w:val="en-US" w:eastAsia="zh-CN"/>
              </w:rPr>
              <w:t>知识产权不侵权承诺函</w:t>
            </w:r>
          </w:p>
          <w:p w14:paraId="1169A77B">
            <w:pPr>
              <w:pStyle w:val="51"/>
              <w:pageBreakBefore w:val="0"/>
              <w:numPr>
                <w:ilvl w:val="0"/>
                <w:numId w:val="4"/>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主要股东和高管人员信息表</w:t>
            </w:r>
          </w:p>
          <w:p w14:paraId="08FF0498">
            <w:pPr>
              <w:pStyle w:val="51"/>
              <w:pageBreakBefore w:val="0"/>
              <w:numPr>
                <w:ilvl w:val="0"/>
                <w:numId w:val="4"/>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lang w:val="en-US" w:eastAsia="zh-CN"/>
              </w:rPr>
              <w:t>不的存在的情形（承诺函）</w:t>
            </w:r>
          </w:p>
          <w:p w14:paraId="56FD1338">
            <w:pPr>
              <w:pStyle w:val="51"/>
              <w:pageBreakBefore w:val="0"/>
              <w:numPr>
                <w:ilvl w:val="0"/>
                <w:numId w:val="4"/>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投标人提供的其他商务及服务部分资料</w:t>
            </w:r>
          </w:p>
          <w:p w14:paraId="108B9CA0">
            <w:pPr>
              <w:pStyle w:val="51"/>
              <w:pageBreakBefore w:val="0"/>
              <w:tabs>
                <w:tab w:val="left" w:pos="567"/>
                <w:tab w:val="left" w:pos="795"/>
              </w:tabs>
              <w:kinsoku/>
              <w:overflowPunct/>
              <w:bidi w:val="0"/>
              <w:adjustRightInd w:val="0"/>
              <w:snapToGrid w:val="0"/>
              <w:spacing w:line="360" w:lineRule="auto"/>
              <w:ind w:firstLine="0" w:firstLineChars="0"/>
              <w:jc w:val="left"/>
              <w:rPr>
                <w:rFonts w:hint="eastAsia" w:ascii="宋体" w:hAnsi="宋体" w:eastAsia="宋体" w:cs="宋体"/>
                <w:b/>
                <w:color w:val="auto"/>
                <w:szCs w:val="21"/>
              </w:rPr>
            </w:pPr>
            <w:r>
              <w:rPr>
                <w:rFonts w:hint="eastAsia" w:ascii="宋体" w:hAnsi="宋体" w:eastAsia="宋体" w:cs="宋体"/>
                <w:b/>
                <w:color w:val="auto"/>
                <w:szCs w:val="21"/>
              </w:rPr>
              <w:t>第二分册 技术投标文件</w:t>
            </w:r>
          </w:p>
          <w:p w14:paraId="7CD35128">
            <w:pPr>
              <w:pStyle w:val="51"/>
              <w:pageBreakBefore w:val="0"/>
              <w:numPr>
                <w:ilvl w:val="0"/>
                <w:numId w:val="4"/>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技术投标文件封面</w:t>
            </w:r>
          </w:p>
          <w:p w14:paraId="4CC9F44A">
            <w:pPr>
              <w:pStyle w:val="51"/>
              <w:pageBreakBefore w:val="0"/>
              <w:numPr>
                <w:ilvl w:val="0"/>
                <w:numId w:val="4"/>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技术服务评审索引表</w:t>
            </w:r>
          </w:p>
          <w:p w14:paraId="39FC5D68">
            <w:pPr>
              <w:pStyle w:val="51"/>
              <w:pageBreakBefore w:val="0"/>
              <w:numPr>
                <w:ilvl w:val="0"/>
                <w:numId w:val="4"/>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技术规范书偏离表</w:t>
            </w:r>
          </w:p>
          <w:p w14:paraId="76745EF1">
            <w:pPr>
              <w:pStyle w:val="51"/>
              <w:pageBreakBefore w:val="0"/>
              <w:numPr>
                <w:ilvl w:val="0"/>
                <w:numId w:val="4"/>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技术规范书点对点应答</w:t>
            </w:r>
          </w:p>
          <w:p w14:paraId="6045BBFE">
            <w:pPr>
              <w:pStyle w:val="51"/>
              <w:pageBreakBefore w:val="0"/>
              <w:numPr>
                <w:ilvl w:val="0"/>
                <w:numId w:val="4"/>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技术建议书</w:t>
            </w:r>
          </w:p>
          <w:p w14:paraId="0B0E6A6F">
            <w:pPr>
              <w:pStyle w:val="51"/>
              <w:pageBreakBefore w:val="0"/>
              <w:numPr>
                <w:ilvl w:val="0"/>
                <w:numId w:val="4"/>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投标人提供的其他</w:t>
            </w:r>
            <w:r>
              <w:rPr>
                <w:rFonts w:hint="eastAsia" w:ascii="宋体" w:hAnsi="宋体" w:eastAsia="宋体" w:cs="宋体"/>
                <w:color w:val="auto"/>
                <w:szCs w:val="21"/>
                <w:lang w:val="en-US" w:eastAsia="zh-CN"/>
              </w:rPr>
              <w:t>技术评分</w:t>
            </w:r>
            <w:r>
              <w:rPr>
                <w:rFonts w:hint="eastAsia" w:ascii="宋体" w:hAnsi="宋体" w:eastAsia="宋体" w:cs="宋体"/>
                <w:color w:val="auto"/>
                <w:szCs w:val="21"/>
              </w:rPr>
              <w:t>部分资料</w:t>
            </w:r>
          </w:p>
          <w:p w14:paraId="7836C599">
            <w:pPr>
              <w:pStyle w:val="51"/>
              <w:pageBreakBefore w:val="0"/>
              <w:tabs>
                <w:tab w:val="left" w:pos="567"/>
                <w:tab w:val="left" w:pos="795"/>
              </w:tabs>
              <w:kinsoku/>
              <w:overflowPunct/>
              <w:bidi w:val="0"/>
              <w:adjustRightInd w:val="0"/>
              <w:snapToGrid w:val="0"/>
              <w:spacing w:line="360" w:lineRule="auto"/>
              <w:ind w:firstLine="0" w:firstLineChars="0"/>
              <w:jc w:val="left"/>
              <w:rPr>
                <w:rFonts w:hint="eastAsia" w:ascii="宋体" w:hAnsi="宋体" w:eastAsia="宋体" w:cs="宋体"/>
                <w:b/>
                <w:color w:val="auto"/>
                <w:szCs w:val="21"/>
              </w:rPr>
            </w:pPr>
            <w:r>
              <w:rPr>
                <w:rFonts w:hint="eastAsia" w:ascii="宋体" w:hAnsi="宋体" w:eastAsia="宋体" w:cs="宋体"/>
                <w:b/>
                <w:color w:val="auto"/>
                <w:szCs w:val="21"/>
              </w:rPr>
              <w:t>第三分册 报价文件</w:t>
            </w:r>
          </w:p>
          <w:p w14:paraId="28B295B6">
            <w:pPr>
              <w:pStyle w:val="51"/>
              <w:pageBreakBefore w:val="0"/>
              <w:numPr>
                <w:ilvl w:val="0"/>
                <w:numId w:val="4"/>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报价文件封面</w:t>
            </w:r>
          </w:p>
          <w:p w14:paraId="2439F36A">
            <w:pPr>
              <w:pStyle w:val="51"/>
              <w:pageBreakBefore w:val="0"/>
              <w:numPr>
                <w:ilvl w:val="0"/>
                <w:numId w:val="4"/>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投标一览表</w:t>
            </w:r>
          </w:p>
        </w:tc>
      </w:tr>
      <w:tr w14:paraId="6995467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16CD194">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3.2.2</w:t>
            </w:r>
          </w:p>
        </w:tc>
        <w:tc>
          <w:tcPr>
            <w:tcW w:w="1666" w:type="dxa"/>
            <w:vAlign w:val="center"/>
          </w:tcPr>
          <w:p w14:paraId="54B1A011">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投标文件应答和编写</w:t>
            </w:r>
          </w:p>
        </w:tc>
        <w:tc>
          <w:tcPr>
            <w:tcW w:w="5795" w:type="dxa"/>
            <w:vAlign w:val="center"/>
          </w:tcPr>
          <w:p w14:paraId="20A65322">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投标文件应答和编写的具体要求如下：</w:t>
            </w:r>
          </w:p>
          <w:p w14:paraId="7021AFF5">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（1）投标人应当按照招标文件的要求编制投标文件，投标文件应当对招标文件提出的实质性要求和条件作出响应。</w:t>
            </w:r>
          </w:p>
          <w:p w14:paraId="161CD54D">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（2）投标人应当认真阅读招标文件中所有的事项、格式、条款和技术规范等。</w:t>
            </w:r>
          </w:p>
          <w:p w14:paraId="1C85AD4C">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（3）投标人递交的投标文件以及投标人与招标人就有关投标的所有往来函电均应当使用中文。投标人递交的证明文件和文献可以使用另一种语言，但相应内容应当译成中文，在解释投标文件时以中文译本为准。</w:t>
            </w:r>
          </w:p>
        </w:tc>
      </w:tr>
      <w:tr w14:paraId="236CE7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CCF464B">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3.2.5</w:t>
            </w:r>
          </w:p>
        </w:tc>
        <w:tc>
          <w:tcPr>
            <w:tcW w:w="1666" w:type="dxa"/>
            <w:vAlign w:val="center"/>
          </w:tcPr>
          <w:p w14:paraId="3AEFBE97">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电子投标文件的编制</w:t>
            </w:r>
          </w:p>
        </w:tc>
        <w:tc>
          <w:tcPr>
            <w:tcW w:w="5795" w:type="dxa"/>
            <w:vAlign w:val="center"/>
          </w:tcPr>
          <w:p w14:paraId="46FB8C8F">
            <w:pPr>
              <w:pageBreakBefore w:val="0"/>
              <w:kinsoku/>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rPr>
              <w:t>投标人需按照如下要求编制电子投标文件：</w:t>
            </w:r>
          </w:p>
          <w:p w14:paraId="3CE6B553">
            <w:pPr>
              <w:pageBreakBefore w:val="0"/>
              <w:kinsoku/>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（1）【电子投标文件需使用专用制作工具编制，投标人需通过中国电信阳光采购网“</w:t>
            </w:r>
            <w:r>
              <w:rPr>
                <w:rFonts w:hint="eastAsia" w:ascii="宋体" w:hAnsi="宋体" w:eastAsia="宋体" w:cs="宋体"/>
                <w:color w:val="auto"/>
              </w:rPr>
              <w:t>操作指引-电子采购-驱动和投标文件制作工具下载指引</w:t>
            </w:r>
            <w:r>
              <w:rPr>
                <w:rFonts w:hint="eastAsia" w:ascii="宋体" w:hAnsi="宋体" w:eastAsia="宋体" w:cs="宋体"/>
                <w:color w:val="auto"/>
                <w:szCs w:val="21"/>
              </w:rPr>
              <w:t>”模块，按指引</w:t>
            </w:r>
            <w:r>
              <w:rPr>
                <w:rFonts w:hint="eastAsia" w:ascii="宋体" w:hAnsi="宋体" w:eastAsia="宋体" w:cs="宋体"/>
                <w:color w:val="auto"/>
              </w:rPr>
              <w:t>下载并安装“中国电信投标文件制作工具”。】</w:t>
            </w:r>
          </w:p>
          <w:p w14:paraId="640B3894">
            <w:pPr>
              <w:pageBreakBefore w:val="0"/>
              <w:kinsoku/>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（2）投标文件需按照组成部分分别完成编制，单个组成部分大小不超过50Mb，总容量不超过500Mb。</w:t>
            </w:r>
          </w:p>
          <w:p w14:paraId="2F7B7CAD">
            <w:pPr>
              <w:pageBreakBefore w:val="0"/>
              <w:kinsoku/>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（3）电子投标文件以及相关证明文件均须清晰可读，明确要求的内容不得遮盖、隐藏，否则视为未提供。</w:t>
            </w:r>
          </w:p>
          <w:p w14:paraId="2BD8F700">
            <w:pPr>
              <w:pageBreakBefore w:val="0"/>
              <w:kinsoku/>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（4）电子投标文件须</w:t>
            </w:r>
            <w:r>
              <w:rPr>
                <w:rFonts w:hint="eastAsia" w:ascii="宋体" w:hAnsi="宋体" w:eastAsia="宋体" w:cs="宋体"/>
                <w:color w:val="auto"/>
              </w:rPr>
              <w:t>使用投标人</w:t>
            </w:r>
            <w:r>
              <w:rPr>
                <w:rFonts w:hint="eastAsia" w:ascii="宋体" w:hAnsi="宋体" w:eastAsia="宋体" w:cs="宋体"/>
                <w:color w:val="auto"/>
                <w:szCs w:val="21"/>
              </w:rPr>
              <w:t xml:space="preserve">CA数字证书签章和加密，未按规定签章和加密的电子投标文件无法上传。 </w:t>
            </w:r>
          </w:p>
          <w:p w14:paraId="1DC60294">
            <w:pPr>
              <w:pageBreakBefore w:val="0"/>
              <w:kinsoku/>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（5）需投标人与其他第三方共同签字盖章的文件、需联合体各方签字盖章的文件，投标人与其他第三方均应按文件要求进行签字盖章，并上传扫描件，如制造商授权函、联合体协议书等；</w:t>
            </w:r>
          </w:p>
          <w:p w14:paraId="0638C526">
            <w:pPr>
              <w:pageBreakBefore w:val="0"/>
              <w:kinsoku/>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仅需第三方签字盖章的文件，投标人应上传经第三方签字盖章后的扫描件，如要求制造商单独提供的供应商网络信息安全承诺书等；</w:t>
            </w:r>
          </w:p>
          <w:p w14:paraId="36DE2971">
            <w:pPr>
              <w:pageBreakBefore w:val="0"/>
              <w:kinsoku/>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解密成功的投标文件中，仅需投标人签字盖章的文件，视为已按招标文件要求进行了签字盖章。</w:t>
            </w:r>
          </w:p>
          <w:p w14:paraId="7636462B">
            <w:pPr>
              <w:pageBreakBefore w:val="0"/>
              <w:kinsoku/>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投标产品制造商注册地在中华人民共和国境外（与中华人民共和国有正常贸易与往来的国家或地区）及香港、澳门、台湾地区，必须使用代理商投标和签订销售合同且无法加盖单位公章的，投标文件中需制造商出具的文件应由有签署权的代表签字确认，并提供委托签署权的相关证明材料。</w:t>
            </w:r>
          </w:p>
          <w:p w14:paraId="141119D0">
            <w:pPr>
              <w:pageBreakBefore w:val="0"/>
              <w:kinsoku/>
              <w:overflowPunct/>
              <w:bidi w:val="0"/>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7）投标保证金（如有）以支票、汇票、投标保函、保险等形式递交的，必须递交纸质原件（采用线上开具的情况除外，如：电子保险），且应密封装于独立的信封内，信封上标明“投标保证金”字样，并在封口处加盖单位公章或投标专用章的骑缝章。</w:t>
            </w:r>
          </w:p>
          <w:p w14:paraId="5E076DCA">
            <w:pPr>
              <w:pageBreakBefore w:val="0"/>
              <w:kinsoku/>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（8）如业绩等证明文件超出电子投标文件单个组成部分大小限制，须按下方操作：</w:t>
            </w:r>
          </w:p>
          <w:p w14:paraId="0FAE4424">
            <w:pPr>
              <w:pageBreakBefore w:val="0"/>
              <w:kinsoku/>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①投标人须在“中国电信投标文件制作工具”中对应文件位置上传业绩情况表及说明等文件，说明中必须包含“该证明文件超过50Mb，我方承诺在</w:t>
            </w:r>
            <w:r>
              <w:rPr>
                <w:rFonts w:hint="eastAsia" w:ascii="宋体" w:hAnsi="宋体" w:eastAsia="宋体" w:cs="宋体"/>
                <w:color w:val="auto"/>
              </w:rPr>
              <w:t>电子采购系统</w:t>
            </w:r>
            <w:r>
              <w:rPr>
                <w:rFonts w:hint="eastAsia" w:ascii="宋体" w:hAnsi="宋体" w:eastAsia="宋体" w:cs="宋体"/>
                <w:color w:val="auto"/>
                <w:szCs w:val="21"/>
              </w:rPr>
              <w:t>上递交的大附件为真实有效的文件”。</w:t>
            </w:r>
          </w:p>
          <w:p w14:paraId="76E02AE3">
            <w:pPr>
              <w:pageBreakBefore w:val="0"/>
              <w:kinsoku/>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②该证明文件通过中国电信电子采购系统“投标文件递交-04大附件上传”进行提交。</w:t>
            </w:r>
          </w:p>
        </w:tc>
      </w:tr>
      <w:tr w14:paraId="0EEC34E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33D996E">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3.3.3</w:t>
            </w:r>
          </w:p>
        </w:tc>
        <w:tc>
          <w:tcPr>
            <w:tcW w:w="1666" w:type="dxa"/>
            <w:vAlign w:val="center"/>
          </w:tcPr>
          <w:p w14:paraId="13C4416A">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rPr>
              <w:t>最高投标限价或者其计算方法</w:t>
            </w:r>
          </w:p>
        </w:tc>
        <w:tc>
          <w:tcPr>
            <w:tcW w:w="5795" w:type="dxa"/>
            <w:vAlign w:val="center"/>
          </w:tcPr>
          <w:p w14:paraId="53C74A03">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□不设置最高投标限价</w:t>
            </w:r>
          </w:p>
          <w:p w14:paraId="120543C9">
            <w:pPr>
              <w:pageBreakBefore w:val="0"/>
              <w:kinsoku/>
              <w:overflowPunct/>
              <w:autoSpaceDE w:val="0"/>
              <w:autoSpaceDN w:val="0"/>
              <w:bidi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lang w:eastAsia="zh-CN"/>
              </w:rPr>
              <w:t>☑★</w:t>
            </w:r>
            <w:r>
              <w:rPr>
                <w:rFonts w:hint="eastAsia" w:ascii="宋体" w:hAnsi="宋体" w:eastAsia="宋体" w:cs="宋体"/>
                <w:color w:val="auto"/>
                <w:szCs w:val="21"/>
              </w:rPr>
              <w:t>设置最高投标限价，【</w:t>
            </w:r>
            <w:r>
              <w:rPr>
                <w:rFonts w:hint="eastAsia" w:ascii="宋体" w:hAnsi="宋体" w:eastAsia="宋体" w:cs="宋体"/>
                <w:color w:val="auto"/>
                <w:szCs w:val="21"/>
                <w:lang w:val="en-US" w:eastAsia="zh-CN"/>
              </w:rPr>
              <w:t>详见招标文件第六章报价投标文件</w:t>
            </w:r>
            <w:r>
              <w:rPr>
                <w:rFonts w:hint="eastAsia" w:ascii="宋体" w:hAnsi="宋体" w:eastAsia="宋体" w:cs="宋体"/>
                <w:color w:val="auto"/>
                <w:szCs w:val="21"/>
              </w:rPr>
              <w:t>】</w:t>
            </w:r>
          </w:p>
        </w:tc>
      </w:tr>
      <w:tr w14:paraId="2F0427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B03A1BA">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3.3.5</w:t>
            </w:r>
          </w:p>
        </w:tc>
        <w:tc>
          <w:tcPr>
            <w:tcW w:w="1666" w:type="dxa"/>
            <w:vAlign w:val="center"/>
          </w:tcPr>
          <w:p w14:paraId="1AB97D9A">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投标报价</w:t>
            </w:r>
            <w:r>
              <w:rPr>
                <w:rFonts w:hint="eastAsia" w:ascii="宋体" w:hAnsi="宋体" w:eastAsia="宋体" w:cs="宋体"/>
                <w:color w:val="auto"/>
              </w:rPr>
              <w:t>优惠条件</w:t>
            </w:r>
          </w:p>
        </w:tc>
        <w:tc>
          <w:tcPr>
            <w:tcW w:w="5795" w:type="dxa"/>
            <w:vAlign w:val="center"/>
          </w:tcPr>
          <w:p w14:paraId="1C640172">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□报优惠价</w:t>
            </w:r>
          </w:p>
          <w:p w14:paraId="49325204">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rPr>
              <w:t>不接受报优惠价</w:t>
            </w:r>
          </w:p>
          <w:p w14:paraId="3E67FD8B">
            <w:pPr>
              <w:pageBreakBefore w:val="0"/>
              <w:kinsoku/>
              <w:overflowPunct/>
              <w:autoSpaceDE w:val="0"/>
              <w:autoSpaceDN w:val="0"/>
              <w:bidi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□报优惠价的其他方式：</w:t>
            </w:r>
            <w:r>
              <w:rPr>
                <w:rFonts w:hint="eastAsia" w:ascii="宋体" w:hAnsi="宋体" w:eastAsia="宋体" w:cs="宋体"/>
                <w:color w:val="auto"/>
                <w:szCs w:val="21"/>
                <w:u w:val="single"/>
              </w:rPr>
              <w:t>【</w:t>
            </w:r>
            <w:r>
              <w:rPr>
                <w:rFonts w:hint="eastAsia" w:ascii="宋体" w:hAnsi="宋体" w:eastAsia="宋体" w:cs="宋体"/>
                <w:color w:val="auto"/>
                <w:szCs w:val="21"/>
                <w:u w:val="single"/>
                <w:lang w:val="en-US" w:eastAsia="zh-CN"/>
              </w:rPr>
              <w:t>/</w:t>
            </w:r>
            <w:r>
              <w:rPr>
                <w:rFonts w:hint="eastAsia" w:ascii="宋体" w:hAnsi="宋体" w:eastAsia="宋体" w:cs="宋体"/>
                <w:color w:val="auto"/>
                <w:szCs w:val="21"/>
                <w:u w:val="single"/>
              </w:rPr>
              <w:t>】</w:t>
            </w:r>
          </w:p>
        </w:tc>
      </w:tr>
      <w:tr w14:paraId="567A03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7538E07">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3.3.6</w:t>
            </w:r>
          </w:p>
        </w:tc>
        <w:tc>
          <w:tcPr>
            <w:tcW w:w="1666" w:type="dxa"/>
            <w:vAlign w:val="center"/>
          </w:tcPr>
          <w:p w14:paraId="2A9A2F4E">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投标报价具体要求</w:t>
            </w:r>
          </w:p>
        </w:tc>
        <w:tc>
          <w:tcPr>
            <w:tcW w:w="5795" w:type="dxa"/>
            <w:vAlign w:val="center"/>
          </w:tcPr>
          <w:p w14:paraId="29C00004">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本条款增加以下规定：</w:t>
            </w:r>
          </w:p>
          <w:p w14:paraId="25A8E1A6">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eastAsia="zh-CN"/>
              </w:rPr>
              <w:t>投标</w:t>
            </w:r>
            <w:r>
              <w:rPr>
                <w:rFonts w:hint="eastAsia" w:ascii="宋体" w:hAnsi="宋体" w:eastAsia="宋体" w:cs="宋体"/>
                <w:color w:val="auto"/>
                <w:szCs w:val="21"/>
              </w:rPr>
              <w:t>人需严格按照本项目</w:t>
            </w:r>
            <w:r>
              <w:rPr>
                <w:rFonts w:hint="eastAsia" w:ascii="宋体" w:hAnsi="宋体" w:eastAsia="宋体" w:cs="宋体"/>
                <w:color w:val="auto"/>
                <w:szCs w:val="21"/>
                <w:lang w:eastAsia="zh-CN"/>
              </w:rPr>
              <w:t>招标</w:t>
            </w:r>
            <w:r>
              <w:rPr>
                <w:rFonts w:hint="eastAsia" w:ascii="宋体" w:hAnsi="宋体" w:eastAsia="宋体" w:cs="宋体"/>
                <w:color w:val="auto"/>
                <w:szCs w:val="21"/>
              </w:rPr>
              <w:t>文件中技术规范书、报价要求与报价格式进行报价，报价格式中各项报表</w:t>
            </w:r>
            <w:r>
              <w:rPr>
                <w:rFonts w:hint="eastAsia" w:ascii="宋体" w:hAnsi="宋体" w:eastAsia="宋体" w:cs="宋体"/>
                <w:color w:val="auto"/>
                <w:szCs w:val="21"/>
                <w:lang w:val="en-US" w:eastAsia="zh-CN"/>
              </w:rPr>
              <w:t>中</w:t>
            </w:r>
            <w:r>
              <w:rPr>
                <w:rFonts w:hint="eastAsia" w:ascii="宋体" w:hAnsi="宋体" w:eastAsia="宋体" w:cs="宋体"/>
                <w:color w:val="auto"/>
                <w:szCs w:val="21"/>
              </w:rPr>
              <w:t>主要内容均必须填写，不得缺省或回避填写，否则评审时</w:t>
            </w:r>
            <w:r>
              <w:rPr>
                <w:rFonts w:hint="eastAsia" w:ascii="宋体" w:hAnsi="宋体" w:eastAsia="宋体" w:cs="宋体"/>
                <w:color w:val="auto"/>
                <w:szCs w:val="21"/>
                <w:lang w:eastAsia="zh-CN"/>
              </w:rPr>
              <w:t>招标</w:t>
            </w:r>
            <w:r>
              <w:rPr>
                <w:rFonts w:hint="eastAsia" w:ascii="宋体" w:hAnsi="宋体" w:eastAsia="宋体" w:cs="宋体"/>
                <w:color w:val="auto"/>
                <w:szCs w:val="21"/>
              </w:rPr>
              <w:t>人有权对该项漏报项按照所有有效</w:t>
            </w:r>
            <w:r>
              <w:rPr>
                <w:rFonts w:hint="eastAsia" w:ascii="宋体" w:hAnsi="宋体" w:eastAsia="宋体" w:cs="宋体"/>
                <w:color w:val="auto"/>
                <w:szCs w:val="21"/>
                <w:lang w:eastAsia="zh-CN"/>
              </w:rPr>
              <w:t>投标</w:t>
            </w:r>
            <w:r>
              <w:rPr>
                <w:rFonts w:hint="eastAsia" w:ascii="宋体" w:hAnsi="宋体" w:eastAsia="宋体" w:cs="宋体"/>
                <w:color w:val="auto"/>
                <w:szCs w:val="21"/>
              </w:rPr>
              <w:t>人该项的最高价进行核增，以核增后的价格作为评审价，以免费赠送作为</w:t>
            </w:r>
            <w:r>
              <w:rPr>
                <w:rFonts w:hint="eastAsia" w:ascii="宋体" w:hAnsi="宋体" w:eastAsia="宋体" w:cs="宋体"/>
                <w:color w:val="auto"/>
                <w:szCs w:val="21"/>
                <w:lang w:eastAsia="zh-CN"/>
              </w:rPr>
              <w:t>招标</w:t>
            </w:r>
            <w:r>
              <w:rPr>
                <w:rFonts w:hint="eastAsia" w:ascii="宋体" w:hAnsi="宋体" w:eastAsia="宋体" w:cs="宋体"/>
                <w:color w:val="auto"/>
                <w:szCs w:val="21"/>
              </w:rPr>
              <w:t>人的采购价，由此引起的后果由</w:t>
            </w:r>
            <w:r>
              <w:rPr>
                <w:rFonts w:hint="eastAsia" w:ascii="宋体" w:hAnsi="宋体" w:eastAsia="宋体" w:cs="宋体"/>
                <w:color w:val="auto"/>
                <w:szCs w:val="21"/>
                <w:lang w:eastAsia="zh-CN"/>
              </w:rPr>
              <w:t>投标</w:t>
            </w:r>
            <w:r>
              <w:rPr>
                <w:rFonts w:hint="eastAsia" w:ascii="宋体" w:hAnsi="宋体" w:eastAsia="宋体" w:cs="宋体"/>
                <w:color w:val="auto"/>
                <w:szCs w:val="21"/>
              </w:rPr>
              <w:t>人承担。</w:t>
            </w:r>
          </w:p>
          <w:p w14:paraId="6463C682">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eastAsia="zh-CN"/>
              </w:rPr>
              <w:t>投标</w:t>
            </w:r>
            <w:r>
              <w:rPr>
                <w:rFonts w:hint="eastAsia" w:ascii="宋体" w:hAnsi="宋体" w:eastAsia="宋体" w:cs="宋体"/>
                <w:color w:val="auto"/>
                <w:szCs w:val="21"/>
              </w:rPr>
              <w:t>人需严格按照本项目</w:t>
            </w:r>
            <w:r>
              <w:rPr>
                <w:rFonts w:hint="eastAsia" w:ascii="宋体" w:hAnsi="宋体" w:eastAsia="宋体" w:cs="宋体"/>
                <w:color w:val="auto"/>
                <w:szCs w:val="21"/>
                <w:lang w:eastAsia="zh-CN"/>
              </w:rPr>
              <w:t>招标</w:t>
            </w:r>
            <w:r>
              <w:rPr>
                <w:rFonts w:hint="eastAsia" w:ascii="宋体" w:hAnsi="宋体" w:eastAsia="宋体" w:cs="宋体"/>
                <w:color w:val="auto"/>
                <w:szCs w:val="21"/>
              </w:rPr>
              <w:t>文件中技术规范书、报价要求与报价格式进行报价，如有多报，以该</w:t>
            </w:r>
            <w:r>
              <w:rPr>
                <w:rFonts w:hint="eastAsia" w:ascii="宋体" w:hAnsi="宋体" w:eastAsia="宋体" w:cs="宋体"/>
                <w:color w:val="auto"/>
                <w:szCs w:val="21"/>
                <w:lang w:eastAsia="zh-CN"/>
              </w:rPr>
              <w:t>投标</w:t>
            </w:r>
            <w:r>
              <w:rPr>
                <w:rFonts w:hint="eastAsia" w:ascii="宋体" w:hAnsi="宋体" w:eastAsia="宋体" w:cs="宋体"/>
                <w:color w:val="auto"/>
                <w:szCs w:val="21"/>
              </w:rPr>
              <w:t>人的</w:t>
            </w:r>
            <w:r>
              <w:rPr>
                <w:rFonts w:hint="eastAsia" w:ascii="宋体" w:hAnsi="宋体" w:eastAsia="宋体" w:cs="宋体"/>
                <w:color w:val="auto"/>
                <w:szCs w:val="21"/>
                <w:lang w:eastAsia="zh-CN"/>
              </w:rPr>
              <w:t>投标</w:t>
            </w:r>
            <w:r>
              <w:rPr>
                <w:rFonts w:hint="eastAsia" w:ascii="宋体" w:hAnsi="宋体" w:eastAsia="宋体" w:cs="宋体"/>
                <w:color w:val="auto"/>
                <w:szCs w:val="21"/>
              </w:rPr>
              <w:t>报价作为评审价，按</w:t>
            </w:r>
            <w:r>
              <w:rPr>
                <w:rFonts w:hint="eastAsia" w:ascii="宋体" w:hAnsi="宋体" w:eastAsia="宋体" w:cs="宋体"/>
                <w:color w:val="auto"/>
                <w:szCs w:val="21"/>
                <w:lang w:eastAsia="zh-CN"/>
              </w:rPr>
              <w:t>招标</w:t>
            </w:r>
            <w:r>
              <w:rPr>
                <w:rFonts w:hint="eastAsia" w:ascii="宋体" w:hAnsi="宋体" w:eastAsia="宋体" w:cs="宋体"/>
                <w:color w:val="auto"/>
                <w:szCs w:val="21"/>
              </w:rPr>
              <w:t>文件规定的采购内容进行采购，合同签订时核减多报的金额。</w:t>
            </w:r>
          </w:p>
          <w:p w14:paraId="461C4903">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（4）不含税单价报价最多可保留6位小数，含税单价和总价均按照四舍五入方式保留2位小数。</w:t>
            </w:r>
          </w:p>
          <w:p w14:paraId="199F37DF">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（5）价格计算原则应按照以下原则进行计算：</w:t>
            </w:r>
          </w:p>
          <w:p w14:paraId="7CA81383">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价格计算按照产品分项进行计算。</w:t>
            </w:r>
          </w:p>
          <w:p w14:paraId="023EF62C">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价款总价=单价*数量。</w:t>
            </w:r>
          </w:p>
          <w:p w14:paraId="76D24E30">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增值税款总价=单价*数量*增值税率。</w:t>
            </w:r>
          </w:p>
          <w:p w14:paraId="342E3110">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价税合计=价款总价+增值税款总价。</w:t>
            </w:r>
          </w:p>
        </w:tc>
      </w:tr>
      <w:tr w14:paraId="5F8C237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F22E64C">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3.4.1</w:t>
            </w:r>
          </w:p>
        </w:tc>
        <w:tc>
          <w:tcPr>
            <w:tcW w:w="1666" w:type="dxa"/>
            <w:vAlign w:val="center"/>
          </w:tcPr>
          <w:p w14:paraId="67B12FC7">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投标有效期</w:t>
            </w:r>
          </w:p>
        </w:tc>
        <w:tc>
          <w:tcPr>
            <w:tcW w:w="5795" w:type="dxa"/>
            <w:vAlign w:val="center"/>
          </w:tcPr>
          <w:p w14:paraId="531D77EC">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b/>
                <w:bCs w:val="0"/>
                <w:color w:val="auto"/>
                <w:szCs w:val="21"/>
                <w:u w:val="none"/>
              </w:rPr>
              <w:t>★投</w:t>
            </w:r>
            <w:r>
              <w:rPr>
                <w:rFonts w:hint="eastAsia" w:ascii="宋体" w:hAnsi="宋体" w:eastAsia="宋体" w:cs="宋体"/>
                <w:b/>
                <w:bCs w:val="0"/>
                <w:color w:val="auto"/>
                <w:szCs w:val="21"/>
              </w:rPr>
              <w:t>标有效期：</w:t>
            </w:r>
            <w:r>
              <w:rPr>
                <w:rFonts w:hint="eastAsia" w:ascii="宋体" w:hAnsi="宋体" w:eastAsia="宋体" w:cs="宋体"/>
                <w:b/>
                <w:bCs w:val="0"/>
                <w:color w:val="auto"/>
                <w:szCs w:val="21"/>
                <w:u w:val="single"/>
              </w:rPr>
              <w:t>【</w:t>
            </w:r>
            <w:r>
              <w:rPr>
                <w:rFonts w:hint="eastAsia" w:ascii="宋体" w:hAnsi="宋体" w:eastAsia="宋体" w:cs="宋体"/>
                <w:b/>
                <w:bCs w:val="0"/>
                <w:color w:val="auto"/>
                <w:szCs w:val="21"/>
                <w:u w:val="single"/>
                <w:lang w:val="en-US" w:eastAsia="zh-CN"/>
              </w:rPr>
              <w:t>120</w:t>
            </w:r>
            <w:r>
              <w:rPr>
                <w:rFonts w:hint="eastAsia" w:ascii="宋体" w:hAnsi="宋体" w:eastAsia="宋体" w:cs="宋体"/>
                <w:b/>
                <w:bCs w:val="0"/>
                <w:color w:val="auto"/>
                <w:szCs w:val="21"/>
                <w:u w:val="single"/>
              </w:rPr>
              <w:t>】</w:t>
            </w:r>
            <w:r>
              <w:rPr>
                <w:rFonts w:hint="eastAsia" w:ascii="宋体" w:hAnsi="宋体" w:eastAsia="宋体" w:cs="宋体"/>
                <w:b/>
                <w:bCs w:val="0"/>
                <w:color w:val="auto"/>
                <w:szCs w:val="21"/>
              </w:rPr>
              <w:t>天</w:t>
            </w:r>
          </w:p>
        </w:tc>
      </w:tr>
      <w:tr w14:paraId="600785C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6FB3490">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3.5.1</w:t>
            </w:r>
          </w:p>
        </w:tc>
        <w:tc>
          <w:tcPr>
            <w:tcW w:w="1666" w:type="dxa"/>
            <w:vAlign w:val="center"/>
          </w:tcPr>
          <w:p w14:paraId="2351D6B9">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投标保证金</w:t>
            </w:r>
          </w:p>
        </w:tc>
        <w:tc>
          <w:tcPr>
            <w:tcW w:w="5795" w:type="dxa"/>
            <w:vAlign w:val="center"/>
          </w:tcPr>
          <w:p w14:paraId="64D57CA8">
            <w:pPr>
              <w:pageBreakBefore w:val="0"/>
              <w:kinsoku/>
              <w:overflowPunct/>
              <w:autoSpaceDE w:val="0"/>
              <w:autoSpaceDN w:val="0"/>
              <w:bidi w:val="0"/>
              <w:spacing w:line="360" w:lineRule="auto"/>
              <w:rPr>
                <w:rFonts w:hint="eastAsia" w:ascii="宋体" w:hAnsi="宋体" w:eastAsia="宋体" w:cs="宋体"/>
                <w:b/>
                <w:bCs/>
                <w:color w:val="auto"/>
                <w:szCs w:val="21"/>
                <w:highlight w:val="none"/>
                <w:u w:val="single"/>
                <w:lang w:eastAsia="zh-CN"/>
              </w:rPr>
            </w:pPr>
            <w:r>
              <w:rPr>
                <w:rFonts w:hint="eastAsia" w:ascii="宋体" w:hAnsi="宋体" w:eastAsia="宋体" w:cs="宋体"/>
                <w:color w:val="auto"/>
                <w:szCs w:val="21"/>
                <w:lang w:eastAsia="zh-CN"/>
              </w:rPr>
              <w:t>☑</w:t>
            </w:r>
            <w:r>
              <w:rPr>
                <w:rFonts w:hint="eastAsia" w:ascii="宋体" w:hAnsi="宋体" w:eastAsia="宋体" w:cs="宋体"/>
                <w:b/>
                <w:bCs w:val="0"/>
                <w:color w:val="auto"/>
                <w:szCs w:val="21"/>
                <w:u w:val="single"/>
              </w:rPr>
              <w:t>★</w:t>
            </w:r>
            <w:r>
              <w:rPr>
                <w:rFonts w:hint="eastAsia" w:ascii="宋体" w:hAnsi="宋体" w:eastAsia="宋体" w:cs="宋体"/>
                <w:color w:val="auto"/>
                <w:szCs w:val="21"/>
              </w:rPr>
              <w:t>要求递交投标保证金</w:t>
            </w:r>
            <w:r>
              <w:rPr>
                <w:rFonts w:hint="eastAsia" w:ascii="宋体" w:hAnsi="宋体" w:eastAsia="宋体" w:cs="宋体"/>
                <w:color w:val="auto"/>
                <w:szCs w:val="21"/>
                <w:lang w:eastAsia="zh-CN"/>
              </w:rPr>
              <w:t>：</w:t>
            </w:r>
            <w:r>
              <w:rPr>
                <w:rFonts w:hint="eastAsia" w:ascii="宋体" w:hAnsi="宋体" w:eastAsia="宋体" w:cs="宋体"/>
                <w:color w:val="auto"/>
                <w:szCs w:val="21"/>
              </w:rPr>
              <w:t>投</w:t>
            </w:r>
            <w:r>
              <w:rPr>
                <w:rFonts w:hint="eastAsia" w:ascii="宋体" w:hAnsi="宋体" w:eastAsia="宋体" w:cs="宋体"/>
                <w:color w:val="auto"/>
                <w:szCs w:val="21"/>
                <w:highlight w:val="none"/>
              </w:rPr>
              <w:t>标保证金金额</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【人民币</w:t>
            </w:r>
            <w:r>
              <w:rPr>
                <w:rFonts w:hint="eastAsia" w:ascii="宋体" w:hAnsi="宋体" w:eastAsia="宋体" w:cs="宋体"/>
                <w:b/>
                <w:bCs/>
                <w:color w:val="auto"/>
                <w:szCs w:val="21"/>
                <w:highlight w:val="none"/>
                <w:u w:val="single"/>
                <w:lang w:val="en-US" w:eastAsia="zh-CN"/>
              </w:rPr>
              <w:t>11300.00</w:t>
            </w:r>
            <w:r>
              <w:rPr>
                <w:rFonts w:hint="eastAsia" w:ascii="宋体" w:hAnsi="宋体" w:eastAsia="宋体" w:cs="宋体"/>
                <w:b/>
                <w:bCs/>
                <w:color w:val="auto"/>
                <w:szCs w:val="21"/>
                <w:highlight w:val="none"/>
                <w:u w:val="single"/>
              </w:rPr>
              <w:t>元】</w:t>
            </w:r>
          </w:p>
          <w:p w14:paraId="6BE6DA39">
            <w:pPr>
              <w:pageBreakBefore w:val="0"/>
              <w:kinsoku/>
              <w:overflowPunct/>
              <w:autoSpaceDE w:val="0"/>
              <w:autoSpaceDN w:val="0"/>
              <w:bidi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□无需递交投标保证金</w:t>
            </w:r>
          </w:p>
        </w:tc>
      </w:tr>
      <w:tr w14:paraId="0EF523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EE37583">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3.5.2</w:t>
            </w:r>
          </w:p>
        </w:tc>
        <w:tc>
          <w:tcPr>
            <w:tcW w:w="1666" w:type="dxa"/>
            <w:vAlign w:val="center"/>
          </w:tcPr>
          <w:p w14:paraId="3EA4606E">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投标保证金形式</w:t>
            </w:r>
          </w:p>
        </w:tc>
        <w:tc>
          <w:tcPr>
            <w:tcW w:w="5795" w:type="dxa"/>
            <w:vAlign w:val="center"/>
          </w:tcPr>
          <w:p w14:paraId="0F31D822">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rPr>
              <w:t>投标保证金形式包括在中国注册的银行出具的银行保函、银行汇款、支票、汇票以及其他在中国注册的机构依法出具的投标保函、保险等，以银行汇款、支票、汇票等形式提交的投标保证金应当从投标人账户转出（依法必须招标项目应当从投标人基本账户转出）</w:t>
            </w:r>
            <w:r>
              <w:rPr>
                <w:rFonts w:hint="eastAsia" w:ascii="宋体" w:hAnsi="宋体" w:eastAsia="宋体" w:cs="宋体"/>
                <w:color w:val="auto"/>
                <w:szCs w:val="21"/>
              </w:rPr>
              <w:t>[必须接受银行保函形式的投标保证金]</w:t>
            </w:r>
          </w:p>
          <w:p w14:paraId="51A788CD">
            <w:pPr>
              <w:pageBreakBefore w:val="0"/>
              <w:kinsoku/>
              <w:overflowPunct/>
              <w:autoSpaceDE w:val="0"/>
              <w:autoSpaceDN w:val="0"/>
              <w:bidi w:val="0"/>
              <w:spacing w:line="360" w:lineRule="auto"/>
              <w:rPr>
                <w:rFonts w:hint="eastAsia" w:ascii="宋体" w:hAnsi="宋体" w:eastAsia="宋体" w:cs="宋体"/>
                <w:b/>
                <w:bCs/>
                <w:color w:val="auto"/>
                <w:szCs w:val="21"/>
                <w:lang w:val="en-US" w:eastAsia="zh-CN"/>
              </w:rPr>
            </w:pPr>
            <w:r>
              <w:rPr>
                <w:rFonts w:hint="eastAsia" w:ascii="宋体" w:hAnsi="宋体" w:eastAsia="宋体" w:cs="宋体"/>
                <w:color w:val="auto"/>
                <w:szCs w:val="21"/>
              </w:rPr>
              <w:t>以银行汇款等形式提交投标保证金的，投标保证金缴纳至如下</w:t>
            </w:r>
            <w:r>
              <w:rPr>
                <w:rFonts w:hint="eastAsia" w:ascii="宋体" w:hAnsi="宋体" w:eastAsia="宋体" w:cs="宋体"/>
                <w:b/>
                <w:bCs/>
                <w:color w:val="auto"/>
                <w:szCs w:val="21"/>
              </w:rPr>
              <w:t>账户：</w:t>
            </w:r>
            <w:r>
              <w:rPr>
                <w:rFonts w:hint="eastAsia" w:ascii="宋体" w:hAnsi="宋体" w:eastAsia="宋体" w:cs="宋体"/>
                <w:b/>
                <w:bCs/>
                <w:color w:val="auto"/>
                <w:szCs w:val="21"/>
                <w:lang w:val="en-US" w:eastAsia="zh-CN"/>
              </w:rPr>
              <w:t>中通服供应链股份有限公司贵州分公司</w:t>
            </w:r>
          </w:p>
          <w:p w14:paraId="1F6ADAD0">
            <w:pPr>
              <w:pageBreakBefore w:val="0"/>
              <w:kinsoku/>
              <w:overflowPunct/>
              <w:autoSpaceDE w:val="0"/>
              <w:autoSpaceDN w:val="0"/>
              <w:bidi w:val="0"/>
              <w:spacing w:line="360" w:lineRule="auto"/>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开户名：中通服供应链股份有限公司贵州分公司 </w:t>
            </w:r>
          </w:p>
          <w:p w14:paraId="342D81AF">
            <w:pPr>
              <w:pageBreakBefore w:val="0"/>
              <w:kinsoku/>
              <w:overflowPunct/>
              <w:autoSpaceDE w:val="0"/>
              <w:autoSpaceDN w:val="0"/>
              <w:bidi w:val="0"/>
              <w:spacing w:line="360" w:lineRule="auto"/>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账号：</w:t>
            </w:r>
            <w:r>
              <w:rPr>
                <w:rFonts w:hint="eastAsia" w:ascii="宋体" w:hAnsi="宋体" w:cs="宋体"/>
                <w:b/>
                <w:bCs/>
                <w:color w:val="auto"/>
                <w:szCs w:val="21"/>
                <w:lang w:val="en-US" w:eastAsia="zh-CN"/>
              </w:rPr>
              <w:t>3113230078540000105</w:t>
            </w:r>
            <w:r>
              <w:rPr>
                <w:rFonts w:hint="eastAsia" w:ascii="宋体" w:hAnsi="宋体" w:eastAsia="宋体" w:cs="宋体"/>
                <w:b/>
                <w:bCs/>
                <w:color w:val="auto"/>
                <w:szCs w:val="21"/>
                <w:lang w:val="en-US" w:eastAsia="zh-CN"/>
              </w:rPr>
              <w:t> </w:t>
            </w:r>
          </w:p>
          <w:p w14:paraId="345FB176">
            <w:pPr>
              <w:pageBreakBefore w:val="0"/>
              <w:kinsoku/>
              <w:overflowPunct/>
              <w:autoSpaceDE w:val="0"/>
              <w:autoSpaceDN w:val="0"/>
              <w:bidi w:val="0"/>
              <w:spacing w:line="360" w:lineRule="auto"/>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 xml:space="preserve">开户行：中信银行股份有限公司贵阳林城西路支行 </w:t>
            </w:r>
          </w:p>
          <w:p w14:paraId="00C6F09C">
            <w:pPr>
              <w:pageBreakBefore w:val="0"/>
              <w:kinsoku/>
              <w:overflowPunct/>
              <w:autoSpaceDE w:val="0"/>
              <w:autoSpaceDN w:val="0"/>
              <w:bidi w:val="0"/>
              <w:spacing w:line="360" w:lineRule="auto"/>
              <w:rPr>
                <w:rFonts w:hint="eastAsia" w:ascii="宋体" w:hAnsi="宋体" w:eastAsia="宋体" w:cs="宋体"/>
                <w:b/>
                <w:bCs/>
                <w:color w:val="auto"/>
                <w:szCs w:val="21"/>
              </w:rPr>
            </w:pPr>
            <w:r>
              <w:rPr>
                <w:rFonts w:hint="eastAsia" w:ascii="宋体" w:hAnsi="宋体" w:eastAsia="宋体" w:cs="宋体"/>
                <w:color w:val="auto"/>
                <w:szCs w:val="21"/>
              </w:rPr>
              <w:t>以银行保函、</w:t>
            </w:r>
            <w:r>
              <w:rPr>
                <w:rFonts w:hint="eastAsia" w:ascii="宋体" w:hAnsi="宋体" w:eastAsia="宋体" w:cs="宋体"/>
                <w:color w:val="auto"/>
              </w:rPr>
              <w:t>投标保函、保险</w:t>
            </w:r>
            <w:r>
              <w:rPr>
                <w:rFonts w:hint="eastAsia" w:ascii="宋体" w:hAnsi="宋体" w:eastAsia="宋体" w:cs="宋体"/>
                <w:color w:val="auto"/>
                <w:szCs w:val="21"/>
              </w:rPr>
              <w:t>形式提交投标保证金的，保函、保险中应当写明受益人为</w:t>
            </w:r>
            <w:r>
              <w:rPr>
                <w:rFonts w:hint="eastAsia" w:ascii="宋体" w:hAnsi="宋体" w:eastAsia="宋体" w:cs="宋体"/>
                <w:color w:val="auto"/>
                <w:szCs w:val="21"/>
                <w:u w:val="single"/>
                <w:lang w:eastAsia="zh-CN"/>
              </w:rPr>
              <w:t>中国电信股份有限公司贵阳分公司</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[招标人]，担保项目为</w:t>
            </w:r>
            <w:r>
              <w:rPr>
                <w:rFonts w:hint="eastAsia" w:ascii="宋体" w:hAnsi="宋体" w:eastAsia="宋体" w:cs="宋体"/>
                <w:color w:val="auto"/>
                <w:szCs w:val="21"/>
                <w:u w:val="single"/>
                <w:lang w:eastAsia="zh-CN"/>
              </w:rPr>
              <w:t>2025年中国电信贵阳分公司低压动力设备维护抢修服务框架采购</w:t>
            </w:r>
            <w:r>
              <w:rPr>
                <w:rFonts w:hint="eastAsia" w:ascii="宋体" w:hAnsi="宋体" w:eastAsia="宋体" w:cs="宋体"/>
                <w:color w:val="auto"/>
                <w:szCs w:val="21"/>
              </w:rPr>
              <w:t>[招标项目名称]，担保有效期应覆盖投标有效期。</w:t>
            </w:r>
            <w:r>
              <w:rPr>
                <w:rFonts w:hint="eastAsia" w:ascii="宋体" w:hAnsi="宋体" w:eastAsia="宋体" w:cs="宋体"/>
                <w:b w:val="0"/>
                <w:bCs w:val="0"/>
                <w:color w:val="auto"/>
                <w:szCs w:val="21"/>
              </w:rPr>
              <w:t>保函、保险等原件应作为投标文件在投标截止时间前提交到：【贵州省贵阳市金阳北路27号麒龙贵州塔16楼</w:t>
            </w:r>
            <w:r>
              <w:rPr>
                <w:rFonts w:hint="eastAsia" w:ascii="宋体" w:hAnsi="宋体" w:eastAsia="宋体" w:cs="宋体"/>
                <w:b w:val="0"/>
                <w:bCs w:val="0"/>
                <w:color w:val="auto"/>
                <w:szCs w:val="21"/>
                <w:lang w:val="en-US" w:eastAsia="zh-CN"/>
              </w:rPr>
              <w:t>招标</w:t>
            </w:r>
            <w:r>
              <w:rPr>
                <w:rFonts w:hint="eastAsia" w:ascii="宋体" w:hAnsi="宋体" w:eastAsia="宋体" w:cs="宋体"/>
                <w:b w:val="0"/>
                <w:bCs w:val="0"/>
                <w:color w:val="auto"/>
                <w:szCs w:val="21"/>
              </w:rPr>
              <w:t>部</w:t>
            </w:r>
            <w:r>
              <w:rPr>
                <w:rFonts w:hint="eastAsia" w:ascii="宋体" w:hAnsi="宋体" w:eastAsia="宋体" w:cs="宋体"/>
                <w:b w:val="0"/>
                <w:bCs w:val="0"/>
                <w:color w:val="auto"/>
                <w:szCs w:val="21"/>
                <w:lang w:val="en-US" w:eastAsia="zh-CN"/>
              </w:rPr>
              <w:t>,联系人及电话：李欣骏 13308519735</w:t>
            </w:r>
            <w:r>
              <w:rPr>
                <w:rFonts w:hint="eastAsia" w:ascii="宋体" w:hAnsi="宋体" w:eastAsia="宋体" w:cs="宋体"/>
                <w:b w:val="0"/>
                <w:bCs w:val="0"/>
                <w:color w:val="auto"/>
                <w:szCs w:val="21"/>
              </w:rPr>
              <w:t>】。</w:t>
            </w:r>
          </w:p>
          <w:p w14:paraId="560FFEC0">
            <w:pPr>
              <w:pageBreakBefore w:val="0"/>
              <w:kinsoku/>
              <w:overflowPunct/>
              <w:autoSpaceDE w:val="0"/>
              <w:autoSpaceDN w:val="0"/>
              <w:bidi w:val="0"/>
              <w:spacing w:line="360" w:lineRule="auto"/>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如后期涉及退保证金及开票事宜，请联系何工：17784160062。</w:t>
            </w:r>
          </w:p>
        </w:tc>
      </w:tr>
      <w:tr w14:paraId="6281FA4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59561EC">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3.5.4</w:t>
            </w:r>
          </w:p>
        </w:tc>
        <w:tc>
          <w:tcPr>
            <w:tcW w:w="1666" w:type="dxa"/>
            <w:vAlign w:val="center"/>
          </w:tcPr>
          <w:p w14:paraId="2A972866">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投标保证金不予退还的其他规定</w:t>
            </w:r>
          </w:p>
        </w:tc>
        <w:tc>
          <w:tcPr>
            <w:tcW w:w="5795" w:type="dxa"/>
            <w:vAlign w:val="center"/>
          </w:tcPr>
          <w:p w14:paraId="547DA3A2">
            <w:pPr>
              <w:pageBreakBefore w:val="0"/>
              <w:kinsoku/>
              <w:overflowPunct/>
              <w:autoSpaceDE w:val="0"/>
              <w:autoSpaceDN w:val="0"/>
              <w:bidi w:val="0"/>
              <w:spacing w:line="360" w:lineRule="auto"/>
              <w:ind w:firstLine="105" w:firstLineChars="50"/>
              <w:rPr>
                <w:rFonts w:hint="eastAsia" w:ascii="宋体" w:hAnsi="宋体" w:eastAsia="宋体" w:cs="宋体"/>
                <w:color w:val="auto"/>
                <w:szCs w:val="21"/>
              </w:rPr>
            </w:pPr>
            <w:r>
              <w:rPr>
                <w:rFonts w:hint="eastAsia" w:ascii="宋体" w:hAnsi="宋体" w:eastAsia="宋体" w:cs="宋体"/>
                <w:color w:val="auto"/>
                <w:szCs w:val="21"/>
              </w:rPr>
              <w:t>本条款增加以下规定：</w:t>
            </w:r>
          </w:p>
          <w:p w14:paraId="3DF0F744">
            <w:pPr>
              <w:pageBreakBefore w:val="0"/>
              <w:kinsoku/>
              <w:overflowPunct/>
              <w:autoSpaceDE w:val="0"/>
              <w:autoSpaceDN w:val="0"/>
              <w:bidi w:val="0"/>
              <w:spacing w:line="360" w:lineRule="auto"/>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投标</w:t>
            </w:r>
            <w:r>
              <w:rPr>
                <w:rFonts w:hint="eastAsia" w:ascii="宋体" w:hAnsi="宋体" w:eastAsia="宋体" w:cs="宋体"/>
                <w:color w:val="auto"/>
              </w:rPr>
              <w:t>人在</w:t>
            </w:r>
            <w:r>
              <w:rPr>
                <w:rFonts w:hint="eastAsia" w:ascii="宋体" w:hAnsi="宋体" w:eastAsia="宋体" w:cs="宋体"/>
                <w:color w:val="auto"/>
                <w:lang w:eastAsia="zh-CN"/>
              </w:rPr>
              <w:t>投标</w:t>
            </w:r>
            <w:r>
              <w:rPr>
                <w:rFonts w:hint="eastAsia" w:ascii="宋体" w:hAnsi="宋体" w:eastAsia="宋体" w:cs="宋体"/>
                <w:color w:val="auto"/>
              </w:rPr>
              <w:t>文件中提供虚假的文件和材料，意图骗取</w:t>
            </w:r>
            <w:r>
              <w:rPr>
                <w:rFonts w:hint="eastAsia" w:ascii="宋体" w:hAnsi="宋体" w:eastAsia="宋体" w:cs="宋体"/>
                <w:color w:val="auto"/>
                <w:lang w:val="en-US" w:eastAsia="zh-CN"/>
              </w:rPr>
              <w:t>中标</w:t>
            </w:r>
            <w:r>
              <w:rPr>
                <w:rFonts w:hint="eastAsia" w:ascii="宋体" w:hAnsi="宋体" w:eastAsia="宋体" w:cs="宋体"/>
                <w:color w:val="auto"/>
              </w:rPr>
              <w:t>。</w:t>
            </w:r>
          </w:p>
          <w:p w14:paraId="54F398C3">
            <w:pPr>
              <w:pageBreakBefore w:val="0"/>
              <w:kinsoku/>
              <w:overflowPunct/>
              <w:autoSpaceDE w:val="0"/>
              <w:autoSpaceDN w:val="0"/>
              <w:bidi w:val="0"/>
              <w:spacing w:line="360" w:lineRule="auto"/>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投标</w:t>
            </w:r>
            <w:r>
              <w:rPr>
                <w:rFonts w:hint="eastAsia" w:ascii="宋体" w:hAnsi="宋体" w:eastAsia="宋体" w:cs="宋体"/>
                <w:color w:val="auto"/>
              </w:rPr>
              <w:t>人相互串通</w:t>
            </w:r>
            <w:r>
              <w:rPr>
                <w:rFonts w:hint="eastAsia" w:ascii="宋体" w:hAnsi="宋体" w:eastAsia="宋体" w:cs="宋体"/>
                <w:color w:val="auto"/>
                <w:lang w:eastAsia="zh-CN"/>
              </w:rPr>
              <w:t>投标</w:t>
            </w:r>
            <w:r>
              <w:rPr>
                <w:rFonts w:hint="eastAsia" w:ascii="宋体" w:hAnsi="宋体" w:eastAsia="宋体" w:cs="宋体"/>
                <w:color w:val="auto"/>
              </w:rPr>
              <w:t>或者与</w:t>
            </w:r>
            <w:r>
              <w:rPr>
                <w:rFonts w:hint="eastAsia" w:ascii="宋体" w:hAnsi="宋体" w:eastAsia="宋体" w:cs="宋体"/>
                <w:color w:val="auto"/>
                <w:lang w:eastAsia="zh-CN"/>
              </w:rPr>
              <w:t>招标人</w:t>
            </w:r>
            <w:r>
              <w:rPr>
                <w:rFonts w:hint="eastAsia" w:ascii="宋体" w:hAnsi="宋体" w:eastAsia="宋体" w:cs="宋体"/>
                <w:color w:val="auto"/>
              </w:rPr>
              <w:t>串通</w:t>
            </w:r>
            <w:r>
              <w:rPr>
                <w:rFonts w:hint="eastAsia" w:ascii="宋体" w:hAnsi="宋体" w:eastAsia="宋体" w:cs="宋体"/>
                <w:color w:val="auto"/>
                <w:lang w:eastAsia="zh-CN"/>
              </w:rPr>
              <w:t>投标</w:t>
            </w:r>
            <w:r>
              <w:rPr>
                <w:rFonts w:hint="eastAsia" w:ascii="宋体" w:hAnsi="宋体" w:eastAsia="宋体" w:cs="宋体"/>
                <w:color w:val="auto"/>
              </w:rPr>
              <w:t>的，</w:t>
            </w:r>
            <w:r>
              <w:rPr>
                <w:rFonts w:hint="eastAsia" w:ascii="宋体" w:hAnsi="宋体" w:eastAsia="宋体" w:cs="宋体"/>
                <w:color w:val="auto"/>
                <w:lang w:eastAsia="zh-CN"/>
              </w:rPr>
              <w:t>投标</w:t>
            </w:r>
            <w:r>
              <w:rPr>
                <w:rFonts w:hint="eastAsia" w:ascii="宋体" w:hAnsi="宋体" w:eastAsia="宋体" w:cs="宋体"/>
                <w:color w:val="auto"/>
              </w:rPr>
              <w:t>人向</w:t>
            </w:r>
            <w:r>
              <w:rPr>
                <w:rFonts w:hint="eastAsia" w:ascii="宋体" w:hAnsi="宋体" w:eastAsia="宋体" w:cs="宋体"/>
                <w:color w:val="auto"/>
                <w:lang w:eastAsia="zh-CN"/>
              </w:rPr>
              <w:t>招标人</w:t>
            </w:r>
            <w:r>
              <w:rPr>
                <w:rFonts w:hint="eastAsia" w:ascii="宋体" w:hAnsi="宋体" w:eastAsia="宋体" w:cs="宋体"/>
                <w:color w:val="auto"/>
              </w:rPr>
              <w:t>或者评选委员会成员行贿谋取</w:t>
            </w:r>
            <w:r>
              <w:rPr>
                <w:rFonts w:hint="eastAsia" w:ascii="宋体" w:hAnsi="宋体" w:eastAsia="宋体" w:cs="宋体"/>
                <w:color w:val="auto"/>
                <w:lang w:val="en-US" w:eastAsia="zh-CN"/>
              </w:rPr>
              <w:t>中标</w:t>
            </w:r>
            <w:r>
              <w:rPr>
                <w:rFonts w:hint="eastAsia" w:ascii="宋体" w:hAnsi="宋体" w:eastAsia="宋体" w:cs="宋体"/>
                <w:color w:val="auto"/>
              </w:rPr>
              <w:t>的。</w:t>
            </w:r>
          </w:p>
          <w:p w14:paraId="153F8FE7">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rPr>
              <w:t>3、</w:t>
            </w:r>
            <w:r>
              <w:rPr>
                <w:rFonts w:hint="eastAsia" w:ascii="宋体" w:hAnsi="宋体" w:eastAsia="宋体" w:cs="宋体"/>
                <w:color w:val="auto"/>
                <w:lang w:val="en-US" w:eastAsia="zh-CN"/>
              </w:rPr>
              <w:t>中标</w:t>
            </w:r>
            <w:r>
              <w:rPr>
                <w:rFonts w:hint="eastAsia" w:ascii="宋体" w:hAnsi="宋体" w:eastAsia="宋体" w:cs="宋体"/>
                <w:color w:val="auto"/>
              </w:rPr>
              <w:t>人未能按照</w:t>
            </w:r>
            <w:r>
              <w:rPr>
                <w:rFonts w:hint="eastAsia" w:ascii="宋体" w:hAnsi="宋体" w:eastAsia="宋体" w:cs="宋体"/>
                <w:color w:val="auto"/>
                <w:lang w:eastAsia="zh-CN"/>
              </w:rPr>
              <w:t>招标文件</w:t>
            </w:r>
            <w:r>
              <w:rPr>
                <w:rFonts w:hint="eastAsia" w:ascii="宋体" w:hAnsi="宋体" w:eastAsia="宋体" w:cs="宋体"/>
                <w:color w:val="auto"/>
              </w:rPr>
              <w:t>规定提交</w:t>
            </w:r>
            <w:r>
              <w:rPr>
                <w:rFonts w:hint="eastAsia" w:ascii="宋体" w:hAnsi="宋体" w:eastAsia="宋体" w:cs="宋体"/>
                <w:color w:val="auto"/>
                <w:lang w:val="en-US" w:eastAsia="zh-CN"/>
              </w:rPr>
              <w:t>招标</w:t>
            </w:r>
            <w:r>
              <w:rPr>
                <w:rFonts w:hint="eastAsia" w:ascii="宋体" w:hAnsi="宋体" w:eastAsia="宋体" w:cs="宋体"/>
                <w:color w:val="auto"/>
              </w:rPr>
              <w:t>代理服务费的。</w:t>
            </w:r>
          </w:p>
        </w:tc>
      </w:tr>
      <w:tr w14:paraId="55908F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0D8A6DC">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3.6.1</w:t>
            </w:r>
          </w:p>
        </w:tc>
        <w:tc>
          <w:tcPr>
            <w:tcW w:w="1666" w:type="dxa"/>
            <w:vAlign w:val="center"/>
          </w:tcPr>
          <w:p w14:paraId="1DAD6370">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备选投标方案</w:t>
            </w:r>
          </w:p>
        </w:tc>
        <w:tc>
          <w:tcPr>
            <w:tcW w:w="5795" w:type="dxa"/>
            <w:vAlign w:val="center"/>
          </w:tcPr>
          <w:p w14:paraId="0270D8A6">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rPr>
              <w:t>不允许</w:t>
            </w:r>
          </w:p>
          <w:p w14:paraId="4595A365">
            <w:pPr>
              <w:pageBreakBefore w:val="0"/>
              <w:kinsoku/>
              <w:overflowPunct/>
              <w:autoSpaceDE w:val="0"/>
              <w:autoSpaceDN w:val="0"/>
              <w:bidi w:val="0"/>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□允许</w:t>
            </w:r>
          </w:p>
        </w:tc>
      </w:tr>
      <w:tr w14:paraId="14CEB5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5A5D16E">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3.7.1</w:t>
            </w:r>
          </w:p>
        </w:tc>
        <w:tc>
          <w:tcPr>
            <w:tcW w:w="1666" w:type="dxa"/>
            <w:vAlign w:val="center"/>
          </w:tcPr>
          <w:p w14:paraId="6315BF83">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投标文件份数</w:t>
            </w:r>
          </w:p>
        </w:tc>
        <w:tc>
          <w:tcPr>
            <w:tcW w:w="5795" w:type="dxa"/>
            <w:vAlign w:val="center"/>
          </w:tcPr>
          <w:p w14:paraId="4464342E">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【投标文件形式和份数：经</w:t>
            </w:r>
            <w:r>
              <w:rPr>
                <w:rFonts w:hint="eastAsia" w:ascii="宋体" w:hAnsi="宋体" w:eastAsia="宋体" w:cs="宋体"/>
                <w:color w:val="auto"/>
              </w:rPr>
              <w:t>电子采购系统</w:t>
            </w:r>
            <w:r>
              <w:rPr>
                <w:rFonts w:hint="eastAsia" w:ascii="宋体" w:hAnsi="宋体" w:eastAsia="宋体" w:cs="宋体"/>
                <w:color w:val="auto"/>
                <w:szCs w:val="21"/>
              </w:rPr>
              <w:t>成功上传的加密电子投标文件一份。】</w:t>
            </w:r>
          </w:p>
        </w:tc>
      </w:tr>
      <w:tr w14:paraId="5A2350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98CAB41">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3.8</w:t>
            </w:r>
          </w:p>
        </w:tc>
        <w:tc>
          <w:tcPr>
            <w:tcW w:w="1666" w:type="dxa"/>
            <w:vAlign w:val="center"/>
          </w:tcPr>
          <w:p w14:paraId="7C6C7452">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电子招标的投标文件上传形式</w:t>
            </w:r>
          </w:p>
        </w:tc>
        <w:tc>
          <w:tcPr>
            <w:tcW w:w="5795" w:type="dxa"/>
            <w:vAlign w:val="center"/>
          </w:tcPr>
          <w:p w14:paraId="04B9EE5A">
            <w:pPr>
              <w:pageBreakBefore w:val="0"/>
              <w:kinsoku/>
              <w:overflowPunct/>
              <w:bidi w:val="0"/>
              <w:spacing w:line="360" w:lineRule="auto"/>
              <w:rPr>
                <w:rFonts w:hint="eastAsia" w:ascii="宋体" w:hAnsi="宋体" w:eastAsia="宋体" w:cs="宋体"/>
                <w:color w:val="auto"/>
                <w:szCs w:val="21"/>
              </w:rPr>
            </w:pPr>
            <w:r>
              <w:rPr>
                <w:rFonts w:hint="eastAsia" w:ascii="宋体" w:hAnsi="宋体" w:eastAsia="宋体" w:cs="宋体"/>
                <w:color w:val="auto"/>
              </w:rPr>
              <w:t>投标人</w:t>
            </w:r>
            <w:r>
              <w:rPr>
                <w:rFonts w:hint="eastAsia" w:ascii="宋体" w:hAnsi="宋体" w:eastAsia="宋体" w:cs="宋体"/>
                <w:color w:val="auto"/>
                <w:kern w:val="0"/>
              </w:rPr>
              <w:t>须</w:t>
            </w:r>
            <w:r>
              <w:rPr>
                <w:rFonts w:hint="eastAsia" w:ascii="宋体" w:hAnsi="宋体" w:eastAsia="宋体" w:cs="宋体"/>
                <w:color w:val="auto"/>
              </w:rPr>
              <w:t>进入【</w:t>
            </w:r>
            <w:r>
              <w:rPr>
                <w:rFonts w:hint="eastAsia" w:ascii="宋体" w:hAnsi="宋体" w:eastAsia="宋体" w:cs="宋体"/>
                <w:color w:val="auto"/>
                <w:szCs w:val="21"/>
                <w:u w:val="single"/>
              </w:rPr>
              <w:t>中国电信电子采购系统】</w:t>
            </w:r>
            <w:r>
              <w:rPr>
                <w:rFonts w:hint="eastAsia" w:ascii="宋体" w:hAnsi="宋体" w:eastAsia="宋体" w:cs="宋体"/>
                <w:color w:val="auto"/>
              </w:rPr>
              <w:t>在投标截止时间前上传加密电子投标文件。投标人可进入电子采购系统查看电子投标文件上传结果，同时可在开标前进行CA证书匹配验证。</w:t>
            </w:r>
          </w:p>
        </w:tc>
      </w:tr>
      <w:tr w14:paraId="1666CE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B97B017">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4.1.1</w:t>
            </w:r>
          </w:p>
        </w:tc>
        <w:tc>
          <w:tcPr>
            <w:tcW w:w="1666" w:type="dxa"/>
            <w:vAlign w:val="center"/>
          </w:tcPr>
          <w:p w14:paraId="494053DA">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rPr>
              <w:t>投标文件递交截止时间</w:t>
            </w:r>
          </w:p>
        </w:tc>
        <w:tc>
          <w:tcPr>
            <w:tcW w:w="5795" w:type="dxa"/>
            <w:vAlign w:val="center"/>
          </w:tcPr>
          <w:p w14:paraId="56DDCFC1">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highlight w:val="none"/>
                <w:u w:val="single"/>
              </w:rPr>
              <w:t>详见第一章</w:t>
            </w:r>
            <w:r>
              <w:rPr>
                <w:rFonts w:hint="eastAsia" w:ascii="宋体" w:hAnsi="宋体" w:eastAsia="宋体" w:cs="宋体"/>
                <w:color w:val="auto"/>
                <w:szCs w:val="21"/>
                <w:highlight w:val="none"/>
                <w:u w:val="single"/>
                <w:lang w:val="en-US" w:eastAsia="zh-CN"/>
              </w:rPr>
              <w:t>招标</w:t>
            </w:r>
            <w:r>
              <w:rPr>
                <w:rFonts w:hint="eastAsia" w:ascii="宋体" w:hAnsi="宋体" w:eastAsia="宋体" w:cs="宋体"/>
                <w:color w:val="auto"/>
                <w:szCs w:val="21"/>
                <w:highlight w:val="none"/>
                <w:u w:val="single"/>
              </w:rPr>
              <w:t>公告</w:t>
            </w:r>
          </w:p>
        </w:tc>
      </w:tr>
      <w:tr w14:paraId="019FBF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F31E78C">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4.1.2</w:t>
            </w:r>
          </w:p>
        </w:tc>
        <w:tc>
          <w:tcPr>
            <w:tcW w:w="1666" w:type="dxa"/>
            <w:vAlign w:val="center"/>
          </w:tcPr>
          <w:p w14:paraId="68DA4B2B">
            <w:pPr>
              <w:pageBreakBefore w:val="0"/>
              <w:kinsoku/>
              <w:overflowPunct/>
              <w:autoSpaceDE w:val="0"/>
              <w:autoSpaceDN w:val="0"/>
              <w:bidi w:val="0"/>
              <w:spacing w:line="360" w:lineRule="auto"/>
              <w:rPr>
                <w:rFonts w:hint="eastAsia" w:ascii="宋体" w:hAnsi="宋体" w:eastAsia="宋体" w:cs="宋体"/>
                <w:color w:val="auto"/>
              </w:rPr>
            </w:pPr>
            <w:r>
              <w:rPr>
                <w:rFonts w:hint="eastAsia" w:ascii="宋体" w:hAnsi="宋体" w:eastAsia="宋体" w:cs="宋体"/>
                <w:color w:val="auto"/>
              </w:rPr>
              <w:t>投标文件递交地点</w:t>
            </w:r>
          </w:p>
        </w:tc>
        <w:tc>
          <w:tcPr>
            <w:tcW w:w="5795" w:type="dxa"/>
            <w:vAlign w:val="center"/>
          </w:tcPr>
          <w:p w14:paraId="513086B3">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u w:val="single"/>
              </w:rPr>
              <w:t>【通过中国电信电子采购系统递交】</w:t>
            </w:r>
          </w:p>
        </w:tc>
      </w:tr>
      <w:tr w14:paraId="0F16D3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8779786">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4.1.3</w:t>
            </w:r>
          </w:p>
        </w:tc>
        <w:tc>
          <w:tcPr>
            <w:tcW w:w="1666" w:type="dxa"/>
            <w:vAlign w:val="center"/>
          </w:tcPr>
          <w:p w14:paraId="2B82B72E">
            <w:pPr>
              <w:pageBreakBefore w:val="0"/>
              <w:kinsoku/>
              <w:overflowPunct/>
              <w:bidi w:val="0"/>
              <w:spacing w:line="360" w:lineRule="auto"/>
              <w:rPr>
                <w:rFonts w:hint="eastAsia" w:ascii="宋体" w:hAnsi="宋体" w:eastAsia="宋体" w:cs="宋体"/>
                <w:color w:val="auto"/>
              </w:rPr>
            </w:pPr>
            <w:r>
              <w:rPr>
                <w:rFonts w:hint="eastAsia" w:ascii="宋体" w:hAnsi="宋体" w:eastAsia="宋体" w:cs="宋体"/>
                <w:color w:val="auto"/>
              </w:rPr>
              <w:t>投标文件签收凭证</w:t>
            </w:r>
          </w:p>
        </w:tc>
        <w:tc>
          <w:tcPr>
            <w:tcW w:w="5795" w:type="dxa"/>
            <w:vAlign w:val="center"/>
          </w:tcPr>
          <w:p w14:paraId="6FFCD28F">
            <w:pPr>
              <w:pageBreakBefore w:val="0"/>
              <w:kinsoku/>
              <w:overflowPunct/>
              <w:autoSpaceDE w:val="0"/>
              <w:autoSpaceDN w:val="0"/>
              <w:bidi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u w:val="single"/>
              </w:rPr>
              <w:t>【投标人通过电子采购系统上传加密电子投标文件后，</w:t>
            </w:r>
            <w:r>
              <w:rPr>
                <w:rFonts w:hint="eastAsia" w:ascii="宋体" w:hAnsi="宋体" w:eastAsia="宋体" w:cs="宋体"/>
                <w:color w:val="auto"/>
                <w:u w:val="single"/>
              </w:rPr>
              <w:t>电子采购系统</w:t>
            </w:r>
            <w:r>
              <w:rPr>
                <w:rFonts w:hint="eastAsia" w:ascii="宋体" w:hAnsi="宋体" w:eastAsia="宋体" w:cs="宋体"/>
                <w:color w:val="auto"/>
                <w:szCs w:val="21"/>
                <w:u w:val="single"/>
              </w:rPr>
              <w:t>反馈投标文件上传结果】</w:t>
            </w:r>
          </w:p>
        </w:tc>
      </w:tr>
      <w:tr w14:paraId="71A22F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F6181BF">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4.1.4</w:t>
            </w:r>
          </w:p>
        </w:tc>
        <w:tc>
          <w:tcPr>
            <w:tcW w:w="1666" w:type="dxa"/>
            <w:vAlign w:val="center"/>
          </w:tcPr>
          <w:p w14:paraId="4DF4FB76">
            <w:pPr>
              <w:pageBreakBefore w:val="0"/>
              <w:kinsoku/>
              <w:overflowPunct/>
              <w:autoSpaceDE w:val="0"/>
              <w:autoSpaceDN w:val="0"/>
              <w:bidi w:val="0"/>
              <w:spacing w:line="360" w:lineRule="auto"/>
              <w:rPr>
                <w:rFonts w:hint="eastAsia" w:ascii="宋体" w:hAnsi="宋体" w:eastAsia="宋体" w:cs="宋体"/>
                <w:color w:val="auto"/>
              </w:rPr>
            </w:pPr>
            <w:r>
              <w:rPr>
                <w:rFonts w:hint="eastAsia" w:ascii="宋体" w:hAnsi="宋体" w:eastAsia="宋体" w:cs="宋体"/>
                <w:color w:val="auto"/>
              </w:rPr>
              <w:t>投标文件退还</w:t>
            </w:r>
          </w:p>
        </w:tc>
        <w:tc>
          <w:tcPr>
            <w:tcW w:w="5795" w:type="dxa"/>
            <w:vAlign w:val="center"/>
          </w:tcPr>
          <w:p w14:paraId="5E9C2F5D">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rPr>
              <w:t>不退还</w:t>
            </w:r>
          </w:p>
          <w:p w14:paraId="173E8A45">
            <w:pPr>
              <w:pageBreakBefore w:val="0"/>
              <w:kinsoku/>
              <w:overflowPunct/>
              <w:autoSpaceDE w:val="0"/>
              <w:autoSpaceDN w:val="0"/>
              <w:bidi w:val="0"/>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□退还，【</w:t>
            </w:r>
            <w:r>
              <w:rPr>
                <w:rFonts w:hint="eastAsia" w:ascii="宋体" w:hAnsi="宋体" w:eastAsia="宋体" w:cs="宋体"/>
                <w:color w:val="auto"/>
                <w:szCs w:val="21"/>
                <w:u w:val="single"/>
              </w:rPr>
              <w:t>投标文件退还的具体要求</w:t>
            </w:r>
            <w:r>
              <w:rPr>
                <w:rFonts w:hint="eastAsia" w:ascii="宋体" w:hAnsi="宋体" w:eastAsia="宋体" w:cs="宋体"/>
                <w:color w:val="auto"/>
                <w:szCs w:val="21"/>
              </w:rPr>
              <w:t>】</w:t>
            </w:r>
          </w:p>
        </w:tc>
      </w:tr>
      <w:tr w14:paraId="3B5C88D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DC4334C">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4.1.6</w:t>
            </w:r>
          </w:p>
        </w:tc>
        <w:tc>
          <w:tcPr>
            <w:tcW w:w="1666" w:type="dxa"/>
            <w:vAlign w:val="center"/>
          </w:tcPr>
          <w:p w14:paraId="0D784814">
            <w:pPr>
              <w:pageBreakBefore w:val="0"/>
              <w:kinsoku/>
              <w:overflowPunct/>
              <w:autoSpaceDE w:val="0"/>
              <w:autoSpaceDN w:val="0"/>
              <w:bidi w:val="0"/>
              <w:spacing w:line="360" w:lineRule="auto"/>
              <w:rPr>
                <w:rFonts w:hint="eastAsia" w:ascii="宋体" w:hAnsi="宋体" w:eastAsia="宋体" w:cs="宋体"/>
                <w:color w:val="auto"/>
              </w:rPr>
            </w:pPr>
            <w:r>
              <w:rPr>
                <w:rFonts w:hint="eastAsia" w:ascii="宋体" w:hAnsi="宋体" w:eastAsia="宋体" w:cs="宋体"/>
                <w:color w:val="auto"/>
                <w:szCs w:val="21"/>
              </w:rPr>
              <w:t>电子招标投标文件递交异常的处理方式</w:t>
            </w:r>
          </w:p>
        </w:tc>
        <w:tc>
          <w:tcPr>
            <w:tcW w:w="5795" w:type="dxa"/>
            <w:vAlign w:val="center"/>
          </w:tcPr>
          <w:p w14:paraId="07A25085">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投标人应当在投标截止时间前完成投标文件的上传，并可以补充、修改或者撤回投标文件。投标截止时间前未完成投标文件上传的，视为撤回投标文件。投标截止时间后送达的投标文件，中国电信电子采购系统应当拒收。</w:t>
            </w:r>
          </w:p>
        </w:tc>
      </w:tr>
      <w:tr w14:paraId="2FA21D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06042DD">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4.2.1</w:t>
            </w:r>
          </w:p>
        </w:tc>
        <w:tc>
          <w:tcPr>
            <w:tcW w:w="1666" w:type="dxa"/>
            <w:vAlign w:val="center"/>
          </w:tcPr>
          <w:p w14:paraId="48529216">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rPr>
              <w:t>已递交的投标文件的修改或者撤回</w:t>
            </w:r>
          </w:p>
        </w:tc>
        <w:tc>
          <w:tcPr>
            <w:tcW w:w="5795" w:type="dxa"/>
            <w:vAlign w:val="center"/>
          </w:tcPr>
          <w:p w14:paraId="7DBD5AA3">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【投标人可以自行进入</w:t>
            </w:r>
            <w:r>
              <w:rPr>
                <w:rFonts w:hint="eastAsia" w:ascii="宋体" w:hAnsi="宋体" w:eastAsia="宋体" w:cs="宋体"/>
                <w:color w:val="auto"/>
              </w:rPr>
              <w:t>电子采购系统</w:t>
            </w:r>
            <w:r>
              <w:rPr>
                <w:rFonts w:hint="eastAsia" w:ascii="宋体" w:hAnsi="宋体" w:eastAsia="宋体" w:cs="宋体"/>
                <w:color w:val="auto"/>
                <w:szCs w:val="21"/>
              </w:rPr>
              <w:t>撤回电子投标文件，</w:t>
            </w:r>
            <w:r>
              <w:rPr>
                <w:rFonts w:hint="eastAsia" w:ascii="宋体" w:hAnsi="宋体" w:eastAsia="宋体" w:cs="宋体"/>
                <w:color w:val="auto"/>
              </w:rPr>
              <w:t>电子采购系统</w:t>
            </w:r>
            <w:r>
              <w:rPr>
                <w:rFonts w:hint="eastAsia" w:ascii="宋体" w:hAnsi="宋体" w:eastAsia="宋体" w:cs="宋体"/>
                <w:color w:val="auto"/>
                <w:szCs w:val="21"/>
              </w:rPr>
              <w:t>将已上传电子投标文件删除，投标人可重新上传电子投标文件。】</w:t>
            </w:r>
          </w:p>
        </w:tc>
      </w:tr>
      <w:tr w14:paraId="257EBC0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E116393">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5.1</w:t>
            </w:r>
          </w:p>
        </w:tc>
        <w:tc>
          <w:tcPr>
            <w:tcW w:w="1666" w:type="dxa"/>
            <w:vAlign w:val="center"/>
          </w:tcPr>
          <w:p w14:paraId="0BA3CCA6">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开标时间和地点</w:t>
            </w:r>
          </w:p>
        </w:tc>
        <w:tc>
          <w:tcPr>
            <w:tcW w:w="5795" w:type="dxa"/>
            <w:vAlign w:val="center"/>
          </w:tcPr>
          <w:p w14:paraId="4550CFAC">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【投标文件递交截止同一时间通过中国电信电子采购系统开标】</w:t>
            </w:r>
          </w:p>
        </w:tc>
      </w:tr>
      <w:tr w14:paraId="625056C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CF35F4B">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5.3</w:t>
            </w:r>
          </w:p>
        </w:tc>
        <w:tc>
          <w:tcPr>
            <w:tcW w:w="1666" w:type="dxa"/>
            <w:vAlign w:val="center"/>
          </w:tcPr>
          <w:p w14:paraId="4165C729">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开标现场的异议</w:t>
            </w:r>
          </w:p>
        </w:tc>
        <w:tc>
          <w:tcPr>
            <w:tcW w:w="5795" w:type="dxa"/>
            <w:vAlign w:val="center"/>
          </w:tcPr>
          <w:p w14:paraId="172F52E3">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【在开标时通过中国电信电子采购系统开标大厅“提出异议”模块提出】</w:t>
            </w:r>
          </w:p>
        </w:tc>
      </w:tr>
      <w:tr w14:paraId="7068F31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9B96079">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5.4</w:t>
            </w:r>
          </w:p>
        </w:tc>
        <w:tc>
          <w:tcPr>
            <w:tcW w:w="1666" w:type="dxa"/>
            <w:vAlign w:val="center"/>
          </w:tcPr>
          <w:p w14:paraId="178C8F6A">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电子招标开标的其他要求及异常处理</w:t>
            </w:r>
          </w:p>
        </w:tc>
        <w:tc>
          <w:tcPr>
            <w:tcW w:w="5795" w:type="dxa"/>
            <w:vAlign w:val="center"/>
          </w:tcPr>
          <w:p w14:paraId="367AA6BE">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电子投标文件由招标人/招标代理机构在递交截止时间后统一解密，投标人无需进行解密操作。因投标人原因造成投标文件未解密的，视为撤销其投标文件；因投标人之外的原因造成投标文件未解密的，视为撤回其投标文件。部分投标人的投标文件未解密的，其他投标人的投标文件的开标可以继续进行。】</w:t>
            </w:r>
          </w:p>
        </w:tc>
      </w:tr>
      <w:tr w14:paraId="13371B2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99DE1B5">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6.1.1</w:t>
            </w:r>
          </w:p>
        </w:tc>
        <w:tc>
          <w:tcPr>
            <w:tcW w:w="1666" w:type="dxa"/>
            <w:vAlign w:val="center"/>
          </w:tcPr>
          <w:p w14:paraId="267A4FAF">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评标委员会组成人数</w:t>
            </w:r>
          </w:p>
        </w:tc>
        <w:tc>
          <w:tcPr>
            <w:tcW w:w="5795" w:type="dxa"/>
            <w:vAlign w:val="center"/>
          </w:tcPr>
          <w:p w14:paraId="01A154C5">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u w:val="single"/>
                <w:lang w:val="en-US" w:eastAsia="zh-CN"/>
              </w:rPr>
              <w:t>5</w:t>
            </w:r>
            <w:r>
              <w:rPr>
                <w:rFonts w:hint="eastAsia" w:ascii="宋体" w:hAnsi="宋体" w:eastAsia="宋体" w:cs="宋体"/>
                <w:color w:val="auto"/>
                <w:szCs w:val="21"/>
              </w:rPr>
              <w:t>】人</w:t>
            </w:r>
          </w:p>
        </w:tc>
      </w:tr>
      <w:tr w14:paraId="14E035B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5668A02">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6.3</w:t>
            </w:r>
          </w:p>
        </w:tc>
        <w:tc>
          <w:tcPr>
            <w:tcW w:w="1666" w:type="dxa"/>
            <w:vAlign w:val="center"/>
          </w:tcPr>
          <w:p w14:paraId="4377C878">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评标方法</w:t>
            </w:r>
          </w:p>
        </w:tc>
        <w:tc>
          <w:tcPr>
            <w:tcW w:w="5795" w:type="dxa"/>
            <w:vAlign w:val="center"/>
          </w:tcPr>
          <w:p w14:paraId="46FCF1FA">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□经评审的最低投标价法</w:t>
            </w:r>
          </w:p>
          <w:p w14:paraId="4B8D4C45">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rPr>
              <w:t>综合评估法</w:t>
            </w:r>
          </w:p>
          <w:p w14:paraId="33EC83CE">
            <w:pPr>
              <w:pageBreakBefore w:val="0"/>
              <w:kinsoku/>
              <w:overflowPunct/>
              <w:autoSpaceDE w:val="0"/>
              <w:autoSpaceDN w:val="0"/>
              <w:bidi w:val="0"/>
              <w:spacing w:line="360" w:lineRule="auto"/>
              <w:rPr>
                <w:rFonts w:hint="eastAsia" w:ascii="宋体" w:hAnsi="宋体" w:eastAsia="宋体" w:cs="宋体"/>
                <w:color w:val="auto"/>
                <w:szCs w:val="21"/>
                <w:u w:val="single"/>
                <w:lang w:eastAsia="zh-CN"/>
              </w:rPr>
            </w:pPr>
            <w:r>
              <w:rPr>
                <w:rFonts w:hint="eastAsia" w:ascii="宋体" w:hAnsi="宋体" w:eastAsia="宋体" w:cs="宋体"/>
                <w:color w:val="auto"/>
                <w:szCs w:val="21"/>
              </w:rPr>
              <w:t>□其他：</w:t>
            </w:r>
          </w:p>
        </w:tc>
      </w:tr>
      <w:tr w14:paraId="7921792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54B5FB9">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 xml:space="preserve">6.4 </w:t>
            </w:r>
          </w:p>
        </w:tc>
        <w:tc>
          <w:tcPr>
            <w:tcW w:w="1666" w:type="dxa"/>
            <w:vAlign w:val="center"/>
          </w:tcPr>
          <w:p w14:paraId="5509D38C">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中标候选人推荐原则</w:t>
            </w:r>
          </w:p>
        </w:tc>
        <w:tc>
          <w:tcPr>
            <w:tcW w:w="5795" w:type="dxa"/>
            <w:vAlign w:val="center"/>
          </w:tcPr>
          <w:p w14:paraId="7D4DC028">
            <w:pPr>
              <w:pageBreakBefore w:val="0"/>
              <w:kinsoku/>
              <w:overflowPunct/>
              <w:autoSpaceDE w:val="0"/>
              <w:autoSpaceDN w:val="0"/>
              <w:bidi w:val="0"/>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1、第1次招标投标人数&lt;3，重新招标；</w:t>
            </w:r>
          </w:p>
          <w:p w14:paraId="546C3523">
            <w:pPr>
              <w:pageBreakBefore w:val="0"/>
              <w:kinsoku/>
              <w:overflowPunct/>
              <w:autoSpaceDE w:val="0"/>
              <w:autoSpaceDN w:val="0"/>
              <w:bidi w:val="0"/>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2、重新招标后如有效投标人数&gt;2，评标委员会根据综合评分由高到低推荐第1-2名有效投标人为中标候选人；</w:t>
            </w:r>
          </w:p>
          <w:p w14:paraId="423B8C79">
            <w:pPr>
              <w:pageBreakBefore w:val="0"/>
              <w:kinsoku/>
              <w:overflowPunct/>
              <w:autoSpaceDE w:val="0"/>
              <w:autoSpaceDN w:val="0"/>
              <w:bidi w:val="0"/>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3、重新招标后如有效投标人数≤2，评标委员会根据综合评分由高到低推荐所有有效投标人为中标候选人。</w:t>
            </w:r>
          </w:p>
          <w:p w14:paraId="1865A027">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lang w:val="en-US" w:eastAsia="zh-CN"/>
              </w:rPr>
              <w:t>4、综合评分相同的处理原则：综合得分相同的，技术得分高者排名优先；技术得分相同的，价格得分高者排名优先；价格得分相同的，商务得分高者排名优先；商务得分相同的，业绩累计金额高者排名优先。</w:t>
            </w:r>
          </w:p>
        </w:tc>
      </w:tr>
      <w:tr w14:paraId="101A4D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C2F114E">
            <w:pPr>
              <w:pageBreakBefore w:val="0"/>
              <w:kinsoku/>
              <w:overflowPunct/>
              <w:autoSpaceDE w:val="0"/>
              <w:autoSpaceDN w:val="0"/>
              <w:bidi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6.5</w:t>
            </w:r>
          </w:p>
        </w:tc>
        <w:tc>
          <w:tcPr>
            <w:tcW w:w="1666" w:type="dxa"/>
            <w:vAlign w:val="center"/>
          </w:tcPr>
          <w:p w14:paraId="475462B7">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投标人不足3家的处理方式</w:t>
            </w:r>
          </w:p>
        </w:tc>
        <w:tc>
          <w:tcPr>
            <w:tcW w:w="5795" w:type="dxa"/>
            <w:vAlign w:val="center"/>
          </w:tcPr>
          <w:p w14:paraId="4DDC42A2">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第一次招标投标人少于3个，分析失败原因并采取相应措施后，重新招标； </w:t>
            </w:r>
          </w:p>
          <w:p w14:paraId="48A08E99">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重新招标后投标人少于3个，有效投标人为2个的，评委说明理由后可继续评审；</w:t>
            </w:r>
          </w:p>
          <w:p w14:paraId="593A7873">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重新招标后投标人少于3个，有效投标人为1个的，评委说明理由后可转为直接采购谈判。</w:t>
            </w:r>
          </w:p>
        </w:tc>
      </w:tr>
      <w:tr w14:paraId="5F9C12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CC98FFF">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7.1.2</w:t>
            </w:r>
          </w:p>
        </w:tc>
        <w:tc>
          <w:tcPr>
            <w:tcW w:w="1666" w:type="dxa"/>
            <w:vAlign w:val="center"/>
          </w:tcPr>
          <w:p w14:paraId="6DBB40E8">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邀请招标中标候选人公示的其他媒体</w:t>
            </w:r>
          </w:p>
        </w:tc>
        <w:tc>
          <w:tcPr>
            <w:tcW w:w="5795" w:type="dxa"/>
            <w:vAlign w:val="center"/>
          </w:tcPr>
          <w:p w14:paraId="758D86C2">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无</w:t>
            </w:r>
          </w:p>
        </w:tc>
      </w:tr>
      <w:tr w14:paraId="48E9CEA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5A06E01">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7.1.3</w:t>
            </w:r>
          </w:p>
        </w:tc>
        <w:tc>
          <w:tcPr>
            <w:tcW w:w="1666" w:type="dxa"/>
            <w:vAlign w:val="center"/>
          </w:tcPr>
          <w:p w14:paraId="4D47D157">
            <w:pPr>
              <w:pageBreakBefore w:val="0"/>
              <w:kinsoku/>
              <w:wordWrap w:val="0"/>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中标结果的异议</w:t>
            </w:r>
          </w:p>
        </w:tc>
        <w:tc>
          <w:tcPr>
            <w:tcW w:w="5795" w:type="dxa"/>
            <w:vAlign w:val="center"/>
          </w:tcPr>
          <w:p w14:paraId="2F4A1F05">
            <w:pPr>
              <w:pageBreakBefore w:val="0"/>
              <w:kinsoku/>
              <w:wordWrap w:val="0"/>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rPr>
              <w:t>投标人或者其他利害关系人对评标结果有异议的，应当【在中标候选人公示期内】</w:t>
            </w:r>
            <w:r>
              <w:rPr>
                <w:rFonts w:hint="eastAsia" w:ascii="宋体" w:hAnsi="宋体" w:eastAsia="宋体" w:cs="宋体"/>
                <w:color w:val="auto"/>
                <w:szCs w:val="21"/>
              </w:rPr>
              <w:t>【</w:t>
            </w:r>
            <w:r>
              <w:rPr>
                <w:rFonts w:hint="eastAsia" w:ascii="宋体" w:hAnsi="宋体" w:eastAsia="宋体" w:cs="宋体"/>
                <w:color w:val="auto"/>
              </w:rPr>
              <w:t>登录中国电信阳光采购网（https://caigou.chinatelecom.com.cn）后，通过“招投标-采购异议-提出异议”模块提出。</w:t>
            </w:r>
            <w:r>
              <w:rPr>
                <w:rFonts w:hint="eastAsia" w:ascii="宋体" w:hAnsi="宋体" w:eastAsia="宋体" w:cs="宋体"/>
                <w:color w:val="auto"/>
                <w:szCs w:val="21"/>
              </w:rPr>
              <w:t>】</w:t>
            </w:r>
            <w:r>
              <w:rPr>
                <w:rFonts w:hint="eastAsia" w:ascii="宋体" w:hAnsi="宋体" w:eastAsia="宋体" w:cs="宋体"/>
                <w:color w:val="auto"/>
              </w:rPr>
              <w:t>招标人将在收到异议之日起3日内作出答复；作出答复前，将暂停招标投标活动。已作出明确答复，且无新的事实证据，就同一事项反复提出异议的，不予受理。</w:t>
            </w:r>
          </w:p>
        </w:tc>
      </w:tr>
      <w:tr w14:paraId="13278E7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36" w:hRule="atLeast"/>
        </w:trPr>
        <w:tc>
          <w:tcPr>
            <w:tcW w:w="840" w:type="dxa"/>
            <w:vAlign w:val="center"/>
          </w:tcPr>
          <w:p w14:paraId="73B2BC92">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7.2.1</w:t>
            </w:r>
          </w:p>
        </w:tc>
        <w:tc>
          <w:tcPr>
            <w:tcW w:w="1666" w:type="dxa"/>
            <w:vAlign w:val="center"/>
          </w:tcPr>
          <w:p w14:paraId="3F9E9755">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中标人确定</w:t>
            </w:r>
          </w:p>
        </w:tc>
        <w:tc>
          <w:tcPr>
            <w:tcW w:w="5795" w:type="dxa"/>
            <w:vAlign w:val="center"/>
          </w:tcPr>
          <w:p w14:paraId="74233D5D">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rPr>
              <w:t>评标委员会直接确定中标人</w:t>
            </w:r>
            <w:r>
              <w:rPr>
                <w:rFonts w:hint="eastAsia" w:ascii="宋体" w:hAnsi="宋体" w:eastAsia="宋体" w:cs="宋体"/>
                <w:color w:val="auto"/>
                <w:szCs w:val="21"/>
              </w:rPr>
              <w:t>，</w:t>
            </w:r>
            <w:r>
              <w:rPr>
                <w:rFonts w:hint="eastAsia" w:ascii="宋体" w:hAnsi="宋体" w:eastAsia="宋体" w:cs="宋体"/>
                <w:color w:val="auto"/>
              </w:rPr>
              <w:t>中标人数量：</w:t>
            </w:r>
            <w:r>
              <w:rPr>
                <w:rFonts w:hint="eastAsia" w:ascii="宋体" w:hAnsi="宋体" w:eastAsia="宋体" w:cs="宋体"/>
                <w:color w:val="auto"/>
                <w:szCs w:val="21"/>
              </w:rPr>
              <w:t>【</w:t>
            </w:r>
            <w:r>
              <w:rPr>
                <w:rFonts w:hint="eastAsia" w:ascii="宋体" w:hAnsi="宋体" w:eastAsia="宋体" w:cs="宋体"/>
                <w:color w:val="auto"/>
                <w:szCs w:val="21"/>
                <w:u w:val="single"/>
                <w:lang w:val="en-US" w:eastAsia="zh-CN"/>
              </w:rPr>
              <w:t>/</w:t>
            </w:r>
            <w:r>
              <w:rPr>
                <w:rFonts w:hint="eastAsia" w:ascii="宋体" w:hAnsi="宋体" w:eastAsia="宋体" w:cs="宋体"/>
                <w:color w:val="auto"/>
                <w:szCs w:val="21"/>
              </w:rPr>
              <w:t>】个</w:t>
            </w:r>
          </w:p>
          <w:p w14:paraId="26ACC395">
            <w:pPr>
              <w:pageBreakBefore w:val="0"/>
              <w:kinsoku/>
              <w:overflowPunct/>
              <w:autoSpaceDE w:val="0"/>
              <w:autoSpaceDN w:val="0"/>
              <w:bidi w:val="0"/>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w:t>
            </w:r>
            <w:r>
              <w:rPr>
                <w:rFonts w:hint="eastAsia" w:ascii="宋体" w:hAnsi="宋体" w:eastAsia="宋体" w:cs="宋体"/>
                <w:color w:val="auto"/>
                <w:szCs w:val="21"/>
              </w:rPr>
              <w:t>招标人确定中标人，</w:t>
            </w:r>
            <w:r>
              <w:rPr>
                <w:rFonts w:hint="eastAsia" w:ascii="宋体" w:hAnsi="宋体" w:eastAsia="宋体" w:cs="宋体"/>
                <w:color w:val="auto"/>
              </w:rPr>
              <w:t>中标人数量：</w:t>
            </w:r>
            <w:r>
              <w:rPr>
                <w:rFonts w:hint="eastAsia" w:ascii="宋体" w:hAnsi="宋体" w:eastAsia="宋体" w:cs="宋体"/>
                <w:color w:val="auto"/>
                <w:szCs w:val="21"/>
              </w:rPr>
              <w:t>【</w:t>
            </w:r>
            <w:r>
              <w:rPr>
                <w:rFonts w:hint="eastAsia" w:ascii="宋体" w:hAnsi="宋体" w:eastAsia="宋体" w:cs="宋体"/>
                <w:color w:val="auto"/>
                <w:szCs w:val="21"/>
                <w:u w:val="single"/>
                <w:lang w:val="en-US" w:eastAsia="zh-CN"/>
              </w:rPr>
              <w:t>1</w:t>
            </w:r>
            <w:r>
              <w:rPr>
                <w:rFonts w:hint="eastAsia" w:ascii="宋体" w:hAnsi="宋体" w:eastAsia="宋体" w:cs="宋体"/>
                <w:color w:val="auto"/>
                <w:szCs w:val="21"/>
              </w:rPr>
              <w:t>】个</w:t>
            </w:r>
          </w:p>
        </w:tc>
      </w:tr>
      <w:tr w14:paraId="330E67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F965F1F">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7.2.2</w:t>
            </w:r>
          </w:p>
        </w:tc>
        <w:tc>
          <w:tcPr>
            <w:tcW w:w="1666" w:type="dxa"/>
            <w:vAlign w:val="center"/>
          </w:tcPr>
          <w:p w14:paraId="490D90B4">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中标原则</w:t>
            </w:r>
          </w:p>
        </w:tc>
        <w:tc>
          <w:tcPr>
            <w:tcW w:w="5795" w:type="dxa"/>
            <w:vAlign w:val="center"/>
          </w:tcPr>
          <w:p w14:paraId="661E6FA6">
            <w:pPr>
              <w:pageBreakBefore w:val="0"/>
              <w:kinsoku/>
              <w:overflowPunct/>
              <w:autoSpaceDE w:val="0"/>
              <w:autoSpaceDN w:val="0"/>
              <w:bidi w:val="0"/>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1、中标人数量1人，招标人根据评标委员会推荐的中标候选人确定；</w:t>
            </w:r>
          </w:p>
          <w:p w14:paraId="5E52BBE5">
            <w:pPr>
              <w:pageBreakBefore w:val="0"/>
              <w:kinsoku/>
              <w:overflowPunct/>
              <w:autoSpaceDE w:val="0"/>
              <w:autoSpaceDN w:val="0"/>
              <w:bidi w:val="0"/>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2、推荐综合评分由高到低，排名第一的为第一中标人；</w:t>
            </w:r>
          </w:p>
          <w:p w14:paraId="43B76B4C">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lang w:val="en-US" w:eastAsia="zh-CN"/>
              </w:rPr>
              <w:t>3、出现中标人放弃中标或被取消中标资格时，中标人可按顺序递补（有其他中标候选人）或重新招标。</w:t>
            </w:r>
          </w:p>
        </w:tc>
      </w:tr>
      <w:tr w14:paraId="352121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C7D60BE">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7.2.3</w:t>
            </w:r>
          </w:p>
        </w:tc>
        <w:tc>
          <w:tcPr>
            <w:tcW w:w="1666" w:type="dxa"/>
            <w:vAlign w:val="center"/>
          </w:tcPr>
          <w:p w14:paraId="2CA02EE5">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确定中标人的特殊情形</w:t>
            </w:r>
          </w:p>
        </w:tc>
        <w:tc>
          <w:tcPr>
            <w:tcW w:w="5795" w:type="dxa"/>
            <w:vAlign w:val="center"/>
          </w:tcPr>
          <w:p w14:paraId="4556F78C">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rPr>
              <w:t>在签订合同之前，中标人</w:t>
            </w:r>
            <w:r>
              <w:rPr>
                <w:rFonts w:hint="eastAsia" w:ascii="宋体" w:hAnsi="宋体" w:eastAsia="宋体" w:cs="宋体"/>
                <w:color w:val="auto"/>
                <w:szCs w:val="21"/>
              </w:rPr>
              <w:t>放弃中标、因不可抗力不能履行合同、不按照招标文件要求提交履约保证金、被查实存在影响中标结果的违法行为、按照中国电信供应商不良行为处理结果及《中国电信供应商不良行为管理规则》的结果执行规则应对投标人及产品在本项目中执行禁止采购处理措施、或未通过网络安全审查</w:t>
            </w:r>
            <w:r>
              <w:rPr>
                <w:rFonts w:hint="eastAsia" w:ascii="宋体" w:hAnsi="宋体" w:eastAsia="宋体" w:cs="宋体"/>
                <w:color w:val="auto"/>
                <w:kern w:val="0"/>
              </w:rPr>
              <w:t>等情形</w:t>
            </w:r>
            <w:r>
              <w:rPr>
                <w:rFonts w:hint="eastAsia" w:ascii="宋体" w:hAnsi="宋体" w:eastAsia="宋体" w:cs="宋体"/>
                <w:color w:val="auto"/>
                <w:szCs w:val="21"/>
              </w:rPr>
              <w:t>的，【招标人按照评标委员会提出的中标候选人名单排序依次确定其他中标候选人为中标人，也可以重新招标】。</w:t>
            </w:r>
          </w:p>
        </w:tc>
      </w:tr>
      <w:tr w14:paraId="18585C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A77F526">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7.2.4</w:t>
            </w:r>
          </w:p>
        </w:tc>
        <w:tc>
          <w:tcPr>
            <w:tcW w:w="1666" w:type="dxa"/>
            <w:vAlign w:val="center"/>
          </w:tcPr>
          <w:p w14:paraId="09E66E47">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中标人公示</w:t>
            </w:r>
          </w:p>
        </w:tc>
        <w:tc>
          <w:tcPr>
            <w:tcW w:w="5795" w:type="dxa"/>
            <w:vAlign w:val="center"/>
          </w:tcPr>
          <w:p w14:paraId="0A1AA95B">
            <w:pPr>
              <w:pageBreakBefore w:val="0"/>
              <w:kinsoku/>
              <w:overflowPunct/>
              <w:autoSpaceDE w:val="0"/>
              <w:autoSpaceDN w:val="0"/>
              <w:bidi w:val="0"/>
              <w:spacing w:line="360" w:lineRule="auto"/>
              <w:rPr>
                <w:rFonts w:hint="eastAsia" w:ascii="宋体" w:hAnsi="宋体" w:eastAsia="宋体" w:cs="宋体"/>
                <w:color w:val="auto"/>
              </w:rPr>
            </w:pPr>
            <w:r>
              <w:rPr>
                <w:rFonts w:hint="eastAsia" w:ascii="宋体" w:hAnsi="宋体" w:eastAsia="宋体" w:cs="宋体"/>
                <w:color w:val="auto"/>
                <w:szCs w:val="21"/>
              </w:rPr>
              <w:t>采用公开招标方式的，招标人可以在“资格预审公告”或者“招标公告”发布媒介公示全部中标人，公示期不少于3日。</w:t>
            </w:r>
          </w:p>
        </w:tc>
      </w:tr>
      <w:tr w14:paraId="7726BF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23" w:hRule="atLeast"/>
        </w:trPr>
        <w:tc>
          <w:tcPr>
            <w:tcW w:w="840" w:type="dxa"/>
            <w:vAlign w:val="center"/>
          </w:tcPr>
          <w:p w14:paraId="611FA031">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8.1.1</w:t>
            </w:r>
          </w:p>
        </w:tc>
        <w:tc>
          <w:tcPr>
            <w:tcW w:w="1666" w:type="dxa"/>
            <w:vAlign w:val="center"/>
          </w:tcPr>
          <w:p w14:paraId="22535C90">
            <w:pPr>
              <w:pageBreakBefore w:val="0"/>
              <w:kinsoku/>
              <w:overflowPunct/>
              <w:autoSpaceDE w:val="0"/>
              <w:autoSpaceDN w:val="0"/>
              <w:bidi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履约保证金金额和形式</w:t>
            </w:r>
          </w:p>
        </w:tc>
        <w:tc>
          <w:tcPr>
            <w:tcW w:w="5795" w:type="dxa"/>
            <w:vAlign w:val="center"/>
          </w:tcPr>
          <w:p w14:paraId="176A5307">
            <w:pPr>
              <w:pageBreakBefore w:val="0"/>
              <w:kinsoku/>
              <w:overflowPunct/>
              <w:autoSpaceDE w:val="0"/>
              <w:autoSpaceDN w:val="0"/>
              <w:bidi w:val="0"/>
              <w:spacing w:line="360" w:lineRule="auto"/>
              <w:jc w:val="left"/>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rPr>
              <w:t>不收取履约保证金。</w:t>
            </w:r>
          </w:p>
        </w:tc>
      </w:tr>
      <w:tr w14:paraId="3A4E25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1281C16">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9</w:t>
            </w:r>
          </w:p>
        </w:tc>
        <w:tc>
          <w:tcPr>
            <w:tcW w:w="1666" w:type="dxa"/>
            <w:vAlign w:val="center"/>
          </w:tcPr>
          <w:p w14:paraId="24C45FB5">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招标代理服务费金额、交纳方式和时限</w:t>
            </w:r>
          </w:p>
        </w:tc>
        <w:tc>
          <w:tcPr>
            <w:tcW w:w="5795" w:type="dxa"/>
            <w:vAlign w:val="center"/>
          </w:tcPr>
          <w:p w14:paraId="5D2CF918">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本条款增加如下规定：</w:t>
            </w:r>
          </w:p>
          <w:p w14:paraId="2CC070DC">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9.1招标代理服务费采用差额定率累进法按照下表中的费率，并在此基础上下浮34.5%进行计算：</w:t>
            </w:r>
          </w:p>
          <w:tbl>
            <w:tblPr>
              <w:tblStyle w:val="41"/>
              <w:tblW w:w="55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1276"/>
              <w:gridCol w:w="1134"/>
              <w:gridCol w:w="1134"/>
            </w:tblGrid>
            <w:tr w14:paraId="0B93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033" w:type="dxa"/>
                  <w:shd w:val="clear" w:color="auto" w:fill="auto"/>
                </w:tcPr>
                <w:p w14:paraId="36857B50">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          费率</w:t>
                  </w:r>
                </w:p>
                <w:p w14:paraId="3B0B8986">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中标金额</w:t>
                  </w:r>
                </w:p>
              </w:tc>
              <w:tc>
                <w:tcPr>
                  <w:tcW w:w="1276" w:type="dxa"/>
                  <w:shd w:val="clear" w:color="auto" w:fill="auto"/>
                  <w:vAlign w:val="center"/>
                </w:tcPr>
                <w:p w14:paraId="71E7E20D">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货物招标</w:t>
                  </w:r>
                </w:p>
              </w:tc>
              <w:tc>
                <w:tcPr>
                  <w:tcW w:w="1134" w:type="dxa"/>
                  <w:shd w:val="clear" w:color="auto" w:fill="auto"/>
                  <w:vAlign w:val="center"/>
                </w:tcPr>
                <w:p w14:paraId="6E9AC11A">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服务招标</w:t>
                  </w:r>
                </w:p>
              </w:tc>
              <w:tc>
                <w:tcPr>
                  <w:tcW w:w="1134" w:type="dxa"/>
                  <w:shd w:val="clear" w:color="auto" w:fill="auto"/>
                  <w:vAlign w:val="center"/>
                </w:tcPr>
                <w:p w14:paraId="36397199">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工程招标</w:t>
                  </w:r>
                </w:p>
              </w:tc>
            </w:tr>
            <w:tr w14:paraId="188A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033" w:type="dxa"/>
                  <w:shd w:val="clear" w:color="auto" w:fill="auto"/>
                </w:tcPr>
                <w:p w14:paraId="2D6BB6ED">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100万元以下</w:t>
                  </w:r>
                </w:p>
              </w:tc>
              <w:tc>
                <w:tcPr>
                  <w:tcW w:w="1276" w:type="dxa"/>
                  <w:shd w:val="clear" w:color="auto" w:fill="auto"/>
                </w:tcPr>
                <w:p w14:paraId="4EE9B07C">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1.5%</w:t>
                  </w:r>
                </w:p>
              </w:tc>
              <w:tc>
                <w:tcPr>
                  <w:tcW w:w="1134" w:type="dxa"/>
                  <w:shd w:val="clear" w:color="auto" w:fill="auto"/>
                </w:tcPr>
                <w:p w14:paraId="14458024">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1.5%</w:t>
                  </w:r>
                </w:p>
              </w:tc>
              <w:tc>
                <w:tcPr>
                  <w:tcW w:w="1134" w:type="dxa"/>
                  <w:shd w:val="clear" w:color="auto" w:fill="auto"/>
                </w:tcPr>
                <w:p w14:paraId="40A84CF3">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1.0%</w:t>
                  </w:r>
                </w:p>
              </w:tc>
            </w:tr>
            <w:tr w14:paraId="193F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2033" w:type="dxa"/>
                  <w:shd w:val="clear" w:color="auto" w:fill="auto"/>
                </w:tcPr>
                <w:p w14:paraId="1F38AE63">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100～500万元</w:t>
                  </w:r>
                </w:p>
              </w:tc>
              <w:tc>
                <w:tcPr>
                  <w:tcW w:w="1276" w:type="dxa"/>
                  <w:shd w:val="clear" w:color="auto" w:fill="auto"/>
                </w:tcPr>
                <w:p w14:paraId="79F08535">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1134" w:type="dxa"/>
                  <w:shd w:val="clear" w:color="auto" w:fill="auto"/>
                </w:tcPr>
                <w:p w14:paraId="63BD6973">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0.8%</w:t>
                  </w:r>
                </w:p>
              </w:tc>
              <w:tc>
                <w:tcPr>
                  <w:tcW w:w="1134" w:type="dxa"/>
                  <w:shd w:val="clear" w:color="auto" w:fill="auto"/>
                </w:tcPr>
                <w:p w14:paraId="5611A53B">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0.7%</w:t>
                  </w:r>
                </w:p>
              </w:tc>
            </w:tr>
            <w:tr w14:paraId="6E8B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2033" w:type="dxa"/>
                  <w:shd w:val="clear" w:color="auto" w:fill="auto"/>
                </w:tcPr>
                <w:p w14:paraId="2C6A702A">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500～1000万元</w:t>
                  </w:r>
                </w:p>
              </w:tc>
              <w:tc>
                <w:tcPr>
                  <w:tcW w:w="1276" w:type="dxa"/>
                  <w:shd w:val="clear" w:color="auto" w:fill="auto"/>
                </w:tcPr>
                <w:p w14:paraId="5B6C5C21">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0.8%</w:t>
                  </w:r>
                </w:p>
              </w:tc>
              <w:tc>
                <w:tcPr>
                  <w:tcW w:w="1134" w:type="dxa"/>
                  <w:shd w:val="clear" w:color="auto" w:fill="auto"/>
                </w:tcPr>
                <w:p w14:paraId="1BA02A46">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0.45%</w:t>
                  </w:r>
                </w:p>
              </w:tc>
              <w:tc>
                <w:tcPr>
                  <w:tcW w:w="1134" w:type="dxa"/>
                  <w:shd w:val="clear" w:color="auto" w:fill="auto"/>
                </w:tcPr>
                <w:p w14:paraId="3D2450E2">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0.55%</w:t>
                  </w:r>
                </w:p>
              </w:tc>
            </w:tr>
            <w:tr w14:paraId="3FB1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033" w:type="dxa"/>
                  <w:shd w:val="clear" w:color="auto" w:fill="auto"/>
                </w:tcPr>
                <w:p w14:paraId="32CE2201">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1000～5000万元</w:t>
                  </w:r>
                </w:p>
              </w:tc>
              <w:tc>
                <w:tcPr>
                  <w:tcW w:w="1276" w:type="dxa"/>
                  <w:shd w:val="clear" w:color="auto" w:fill="auto"/>
                </w:tcPr>
                <w:p w14:paraId="5B2F4A7B">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0.5%</w:t>
                  </w:r>
                </w:p>
              </w:tc>
              <w:tc>
                <w:tcPr>
                  <w:tcW w:w="1134" w:type="dxa"/>
                  <w:shd w:val="clear" w:color="auto" w:fill="auto"/>
                </w:tcPr>
                <w:p w14:paraId="13E30509">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0.25%</w:t>
                  </w:r>
                </w:p>
              </w:tc>
              <w:tc>
                <w:tcPr>
                  <w:tcW w:w="1134" w:type="dxa"/>
                  <w:shd w:val="clear" w:color="auto" w:fill="auto"/>
                </w:tcPr>
                <w:p w14:paraId="53168487">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0.35%</w:t>
                  </w:r>
                </w:p>
              </w:tc>
            </w:tr>
            <w:tr w14:paraId="2123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2033" w:type="dxa"/>
                  <w:shd w:val="clear" w:color="auto" w:fill="auto"/>
                </w:tcPr>
                <w:p w14:paraId="7B69FFF8">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5000万元～1亿元</w:t>
                  </w:r>
                </w:p>
              </w:tc>
              <w:tc>
                <w:tcPr>
                  <w:tcW w:w="1276" w:type="dxa"/>
                  <w:shd w:val="clear" w:color="auto" w:fill="auto"/>
                </w:tcPr>
                <w:p w14:paraId="47F0325A">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0.25%</w:t>
                  </w:r>
                </w:p>
              </w:tc>
              <w:tc>
                <w:tcPr>
                  <w:tcW w:w="1134" w:type="dxa"/>
                  <w:shd w:val="clear" w:color="auto" w:fill="auto"/>
                </w:tcPr>
                <w:p w14:paraId="7CA6C5C3">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0.1%</w:t>
                  </w:r>
                </w:p>
              </w:tc>
              <w:tc>
                <w:tcPr>
                  <w:tcW w:w="1134" w:type="dxa"/>
                  <w:shd w:val="clear" w:color="auto" w:fill="auto"/>
                </w:tcPr>
                <w:p w14:paraId="17266995">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0.2%</w:t>
                  </w:r>
                </w:p>
              </w:tc>
            </w:tr>
            <w:tr w14:paraId="24A9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033" w:type="dxa"/>
                  <w:shd w:val="clear" w:color="auto" w:fill="auto"/>
                </w:tcPr>
                <w:p w14:paraId="0EEB8F0D">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1～5亿元</w:t>
                  </w:r>
                </w:p>
              </w:tc>
              <w:tc>
                <w:tcPr>
                  <w:tcW w:w="1276" w:type="dxa"/>
                  <w:shd w:val="clear" w:color="auto" w:fill="auto"/>
                </w:tcPr>
                <w:p w14:paraId="42686D27">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0.05%</w:t>
                  </w:r>
                </w:p>
              </w:tc>
              <w:tc>
                <w:tcPr>
                  <w:tcW w:w="1134" w:type="dxa"/>
                  <w:shd w:val="clear" w:color="auto" w:fill="auto"/>
                </w:tcPr>
                <w:p w14:paraId="6ED68D4C">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0.05%</w:t>
                  </w:r>
                </w:p>
              </w:tc>
              <w:tc>
                <w:tcPr>
                  <w:tcW w:w="1134" w:type="dxa"/>
                  <w:shd w:val="clear" w:color="auto" w:fill="auto"/>
                </w:tcPr>
                <w:p w14:paraId="694CC62D">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0.05%</w:t>
                  </w:r>
                </w:p>
              </w:tc>
            </w:tr>
            <w:tr w14:paraId="6D94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033" w:type="dxa"/>
                  <w:shd w:val="clear" w:color="auto" w:fill="auto"/>
                </w:tcPr>
                <w:p w14:paraId="1E20BC2F">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5～10亿元</w:t>
                  </w:r>
                </w:p>
              </w:tc>
              <w:tc>
                <w:tcPr>
                  <w:tcW w:w="1276" w:type="dxa"/>
                  <w:shd w:val="clear" w:color="auto" w:fill="auto"/>
                </w:tcPr>
                <w:p w14:paraId="10A4D5D1">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0.035%</w:t>
                  </w:r>
                </w:p>
              </w:tc>
              <w:tc>
                <w:tcPr>
                  <w:tcW w:w="1134" w:type="dxa"/>
                  <w:shd w:val="clear" w:color="auto" w:fill="auto"/>
                </w:tcPr>
                <w:p w14:paraId="0893909A">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0.035%</w:t>
                  </w:r>
                </w:p>
              </w:tc>
              <w:tc>
                <w:tcPr>
                  <w:tcW w:w="1134" w:type="dxa"/>
                  <w:shd w:val="clear" w:color="auto" w:fill="auto"/>
                </w:tcPr>
                <w:p w14:paraId="4F80DB99">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0.035%</w:t>
                  </w:r>
                </w:p>
              </w:tc>
            </w:tr>
            <w:tr w14:paraId="5909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2033" w:type="dxa"/>
                  <w:shd w:val="clear" w:color="auto" w:fill="auto"/>
                </w:tcPr>
                <w:p w14:paraId="0C6C715F">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10～50亿元</w:t>
                  </w:r>
                </w:p>
              </w:tc>
              <w:tc>
                <w:tcPr>
                  <w:tcW w:w="1276" w:type="dxa"/>
                  <w:shd w:val="clear" w:color="auto" w:fill="auto"/>
                </w:tcPr>
                <w:p w14:paraId="43369BD3">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0.008%</w:t>
                  </w:r>
                </w:p>
              </w:tc>
              <w:tc>
                <w:tcPr>
                  <w:tcW w:w="1134" w:type="dxa"/>
                  <w:shd w:val="clear" w:color="auto" w:fill="auto"/>
                </w:tcPr>
                <w:p w14:paraId="060A73BA">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0.008%</w:t>
                  </w:r>
                </w:p>
              </w:tc>
              <w:tc>
                <w:tcPr>
                  <w:tcW w:w="1134" w:type="dxa"/>
                  <w:shd w:val="clear" w:color="auto" w:fill="auto"/>
                </w:tcPr>
                <w:p w14:paraId="392E07C1">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0.008%</w:t>
                  </w:r>
                </w:p>
              </w:tc>
            </w:tr>
            <w:tr w14:paraId="6FA8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033" w:type="dxa"/>
                  <w:shd w:val="clear" w:color="auto" w:fill="auto"/>
                </w:tcPr>
                <w:p w14:paraId="03FA518B">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50～100亿元</w:t>
                  </w:r>
                </w:p>
              </w:tc>
              <w:tc>
                <w:tcPr>
                  <w:tcW w:w="1276" w:type="dxa"/>
                  <w:shd w:val="clear" w:color="auto" w:fill="auto"/>
                </w:tcPr>
                <w:p w14:paraId="0C18E501">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0.006%</w:t>
                  </w:r>
                </w:p>
              </w:tc>
              <w:tc>
                <w:tcPr>
                  <w:tcW w:w="1134" w:type="dxa"/>
                  <w:shd w:val="clear" w:color="auto" w:fill="auto"/>
                </w:tcPr>
                <w:p w14:paraId="6E5599E3">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0.006%</w:t>
                  </w:r>
                </w:p>
              </w:tc>
              <w:tc>
                <w:tcPr>
                  <w:tcW w:w="1134" w:type="dxa"/>
                  <w:shd w:val="clear" w:color="auto" w:fill="auto"/>
                </w:tcPr>
                <w:p w14:paraId="712CE6CC">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0.006%</w:t>
                  </w:r>
                </w:p>
              </w:tc>
            </w:tr>
            <w:tr w14:paraId="5B52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033" w:type="dxa"/>
                  <w:shd w:val="clear" w:color="auto" w:fill="auto"/>
                </w:tcPr>
                <w:p w14:paraId="00D5DCF8">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100亿以上</w:t>
                  </w:r>
                </w:p>
              </w:tc>
              <w:tc>
                <w:tcPr>
                  <w:tcW w:w="1276" w:type="dxa"/>
                  <w:shd w:val="clear" w:color="auto" w:fill="auto"/>
                </w:tcPr>
                <w:p w14:paraId="23160BE5">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0.004%</w:t>
                  </w:r>
                </w:p>
              </w:tc>
              <w:tc>
                <w:tcPr>
                  <w:tcW w:w="1134" w:type="dxa"/>
                  <w:shd w:val="clear" w:color="auto" w:fill="auto"/>
                </w:tcPr>
                <w:p w14:paraId="1DDE5193">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0.004%</w:t>
                  </w:r>
                </w:p>
              </w:tc>
              <w:tc>
                <w:tcPr>
                  <w:tcW w:w="1134" w:type="dxa"/>
                  <w:shd w:val="clear" w:color="auto" w:fill="auto"/>
                </w:tcPr>
                <w:p w14:paraId="060CA6A4">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0.004%</w:t>
                  </w:r>
                </w:p>
              </w:tc>
            </w:tr>
          </w:tbl>
          <w:p w14:paraId="0F1CB1D9">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例如：某货物招标，中标金额为6000万元人民币，则招标代理服务费计算方式如下：</w:t>
            </w:r>
          </w:p>
          <w:p w14:paraId="10837E1D">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100万元×1.5%=1.5万元</w:t>
            </w:r>
          </w:p>
          <w:p w14:paraId="7ADFAB94">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（500-100）万元×1.1%=4.4万元</w:t>
            </w:r>
          </w:p>
          <w:p w14:paraId="6E25FA4E">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（1000-500）×0.8%=4万元</w:t>
            </w:r>
          </w:p>
          <w:p w14:paraId="3549044C">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（5000-1000）×0.5%=20万元</w:t>
            </w:r>
          </w:p>
          <w:p w14:paraId="5AAF4F5A">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（6000-5000）×0.25%=2.5万元</w:t>
            </w:r>
          </w:p>
          <w:p w14:paraId="21C8CBA4">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合计收费=1.5+4.4+4+20+2.5=32.4（万元）</w:t>
            </w:r>
          </w:p>
          <w:p w14:paraId="0FC4F213">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说明：招标代理服务费计算方法参考原《国家计委关于印发〈招标代理服务收费管理暂行办法〉的通知（计价格[2002]1980号）》、《国家发展改革委办公厅关于招标代理服务收费有关问题的通知（发改办价格[2003]857号）》和《国家发展改革委关于降低部分建设项目收费标准规范收费行为等有关问题的通知（发改价格[2011]534号）》。</w:t>
            </w:r>
          </w:p>
          <w:p w14:paraId="2BE0C83D">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9.2 缴纳方式：【</w:t>
            </w:r>
            <w:r>
              <w:rPr>
                <w:rFonts w:hint="eastAsia" w:ascii="宋体" w:hAnsi="宋体" w:eastAsia="宋体" w:cs="宋体"/>
                <w:color w:val="auto"/>
                <w:szCs w:val="21"/>
                <w:u w:val="single"/>
              </w:rPr>
              <w:t>银行转账、汇款等形式</w:t>
            </w:r>
            <w:r>
              <w:rPr>
                <w:rFonts w:hint="eastAsia" w:ascii="宋体" w:hAnsi="宋体" w:eastAsia="宋体" w:cs="宋体"/>
                <w:color w:val="auto"/>
                <w:szCs w:val="21"/>
              </w:rPr>
              <w:t>】。</w:t>
            </w:r>
          </w:p>
          <w:p w14:paraId="7FEF1BC7">
            <w:pPr>
              <w:pageBreakBefore w:val="0"/>
              <w:kinsoku/>
              <w:overflowPunct/>
              <w:autoSpaceDE w:val="0"/>
              <w:autoSpaceDN w:val="0"/>
              <w:bidi w:val="0"/>
              <w:spacing w:line="360" w:lineRule="auto"/>
              <w:rPr>
                <w:rFonts w:hint="eastAsia" w:ascii="宋体" w:hAnsi="宋体" w:eastAsia="宋体" w:cs="宋体"/>
                <w:b/>
                <w:bCs/>
                <w:color w:val="auto"/>
                <w:lang w:val="en-US" w:eastAsia="zh-CN"/>
              </w:rPr>
            </w:pPr>
            <w:r>
              <w:rPr>
                <w:rFonts w:hint="eastAsia" w:ascii="宋体" w:hAnsi="宋体" w:eastAsia="宋体" w:cs="宋体"/>
                <w:color w:val="auto"/>
                <w:szCs w:val="21"/>
              </w:rPr>
              <w:t>9.3中标金额计取依据：</w:t>
            </w:r>
            <w:r>
              <w:rPr>
                <w:rFonts w:hint="eastAsia" w:ascii="宋体" w:hAnsi="宋体" w:eastAsia="宋体" w:cs="宋体"/>
                <w:b/>
                <w:bCs/>
                <w:color w:val="auto"/>
                <w:szCs w:val="21"/>
                <w:lang w:val="en-US" w:eastAsia="zh-CN"/>
              </w:rPr>
              <w:t>根据项目含税预估金额计算</w:t>
            </w:r>
            <w:r>
              <w:rPr>
                <w:rFonts w:hint="eastAsia" w:ascii="宋体" w:hAnsi="宋体" w:eastAsia="宋体" w:cs="宋体"/>
                <w:color w:val="auto"/>
                <w:szCs w:val="21"/>
              </w:rPr>
              <w:t>。</w:t>
            </w:r>
          </w:p>
          <w:p w14:paraId="0CE9E95D">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9.4 缴纳期限及周期：</w:t>
            </w:r>
            <w:r>
              <w:rPr>
                <w:rFonts w:hint="eastAsia" w:ascii="宋体" w:hAnsi="宋体" w:eastAsia="宋体" w:cs="宋体"/>
                <w:b/>
                <w:bCs/>
                <w:color w:val="auto"/>
                <w:szCs w:val="21"/>
                <w:u w:val="single"/>
              </w:rPr>
              <w:t>【中标人在收到招标代理服务费付款通知书后15日内向招标代理机构支付招标代理服务费】</w:t>
            </w:r>
            <w:r>
              <w:rPr>
                <w:rFonts w:hint="eastAsia" w:ascii="宋体" w:hAnsi="宋体" w:eastAsia="宋体" w:cs="宋体"/>
                <w:b/>
                <w:bCs/>
                <w:color w:val="auto"/>
                <w:szCs w:val="21"/>
              </w:rPr>
              <w:t>。</w:t>
            </w:r>
          </w:p>
        </w:tc>
      </w:tr>
      <w:tr w14:paraId="7ABCF62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3F2B93F">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1666" w:type="dxa"/>
            <w:vAlign w:val="center"/>
          </w:tcPr>
          <w:p w14:paraId="37BAE859">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需要补充的其他内容</w:t>
            </w:r>
          </w:p>
        </w:tc>
        <w:tc>
          <w:tcPr>
            <w:tcW w:w="5795" w:type="dxa"/>
            <w:vAlign w:val="center"/>
          </w:tcPr>
          <w:p w14:paraId="2DB3E99D">
            <w:pPr>
              <w:keepNext w:val="0"/>
              <w:keepLines w:val="0"/>
              <w:pageBreakBefore w:val="0"/>
              <w:suppressLineNumbers w:val="0"/>
              <w:kinsoku/>
              <w:overflowPunct/>
              <w:autoSpaceDE w:val="0"/>
              <w:autoSpaceDN w:val="0"/>
              <w:bidi w:val="0"/>
              <w:spacing w:before="0" w:beforeAutospacing="0" w:after="0" w:afterAutospacing="0" w:line="360" w:lineRule="auto"/>
              <w:ind w:left="0" w:right="0"/>
              <w:rPr>
                <w:rFonts w:hint="eastAsia" w:ascii="宋体" w:hAnsi="宋体" w:eastAsia="宋体" w:cs="宋体"/>
                <w:color w:val="auto"/>
                <w:szCs w:val="21"/>
              </w:rPr>
            </w:pPr>
            <w:r>
              <w:rPr>
                <w:rFonts w:hint="eastAsia" w:ascii="宋体" w:hAnsi="宋体" w:eastAsia="宋体" w:cs="宋体"/>
                <w:color w:val="auto"/>
                <w:szCs w:val="21"/>
              </w:rPr>
              <w:t>1.投标人在被评标委员会要求进行澄清或被要求提供企业资质、合同、人员资格证书等原件资料备查时，应在评标委员会发出澄清或备查通知时限内及时提供。</w:t>
            </w:r>
          </w:p>
          <w:p w14:paraId="531B0C39">
            <w:pPr>
              <w:keepNext w:val="0"/>
              <w:keepLines w:val="0"/>
              <w:pageBreakBefore w:val="0"/>
              <w:suppressLineNumbers w:val="0"/>
              <w:kinsoku/>
              <w:overflowPunct/>
              <w:autoSpaceDE w:val="0"/>
              <w:autoSpaceDN w:val="0"/>
              <w:bidi w:val="0"/>
              <w:spacing w:before="0" w:beforeAutospacing="0" w:after="0" w:afterAutospacing="0" w:line="360" w:lineRule="auto"/>
              <w:ind w:left="0" w:right="0"/>
              <w:rPr>
                <w:rFonts w:hint="eastAsia" w:ascii="宋体" w:hAnsi="宋体" w:eastAsia="宋体" w:cs="宋体"/>
                <w:color w:val="auto"/>
                <w:szCs w:val="21"/>
              </w:rPr>
            </w:pPr>
            <w:r>
              <w:rPr>
                <w:rFonts w:hint="eastAsia" w:ascii="宋体" w:hAnsi="宋体" w:eastAsia="宋体" w:cs="宋体"/>
                <w:color w:val="auto"/>
                <w:szCs w:val="21"/>
              </w:rPr>
              <w:t>如投标人不能提供或不能够按时提供澄清资料、原件资料的视为“不满足”。不满足情形按以下方式处理：</w:t>
            </w:r>
            <w:r>
              <w:rPr>
                <w:rFonts w:hint="eastAsia" w:ascii="宋体" w:hAnsi="宋体" w:eastAsia="宋体" w:cs="宋体"/>
                <w:b/>
                <w:bCs/>
                <w:color w:val="auto"/>
                <w:szCs w:val="21"/>
                <w:u w:val="single"/>
              </w:rPr>
              <w:t>★属于否决事项的，投标文件将被否决</w:t>
            </w:r>
            <w:r>
              <w:rPr>
                <w:rFonts w:hint="eastAsia" w:ascii="宋体" w:hAnsi="宋体" w:eastAsia="宋体" w:cs="宋体"/>
                <w:color w:val="auto"/>
                <w:szCs w:val="21"/>
              </w:rPr>
              <w:t>；属于评分项的，按照评分细则进行评分。</w:t>
            </w:r>
          </w:p>
          <w:p w14:paraId="58E31202">
            <w:pPr>
              <w:keepNext w:val="0"/>
              <w:keepLines w:val="0"/>
              <w:pageBreakBefore w:val="0"/>
              <w:suppressLineNumbers w:val="0"/>
              <w:kinsoku/>
              <w:overflowPunct/>
              <w:autoSpaceDE w:val="0"/>
              <w:autoSpaceDN w:val="0"/>
              <w:bidi w:val="0"/>
              <w:spacing w:before="0" w:beforeAutospacing="0" w:after="0" w:afterAutospacing="0" w:line="360" w:lineRule="auto"/>
              <w:ind w:left="0" w:right="0"/>
              <w:rPr>
                <w:rFonts w:hint="eastAsia" w:ascii="宋体" w:hAnsi="宋体" w:eastAsia="宋体" w:cs="宋体"/>
                <w:color w:val="auto"/>
                <w:szCs w:val="21"/>
              </w:rPr>
            </w:pPr>
            <w:r>
              <w:rPr>
                <w:rFonts w:hint="eastAsia" w:ascii="宋体" w:hAnsi="宋体" w:eastAsia="宋体" w:cs="宋体"/>
                <w:color w:val="auto"/>
                <w:szCs w:val="21"/>
              </w:rPr>
              <w:t>2.评标委员会按照修正原则对投标报价进行修正，修正的价格经投标人书面确认后具有约束力。</w:t>
            </w:r>
            <w:r>
              <w:rPr>
                <w:rFonts w:hint="eastAsia" w:ascii="宋体" w:hAnsi="宋体" w:eastAsia="宋体" w:cs="宋体"/>
                <w:b/>
                <w:bCs/>
                <w:color w:val="auto"/>
                <w:szCs w:val="21"/>
                <w:u w:val="single"/>
              </w:rPr>
              <w:t>★投标人不接受修正价格的，评标委员会应当否决其投标。</w:t>
            </w:r>
          </w:p>
          <w:p w14:paraId="5116CDD6">
            <w:pPr>
              <w:keepNext w:val="0"/>
              <w:keepLines w:val="0"/>
              <w:pageBreakBefore w:val="0"/>
              <w:suppressLineNumbers w:val="0"/>
              <w:kinsoku/>
              <w:overflowPunct/>
              <w:autoSpaceDE w:val="0"/>
              <w:autoSpaceDN w:val="0"/>
              <w:bidi w:val="0"/>
              <w:spacing w:before="0" w:beforeAutospacing="0" w:after="0" w:afterAutospacing="0" w:line="360" w:lineRule="auto"/>
              <w:ind w:left="0" w:right="0"/>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bCs/>
                <w:color w:val="auto"/>
                <w:szCs w:val="21"/>
              </w:rPr>
              <w:t>投标人报价低于成本价的，评标委员会以书面方式要求投标人做出书面说明并提供相关证明材料。</w:t>
            </w:r>
            <w:r>
              <w:rPr>
                <w:rFonts w:hint="eastAsia" w:ascii="宋体" w:hAnsi="宋体" w:eastAsia="宋体" w:cs="宋体"/>
                <w:b/>
                <w:bCs/>
                <w:color w:val="auto"/>
                <w:szCs w:val="21"/>
                <w:u w:val="single"/>
              </w:rPr>
              <w:t xml:space="preserve">★投标人不能合理说明或者不能按照澄清规定要求（包含时限、内容和证明材料等）提供相应证明材料的，由评标委员会认定该投标人以低于成本报价投标，评标委员会应当否决其投标。 </w:t>
            </w:r>
          </w:p>
          <w:p w14:paraId="7C42CD7B">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4.不含税价超过限价的确认，评标委员会按照报价及增值税计算方法澄清。</w:t>
            </w:r>
            <w:r>
              <w:rPr>
                <w:rFonts w:hint="eastAsia" w:ascii="宋体" w:hAnsi="宋体" w:eastAsia="宋体" w:cs="宋体"/>
                <w:b/>
                <w:bCs/>
                <w:color w:val="auto"/>
                <w:szCs w:val="21"/>
                <w:u w:val="single"/>
              </w:rPr>
              <w:t>★投标人对于正确的计算结果不认可的，评标委员会应当否决其投标。</w:t>
            </w:r>
          </w:p>
        </w:tc>
      </w:tr>
      <w:tr w14:paraId="5CB83B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BD6CE39">
            <w:pPr>
              <w:pageBreakBefore w:val="0"/>
              <w:kinsoku/>
              <w:overflowPunct/>
              <w:autoSpaceDE w:val="0"/>
              <w:autoSpaceDN w:val="0"/>
              <w:bidi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11.1</w:t>
            </w:r>
          </w:p>
        </w:tc>
        <w:tc>
          <w:tcPr>
            <w:tcW w:w="1666" w:type="dxa"/>
            <w:vAlign w:val="center"/>
          </w:tcPr>
          <w:p w14:paraId="563DADE6">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b w:val="0"/>
                <w:bCs/>
                <w:color w:val="auto"/>
                <w:szCs w:val="21"/>
                <w:u w:val="none"/>
                <w:lang w:val="en-US" w:eastAsia="zh-CN"/>
              </w:rPr>
              <w:t>★支付方式</w:t>
            </w:r>
          </w:p>
        </w:tc>
        <w:tc>
          <w:tcPr>
            <w:tcW w:w="5795" w:type="dxa"/>
            <w:vAlign w:val="center"/>
          </w:tcPr>
          <w:p w14:paraId="552C2F83">
            <w:pPr>
              <w:pageBreakBefore w:val="0"/>
              <w:numPr>
                <w:ilvl w:val="0"/>
                <w:numId w:val="0"/>
              </w:numPr>
              <w:kinsoku/>
              <w:overflowPunct/>
              <w:bidi w:val="0"/>
              <w:spacing w:line="360" w:lineRule="auto"/>
              <w:rPr>
                <w:rFonts w:hint="eastAsia" w:ascii="宋体" w:hAnsi="宋体" w:eastAsia="宋体" w:cs="宋体"/>
                <w:color w:val="auto"/>
                <w:szCs w:val="21"/>
              </w:rPr>
            </w:pPr>
            <w:r>
              <w:rPr>
                <w:rFonts w:hint="eastAsia" w:ascii="宋体" w:hAnsi="宋体" w:eastAsia="宋体" w:cs="宋体"/>
                <w:b w:val="0"/>
                <w:bCs/>
                <w:color w:val="auto"/>
                <w:szCs w:val="21"/>
                <w:u w:val="none"/>
                <w:lang w:val="en-US" w:eastAsia="zh-CN"/>
              </w:rPr>
              <w:t>根据维护部门考核结果，按实际结算金额每季度支付一次。考核方式详见技术规范书。</w:t>
            </w:r>
          </w:p>
        </w:tc>
      </w:tr>
      <w:tr w14:paraId="59DB1D9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D5255BF">
            <w:pPr>
              <w:pageBreakBefore w:val="0"/>
              <w:kinsoku/>
              <w:overflowPunct/>
              <w:autoSpaceDE w:val="0"/>
              <w:autoSpaceDN w:val="0"/>
              <w:bidi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11.2</w:t>
            </w:r>
          </w:p>
        </w:tc>
        <w:tc>
          <w:tcPr>
            <w:tcW w:w="1666" w:type="dxa"/>
            <w:vAlign w:val="center"/>
          </w:tcPr>
          <w:p w14:paraId="2F93B004">
            <w:pPr>
              <w:pageBreakBefore w:val="0"/>
              <w:kinsoku/>
              <w:overflowPunct/>
              <w:autoSpaceDE w:val="0"/>
              <w:autoSpaceDN w:val="0"/>
              <w:bidi w:val="0"/>
              <w:spacing w:line="360" w:lineRule="auto"/>
              <w:rPr>
                <w:rFonts w:hint="eastAsia" w:ascii="宋体" w:hAnsi="宋体" w:eastAsia="宋体" w:cs="宋体"/>
                <w:b w:val="0"/>
                <w:bCs/>
                <w:color w:val="auto"/>
                <w:szCs w:val="21"/>
                <w:u w:val="none"/>
                <w:lang w:val="en-US" w:eastAsia="zh-CN"/>
              </w:rPr>
            </w:pPr>
            <w:r>
              <w:rPr>
                <w:rFonts w:hint="eastAsia" w:ascii="宋体" w:hAnsi="宋体" w:eastAsia="宋体" w:cs="宋体"/>
                <w:b w:val="0"/>
                <w:bCs/>
                <w:color w:val="auto"/>
                <w:szCs w:val="21"/>
                <w:u w:val="none"/>
                <w:lang w:val="en-US" w:eastAsia="zh-CN"/>
              </w:rPr>
              <w:t>★团队人员名单</w:t>
            </w:r>
          </w:p>
        </w:tc>
        <w:tc>
          <w:tcPr>
            <w:tcW w:w="5795" w:type="dxa"/>
            <w:vAlign w:val="center"/>
          </w:tcPr>
          <w:p w14:paraId="35E412D4">
            <w:pPr>
              <w:pageBreakBefore w:val="0"/>
              <w:kinsoku/>
              <w:overflowPunct/>
              <w:autoSpaceDE w:val="0"/>
              <w:autoSpaceDN w:val="0"/>
              <w:bidi w:val="0"/>
              <w:spacing w:line="360" w:lineRule="auto"/>
              <w:rPr>
                <w:rFonts w:hint="eastAsia" w:ascii="宋体" w:hAnsi="宋体" w:eastAsia="宋体" w:cs="宋体"/>
                <w:b w:val="0"/>
                <w:bCs/>
                <w:color w:val="auto"/>
                <w:szCs w:val="21"/>
                <w:u w:val="none"/>
                <w:lang w:val="en-US" w:eastAsia="zh-CN"/>
              </w:rPr>
            </w:pPr>
            <w:r>
              <w:rPr>
                <w:rFonts w:hint="eastAsia" w:ascii="宋体" w:hAnsi="宋体" w:eastAsia="宋体" w:cs="宋体"/>
                <w:b w:val="0"/>
                <w:bCs/>
                <w:color w:val="auto"/>
                <w:szCs w:val="21"/>
                <w:u w:val="none"/>
                <w:lang w:val="en-US" w:eastAsia="zh-CN"/>
              </w:rPr>
              <w:t>投标人对本项目提供的所有团队人员名单须作为合同附件，名单内人员变更需经甲方书面同意。</w:t>
            </w:r>
          </w:p>
        </w:tc>
      </w:tr>
      <w:tr w14:paraId="4A94E01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327BB1B">
            <w:pPr>
              <w:pageBreakBefore w:val="0"/>
              <w:kinsoku/>
              <w:overflowPunct/>
              <w:autoSpaceDE w:val="0"/>
              <w:autoSpaceDN w:val="0"/>
              <w:bidi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11.3</w:t>
            </w:r>
          </w:p>
        </w:tc>
        <w:tc>
          <w:tcPr>
            <w:tcW w:w="1666" w:type="dxa"/>
            <w:vAlign w:val="center"/>
          </w:tcPr>
          <w:p w14:paraId="2F5462CA">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b w:val="0"/>
                <w:bCs/>
                <w:color w:val="auto"/>
                <w:szCs w:val="21"/>
                <w:u w:val="none"/>
                <w:lang w:val="en-US" w:eastAsia="zh-CN"/>
              </w:rPr>
              <w:t>★合同有效期</w:t>
            </w:r>
          </w:p>
        </w:tc>
        <w:tc>
          <w:tcPr>
            <w:tcW w:w="5795" w:type="dxa"/>
            <w:vAlign w:val="center"/>
          </w:tcPr>
          <w:p w14:paraId="07009257">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b w:val="0"/>
                <w:bCs/>
                <w:color w:val="auto"/>
                <w:szCs w:val="21"/>
                <w:u w:val="none"/>
                <w:lang w:val="en-US" w:eastAsia="zh-CN"/>
              </w:rPr>
              <w:t>自合同签订之日起12个月。</w:t>
            </w:r>
          </w:p>
        </w:tc>
      </w:tr>
      <w:tr w14:paraId="4ED08E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4E74859">
            <w:pPr>
              <w:pageBreakBefore w:val="0"/>
              <w:kinsoku/>
              <w:overflowPunct/>
              <w:autoSpaceDE w:val="0"/>
              <w:autoSpaceDN w:val="0"/>
              <w:bidi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11.4</w:t>
            </w:r>
          </w:p>
        </w:tc>
        <w:tc>
          <w:tcPr>
            <w:tcW w:w="1666" w:type="dxa"/>
            <w:vAlign w:val="center"/>
          </w:tcPr>
          <w:p w14:paraId="30756E88">
            <w:pPr>
              <w:pageBreakBefore w:val="0"/>
              <w:kinsoku/>
              <w:overflowPunct/>
              <w:autoSpaceDE w:val="0"/>
              <w:autoSpaceDN w:val="0"/>
              <w:bidi w:val="0"/>
              <w:spacing w:line="360" w:lineRule="auto"/>
              <w:rPr>
                <w:rFonts w:hint="eastAsia" w:ascii="宋体" w:hAnsi="宋体" w:eastAsia="宋体" w:cs="宋体"/>
                <w:b w:val="0"/>
                <w:bCs/>
                <w:color w:val="auto"/>
                <w:szCs w:val="21"/>
                <w:u w:val="none"/>
                <w:lang w:val="en-US" w:eastAsia="zh-CN"/>
              </w:rPr>
            </w:pPr>
            <w:r>
              <w:rPr>
                <w:rFonts w:hint="eastAsia" w:ascii="宋体" w:hAnsi="宋体" w:eastAsia="宋体" w:cs="宋体"/>
                <w:b w:val="0"/>
                <w:bCs/>
                <w:color w:val="auto"/>
                <w:szCs w:val="21"/>
                <w:u w:val="none"/>
                <w:lang w:val="en-US" w:eastAsia="zh-CN"/>
              </w:rPr>
              <w:t>★服务地点</w:t>
            </w:r>
          </w:p>
        </w:tc>
        <w:tc>
          <w:tcPr>
            <w:tcW w:w="5795" w:type="dxa"/>
            <w:vAlign w:val="center"/>
          </w:tcPr>
          <w:p w14:paraId="2AF19BD2">
            <w:pPr>
              <w:pageBreakBefore w:val="0"/>
              <w:kinsoku/>
              <w:overflowPunct/>
              <w:autoSpaceDE w:val="0"/>
              <w:autoSpaceDN w:val="0"/>
              <w:bidi w:val="0"/>
              <w:spacing w:line="360" w:lineRule="auto"/>
              <w:rPr>
                <w:rFonts w:hint="eastAsia" w:ascii="宋体" w:hAnsi="宋体" w:eastAsia="宋体" w:cs="宋体"/>
                <w:b w:val="0"/>
                <w:bCs/>
                <w:color w:val="auto"/>
                <w:szCs w:val="21"/>
                <w:u w:val="none"/>
                <w:lang w:val="en-US" w:eastAsia="zh-CN"/>
              </w:rPr>
            </w:pPr>
            <w:r>
              <w:rPr>
                <w:rFonts w:hint="eastAsia" w:ascii="宋体" w:hAnsi="宋体" w:eastAsia="宋体" w:cs="宋体"/>
                <w:b w:val="0"/>
                <w:bCs/>
                <w:color w:val="auto"/>
                <w:szCs w:val="21"/>
                <w:u w:val="none"/>
                <w:lang w:val="en-US" w:eastAsia="zh-CN"/>
              </w:rPr>
              <w:t>贵阳市范围内指定地点。</w:t>
            </w:r>
          </w:p>
        </w:tc>
      </w:tr>
      <w:tr w14:paraId="600D5C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A22F549">
            <w:pPr>
              <w:pageBreakBefore w:val="0"/>
              <w:kinsoku/>
              <w:overflowPunct/>
              <w:autoSpaceDE w:val="0"/>
              <w:autoSpaceDN w:val="0"/>
              <w:bidi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11.5</w:t>
            </w:r>
          </w:p>
        </w:tc>
        <w:tc>
          <w:tcPr>
            <w:tcW w:w="1666" w:type="dxa"/>
            <w:vAlign w:val="center"/>
          </w:tcPr>
          <w:p w14:paraId="76D78F4B">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b w:val="0"/>
                <w:bCs/>
                <w:color w:val="auto"/>
                <w:szCs w:val="21"/>
                <w:u w:val="none"/>
                <w:lang w:val="en-US" w:eastAsia="zh-CN"/>
              </w:rPr>
              <w:t>★合同签订要求</w:t>
            </w:r>
          </w:p>
        </w:tc>
        <w:tc>
          <w:tcPr>
            <w:tcW w:w="5795" w:type="dxa"/>
            <w:vAlign w:val="center"/>
          </w:tcPr>
          <w:p w14:paraId="5A1CDD66">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b w:val="0"/>
                <w:bCs/>
                <w:color w:val="auto"/>
                <w:szCs w:val="21"/>
                <w:u w:val="none"/>
                <w:lang w:val="en-US" w:eastAsia="zh-CN"/>
              </w:rPr>
              <w:t>发出中标通知书之日起30日内完成合同签订。</w:t>
            </w:r>
          </w:p>
        </w:tc>
      </w:tr>
      <w:tr w14:paraId="75E3A55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301" w:type="dxa"/>
            <w:gridSpan w:val="3"/>
            <w:vAlign w:val="center"/>
          </w:tcPr>
          <w:p w14:paraId="767C3AD5">
            <w:pPr>
              <w:pageBreakBefore w:val="0"/>
              <w:kinsoku/>
              <w:overflowPunct/>
              <w:autoSpaceDE w:val="0"/>
              <w:autoSpaceDN w:val="0"/>
              <w:bidi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招标文件否决投标条款汇总</w:t>
            </w:r>
          </w:p>
        </w:tc>
      </w:tr>
      <w:tr w14:paraId="6C52B1E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301" w:type="dxa"/>
            <w:gridSpan w:val="3"/>
            <w:tcBorders>
              <w:top w:val="single" w:color="auto" w:sz="4" w:space="0"/>
              <w:bottom w:val="single" w:color="auto" w:sz="4" w:space="0"/>
            </w:tcBorders>
            <w:vAlign w:val="center"/>
          </w:tcPr>
          <w:p w14:paraId="4EC1507B">
            <w:pPr>
              <w:pageBreakBefore w:val="0"/>
              <w:kinsoku/>
              <w:overflowPunct/>
              <w:autoSpaceDE w:val="0"/>
              <w:autoSpaceDN w:val="0"/>
              <w:bidi w:val="0"/>
              <w:spacing w:line="360" w:lineRule="auto"/>
              <w:jc w:val="left"/>
              <w:rPr>
                <w:rFonts w:hint="eastAsia" w:ascii="宋体" w:hAnsi="宋体" w:eastAsia="宋体" w:cs="宋体"/>
                <w:b/>
                <w:color w:val="auto"/>
              </w:rPr>
            </w:pPr>
            <w:r>
              <w:rPr>
                <w:rFonts w:hint="eastAsia" w:ascii="宋体" w:hAnsi="宋体" w:eastAsia="宋体" w:cs="宋体"/>
                <w:b/>
                <w:color w:val="auto"/>
              </w:rPr>
              <w:t>第一部分：专用部分</w:t>
            </w:r>
          </w:p>
        </w:tc>
      </w:tr>
      <w:tr w14:paraId="682B9A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tcBorders>
              <w:top w:val="single" w:color="auto" w:sz="4" w:space="0"/>
              <w:bottom w:val="single" w:color="auto" w:sz="4" w:space="0"/>
            </w:tcBorders>
            <w:vAlign w:val="center"/>
          </w:tcPr>
          <w:p w14:paraId="18BE8417">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第一章招标公告</w:t>
            </w:r>
          </w:p>
        </w:tc>
        <w:tc>
          <w:tcPr>
            <w:tcW w:w="1666" w:type="dxa"/>
            <w:vAlign w:val="center"/>
          </w:tcPr>
          <w:p w14:paraId="73C1B342">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1.4最高投标限价</w:t>
            </w:r>
          </w:p>
        </w:tc>
        <w:tc>
          <w:tcPr>
            <w:tcW w:w="5795" w:type="dxa"/>
            <w:vAlign w:val="center"/>
          </w:tcPr>
          <w:p w14:paraId="1198380A">
            <w:pPr>
              <w:pageBreakBefore w:val="0"/>
              <w:kinsoku/>
              <w:overflowPunct/>
              <w:autoSpaceDE w:val="0"/>
              <w:autoSpaceDN w:val="0"/>
              <w:bidi w:val="0"/>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本项目设置最高投标限价，最高投标限价详见第一章招标公告，投标人投标报价高于最高投标限价的，其投标将被否决。</w:t>
            </w:r>
          </w:p>
        </w:tc>
      </w:tr>
      <w:tr w14:paraId="2D3A5FC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restart"/>
            <w:vAlign w:val="center"/>
          </w:tcPr>
          <w:p w14:paraId="16935BD7">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第二章投标人须知</w:t>
            </w:r>
          </w:p>
        </w:tc>
        <w:tc>
          <w:tcPr>
            <w:tcW w:w="1666" w:type="dxa"/>
            <w:vAlign w:val="center"/>
          </w:tcPr>
          <w:p w14:paraId="0808C2AC">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2.1.4是否以单项报价核定低于成本</w:t>
            </w:r>
          </w:p>
        </w:tc>
        <w:tc>
          <w:tcPr>
            <w:tcW w:w="5795" w:type="dxa"/>
            <w:vAlign w:val="center"/>
          </w:tcPr>
          <w:p w14:paraId="45C365A7">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rPr>
              <w:t>不要求</w:t>
            </w:r>
          </w:p>
          <w:p w14:paraId="12AC0629">
            <w:pPr>
              <w:pageBreakBefore w:val="0"/>
              <w:kinsoku/>
              <w:overflowPunct/>
              <w:autoSpaceDE w:val="0"/>
              <w:autoSpaceDN w:val="0"/>
              <w:bidi w:val="0"/>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w:t>
            </w:r>
            <w:r>
              <w:rPr>
                <w:rFonts w:hint="eastAsia" w:ascii="宋体" w:hAnsi="宋体" w:eastAsia="宋体" w:cs="宋体"/>
                <w:color w:val="auto"/>
                <w:szCs w:val="21"/>
              </w:rPr>
              <w:t>要求</w:t>
            </w:r>
            <w:r>
              <w:rPr>
                <w:rFonts w:hint="eastAsia" w:ascii="宋体" w:hAnsi="宋体" w:eastAsia="宋体" w:cs="宋体"/>
                <w:color w:val="auto"/>
                <w:szCs w:val="21"/>
                <w:lang w:eastAsia="zh-CN"/>
              </w:rPr>
              <w:t>。具体要求如下：评标委员会发现投标人的单项报价明显低于其他投标报价，认为投标报价可能低于成本的，将书面要求该投标人做出书面说明并提供相关证明材料。投标人不能合理说明或者不能提供相应证明材料的，由评标委员会认定该投标人以低于成本报价竞标，评标委员会将否决其投标。</w:t>
            </w:r>
          </w:p>
        </w:tc>
      </w:tr>
      <w:tr w14:paraId="7E0C56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13C1B090">
            <w:pPr>
              <w:pageBreakBefore w:val="0"/>
              <w:kinsoku/>
              <w:overflowPunct/>
              <w:autoSpaceDE w:val="0"/>
              <w:autoSpaceDN w:val="0"/>
              <w:bidi w:val="0"/>
              <w:spacing w:line="360" w:lineRule="auto"/>
              <w:jc w:val="center"/>
              <w:rPr>
                <w:rFonts w:hint="eastAsia" w:ascii="宋体" w:hAnsi="宋体" w:eastAsia="宋体" w:cs="宋体"/>
                <w:color w:val="auto"/>
                <w:szCs w:val="21"/>
              </w:rPr>
            </w:pPr>
          </w:p>
        </w:tc>
        <w:tc>
          <w:tcPr>
            <w:tcW w:w="1666" w:type="dxa"/>
            <w:vAlign w:val="center"/>
          </w:tcPr>
          <w:p w14:paraId="2712ABFD">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3.4.1 投标有效期投标有效期</w:t>
            </w:r>
          </w:p>
        </w:tc>
        <w:tc>
          <w:tcPr>
            <w:tcW w:w="5795" w:type="dxa"/>
            <w:vAlign w:val="center"/>
          </w:tcPr>
          <w:p w14:paraId="7254A515">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投标有效期：</w:t>
            </w:r>
            <w:r>
              <w:rPr>
                <w:rFonts w:hint="eastAsia" w:ascii="宋体" w:hAnsi="宋体" w:eastAsia="宋体" w:cs="宋体"/>
                <w:color w:val="auto"/>
                <w:szCs w:val="21"/>
                <w:u w:val="single"/>
              </w:rPr>
              <w:t>【</w:t>
            </w:r>
            <w:r>
              <w:rPr>
                <w:rFonts w:hint="eastAsia" w:ascii="宋体" w:hAnsi="宋体" w:eastAsia="宋体" w:cs="宋体"/>
                <w:color w:val="auto"/>
                <w:szCs w:val="21"/>
                <w:u w:val="single"/>
                <w:lang w:val="en-US" w:eastAsia="zh-CN"/>
              </w:rPr>
              <w:t>120</w:t>
            </w:r>
            <w:r>
              <w:rPr>
                <w:rFonts w:hint="eastAsia" w:ascii="宋体" w:hAnsi="宋体" w:eastAsia="宋体" w:cs="宋体"/>
                <w:color w:val="auto"/>
                <w:szCs w:val="21"/>
                <w:u w:val="single"/>
              </w:rPr>
              <w:t>】</w:t>
            </w:r>
            <w:r>
              <w:rPr>
                <w:rFonts w:hint="eastAsia" w:ascii="宋体" w:hAnsi="宋体" w:eastAsia="宋体" w:cs="宋体"/>
                <w:color w:val="auto"/>
                <w:szCs w:val="21"/>
              </w:rPr>
              <w:t>天。</w:t>
            </w:r>
            <w:r>
              <w:rPr>
                <w:rFonts w:hint="eastAsia" w:ascii="宋体" w:hAnsi="宋体" w:eastAsia="宋体" w:cs="宋体"/>
                <w:color w:val="auto"/>
              </w:rPr>
              <w:t>投标有效期不满足招标文件要求的投标将被否决。</w:t>
            </w:r>
          </w:p>
        </w:tc>
      </w:tr>
      <w:tr w14:paraId="3148B7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tcBorders>
              <w:bottom w:val="single" w:color="auto" w:sz="4" w:space="0"/>
            </w:tcBorders>
            <w:vAlign w:val="center"/>
          </w:tcPr>
          <w:p w14:paraId="4F65FCA1">
            <w:pPr>
              <w:pageBreakBefore w:val="0"/>
              <w:kinsoku/>
              <w:overflowPunct/>
              <w:autoSpaceDE w:val="0"/>
              <w:autoSpaceDN w:val="0"/>
              <w:bidi w:val="0"/>
              <w:spacing w:line="360" w:lineRule="auto"/>
              <w:jc w:val="center"/>
              <w:rPr>
                <w:rFonts w:hint="eastAsia" w:ascii="宋体" w:hAnsi="宋体" w:eastAsia="宋体" w:cs="宋体"/>
                <w:color w:val="auto"/>
                <w:szCs w:val="21"/>
              </w:rPr>
            </w:pPr>
          </w:p>
        </w:tc>
        <w:tc>
          <w:tcPr>
            <w:tcW w:w="1666" w:type="dxa"/>
            <w:vAlign w:val="center"/>
          </w:tcPr>
          <w:p w14:paraId="51B1EB0C">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3.5投标保证金</w:t>
            </w:r>
          </w:p>
        </w:tc>
        <w:tc>
          <w:tcPr>
            <w:tcW w:w="5795" w:type="dxa"/>
            <w:vAlign w:val="center"/>
          </w:tcPr>
          <w:p w14:paraId="38857DF1">
            <w:pPr>
              <w:pageBreakBefore w:val="0"/>
              <w:kinsoku/>
              <w:overflowPunct/>
              <w:autoSpaceDE w:val="0"/>
              <w:autoSpaceDN w:val="0"/>
              <w:bidi w:val="0"/>
              <w:spacing w:line="360" w:lineRule="auto"/>
              <w:rPr>
                <w:rFonts w:hint="eastAsia" w:ascii="宋体" w:hAnsi="宋体" w:eastAsia="宋体" w:cs="宋体"/>
                <w:b/>
                <w:bCs/>
                <w:color w:val="auto"/>
                <w:szCs w:val="21"/>
                <w:highlight w:val="none"/>
                <w:u w:val="single"/>
                <w:lang w:eastAsia="zh-CN"/>
              </w:rPr>
            </w:pPr>
            <w:r>
              <w:rPr>
                <w:rFonts w:hint="eastAsia" w:ascii="宋体" w:hAnsi="宋体" w:eastAsia="宋体" w:cs="宋体"/>
                <w:color w:val="auto"/>
                <w:szCs w:val="21"/>
              </w:rPr>
              <w:t>3.5.1要求递交投标保证金</w:t>
            </w:r>
            <w:r>
              <w:rPr>
                <w:rFonts w:hint="eastAsia" w:ascii="宋体" w:hAnsi="宋体" w:eastAsia="宋体" w:cs="宋体"/>
                <w:color w:val="auto"/>
                <w:szCs w:val="21"/>
                <w:lang w:eastAsia="zh-CN"/>
              </w:rPr>
              <w:t>：</w:t>
            </w:r>
            <w:r>
              <w:rPr>
                <w:rFonts w:hint="eastAsia" w:ascii="宋体" w:hAnsi="宋体" w:eastAsia="宋体" w:cs="宋体"/>
                <w:color w:val="auto"/>
                <w:szCs w:val="21"/>
              </w:rPr>
              <w:t>投</w:t>
            </w:r>
            <w:r>
              <w:rPr>
                <w:rFonts w:hint="eastAsia" w:ascii="宋体" w:hAnsi="宋体" w:eastAsia="宋体" w:cs="宋体"/>
                <w:color w:val="auto"/>
                <w:szCs w:val="21"/>
                <w:highlight w:val="none"/>
              </w:rPr>
              <w:t>标保证金金额</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【人民币</w:t>
            </w:r>
            <w:r>
              <w:rPr>
                <w:rFonts w:hint="eastAsia" w:ascii="宋体" w:hAnsi="宋体" w:eastAsia="宋体" w:cs="宋体"/>
                <w:b/>
                <w:bCs/>
                <w:color w:val="auto"/>
                <w:szCs w:val="21"/>
                <w:highlight w:val="none"/>
                <w:u w:val="single"/>
                <w:lang w:val="en-US" w:eastAsia="zh-CN"/>
              </w:rPr>
              <w:t>11300.00</w:t>
            </w:r>
            <w:r>
              <w:rPr>
                <w:rFonts w:hint="eastAsia" w:ascii="宋体" w:hAnsi="宋体" w:eastAsia="宋体" w:cs="宋体"/>
                <w:b/>
                <w:bCs/>
                <w:color w:val="auto"/>
                <w:szCs w:val="21"/>
                <w:highlight w:val="none"/>
                <w:u w:val="single"/>
              </w:rPr>
              <w:t>元】</w:t>
            </w:r>
          </w:p>
          <w:p w14:paraId="04DAB375">
            <w:pPr>
              <w:pageBreakBefore w:val="0"/>
              <w:kinsoku/>
              <w:overflowPunct/>
              <w:autoSpaceDE w:val="0"/>
              <w:autoSpaceDN w:val="0"/>
              <w:bidi w:val="0"/>
              <w:spacing w:line="360" w:lineRule="auto"/>
              <w:rPr>
                <w:rFonts w:hint="eastAsia" w:ascii="宋体" w:hAnsi="宋体" w:eastAsia="宋体" w:cs="宋体"/>
                <w:color w:val="auto"/>
                <w:szCs w:val="21"/>
                <w:lang w:eastAsia="zh-CN"/>
              </w:rPr>
            </w:pPr>
            <w:r>
              <w:rPr>
                <w:rFonts w:hint="eastAsia" w:ascii="宋体" w:hAnsi="宋体" w:eastAsia="宋体" w:cs="宋体"/>
                <w:color w:val="auto"/>
              </w:rPr>
              <w:t>3.5.5未递交投标保证金或者递交的投标保证金有瑕疵的投标将被否决。</w:t>
            </w:r>
          </w:p>
        </w:tc>
      </w:tr>
      <w:tr w14:paraId="05A37E1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tcBorders>
              <w:bottom w:val="single" w:color="auto" w:sz="4" w:space="0"/>
            </w:tcBorders>
            <w:vAlign w:val="center"/>
          </w:tcPr>
          <w:p w14:paraId="37149B72">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第四章 合同条款</w:t>
            </w:r>
          </w:p>
        </w:tc>
        <w:tc>
          <w:tcPr>
            <w:tcW w:w="1666" w:type="dxa"/>
            <w:vAlign w:val="center"/>
          </w:tcPr>
          <w:p w14:paraId="0F84E12D">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合同条款</w:t>
            </w:r>
          </w:p>
        </w:tc>
        <w:tc>
          <w:tcPr>
            <w:tcW w:w="5795" w:type="dxa"/>
            <w:vAlign w:val="center"/>
          </w:tcPr>
          <w:p w14:paraId="3CC5E118">
            <w:pPr>
              <w:pageBreakBefore w:val="0"/>
              <w:kinsoku/>
              <w:overflowPunct/>
              <w:autoSpaceDE w:val="0"/>
              <w:autoSpaceDN w:val="0"/>
              <w:bidi w:val="0"/>
              <w:spacing w:line="360" w:lineRule="auto"/>
              <w:rPr>
                <w:rFonts w:hint="eastAsia" w:ascii="宋体" w:hAnsi="宋体" w:eastAsia="宋体" w:cs="宋体"/>
                <w:color w:val="auto"/>
              </w:rPr>
            </w:pPr>
            <w:r>
              <w:rPr>
                <w:rFonts w:hint="eastAsia" w:ascii="宋体" w:hAnsi="宋体" w:eastAsia="宋体" w:cs="宋体"/>
                <w:color w:val="auto"/>
                <w:szCs w:val="21"/>
              </w:rPr>
              <w:t>合同条款必须全部满足或正偏离，按招标文件第六章“投标文件格式”要求提供合同条款偏离表。</w:t>
            </w:r>
          </w:p>
        </w:tc>
      </w:tr>
      <w:tr w14:paraId="482F71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tcBorders>
              <w:bottom w:val="single" w:color="auto" w:sz="4" w:space="0"/>
            </w:tcBorders>
            <w:vAlign w:val="center"/>
          </w:tcPr>
          <w:p w14:paraId="7C427873">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第五章 技术规范书</w:t>
            </w:r>
          </w:p>
        </w:tc>
        <w:tc>
          <w:tcPr>
            <w:tcW w:w="1666" w:type="dxa"/>
            <w:vAlign w:val="center"/>
          </w:tcPr>
          <w:p w14:paraId="1538691B">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技术条款</w:t>
            </w:r>
          </w:p>
        </w:tc>
        <w:tc>
          <w:tcPr>
            <w:tcW w:w="5795" w:type="dxa"/>
            <w:vAlign w:val="center"/>
          </w:tcPr>
          <w:p w14:paraId="2133AE6F">
            <w:pPr>
              <w:pageBreakBefore w:val="0"/>
              <w:kinsoku/>
              <w:overflowPunct/>
              <w:autoSpaceDE w:val="0"/>
              <w:autoSpaceDN w:val="0"/>
              <w:bidi w:val="0"/>
              <w:spacing w:line="360" w:lineRule="auto"/>
              <w:rPr>
                <w:rFonts w:hint="eastAsia" w:ascii="宋体" w:hAnsi="宋体" w:eastAsia="宋体" w:cs="宋体"/>
                <w:color w:val="auto"/>
              </w:rPr>
            </w:pPr>
            <w:r>
              <w:rPr>
                <w:rFonts w:hint="eastAsia" w:ascii="宋体" w:hAnsi="宋体" w:eastAsia="宋体" w:cs="宋体"/>
                <w:color w:val="auto"/>
                <w:kern w:val="0"/>
                <w:szCs w:val="21"/>
              </w:rPr>
              <w:t>对技术条款进行应答，且必须全部满足或正偏离</w:t>
            </w:r>
            <w:r>
              <w:rPr>
                <w:rFonts w:hint="eastAsia" w:ascii="宋体" w:hAnsi="宋体" w:eastAsia="宋体" w:cs="宋体"/>
                <w:color w:val="auto"/>
              </w:rPr>
              <w:t>标识“★”的条款</w:t>
            </w:r>
            <w:r>
              <w:rPr>
                <w:rFonts w:hint="eastAsia" w:ascii="宋体" w:hAnsi="宋体" w:eastAsia="宋体" w:cs="宋体"/>
                <w:color w:val="auto"/>
                <w:kern w:val="0"/>
                <w:szCs w:val="21"/>
              </w:rPr>
              <w:t>，并按招标文件第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rPr>
              <w:t>章“投标文件格式”要求提供技术条款偏离表</w:t>
            </w:r>
            <w:r>
              <w:rPr>
                <w:rFonts w:hint="eastAsia" w:ascii="宋体" w:hAnsi="宋体" w:eastAsia="宋体" w:cs="宋体"/>
                <w:color w:val="auto"/>
                <w:kern w:val="0"/>
                <w:szCs w:val="21"/>
                <w:lang w:val="en-US" w:eastAsia="zh-CN"/>
              </w:rPr>
              <w:t>及点对点应答</w:t>
            </w:r>
          </w:p>
        </w:tc>
      </w:tr>
      <w:tr w14:paraId="788546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tcBorders>
              <w:bottom w:val="single" w:color="auto" w:sz="4" w:space="0"/>
            </w:tcBorders>
            <w:vAlign w:val="center"/>
          </w:tcPr>
          <w:p w14:paraId="542714EC">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其他</w:t>
            </w:r>
          </w:p>
        </w:tc>
        <w:tc>
          <w:tcPr>
            <w:tcW w:w="1666" w:type="dxa"/>
            <w:vAlign w:val="center"/>
          </w:tcPr>
          <w:p w14:paraId="03AD1565">
            <w:pPr>
              <w:pageBreakBefore w:val="0"/>
              <w:kinsoku/>
              <w:overflowPunct/>
              <w:autoSpaceDE w:val="0"/>
              <w:autoSpaceDN w:val="0"/>
              <w:bidi w:val="0"/>
              <w:spacing w:line="360" w:lineRule="auto"/>
              <w:rPr>
                <w:rFonts w:hint="eastAsia" w:ascii="宋体" w:hAnsi="宋体" w:eastAsia="宋体" w:cs="宋体"/>
                <w:color w:val="auto"/>
                <w:szCs w:val="21"/>
              </w:rPr>
            </w:pPr>
          </w:p>
        </w:tc>
        <w:tc>
          <w:tcPr>
            <w:tcW w:w="5795" w:type="dxa"/>
            <w:vAlign w:val="center"/>
          </w:tcPr>
          <w:p w14:paraId="77D4BEE8">
            <w:pPr>
              <w:pageBreakBefore w:val="0"/>
              <w:kinsoku/>
              <w:overflowPunct/>
              <w:autoSpaceDE w:val="0"/>
              <w:autoSpaceDN w:val="0"/>
              <w:bidi w:val="0"/>
              <w:spacing w:line="360" w:lineRule="auto"/>
              <w:rPr>
                <w:rFonts w:hint="eastAsia" w:ascii="宋体" w:hAnsi="宋体" w:eastAsia="宋体" w:cs="宋体"/>
                <w:color w:val="auto"/>
              </w:rPr>
            </w:pPr>
            <w:r>
              <w:rPr>
                <w:rFonts w:hint="eastAsia" w:ascii="宋体" w:hAnsi="宋体" w:eastAsia="宋体" w:cs="宋体"/>
                <w:color w:val="auto"/>
                <w:szCs w:val="21"/>
              </w:rPr>
              <w:t>无招标文件或相关法律法规规定的无效投标或否决投标项。</w:t>
            </w:r>
          </w:p>
        </w:tc>
      </w:tr>
      <w:tr w14:paraId="1F17CC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301" w:type="dxa"/>
            <w:gridSpan w:val="3"/>
            <w:tcBorders>
              <w:top w:val="single" w:color="auto" w:sz="4" w:space="0"/>
              <w:bottom w:val="single" w:color="auto" w:sz="4" w:space="0"/>
            </w:tcBorders>
            <w:vAlign w:val="center"/>
          </w:tcPr>
          <w:p w14:paraId="515B6810">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b/>
                <w:color w:val="auto"/>
              </w:rPr>
              <w:t>第二部分：通用部分</w:t>
            </w:r>
          </w:p>
        </w:tc>
      </w:tr>
      <w:tr w14:paraId="5BAD943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tcBorders>
              <w:top w:val="single" w:color="auto" w:sz="4" w:space="0"/>
              <w:bottom w:val="single" w:color="auto" w:sz="4" w:space="0"/>
            </w:tcBorders>
            <w:vAlign w:val="center"/>
          </w:tcPr>
          <w:p w14:paraId="250DB552">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第一章招标公告/投标邀请书</w:t>
            </w:r>
          </w:p>
        </w:tc>
        <w:tc>
          <w:tcPr>
            <w:tcW w:w="1666" w:type="dxa"/>
            <w:vAlign w:val="center"/>
          </w:tcPr>
          <w:p w14:paraId="00B24DBA">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2.投标人资格要求</w:t>
            </w:r>
          </w:p>
        </w:tc>
        <w:tc>
          <w:tcPr>
            <w:tcW w:w="5795" w:type="dxa"/>
            <w:vAlign w:val="center"/>
          </w:tcPr>
          <w:p w14:paraId="5D9AE19F">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投标人须满足第一章招标公告中“2.投标人资格要求”规定的全部条件，任何一条不满足均会导致投标被否决。</w:t>
            </w:r>
          </w:p>
        </w:tc>
      </w:tr>
      <w:tr w14:paraId="7F5BA4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restart"/>
            <w:tcBorders>
              <w:top w:val="single" w:color="auto" w:sz="4" w:space="0"/>
            </w:tcBorders>
            <w:vAlign w:val="center"/>
          </w:tcPr>
          <w:p w14:paraId="5D7A958C">
            <w:pPr>
              <w:pageBreakBefore w:val="0"/>
              <w:kinsoku/>
              <w:overflowPunct/>
              <w:autoSpaceDE w:val="0"/>
              <w:autoSpaceDN w:val="0"/>
              <w:bidi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第二章投标人须知</w:t>
            </w:r>
          </w:p>
        </w:tc>
        <w:tc>
          <w:tcPr>
            <w:tcW w:w="1666" w:type="dxa"/>
            <w:vAlign w:val="center"/>
          </w:tcPr>
          <w:p w14:paraId="71975840">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1.7.2 资格审查</w:t>
            </w:r>
          </w:p>
        </w:tc>
        <w:tc>
          <w:tcPr>
            <w:tcW w:w="5795" w:type="dxa"/>
            <w:vAlign w:val="center"/>
          </w:tcPr>
          <w:p w14:paraId="55649872">
            <w:pPr>
              <w:pageBreakBefore w:val="0"/>
              <w:kinsoku/>
              <w:overflowPunct/>
              <w:autoSpaceDE w:val="0"/>
              <w:autoSpaceDN w:val="0"/>
              <w:bidi w:val="0"/>
              <w:spacing w:line="360" w:lineRule="auto"/>
              <w:rPr>
                <w:rFonts w:hint="eastAsia" w:ascii="宋体" w:hAnsi="宋体" w:eastAsia="宋体" w:cs="宋体"/>
                <w:color w:val="auto"/>
              </w:rPr>
            </w:pPr>
            <w:r>
              <w:rPr>
                <w:rFonts w:hint="eastAsia" w:ascii="宋体" w:hAnsi="宋体" w:eastAsia="宋体" w:cs="宋体"/>
                <w:color w:val="auto"/>
              </w:rPr>
              <w:t>资格后审不合格的投标人，评标委员会应当否决其投标。</w:t>
            </w:r>
          </w:p>
        </w:tc>
      </w:tr>
      <w:tr w14:paraId="63A722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7D14BF4B">
            <w:pPr>
              <w:pageBreakBefore w:val="0"/>
              <w:kinsoku/>
              <w:overflowPunct/>
              <w:autoSpaceDE w:val="0"/>
              <w:autoSpaceDN w:val="0"/>
              <w:bidi w:val="0"/>
              <w:snapToGrid w:val="0"/>
              <w:spacing w:line="360" w:lineRule="auto"/>
              <w:jc w:val="center"/>
              <w:rPr>
                <w:rFonts w:hint="eastAsia" w:ascii="宋体" w:hAnsi="宋体" w:eastAsia="宋体" w:cs="宋体"/>
                <w:color w:val="auto"/>
                <w:szCs w:val="21"/>
              </w:rPr>
            </w:pPr>
          </w:p>
        </w:tc>
        <w:tc>
          <w:tcPr>
            <w:tcW w:w="1666" w:type="dxa"/>
            <w:vAlign w:val="center"/>
          </w:tcPr>
          <w:p w14:paraId="6957A77A">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2.1.3 实质性条款不满足</w:t>
            </w:r>
          </w:p>
        </w:tc>
        <w:tc>
          <w:tcPr>
            <w:tcW w:w="5795" w:type="dxa"/>
            <w:vAlign w:val="center"/>
          </w:tcPr>
          <w:p w14:paraId="3D5B199C">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（1）招标文件中标识“★”的条款，均为实质性条款，投标人任何不满足实质性条款的投标均将被否决。</w:t>
            </w:r>
          </w:p>
          <w:p w14:paraId="7F62D51A">
            <w:pPr>
              <w:pageBreakBefore w:val="0"/>
              <w:kinsoku/>
              <w:overflowPunct/>
              <w:autoSpaceDE w:val="0"/>
              <w:autoSpaceDN w:val="0"/>
              <w:bidi w:val="0"/>
              <w:spacing w:line="360" w:lineRule="auto"/>
              <w:rPr>
                <w:rFonts w:hint="eastAsia" w:ascii="宋体" w:hAnsi="宋体" w:eastAsia="宋体" w:cs="宋体"/>
                <w:color w:val="auto"/>
              </w:rPr>
            </w:pPr>
            <w:r>
              <w:rPr>
                <w:rFonts w:hint="eastAsia" w:ascii="宋体" w:hAnsi="宋体" w:eastAsia="宋体" w:cs="宋体"/>
                <w:color w:val="auto"/>
                <w:szCs w:val="21"/>
              </w:rPr>
              <w:t>（2）非实质性要求的偏离要求：</w:t>
            </w:r>
            <w:r>
              <w:rPr>
                <w:rFonts w:hint="eastAsia" w:ascii="宋体" w:hAnsi="宋体" w:eastAsia="宋体" w:cs="宋体"/>
                <w:color w:val="auto"/>
              </w:rPr>
              <w:t>允许偏差的最大范围</w:t>
            </w:r>
            <w:r>
              <w:rPr>
                <w:rFonts w:hint="eastAsia" w:ascii="宋体" w:hAnsi="宋体" w:eastAsia="宋体" w:cs="宋体"/>
                <w:color w:val="auto"/>
                <w:lang w:val="en-US" w:eastAsia="zh-CN"/>
              </w:rPr>
              <w:t>/</w:t>
            </w:r>
            <w:r>
              <w:rPr>
                <w:rFonts w:hint="eastAsia" w:ascii="宋体" w:hAnsi="宋体" w:eastAsia="宋体" w:cs="宋体"/>
                <w:color w:val="auto"/>
              </w:rPr>
              <w:t>、最高项数</w:t>
            </w:r>
            <w:r>
              <w:rPr>
                <w:rFonts w:hint="eastAsia" w:ascii="宋体" w:hAnsi="宋体" w:eastAsia="宋体" w:cs="宋体"/>
                <w:color w:val="auto"/>
                <w:lang w:val="en-US" w:eastAsia="zh-CN"/>
              </w:rPr>
              <w:t>4项</w:t>
            </w:r>
            <w:r>
              <w:rPr>
                <w:rFonts w:hint="eastAsia" w:ascii="宋体" w:hAnsi="宋体" w:eastAsia="宋体" w:cs="宋体"/>
                <w:color w:val="auto"/>
              </w:rPr>
              <w:t>，超出最大范围、最高项数视为实质性偏离。</w:t>
            </w:r>
          </w:p>
        </w:tc>
      </w:tr>
      <w:tr w14:paraId="26B91E1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4C92D56F">
            <w:pPr>
              <w:pageBreakBefore w:val="0"/>
              <w:kinsoku/>
              <w:overflowPunct/>
              <w:autoSpaceDE w:val="0"/>
              <w:autoSpaceDN w:val="0"/>
              <w:bidi w:val="0"/>
              <w:spacing w:line="360" w:lineRule="auto"/>
              <w:jc w:val="center"/>
              <w:rPr>
                <w:rFonts w:hint="eastAsia" w:ascii="宋体" w:hAnsi="宋体" w:eastAsia="宋体" w:cs="宋体"/>
                <w:color w:val="auto"/>
                <w:szCs w:val="21"/>
              </w:rPr>
            </w:pPr>
          </w:p>
        </w:tc>
        <w:tc>
          <w:tcPr>
            <w:tcW w:w="1666" w:type="dxa"/>
            <w:vAlign w:val="center"/>
          </w:tcPr>
          <w:p w14:paraId="7E0AABC3">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3.2.2 投标文件编制</w:t>
            </w:r>
          </w:p>
        </w:tc>
        <w:tc>
          <w:tcPr>
            <w:tcW w:w="5795" w:type="dxa"/>
            <w:vAlign w:val="center"/>
          </w:tcPr>
          <w:p w14:paraId="018B347A">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rPr>
              <w:t>投标人应当认真阅读招标文件中所有的事项、格式、条款和技术规范等。投标人没有按照招标文件要求递交全部资料或者投标人没有对招标文件在各方面都作出实质性响应是投标人的风险，并可能导致其投标被否决。</w:t>
            </w:r>
          </w:p>
        </w:tc>
      </w:tr>
      <w:tr w14:paraId="1210A1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restart"/>
            <w:vAlign w:val="center"/>
          </w:tcPr>
          <w:p w14:paraId="38C196F0">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第三章评标办法</w:t>
            </w:r>
          </w:p>
        </w:tc>
        <w:tc>
          <w:tcPr>
            <w:tcW w:w="1666" w:type="dxa"/>
            <w:vAlign w:val="center"/>
          </w:tcPr>
          <w:p w14:paraId="05E0C4D8">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3.1.1 初步评审</w:t>
            </w:r>
          </w:p>
        </w:tc>
        <w:tc>
          <w:tcPr>
            <w:tcW w:w="5795" w:type="dxa"/>
            <w:vAlign w:val="center"/>
          </w:tcPr>
          <w:p w14:paraId="38A9E7A7">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rPr>
              <w:t>评标委员会根据第三章第2.1款规定的初步评审标准对投标文件进行初步评审。有一项不符合评审标准的，评标委员会应当否决其投标。</w:t>
            </w:r>
          </w:p>
        </w:tc>
      </w:tr>
      <w:tr w14:paraId="3FBC543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72FCF1E5">
            <w:pPr>
              <w:pageBreakBefore w:val="0"/>
              <w:kinsoku/>
              <w:overflowPunct/>
              <w:autoSpaceDE w:val="0"/>
              <w:autoSpaceDN w:val="0"/>
              <w:bidi w:val="0"/>
              <w:spacing w:line="360" w:lineRule="auto"/>
              <w:jc w:val="center"/>
              <w:rPr>
                <w:rFonts w:hint="eastAsia" w:ascii="宋体" w:hAnsi="宋体" w:eastAsia="宋体" w:cs="宋体"/>
                <w:color w:val="auto"/>
                <w:szCs w:val="21"/>
              </w:rPr>
            </w:pPr>
          </w:p>
        </w:tc>
        <w:tc>
          <w:tcPr>
            <w:tcW w:w="1666" w:type="dxa"/>
            <w:vAlign w:val="center"/>
          </w:tcPr>
          <w:p w14:paraId="6AD9F8C5">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3.1.2 初步评审 </w:t>
            </w:r>
          </w:p>
        </w:tc>
        <w:tc>
          <w:tcPr>
            <w:tcW w:w="5795" w:type="dxa"/>
            <w:vAlign w:val="center"/>
          </w:tcPr>
          <w:p w14:paraId="2AEF6332">
            <w:pPr>
              <w:pageBreakBefore w:val="0"/>
              <w:kinsoku/>
              <w:overflowPunct/>
              <w:autoSpaceDE w:val="0"/>
              <w:autoSpaceDN w:val="0"/>
              <w:bidi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投标人有以下情形之一的，评标委员会应当否决其投标：</w:t>
            </w:r>
          </w:p>
          <w:p w14:paraId="53863602">
            <w:pPr>
              <w:pageBreakBefore w:val="0"/>
              <w:kinsoku/>
              <w:overflowPunct/>
              <w:bidi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（1）第二章“投标人须知”第1.8款规定的任何一种情形的；</w:t>
            </w:r>
          </w:p>
          <w:p w14:paraId="7F8AAE04">
            <w:pPr>
              <w:pageBreakBefore w:val="0"/>
              <w:kinsoku/>
              <w:overflowPunct/>
              <w:bidi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（2）不按照评标委员会要求澄清、说明或者补正的；</w:t>
            </w:r>
          </w:p>
          <w:p w14:paraId="6BBB2E54">
            <w:pPr>
              <w:pageBreakBefore w:val="0"/>
              <w:kinsoku/>
              <w:overflowPunct/>
              <w:bidi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（3）投标文件未经投标单位盖章和单位负责人签字；</w:t>
            </w:r>
          </w:p>
          <w:p w14:paraId="566790C3">
            <w:pPr>
              <w:pageBreakBefore w:val="0"/>
              <w:kinsoku/>
              <w:overflowPunct/>
              <w:bidi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（4）允许联合体投标的，投标联合体没有递交共同投标协议；</w:t>
            </w:r>
          </w:p>
          <w:p w14:paraId="56A0C80E">
            <w:pPr>
              <w:pageBreakBefore w:val="0"/>
              <w:kinsoku/>
              <w:overflowPunct/>
              <w:bidi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（5）投标人不符合国家或者招标文件规定的资格条件；</w:t>
            </w:r>
          </w:p>
          <w:p w14:paraId="73A2403A">
            <w:pPr>
              <w:pageBreakBefore w:val="0"/>
              <w:kinsoku/>
              <w:overflowPunct/>
              <w:bidi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（6）同一投标人递交两个以上不同的投标文件或者投标报价，但招标文件要求递交备选投标的除外；</w:t>
            </w:r>
          </w:p>
          <w:p w14:paraId="40B0D06C">
            <w:pPr>
              <w:pageBreakBefore w:val="0"/>
              <w:kinsoku/>
              <w:overflowPunct/>
              <w:bidi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（7）投标报价低于成本或者高于招标文件设定的最高投标限价；</w:t>
            </w:r>
          </w:p>
          <w:p w14:paraId="2F402A6E">
            <w:pPr>
              <w:pageBreakBefore w:val="0"/>
              <w:kinsoku/>
              <w:overflowPunct/>
              <w:bidi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（8）投标文件没有对招标文件的实质性要求和条件做出响应；</w:t>
            </w:r>
          </w:p>
          <w:p w14:paraId="1572405A">
            <w:pPr>
              <w:pageBreakBefore w:val="0"/>
              <w:kinsoku/>
              <w:overflowPunct/>
              <w:bidi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（9）投标人有串通投标、弄虚作假、行贿等违法行为；</w:t>
            </w:r>
          </w:p>
          <w:p w14:paraId="3A580050">
            <w:pPr>
              <w:pageBreakBefore w:val="0"/>
              <w:kinsoku/>
              <w:overflowPunct/>
              <w:bidi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（10）投标人以他人名义投标；</w:t>
            </w:r>
          </w:p>
          <w:p w14:paraId="5D3DE746">
            <w:pPr>
              <w:pageBreakBefore w:val="0"/>
              <w:kinsoku/>
              <w:overflowPunct/>
              <w:bidi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（11）没有按照招标文件要求提供投标担保或者所提供的投标担保有瑕疵；</w:t>
            </w:r>
          </w:p>
          <w:p w14:paraId="0BF89481">
            <w:pPr>
              <w:pageBreakBefore w:val="0"/>
              <w:kinsoku/>
              <w:overflowPunct/>
              <w:bidi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（12）投标文件载明的招标项目完成期限超过招标文件规定的期限；</w:t>
            </w:r>
          </w:p>
          <w:p w14:paraId="7CB61F4A">
            <w:pPr>
              <w:pageBreakBefore w:val="0"/>
              <w:kinsoku/>
              <w:overflowPunct/>
              <w:bidi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（13）明显不符合技术规格、技术标准的要求；</w:t>
            </w:r>
          </w:p>
          <w:p w14:paraId="4B437B9E">
            <w:pPr>
              <w:pageBreakBefore w:val="0"/>
              <w:kinsoku/>
              <w:overflowPunct/>
              <w:bidi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（14）投标文件载明的货物包装方式、检验标准和方法等不符合招标文件的要求；</w:t>
            </w:r>
          </w:p>
          <w:p w14:paraId="0560FC36">
            <w:pPr>
              <w:pageBreakBefore w:val="0"/>
              <w:kinsoku/>
              <w:overflowPunct/>
              <w:bidi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（15）投标文件附有招标人不能接受的条件；</w:t>
            </w:r>
          </w:p>
          <w:p w14:paraId="15326BA6">
            <w:pPr>
              <w:pageBreakBefore w:val="0"/>
              <w:kinsoku/>
              <w:overflowPunct/>
              <w:autoSpaceDE w:val="0"/>
              <w:autoSpaceDN w:val="0"/>
              <w:bidi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（16）不符合招标文件中规定的其他实质性要求。</w:t>
            </w:r>
          </w:p>
        </w:tc>
      </w:tr>
      <w:tr w14:paraId="6C4812D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110582AB">
            <w:pPr>
              <w:pageBreakBefore w:val="0"/>
              <w:kinsoku/>
              <w:overflowPunct/>
              <w:autoSpaceDE w:val="0"/>
              <w:autoSpaceDN w:val="0"/>
              <w:bidi w:val="0"/>
              <w:spacing w:line="360" w:lineRule="auto"/>
              <w:jc w:val="center"/>
              <w:rPr>
                <w:rFonts w:hint="eastAsia" w:ascii="宋体" w:hAnsi="宋体" w:eastAsia="宋体" w:cs="宋体"/>
                <w:color w:val="auto"/>
                <w:szCs w:val="21"/>
              </w:rPr>
            </w:pPr>
          </w:p>
        </w:tc>
        <w:tc>
          <w:tcPr>
            <w:tcW w:w="1666" w:type="dxa"/>
            <w:vAlign w:val="center"/>
          </w:tcPr>
          <w:p w14:paraId="452C10D4">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3.1.3 低于成本价</w:t>
            </w:r>
          </w:p>
        </w:tc>
        <w:tc>
          <w:tcPr>
            <w:tcW w:w="5795" w:type="dxa"/>
            <w:vAlign w:val="center"/>
          </w:tcPr>
          <w:p w14:paraId="5EA50C60">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rPr>
              <w:t>评标过程中，评标委员会收到低于成本价投标的书面质疑材料、发现投标人的综合报价明显低于其他投标报价或者设有标底时明显低于标底，认为投标报价可能低于其个别成本的，应当书面要求该投标人做出书面说明并提供相关证明材料。投标人不能合理说明或者不能提供相应证明材料的，由评标委员会认定该投标人以低于成本报价竞标，评标委员会应当否决其投标。</w:t>
            </w:r>
          </w:p>
        </w:tc>
      </w:tr>
      <w:tr w14:paraId="73AED0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0BD7F79F">
            <w:pPr>
              <w:pageBreakBefore w:val="0"/>
              <w:kinsoku/>
              <w:overflowPunct/>
              <w:autoSpaceDE w:val="0"/>
              <w:autoSpaceDN w:val="0"/>
              <w:bidi w:val="0"/>
              <w:spacing w:line="360" w:lineRule="auto"/>
              <w:jc w:val="center"/>
              <w:rPr>
                <w:rFonts w:hint="eastAsia" w:ascii="宋体" w:hAnsi="宋体" w:eastAsia="宋体" w:cs="宋体"/>
                <w:color w:val="auto"/>
                <w:szCs w:val="21"/>
              </w:rPr>
            </w:pPr>
          </w:p>
        </w:tc>
        <w:tc>
          <w:tcPr>
            <w:tcW w:w="1666" w:type="dxa"/>
            <w:vAlign w:val="center"/>
          </w:tcPr>
          <w:p w14:paraId="0D5B2F40">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3.1.4 算术修正</w:t>
            </w:r>
          </w:p>
        </w:tc>
        <w:tc>
          <w:tcPr>
            <w:tcW w:w="5795" w:type="dxa"/>
            <w:vAlign w:val="center"/>
          </w:tcPr>
          <w:p w14:paraId="1F254DBA">
            <w:pPr>
              <w:pageBreakBefore w:val="0"/>
              <w:kinsoku/>
              <w:overflowPunct/>
              <w:autoSpaceDE w:val="0"/>
              <w:autoSpaceDN w:val="0"/>
              <w:bidi w:val="0"/>
              <w:spacing w:line="360" w:lineRule="auto"/>
              <w:rPr>
                <w:rFonts w:hint="eastAsia" w:ascii="宋体" w:hAnsi="宋体" w:eastAsia="宋体" w:cs="宋体"/>
                <w:color w:val="auto"/>
              </w:rPr>
            </w:pPr>
            <w:r>
              <w:rPr>
                <w:rFonts w:hint="eastAsia" w:ascii="宋体" w:hAnsi="宋体" w:eastAsia="宋体" w:cs="宋体"/>
                <w:color w:val="auto"/>
              </w:rPr>
              <w:t>投标报价有算术错误的，评标委员会按照以下原则对投标报价进行修正，修正的价格经投标人书面确认后具有约束力。投标人不接受修正价格的，评标委员会应当否决其投标。</w:t>
            </w:r>
          </w:p>
          <w:p w14:paraId="096A1089">
            <w:pPr>
              <w:pageBreakBefore w:val="0"/>
              <w:kinsoku/>
              <w:overflowPunct/>
              <w:autoSpaceDE w:val="0"/>
              <w:autoSpaceDN w:val="0"/>
              <w:bidi w:val="0"/>
              <w:spacing w:line="360" w:lineRule="auto"/>
              <w:rPr>
                <w:rFonts w:hint="eastAsia" w:ascii="宋体" w:hAnsi="宋体" w:eastAsia="宋体" w:cs="宋体"/>
                <w:color w:val="auto"/>
              </w:rPr>
            </w:pPr>
            <w:r>
              <w:rPr>
                <w:rFonts w:hint="eastAsia" w:ascii="宋体" w:hAnsi="宋体" w:eastAsia="宋体" w:cs="宋体"/>
                <w:color w:val="auto"/>
              </w:rPr>
              <w:t>（1）投标文件中的大写金额与小写金额不一致的，以大写金额为准；</w:t>
            </w:r>
          </w:p>
          <w:p w14:paraId="60486BEA">
            <w:pPr>
              <w:pageBreakBefore w:val="0"/>
              <w:kinsoku/>
              <w:overflowPunct/>
              <w:autoSpaceDE w:val="0"/>
              <w:autoSpaceDN w:val="0"/>
              <w:bidi w:val="0"/>
              <w:spacing w:line="360" w:lineRule="auto"/>
              <w:rPr>
                <w:rFonts w:hint="eastAsia" w:ascii="宋体" w:hAnsi="宋体" w:eastAsia="宋体" w:cs="宋体"/>
                <w:color w:val="auto"/>
              </w:rPr>
            </w:pPr>
            <w:r>
              <w:rPr>
                <w:rFonts w:hint="eastAsia" w:ascii="宋体" w:hAnsi="宋体" w:eastAsia="宋体" w:cs="宋体"/>
                <w:color w:val="auto"/>
              </w:rPr>
              <w:t>（2）总价金额与根据单价计算出的结果不一致的，以单价金额（不含税）为准修正总价，但单价金额（不含税）小数点有明显错误的除外。</w:t>
            </w:r>
          </w:p>
        </w:tc>
      </w:tr>
      <w:tr w14:paraId="5EBFC2B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7E31A09">
            <w:pPr>
              <w:pageBreakBefore w:val="0"/>
              <w:kinsoku/>
              <w:overflowPunct/>
              <w:autoSpaceDE w:val="0"/>
              <w:autoSpaceDN w:val="0"/>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w:t>
            </w:r>
          </w:p>
        </w:tc>
        <w:tc>
          <w:tcPr>
            <w:tcW w:w="1666" w:type="dxa"/>
            <w:vAlign w:val="center"/>
          </w:tcPr>
          <w:p w14:paraId="7230603F">
            <w:pPr>
              <w:pageBreakBefore w:val="0"/>
              <w:kinsoku/>
              <w:overflowPunct/>
              <w:autoSpaceDE w:val="0"/>
              <w:autoSpaceDN w:val="0"/>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其他</w:t>
            </w:r>
          </w:p>
        </w:tc>
        <w:tc>
          <w:tcPr>
            <w:tcW w:w="5795" w:type="dxa"/>
            <w:vAlign w:val="center"/>
          </w:tcPr>
          <w:p w14:paraId="52B2AF87">
            <w:pPr>
              <w:pageBreakBefore w:val="0"/>
              <w:kinsoku/>
              <w:overflowPunct/>
              <w:autoSpaceDE w:val="0"/>
              <w:autoSpaceDN w:val="0"/>
              <w:bidi w:val="0"/>
              <w:spacing w:line="360" w:lineRule="auto"/>
              <w:rPr>
                <w:rFonts w:hint="eastAsia" w:ascii="宋体" w:hAnsi="宋体" w:eastAsia="宋体" w:cs="宋体"/>
                <w:color w:val="auto"/>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w:t>
            </w:r>
            <w:r>
              <w:rPr>
                <w:rFonts w:hint="eastAsia" w:ascii="宋体" w:hAnsi="宋体" w:eastAsia="宋体" w:cs="宋体"/>
                <w:color w:val="auto"/>
                <w:szCs w:val="21"/>
              </w:rPr>
              <w:t>】</w:t>
            </w:r>
          </w:p>
        </w:tc>
      </w:tr>
    </w:tbl>
    <w:p w14:paraId="782A2A02">
      <w:pPr>
        <w:pStyle w:val="39"/>
        <w:pageBreakBefore w:val="0"/>
        <w:tabs>
          <w:tab w:val="left" w:pos="602"/>
        </w:tabs>
        <w:kinsoku/>
        <w:overflowPunct/>
        <w:bidi w:val="0"/>
        <w:snapToGrid w:val="0"/>
        <w:spacing w:before="120" w:after="120" w:line="360" w:lineRule="auto"/>
        <w:jc w:val="left"/>
        <w:rPr>
          <w:rFonts w:hint="eastAsia" w:ascii="宋体" w:hAnsi="宋体" w:eastAsia="宋体" w:cs="宋体"/>
          <w:color w:val="auto"/>
          <w:sz w:val="28"/>
          <w:szCs w:val="28"/>
        </w:rPr>
        <w:sectPr>
          <w:footerReference r:id="rId8" w:type="first"/>
          <w:footerReference r:id="rId7" w:type="default"/>
          <w:pgSz w:w="11906" w:h="16838"/>
          <w:pgMar w:top="1440" w:right="1800" w:bottom="1440" w:left="1800" w:header="851" w:footer="992" w:gutter="0"/>
          <w:pgNumType w:fmt="decimal"/>
          <w:cols w:space="720" w:num="1"/>
          <w:titlePg/>
          <w:docGrid w:type="lines" w:linePitch="312" w:charSpace="0"/>
        </w:sectPr>
      </w:pPr>
      <w:bookmarkStart w:id="39" w:name="_Toc447188667"/>
      <w:bookmarkStart w:id="40" w:name="_Toc226969278"/>
      <w:bookmarkStart w:id="41" w:name="_Toc227057885"/>
      <w:bookmarkStart w:id="42" w:name="_Toc107822484"/>
      <w:bookmarkStart w:id="43" w:name="_Toc488655831"/>
    </w:p>
    <w:p w14:paraId="39066D46">
      <w:pPr>
        <w:pStyle w:val="39"/>
        <w:pageBreakBefore w:val="0"/>
        <w:numPr>
          <w:ilvl w:val="0"/>
          <w:numId w:val="5"/>
        </w:numPr>
        <w:tabs>
          <w:tab w:val="left" w:pos="602"/>
        </w:tabs>
        <w:kinsoku/>
        <w:overflowPunct/>
        <w:bidi w:val="0"/>
        <w:snapToGrid w:val="0"/>
        <w:spacing w:before="120" w:after="120" w:line="360" w:lineRule="auto"/>
        <w:ind w:left="0" w:firstLine="0"/>
        <w:jc w:val="left"/>
        <w:rPr>
          <w:rFonts w:hint="eastAsia" w:ascii="宋体" w:hAnsi="宋体" w:eastAsia="宋体" w:cs="宋体"/>
          <w:color w:val="auto"/>
          <w:sz w:val="28"/>
          <w:szCs w:val="28"/>
        </w:rPr>
      </w:pPr>
      <w:bookmarkStart w:id="44" w:name="_Toc7446"/>
      <w:bookmarkStart w:id="45" w:name="_Toc4584"/>
      <w:bookmarkStart w:id="46" w:name="_Toc38007951"/>
      <w:bookmarkStart w:id="47" w:name="_Toc13784"/>
      <w:bookmarkStart w:id="48" w:name="_Toc7294"/>
      <w:bookmarkStart w:id="49" w:name="_Toc7072"/>
      <w:bookmarkStart w:id="50" w:name="_Toc27397"/>
      <w:bookmarkStart w:id="51" w:name="_Toc447265216"/>
      <w:bookmarkStart w:id="52" w:name="_Toc25908"/>
      <w:bookmarkStart w:id="53" w:name="_Toc13913"/>
      <w:bookmarkStart w:id="54" w:name="_Toc15408"/>
      <w:bookmarkStart w:id="55" w:name="_Toc14042"/>
      <w:bookmarkStart w:id="56" w:name="_Toc10612"/>
      <w:bookmarkStart w:id="57" w:name="_Toc10628"/>
      <w:bookmarkStart w:id="58" w:name="_Toc10404"/>
      <w:bookmarkStart w:id="59" w:name="_Toc447265502"/>
      <w:bookmarkStart w:id="60" w:name="_Toc14369"/>
      <w:r>
        <w:rPr>
          <w:rFonts w:hint="eastAsia" w:ascii="宋体" w:hAnsi="宋体" w:eastAsia="宋体" w:cs="宋体"/>
          <w:color w:val="auto"/>
          <w:sz w:val="28"/>
          <w:szCs w:val="28"/>
        </w:rPr>
        <w:t>总则</w:t>
      </w:r>
      <w:bookmarkEnd w:id="39"/>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01B9504F">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61" w:name="_Toc18371"/>
      <w:bookmarkStart w:id="62" w:name="_Toc296602421"/>
      <w:bookmarkStart w:id="63" w:name="_Toc38007952"/>
      <w:bookmarkStart w:id="64" w:name="_Toc11354"/>
      <w:bookmarkStart w:id="65" w:name="_Toc246996176"/>
      <w:bookmarkStart w:id="66" w:name="_Toc447188668"/>
      <w:bookmarkStart w:id="67" w:name="_Toc502"/>
      <w:bookmarkStart w:id="68" w:name="_Toc14457"/>
      <w:bookmarkStart w:id="69" w:name="_Toc13039"/>
      <w:bookmarkStart w:id="70" w:name="_Toc22214"/>
      <w:bookmarkStart w:id="71" w:name="_Toc16685"/>
      <w:bookmarkStart w:id="72" w:name="_Toc24885"/>
      <w:bookmarkStart w:id="73" w:name="_Toc15498"/>
      <w:bookmarkStart w:id="74" w:name="_Toc13263"/>
      <w:bookmarkStart w:id="75" w:name="_Toc152042306"/>
      <w:bookmarkStart w:id="76" w:name="_Toc1380"/>
      <w:bookmarkStart w:id="77" w:name="_Toc247085690"/>
      <w:bookmarkStart w:id="78" w:name="_Toc144974498"/>
      <w:bookmarkStart w:id="79" w:name="_Toc447265217"/>
      <w:bookmarkStart w:id="80" w:name="_Toc152045530"/>
      <w:bookmarkStart w:id="81" w:name="_Toc2113"/>
      <w:bookmarkStart w:id="82" w:name="_Toc246996919"/>
      <w:bookmarkStart w:id="83" w:name="_Toc28172"/>
      <w:bookmarkStart w:id="84" w:name="_Toc179632547"/>
      <w:bookmarkStart w:id="85" w:name="_Toc14218"/>
      <w:bookmarkStart w:id="86" w:name="_Toc447265503"/>
      <w:r>
        <w:rPr>
          <w:rFonts w:hint="eastAsia" w:ascii="宋体" w:hAnsi="宋体" w:eastAsia="宋体" w:cs="宋体"/>
          <w:color w:val="auto"/>
          <w:sz w:val="24"/>
          <w:szCs w:val="24"/>
        </w:rPr>
        <w:t>1.1项目概况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bookmarkEnd w:id="40"/>
    <w:bookmarkEnd w:id="41"/>
    <w:p w14:paraId="68151311">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1.1.1根据《中华人民共和国招标投标法》（以下简称《招标投标法》）、《中华人民共和国招标投标法实施条例》（以下简称《实施条例》）和《通信工程建设项目招标投标管理办法》（以下简称《管理办法》）等有关法律、法规和规章的规定，本招标项目已具备招标条件，现对本项目进行招标。</w:t>
      </w:r>
    </w:p>
    <w:p w14:paraId="4FC8DC9D">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1.1.2招标人：招标人单位名称及联系方式见投标人须知前附表。</w:t>
      </w:r>
    </w:p>
    <w:p w14:paraId="03993C1B">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1.1.3招标项目名称：项目名称及招标编号见投标人须知前附表。</w:t>
      </w:r>
    </w:p>
    <w:p w14:paraId="786F5263">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87" w:name="_Toc447188669"/>
      <w:bookmarkStart w:id="88" w:name="_Toc226969279"/>
      <w:bookmarkStart w:id="89" w:name="_Toc227057886"/>
      <w:bookmarkStart w:id="90" w:name="_Toc21140"/>
      <w:bookmarkStart w:id="91" w:name="_Toc27134"/>
      <w:bookmarkStart w:id="92" w:name="_Toc10940"/>
      <w:bookmarkStart w:id="93" w:name="_Toc601"/>
      <w:bookmarkStart w:id="94" w:name="_Toc29650"/>
      <w:bookmarkStart w:id="95" w:name="_Toc24048"/>
      <w:bookmarkStart w:id="96" w:name="_Toc29449"/>
      <w:bookmarkStart w:id="97" w:name="_Toc18773"/>
      <w:bookmarkStart w:id="98" w:name="_Toc7798"/>
      <w:bookmarkStart w:id="99" w:name="_Toc23638"/>
      <w:bookmarkStart w:id="100" w:name="_Toc447265218"/>
      <w:bookmarkStart w:id="101" w:name="_Toc447265504"/>
      <w:bookmarkStart w:id="102" w:name="_Toc38007953"/>
      <w:bookmarkStart w:id="103" w:name="_Toc21717"/>
      <w:bookmarkStart w:id="104" w:name="_Toc11917"/>
      <w:bookmarkStart w:id="105" w:name="_Toc19305"/>
      <w:bookmarkStart w:id="106" w:name="_Toc22258"/>
      <w:r>
        <w:rPr>
          <w:rFonts w:hint="eastAsia" w:ascii="宋体" w:hAnsi="宋体" w:eastAsia="宋体" w:cs="宋体"/>
          <w:color w:val="auto"/>
          <w:sz w:val="24"/>
          <w:szCs w:val="24"/>
        </w:rPr>
        <w:t>1.2资金来源</w:t>
      </w:r>
      <w:bookmarkEnd w:id="87"/>
      <w:bookmarkEnd w:id="88"/>
      <w:bookmarkEnd w:id="89"/>
      <w:r>
        <w:rPr>
          <w:rFonts w:hint="eastAsia" w:ascii="宋体" w:hAnsi="宋体" w:eastAsia="宋体" w:cs="宋体"/>
          <w:color w:val="auto"/>
          <w:sz w:val="24"/>
          <w:szCs w:val="24"/>
        </w:rPr>
        <w:t>和落实情况</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3A3B3108">
      <w:pPr>
        <w:pageBreakBefore w:val="0"/>
        <w:kinsoku/>
        <w:overflowPunct/>
        <w:bidi w:val="0"/>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本项目资金已落实，资金来源见投标人须知前附表。</w:t>
      </w:r>
    </w:p>
    <w:p w14:paraId="63BC7115">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07" w:name="_Toc21254"/>
      <w:bookmarkStart w:id="108" w:name="_Toc19343"/>
      <w:bookmarkStart w:id="109" w:name="_Toc447265219"/>
      <w:bookmarkStart w:id="110" w:name="_Toc20749"/>
      <w:bookmarkStart w:id="111" w:name="_Toc21930"/>
      <w:bookmarkStart w:id="112" w:name="_Toc9642"/>
      <w:bookmarkStart w:id="113" w:name="_Toc1593"/>
      <w:bookmarkStart w:id="114" w:name="_Toc30453"/>
      <w:bookmarkStart w:id="115" w:name="_Toc24945"/>
      <w:bookmarkStart w:id="116" w:name="_Toc21209"/>
      <w:bookmarkStart w:id="117" w:name="_Toc8046"/>
      <w:bookmarkStart w:id="118" w:name="_Toc447265505"/>
      <w:bookmarkStart w:id="119" w:name="_Toc447188670"/>
      <w:bookmarkStart w:id="120" w:name="_Toc21774"/>
      <w:bookmarkStart w:id="121" w:name="_Toc26147"/>
      <w:bookmarkStart w:id="122" w:name="_Toc8427"/>
      <w:bookmarkStart w:id="123" w:name="_Toc38007954"/>
      <w:bookmarkStart w:id="124" w:name="_Toc13393"/>
      <w:r>
        <w:rPr>
          <w:rFonts w:hint="eastAsia" w:ascii="宋体" w:hAnsi="宋体" w:eastAsia="宋体" w:cs="宋体"/>
          <w:color w:val="auto"/>
          <w:sz w:val="24"/>
          <w:szCs w:val="24"/>
        </w:rPr>
        <w:t>1.3招标范围</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51085986">
      <w:pPr>
        <w:pageBreakBefore w:val="0"/>
        <w:kinsoku/>
        <w:overflowPunct/>
        <w:bidi w:val="0"/>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本项目招标范围：见投标人须知前附表。</w:t>
      </w:r>
    </w:p>
    <w:p w14:paraId="16066E9A">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25" w:name="_Toc9185"/>
      <w:bookmarkStart w:id="126" w:name="_Toc25648"/>
      <w:bookmarkStart w:id="127" w:name="_Toc29131"/>
      <w:bookmarkStart w:id="128" w:name="_Toc38007955"/>
      <w:bookmarkStart w:id="129" w:name="_Toc6386"/>
      <w:bookmarkStart w:id="130" w:name="_Toc3092"/>
      <w:bookmarkStart w:id="131" w:name="_Toc14311"/>
      <w:bookmarkStart w:id="132" w:name="_Toc23757"/>
      <w:bookmarkStart w:id="133" w:name="_Toc19362"/>
      <w:bookmarkStart w:id="134" w:name="_Toc24061"/>
      <w:bookmarkStart w:id="135" w:name="_Toc11351"/>
      <w:bookmarkStart w:id="136" w:name="_Toc2804"/>
      <w:bookmarkStart w:id="137" w:name="_Toc28832"/>
      <w:bookmarkStart w:id="138" w:name="_Toc7483"/>
      <w:bookmarkStart w:id="139" w:name="_Toc10002"/>
      <w:r>
        <w:rPr>
          <w:rFonts w:hint="eastAsia" w:ascii="宋体" w:hAnsi="宋体" w:eastAsia="宋体" w:cs="宋体"/>
          <w:color w:val="auto"/>
          <w:sz w:val="24"/>
          <w:szCs w:val="24"/>
        </w:rPr>
        <w:t>1.4标包划分</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51214774">
      <w:pPr>
        <w:pStyle w:val="22"/>
        <w:pageBreakBefore w:val="0"/>
        <w:tabs>
          <w:tab w:val="left" w:pos="630"/>
        </w:tabs>
        <w:kinsoku/>
        <w:overflowPunct/>
        <w:bidi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本项目标包划分情况见投标人须知前附表。</w:t>
      </w:r>
    </w:p>
    <w:bookmarkEnd w:id="42"/>
    <w:p w14:paraId="18FF6CC7">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40" w:name="_Toc7268"/>
      <w:bookmarkStart w:id="141" w:name="_Toc227057888"/>
      <w:bookmarkStart w:id="142" w:name="_Toc13401"/>
      <w:bookmarkStart w:id="143" w:name="_Toc15150"/>
      <w:bookmarkStart w:id="144" w:name="_Toc226969281"/>
      <w:bookmarkStart w:id="145" w:name="_Toc107822486"/>
      <w:bookmarkStart w:id="146" w:name="_Toc447265221"/>
      <w:bookmarkStart w:id="147" w:name="_Toc29347"/>
      <w:bookmarkStart w:id="148" w:name="_Toc12248"/>
      <w:bookmarkStart w:id="149" w:name="_Toc4724"/>
      <w:bookmarkStart w:id="150" w:name="_Toc14636"/>
      <w:bookmarkStart w:id="151" w:name="_Toc26682"/>
      <w:bookmarkStart w:id="152" w:name="_Toc17554"/>
      <w:bookmarkStart w:id="153" w:name="_Toc22633"/>
      <w:bookmarkStart w:id="154" w:name="_Toc25234"/>
      <w:bookmarkStart w:id="155" w:name="_Toc25091"/>
      <w:bookmarkStart w:id="156" w:name="_Toc4291"/>
      <w:bookmarkStart w:id="157" w:name="_Toc447188672"/>
      <w:bookmarkStart w:id="158" w:name="_Toc21157"/>
      <w:bookmarkStart w:id="159" w:name="_Toc38007956"/>
      <w:bookmarkStart w:id="160" w:name="_Toc447265507"/>
      <w:r>
        <w:rPr>
          <w:rFonts w:hint="eastAsia" w:ascii="宋体" w:hAnsi="宋体" w:eastAsia="宋体" w:cs="宋体"/>
          <w:color w:val="auto"/>
          <w:sz w:val="24"/>
          <w:szCs w:val="24"/>
        </w:rPr>
        <w:t>1.5招标方式</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3B950CDE">
      <w:pPr>
        <w:pageBreakBefore w:val="0"/>
        <w:kinsoku/>
        <w:overflowPunct/>
        <w:bidi w:val="0"/>
        <w:adjustRightInd w:val="0"/>
        <w:snapToGrid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1.5.1招标方式见投标人须知前附表。</w:t>
      </w:r>
    </w:p>
    <w:p w14:paraId="1EB0B8D5">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1.5.2公开招标，是指招标人以招标公告的方式邀请不特定的法人或者其他组织投标。</w:t>
      </w:r>
    </w:p>
    <w:p w14:paraId="161F6FF9">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1.5.3邀请招标，是指招标人以投标邀请书的方式邀请特定的法人或者其他组织投标。</w:t>
      </w:r>
    </w:p>
    <w:p w14:paraId="23F853DC">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61" w:name="_Toc226969280"/>
      <w:bookmarkStart w:id="162" w:name="_Toc447265222"/>
      <w:bookmarkStart w:id="163" w:name="_Toc10121"/>
      <w:bookmarkStart w:id="164" w:name="_Toc3015"/>
      <w:bookmarkStart w:id="165" w:name="_Toc15080"/>
      <w:bookmarkStart w:id="166" w:name="_Toc30257"/>
      <w:bookmarkStart w:id="167" w:name="_Toc30421"/>
      <w:bookmarkStart w:id="168" w:name="_Toc26868"/>
      <w:bookmarkStart w:id="169" w:name="_Toc447265508"/>
      <w:bookmarkStart w:id="170" w:name="_Toc11511"/>
      <w:bookmarkStart w:id="171" w:name="_Toc227057887"/>
      <w:bookmarkStart w:id="172" w:name="_Toc107822485"/>
      <w:bookmarkStart w:id="173" w:name="_Toc10764"/>
      <w:bookmarkStart w:id="174" w:name="_Toc29368"/>
      <w:bookmarkStart w:id="175" w:name="_Toc8908"/>
      <w:bookmarkStart w:id="176" w:name="_Toc14228"/>
      <w:bookmarkStart w:id="177" w:name="_Toc20690"/>
      <w:bookmarkStart w:id="178" w:name="_Toc2425"/>
      <w:bookmarkStart w:id="179" w:name="_Toc38007957"/>
      <w:bookmarkStart w:id="180" w:name="_Toc27246"/>
      <w:bookmarkStart w:id="181" w:name="_Toc447188673"/>
      <w:bookmarkStart w:id="182" w:name="_Toc227057889"/>
      <w:bookmarkStart w:id="183" w:name="_Toc226969282"/>
      <w:r>
        <w:rPr>
          <w:rFonts w:hint="eastAsia" w:ascii="宋体" w:hAnsi="宋体" w:eastAsia="宋体" w:cs="宋体"/>
          <w:color w:val="auto"/>
          <w:sz w:val="24"/>
          <w:szCs w:val="24"/>
        </w:rPr>
        <w:t>1.6招标组织形式</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156E74FD">
      <w:pPr>
        <w:pageBreakBefore w:val="0"/>
        <w:kinsoku/>
        <w:overflowPunct/>
        <w:bidi w:val="0"/>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本项目由招标人自行组织/委托招标代理机构采用代理招标的方式进行，招标组织形式、招标代理机构名称及联系方式见投标人须知前附表。</w:t>
      </w:r>
    </w:p>
    <w:p w14:paraId="55C883DF">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84" w:name="_Toc32304"/>
      <w:bookmarkStart w:id="185" w:name="_Toc8164"/>
      <w:bookmarkStart w:id="186" w:name="_Toc21977"/>
      <w:bookmarkStart w:id="187" w:name="_Toc27081"/>
      <w:bookmarkStart w:id="188" w:name="_Toc38007958"/>
      <w:bookmarkStart w:id="189" w:name="_Toc12557"/>
      <w:bookmarkStart w:id="190" w:name="_Toc10358"/>
      <w:bookmarkStart w:id="191" w:name="_Toc447265509"/>
      <w:bookmarkStart w:id="192" w:name="_Toc24675"/>
      <w:bookmarkStart w:id="193" w:name="_Toc447188674"/>
      <w:bookmarkStart w:id="194" w:name="_Toc28161"/>
      <w:bookmarkStart w:id="195" w:name="_Toc8825"/>
      <w:bookmarkStart w:id="196" w:name="_Toc11279"/>
      <w:bookmarkStart w:id="197" w:name="_Toc4158"/>
      <w:bookmarkStart w:id="198" w:name="_Toc4114"/>
      <w:bookmarkStart w:id="199" w:name="_Toc447265223"/>
      <w:bookmarkStart w:id="200" w:name="_Toc16574"/>
      <w:bookmarkStart w:id="201" w:name="_Toc11317"/>
      <w:r>
        <w:rPr>
          <w:rFonts w:hint="eastAsia" w:ascii="宋体" w:hAnsi="宋体" w:eastAsia="宋体" w:cs="宋体"/>
          <w:color w:val="auto"/>
          <w:sz w:val="24"/>
          <w:szCs w:val="24"/>
        </w:rPr>
        <w:t>1.7资格审查</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5E5B2AAA">
      <w:pPr>
        <w:pageBreakBefore w:val="0"/>
        <w:kinsoku/>
        <w:overflowPunct/>
        <w:bidi w:val="0"/>
        <w:adjustRightInd w:val="0"/>
        <w:snapToGrid w:val="0"/>
        <w:spacing w:line="360" w:lineRule="auto"/>
        <w:ind w:firstLine="424" w:firstLineChars="202"/>
        <w:rPr>
          <w:rFonts w:hint="eastAsia" w:ascii="宋体" w:hAnsi="宋体" w:eastAsia="宋体" w:cs="宋体"/>
          <w:color w:val="auto"/>
          <w:szCs w:val="21"/>
        </w:rPr>
      </w:pPr>
      <w:bookmarkStart w:id="202" w:name="_Toc447265510"/>
      <w:bookmarkStart w:id="203" w:name="_Toc447265224"/>
      <w:bookmarkStart w:id="204" w:name="_Toc447188675"/>
      <w:r>
        <w:rPr>
          <w:rFonts w:hint="eastAsia" w:ascii="宋体" w:hAnsi="宋体" w:eastAsia="宋体" w:cs="宋体"/>
          <w:color w:val="auto"/>
          <w:szCs w:val="21"/>
        </w:rPr>
        <w:t>1.7.1本招标项目资格审查方式见投标人须知前附表。</w:t>
      </w:r>
    </w:p>
    <w:p w14:paraId="7CDE4211">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1.7.2资格预审是指在投标前对投标人进行的资格审查。采用资格预审方式的，资格条件已经在招标文件发出前的“资格预审文件”中做出规定。</w:t>
      </w:r>
    </w:p>
    <w:p w14:paraId="1C5C9981">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bookmarkStart w:id="205" w:name="_Toc226969283"/>
      <w:r>
        <w:rPr>
          <w:rFonts w:hint="eastAsia" w:ascii="宋体" w:hAnsi="宋体" w:eastAsia="宋体" w:cs="宋体"/>
          <w:color w:val="auto"/>
        </w:rPr>
        <w:t>资格后审是指在开标后由评标委员会根据招标文件的规定对投标人进行的资格审查。</w:t>
      </w:r>
      <w:bookmarkEnd w:id="205"/>
      <w:r>
        <w:rPr>
          <w:rFonts w:hint="eastAsia" w:ascii="宋体" w:hAnsi="宋体" w:eastAsia="宋体" w:cs="宋体"/>
          <w:color w:val="auto"/>
        </w:rPr>
        <w:t>采用资格后审方式的，投标人应当具备的资格条件见投标人须知前附表。</w:t>
      </w:r>
    </w:p>
    <w:p w14:paraId="6640E9A2">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采用资格后审的，招标人必须在招标文件中详细规定资格审查标准和方法。</w:t>
      </w:r>
    </w:p>
    <w:p w14:paraId="1962D249">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资格后审一般包括下列内容：</w:t>
      </w:r>
    </w:p>
    <w:p w14:paraId="0E340162">
      <w:pPr>
        <w:pageBreakBefore w:val="0"/>
        <w:numPr>
          <w:ilvl w:val="0"/>
          <w:numId w:val="6"/>
        </w:numPr>
        <w:tabs>
          <w:tab w:val="left" w:pos="644"/>
        </w:tabs>
        <w:kinsoku/>
        <w:overflowPunct/>
        <w:bidi w:val="0"/>
        <w:snapToGrid w:val="0"/>
        <w:spacing w:line="360" w:lineRule="auto"/>
        <w:ind w:left="0" w:firstLine="424" w:firstLineChars="202"/>
        <w:rPr>
          <w:rFonts w:hint="eastAsia" w:ascii="宋体" w:hAnsi="宋体" w:eastAsia="宋体" w:cs="宋体"/>
          <w:color w:val="auto"/>
          <w:szCs w:val="21"/>
        </w:rPr>
      </w:pPr>
      <w:r>
        <w:rPr>
          <w:rFonts w:hint="eastAsia" w:ascii="宋体" w:hAnsi="宋体" w:eastAsia="宋体" w:cs="宋体"/>
          <w:color w:val="auto"/>
          <w:szCs w:val="21"/>
        </w:rPr>
        <w:t>资格要求；</w:t>
      </w:r>
    </w:p>
    <w:p w14:paraId="62BF07CC">
      <w:pPr>
        <w:pageBreakBefore w:val="0"/>
        <w:numPr>
          <w:ilvl w:val="0"/>
          <w:numId w:val="6"/>
        </w:numPr>
        <w:tabs>
          <w:tab w:val="left" w:pos="644"/>
        </w:tabs>
        <w:kinsoku/>
        <w:overflowPunct/>
        <w:bidi w:val="0"/>
        <w:snapToGrid w:val="0"/>
        <w:spacing w:line="360" w:lineRule="auto"/>
        <w:ind w:left="0" w:firstLine="424" w:firstLineChars="202"/>
        <w:rPr>
          <w:rFonts w:hint="eastAsia" w:ascii="宋体" w:hAnsi="宋体" w:eastAsia="宋体" w:cs="宋体"/>
          <w:color w:val="auto"/>
          <w:szCs w:val="21"/>
        </w:rPr>
      </w:pPr>
      <w:r>
        <w:rPr>
          <w:rFonts w:hint="eastAsia" w:ascii="宋体" w:hAnsi="宋体" w:eastAsia="宋体" w:cs="宋体"/>
          <w:color w:val="auto"/>
          <w:szCs w:val="21"/>
        </w:rPr>
        <w:t>其他业绩要求；</w:t>
      </w:r>
    </w:p>
    <w:p w14:paraId="067DE71A">
      <w:pPr>
        <w:pageBreakBefore w:val="0"/>
        <w:numPr>
          <w:ilvl w:val="0"/>
          <w:numId w:val="6"/>
        </w:numPr>
        <w:tabs>
          <w:tab w:val="left" w:pos="644"/>
        </w:tabs>
        <w:kinsoku/>
        <w:overflowPunct/>
        <w:bidi w:val="0"/>
        <w:snapToGrid w:val="0"/>
        <w:spacing w:line="360" w:lineRule="auto"/>
        <w:ind w:left="0" w:firstLine="424" w:firstLineChars="202"/>
        <w:rPr>
          <w:rFonts w:hint="eastAsia" w:ascii="宋体" w:hAnsi="宋体" w:eastAsia="宋体" w:cs="宋体"/>
          <w:color w:val="auto"/>
          <w:szCs w:val="21"/>
        </w:rPr>
      </w:pPr>
      <w:r>
        <w:rPr>
          <w:rFonts w:hint="eastAsia" w:ascii="宋体" w:hAnsi="宋体" w:eastAsia="宋体" w:cs="宋体"/>
          <w:color w:val="auto"/>
          <w:szCs w:val="21"/>
        </w:rPr>
        <w:t>审查标准和方法。</w:t>
      </w:r>
    </w:p>
    <w:p w14:paraId="4C8285A3">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资格后审不合格的投标人，评标委员会应当否决其投标。</w:t>
      </w:r>
    </w:p>
    <w:p w14:paraId="60409CB6">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206" w:name="_Toc24352"/>
      <w:bookmarkStart w:id="207" w:name="_Toc4210"/>
      <w:bookmarkStart w:id="208" w:name="_Toc16773"/>
      <w:bookmarkStart w:id="209" w:name="_Toc38007959"/>
      <w:bookmarkStart w:id="210" w:name="_Toc15763"/>
      <w:bookmarkStart w:id="211" w:name="_Toc31661"/>
      <w:bookmarkStart w:id="212" w:name="_Toc2402"/>
      <w:bookmarkStart w:id="213" w:name="_Toc13716"/>
      <w:bookmarkStart w:id="214" w:name="_Toc31152"/>
      <w:bookmarkStart w:id="215" w:name="_Toc27260"/>
      <w:bookmarkStart w:id="216" w:name="_Toc12366"/>
      <w:bookmarkStart w:id="217" w:name="_Toc24894"/>
      <w:bookmarkStart w:id="218" w:name="_Toc16378"/>
      <w:bookmarkStart w:id="219" w:name="_Toc15665"/>
      <w:bookmarkStart w:id="220" w:name="_Toc27795"/>
      <w:r>
        <w:rPr>
          <w:rFonts w:hint="eastAsia" w:ascii="宋体" w:hAnsi="宋体" w:eastAsia="宋体" w:cs="宋体"/>
          <w:color w:val="auto"/>
          <w:sz w:val="24"/>
          <w:szCs w:val="24"/>
        </w:rPr>
        <w:t>1.8投标人不得存在的情形</w:t>
      </w:r>
      <w:bookmarkEnd w:id="202"/>
      <w:bookmarkEnd w:id="203"/>
      <w:bookmarkEnd w:id="204"/>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5A141CB7">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1.8.1投标人不得存在下列情形之一</w:t>
      </w:r>
    </w:p>
    <w:p w14:paraId="23BAC9A0">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（1）为招标人不具有独立法人资格的附属机构（单位）；</w:t>
      </w:r>
    </w:p>
    <w:p w14:paraId="3CD2CD73">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（2）被依法暂停或取消投标资格的；</w:t>
      </w:r>
    </w:p>
    <w:p w14:paraId="4E6A7D10">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（3）被责令停产停业、暂扣或者吊销许可证、暂扣或者吊销执照；</w:t>
      </w:r>
    </w:p>
    <w:p w14:paraId="3A1152FC">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（4）进入清算程序，或被宣告破产，或其他丧失履约能力的情形；</w:t>
      </w:r>
    </w:p>
    <w:p w14:paraId="3B049787">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（5）在最近三年内（投标截止时间前36个月）被相关行业主管部门或司法机关认定有骗取中标、严重违约、重大工程质量或者安全问题的；</w:t>
      </w:r>
    </w:p>
    <w:p w14:paraId="168E601B">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（6）在最近五年内（投标截止时间前60个月）被判处单位行贿罪，且行贿行为与采购活动相关的（以“中国裁判文书网”的生效判决为准）；</w:t>
      </w:r>
    </w:p>
    <w:p w14:paraId="6938AF55">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（7）在最近五年内（投标截止时间前60个月）被判处合同诈骗罪的（以“中国裁判文书网”的生效判决为准）；</w:t>
      </w:r>
    </w:p>
    <w:p w14:paraId="3B49A63D">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（8）被最高人民法院在“信用中国”网站（www.creditchina.gov.cn）或各级信用信息共享平台中列入失信被执行人名单，已执行完毕或不再执行的除外；</w:t>
      </w:r>
    </w:p>
    <w:p w14:paraId="07681495">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（9）为本招标项目提供过设计、编制技术规范和其他文件的咨询服务；</w:t>
      </w:r>
    </w:p>
    <w:p w14:paraId="6979D024">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（10）为本工程项目的相关监理人，或者与本工程项目的相关监理人存在隶属关系或者其他利害关系；</w:t>
      </w:r>
    </w:p>
    <w:p w14:paraId="63B27FB6">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（11）为本招标项目的代建人；</w:t>
      </w:r>
    </w:p>
    <w:p w14:paraId="4AB0AA53">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（12）为本招标项目的招标代理机构；</w:t>
      </w:r>
    </w:p>
    <w:p w14:paraId="0B24EEF6">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（13）与本招标项目的监理人或代建人或招标代理机构同为一个法定代表人；</w:t>
      </w:r>
    </w:p>
    <w:p w14:paraId="55543946">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（14）与本招标项目的监理人或代建人或招标代理机构存在控股或参股关系；</w:t>
      </w:r>
    </w:p>
    <w:p w14:paraId="05E33155">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（15）被工商行政管理机关在国家企业信用信息公示系统中列入严重违法失信企业名单的；</w:t>
      </w:r>
    </w:p>
    <w:p w14:paraId="2067AE57">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（16）中国电信在职员工违规担任供应商法定代表人并参与采购活动的；</w:t>
      </w:r>
    </w:p>
    <w:p w14:paraId="5E7488DA">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（17）中国电信集团有限公司/中国电信股份有限公司中层及以上管理人员违反有关领导人员配偶、子女及其配偶经商办企业行为管理规定，其配偶、子女及其配偶经商办企业参与采购活动的；</w:t>
      </w:r>
    </w:p>
    <w:p w14:paraId="089B46DB">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（18）中国电信领导人员离职或退休后三年内违反《国有企业领导人员廉洁从业若干规定》等相关规定任职、投资入股的私营企业、外资企业和中介机构，参与其原任职单位采购活动的；</w:t>
      </w:r>
    </w:p>
    <w:p w14:paraId="2234B741">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（19）【其他按照中国电信供应商不良行为处理结果及《中国电信供应商不良行为管理规则》的结果执行规则，应对投标人及其投标产品在本项目中执行禁止采购处理措施的；</w:t>
      </w:r>
    </w:p>
    <w:p w14:paraId="5C57BCDD">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0</w:t>
      </w:r>
      <w:r>
        <w:rPr>
          <w:rFonts w:hint="eastAsia" w:ascii="宋体" w:hAnsi="宋体" w:eastAsia="宋体" w:cs="宋体"/>
          <w:color w:val="auto"/>
        </w:rPr>
        <w:t>）法律法规、招标文件限定的其他情形。</w:t>
      </w:r>
    </w:p>
    <w:p w14:paraId="0AF72B06">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1.8.2单位负责人为同一人或者存在控股、管理关系的不同单位，不得同时参加本项目中同一标包投标或者未划分标包的同一招标项目投标。</w:t>
      </w:r>
    </w:p>
    <w:p w14:paraId="7FB12465">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221" w:name="_Toc447265511"/>
      <w:bookmarkStart w:id="222" w:name="_Toc226969284"/>
      <w:bookmarkStart w:id="223" w:name="_Toc16262"/>
      <w:bookmarkStart w:id="224" w:name="_Toc447188676"/>
      <w:bookmarkStart w:id="225" w:name="_Toc16005"/>
      <w:bookmarkStart w:id="226" w:name="_Toc26045"/>
      <w:bookmarkStart w:id="227" w:name="_Toc12395"/>
      <w:bookmarkStart w:id="228" w:name="_Toc29780"/>
      <w:bookmarkStart w:id="229" w:name="_Toc21168"/>
      <w:bookmarkStart w:id="230" w:name="_Toc19536"/>
      <w:bookmarkStart w:id="231" w:name="_Toc5420"/>
      <w:bookmarkStart w:id="232" w:name="_Toc38007960"/>
      <w:bookmarkStart w:id="233" w:name="_Toc447265225"/>
      <w:bookmarkStart w:id="234" w:name="_Toc12031"/>
      <w:bookmarkStart w:id="235" w:name="_Toc15581"/>
      <w:bookmarkStart w:id="236" w:name="_Toc8907"/>
      <w:bookmarkStart w:id="237" w:name="_Toc107822487"/>
      <w:bookmarkStart w:id="238" w:name="_Toc29837"/>
      <w:bookmarkStart w:id="239" w:name="_Toc227057890"/>
      <w:bookmarkStart w:id="240" w:name="_Toc31151"/>
      <w:bookmarkStart w:id="241" w:name="_Toc18957"/>
      <w:r>
        <w:rPr>
          <w:rFonts w:hint="eastAsia" w:ascii="宋体" w:hAnsi="宋体" w:eastAsia="宋体" w:cs="宋体"/>
          <w:color w:val="auto"/>
          <w:sz w:val="24"/>
          <w:szCs w:val="24"/>
        </w:rPr>
        <w:t>1.9合格的货物和服务</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7944F39E">
      <w:pPr>
        <w:pStyle w:val="22"/>
        <w:pageBreakBefore w:val="0"/>
        <w:tabs>
          <w:tab w:val="left" w:pos="630"/>
        </w:tabs>
        <w:kinsoku/>
        <w:overflowPunct/>
        <w:bidi w:val="0"/>
        <w:snapToGrid w:val="0"/>
        <w:spacing w:line="360" w:lineRule="auto"/>
        <w:ind w:firstLine="283" w:firstLineChars="135"/>
        <w:rPr>
          <w:rFonts w:hint="eastAsia" w:ascii="宋体" w:hAnsi="宋体" w:eastAsia="宋体" w:cs="宋体"/>
          <w:color w:val="auto"/>
        </w:rPr>
      </w:pPr>
      <w:r>
        <w:rPr>
          <w:rFonts w:hint="eastAsia" w:ascii="宋体" w:hAnsi="宋体" w:eastAsia="宋体" w:cs="宋体"/>
          <w:color w:val="auto"/>
        </w:rPr>
        <w:t>1.9.1投标人提供的所有货物及其有关服务的原产地，均应当来自中国或者是与中国有正常贸易往来的国家或者地区。招标人的支付也仅限于这些货物和服务。</w:t>
      </w:r>
    </w:p>
    <w:p w14:paraId="61BBEA1F">
      <w:pPr>
        <w:pStyle w:val="22"/>
        <w:pageBreakBefore w:val="0"/>
        <w:tabs>
          <w:tab w:val="left" w:pos="630"/>
        </w:tabs>
        <w:kinsoku/>
        <w:overflowPunct/>
        <w:bidi w:val="0"/>
        <w:snapToGrid w:val="0"/>
        <w:spacing w:line="360" w:lineRule="auto"/>
        <w:ind w:firstLine="283" w:firstLineChars="135"/>
        <w:rPr>
          <w:rFonts w:hint="eastAsia" w:ascii="宋体" w:hAnsi="宋体" w:eastAsia="宋体" w:cs="宋体"/>
          <w:color w:val="auto"/>
        </w:rPr>
      </w:pPr>
      <w:r>
        <w:rPr>
          <w:rFonts w:hint="eastAsia" w:ascii="宋体" w:hAnsi="宋体" w:eastAsia="宋体" w:cs="宋体"/>
          <w:color w:val="auto"/>
        </w:rPr>
        <w:t>1.9.2本招标文件所属的“原产地”是指货物开采、生长、生产或者提供有关服务的来源地。所述的“货物”是指制造、加工或者实质上装配了主要部件而形成的货物。商业上公认的产品是指基本特征、性能或者功能上与部件有着实质性区别的产品。</w:t>
      </w:r>
    </w:p>
    <w:p w14:paraId="0CE9C522">
      <w:pPr>
        <w:pStyle w:val="22"/>
        <w:pageBreakBefore w:val="0"/>
        <w:tabs>
          <w:tab w:val="left" w:pos="630"/>
        </w:tabs>
        <w:kinsoku/>
        <w:overflowPunct/>
        <w:bidi w:val="0"/>
        <w:snapToGrid w:val="0"/>
        <w:spacing w:line="360" w:lineRule="auto"/>
        <w:ind w:firstLine="283" w:firstLineChars="135"/>
        <w:rPr>
          <w:rFonts w:hint="eastAsia" w:ascii="宋体" w:hAnsi="宋体" w:eastAsia="宋体" w:cs="宋体"/>
          <w:color w:val="auto"/>
        </w:rPr>
      </w:pPr>
      <w:r>
        <w:rPr>
          <w:rFonts w:hint="eastAsia" w:ascii="宋体" w:hAnsi="宋体" w:eastAsia="宋体" w:cs="宋体"/>
          <w:color w:val="auto"/>
        </w:rPr>
        <w:t>1.9.3投标人提供的所有货物及其有关服务应当符合国家规定的资格条件。</w:t>
      </w:r>
    </w:p>
    <w:p w14:paraId="4E086563">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242" w:name="_Toc31565"/>
      <w:bookmarkStart w:id="243" w:name="_Toc2645"/>
      <w:bookmarkStart w:id="244" w:name="_Toc447265512"/>
      <w:bookmarkStart w:id="245" w:name="_Toc38007961"/>
      <w:bookmarkStart w:id="246" w:name="_Toc30828"/>
      <w:bookmarkStart w:id="247" w:name="_Toc21356"/>
      <w:bookmarkStart w:id="248" w:name="_Toc18215"/>
      <w:bookmarkStart w:id="249" w:name="_Toc447265226"/>
      <w:bookmarkStart w:id="250" w:name="_Toc12057"/>
      <w:bookmarkStart w:id="251" w:name="_Toc447188677"/>
      <w:bookmarkStart w:id="252" w:name="_Toc107822488"/>
      <w:bookmarkStart w:id="253" w:name="_Toc20305"/>
      <w:bookmarkStart w:id="254" w:name="_Toc23609"/>
      <w:bookmarkStart w:id="255" w:name="_Toc14616"/>
      <w:bookmarkStart w:id="256" w:name="_Toc20511"/>
      <w:bookmarkStart w:id="257" w:name="_Toc20540"/>
      <w:bookmarkStart w:id="258" w:name="_Toc227057891"/>
      <w:bookmarkStart w:id="259" w:name="_Toc226969285"/>
      <w:bookmarkStart w:id="260" w:name="_Toc2731"/>
      <w:bookmarkStart w:id="261" w:name="_Toc14814"/>
      <w:bookmarkStart w:id="262" w:name="_Toc29660"/>
      <w:r>
        <w:rPr>
          <w:rFonts w:hint="eastAsia" w:ascii="宋体" w:hAnsi="宋体" w:eastAsia="宋体" w:cs="宋体"/>
          <w:color w:val="auto"/>
          <w:sz w:val="24"/>
          <w:szCs w:val="24"/>
        </w:rPr>
        <w:t>1.10投标费用</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68B3F061">
      <w:pPr>
        <w:pageBreakBefore w:val="0"/>
        <w:kinsoku/>
        <w:overflowPunct/>
        <w:bidi w:val="0"/>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不论结果如何，投标人自行承担所有准备和参与投标有关的费用。</w:t>
      </w:r>
      <w:bookmarkStart w:id="263" w:name="_Toc107822489"/>
      <w:bookmarkStart w:id="264" w:name="_Toc226969286"/>
      <w:bookmarkStart w:id="265" w:name="_Toc227057892"/>
    </w:p>
    <w:p w14:paraId="3880B153">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266" w:name="_Toc38007962"/>
      <w:bookmarkStart w:id="267" w:name="_Toc8933"/>
      <w:bookmarkStart w:id="268" w:name="_Toc7496"/>
      <w:bookmarkStart w:id="269" w:name="_Toc5231"/>
      <w:bookmarkStart w:id="270" w:name="_Toc25307"/>
      <w:bookmarkStart w:id="271" w:name="_Toc447265227"/>
      <w:bookmarkStart w:id="272" w:name="_Toc4263"/>
      <w:bookmarkStart w:id="273" w:name="_Toc27036"/>
      <w:bookmarkStart w:id="274" w:name="_Toc3517"/>
      <w:bookmarkStart w:id="275" w:name="_Toc19510"/>
      <w:bookmarkStart w:id="276" w:name="_Toc27687"/>
      <w:bookmarkStart w:id="277" w:name="_Toc23187"/>
      <w:bookmarkStart w:id="278" w:name="_Toc7097"/>
      <w:bookmarkStart w:id="279" w:name="_Toc2129"/>
      <w:bookmarkStart w:id="280" w:name="_Toc22507"/>
      <w:bookmarkStart w:id="281" w:name="_Toc447265513"/>
      <w:bookmarkStart w:id="282" w:name="_Toc3415"/>
      <w:r>
        <w:rPr>
          <w:rFonts w:hint="eastAsia" w:ascii="宋体" w:hAnsi="宋体" w:eastAsia="宋体" w:cs="宋体"/>
          <w:color w:val="auto"/>
          <w:sz w:val="24"/>
          <w:szCs w:val="24"/>
        </w:rPr>
        <w:t>1.11保密</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678560D2">
      <w:pPr>
        <w:pageBreakBefore w:val="0"/>
        <w:kinsoku/>
        <w:overflowPunct/>
        <w:bidi w:val="0"/>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参与招标投标活动的各方应当对招标文件和投标文件中的商业和技术等秘密保密，违者应当对由此造成的后果承担法律责任。</w:t>
      </w:r>
    </w:p>
    <w:p w14:paraId="46F7B87C">
      <w:pPr>
        <w:pStyle w:val="39"/>
        <w:pageBreakBefore w:val="0"/>
        <w:numPr>
          <w:ilvl w:val="0"/>
          <w:numId w:val="5"/>
        </w:numPr>
        <w:tabs>
          <w:tab w:val="left" w:pos="588"/>
        </w:tabs>
        <w:kinsoku/>
        <w:overflowPunct/>
        <w:bidi w:val="0"/>
        <w:snapToGrid w:val="0"/>
        <w:spacing w:before="120" w:after="120" w:line="360" w:lineRule="auto"/>
        <w:ind w:left="0" w:firstLine="0"/>
        <w:jc w:val="left"/>
        <w:rPr>
          <w:rFonts w:hint="eastAsia" w:ascii="宋体" w:hAnsi="宋体" w:eastAsia="宋体" w:cs="宋体"/>
          <w:color w:val="auto"/>
          <w:sz w:val="28"/>
          <w:szCs w:val="28"/>
        </w:rPr>
      </w:pPr>
      <w:bookmarkStart w:id="283" w:name="_Toc246996187"/>
      <w:bookmarkStart w:id="284" w:name="_Toc9689"/>
      <w:bookmarkStart w:id="285" w:name="_Toc38007963"/>
      <w:bookmarkStart w:id="286" w:name="_Toc144974510"/>
      <w:bookmarkStart w:id="287" w:name="_Toc27379"/>
      <w:bookmarkStart w:id="288" w:name="_Toc7934"/>
      <w:bookmarkStart w:id="289" w:name="_Toc152045542"/>
      <w:bookmarkStart w:id="290" w:name="_Toc32675"/>
      <w:bookmarkStart w:id="291" w:name="_Toc447265514"/>
      <w:bookmarkStart w:id="292" w:name="_Toc24525"/>
      <w:bookmarkStart w:id="293" w:name="_Toc179632560"/>
      <w:bookmarkStart w:id="294" w:name="_Toc19068"/>
      <w:bookmarkStart w:id="295" w:name="_Toc447265228"/>
      <w:bookmarkStart w:id="296" w:name="_Toc246996930"/>
      <w:bookmarkStart w:id="297" w:name="_Toc31339"/>
      <w:bookmarkStart w:id="298" w:name="_Toc296602432"/>
      <w:bookmarkStart w:id="299" w:name="_Toc10755"/>
      <w:bookmarkStart w:id="300" w:name="_Toc447188678"/>
      <w:bookmarkStart w:id="301" w:name="_Toc20118"/>
      <w:bookmarkStart w:id="302" w:name="_Toc11969"/>
      <w:bookmarkStart w:id="303" w:name="_Toc17223"/>
      <w:bookmarkStart w:id="304" w:name="_Toc247085701"/>
      <w:bookmarkStart w:id="305" w:name="_Toc152042318"/>
      <w:bookmarkStart w:id="306" w:name="_Toc10885"/>
      <w:bookmarkStart w:id="307" w:name="_Toc5941"/>
      <w:bookmarkStart w:id="308" w:name="_Toc12857"/>
      <w:r>
        <w:rPr>
          <w:rFonts w:hint="eastAsia" w:ascii="宋体" w:hAnsi="宋体" w:eastAsia="宋体" w:cs="宋体"/>
          <w:color w:val="auto"/>
          <w:sz w:val="28"/>
          <w:szCs w:val="28"/>
        </w:rPr>
        <w:t>招标文件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4F6F4F9B">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309" w:name="_Toc7760"/>
      <w:bookmarkStart w:id="310" w:name="_Toc11694"/>
      <w:bookmarkStart w:id="311" w:name="_Toc784"/>
      <w:bookmarkStart w:id="312" w:name="_Toc447265515"/>
      <w:bookmarkStart w:id="313" w:name="_Toc447188679"/>
      <w:bookmarkStart w:id="314" w:name="_Toc447265229"/>
      <w:bookmarkStart w:id="315" w:name="_Toc38007964"/>
      <w:bookmarkStart w:id="316" w:name="_Toc822"/>
      <w:bookmarkStart w:id="317" w:name="_Toc2451"/>
      <w:bookmarkStart w:id="318" w:name="_Toc19520"/>
      <w:bookmarkStart w:id="319" w:name="_Toc32144"/>
      <w:bookmarkStart w:id="320" w:name="_Toc18944"/>
      <w:bookmarkStart w:id="321" w:name="_Toc17336"/>
      <w:bookmarkStart w:id="322" w:name="_Toc30982"/>
      <w:bookmarkStart w:id="323" w:name="_Toc5018"/>
      <w:bookmarkStart w:id="324" w:name="_Toc4068"/>
      <w:bookmarkStart w:id="325" w:name="_Toc5249"/>
      <w:bookmarkStart w:id="326" w:name="_Toc30055"/>
      <w:r>
        <w:rPr>
          <w:rFonts w:hint="eastAsia" w:ascii="宋体" w:hAnsi="宋体" w:eastAsia="宋体" w:cs="宋体"/>
          <w:color w:val="auto"/>
          <w:sz w:val="24"/>
          <w:szCs w:val="24"/>
        </w:rPr>
        <w:t>2.1招标文件</w:t>
      </w:r>
      <w:bookmarkEnd w:id="263"/>
      <w:r>
        <w:rPr>
          <w:rFonts w:hint="eastAsia" w:ascii="宋体" w:hAnsi="宋体" w:eastAsia="宋体" w:cs="宋体"/>
          <w:color w:val="auto"/>
          <w:sz w:val="24"/>
          <w:szCs w:val="24"/>
        </w:rPr>
        <w:t>的组成</w:t>
      </w:r>
      <w:bookmarkEnd w:id="264"/>
      <w:bookmarkEnd w:id="265"/>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7F7EEE03">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2.1.1招标文件一般由以下部分组成：</w:t>
      </w:r>
    </w:p>
    <w:p w14:paraId="38030924">
      <w:pPr>
        <w:pageBreakBefore w:val="0"/>
        <w:kinsoku/>
        <w:overflowPunct/>
        <w:bidi w:val="0"/>
        <w:adjustRightInd w:val="0"/>
        <w:snapToGrid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第一章招标公告/投标邀请书</w:t>
      </w:r>
    </w:p>
    <w:p w14:paraId="0ACEFBFA">
      <w:pPr>
        <w:pageBreakBefore w:val="0"/>
        <w:kinsoku/>
        <w:overflowPunct/>
        <w:bidi w:val="0"/>
        <w:adjustRightInd w:val="0"/>
        <w:snapToGrid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第二章投标人须知</w:t>
      </w:r>
    </w:p>
    <w:p w14:paraId="20A64C2F">
      <w:pPr>
        <w:pageBreakBefore w:val="0"/>
        <w:kinsoku/>
        <w:overflowPunct/>
        <w:bidi w:val="0"/>
        <w:adjustRightInd w:val="0"/>
        <w:snapToGrid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第三章评标办法</w:t>
      </w:r>
    </w:p>
    <w:p w14:paraId="747A3884">
      <w:pPr>
        <w:pageBreakBefore w:val="0"/>
        <w:kinsoku/>
        <w:overflowPunct/>
        <w:bidi w:val="0"/>
        <w:adjustRightInd w:val="0"/>
        <w:snapToGrid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第四章</w:t>
      </w:r>
      <w:r>
        <w:rPr>
          <w:rFonts w:hint="eastAsia" w:ascii="宋体" w:hAnsi="宋体" w:eastAsia="宋体" w:cs="宋体"/>
          <w:color w:val="auto"/>
          <w:szCs w:val="21"/>
          <w:lang w:val="en-US" w:eastAsia="zh-CN"/>
        </w:rPr>
        <w:t>商务及</w:t>
      </w:r>
      <w:r>
        <w:rPr>
          <w:rFonts w:hint="eastAsia" w:ascii="宋体" w:hAnsi="宋体" w:eastAsia="宋体" w:cs="宋体"/>
          <w:color w:val="auto"/>
          <w:szCs w:val="21"/>
        </w:rPr>
        <w:t>合同条款</w:t>
      </w:r>
    </w:p>
    <w:p w14:paraId="61CA2210">
      <w:pPr>
        <w:pageBreakBefore w:val="0"/>
        <w:kinsoku/>
        <w:overflowPunct/>
        <w:bidi w:val="0"/>
        <w:adjustRightInd w:val="0"/>
        <w:snapToGrid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第五章 技术标准和要求（包括网络与信息安全有关要求）</w:t>
      </w:r>
    </w:p>
    <w:p w14:paraId="7731013C">
      <w:pPr>
        <w:pageBreakBefore w:val="0"/>
        <w:kinsoku/>
        <w:overflowPunct/>
        <w:bidi w:val="0"/>
        <w:adjustRightInd w:val="0"/>
        <w:snapToGrid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第六章投标文件格式</w:t>
      </w:r>
    </w:p>
    <w:p w14:paraId="0AAB148A">
      <w:pPr>
        <w:pageBreakBefore w:val="0"/>
        <w:kinsoku/>
        <w:overflowPunct/>
        <w:bidi w:val="0"/>
        <w:adjustRightInd w:val="0"/>
        <w:snapToGrid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第七章 其他</w:t>
      </w:r>
    </w:p>
    <w:p w14:paraId="33F291CC">
      <w:pPr>
        <w:pageBreakBefore w:val="0"/>
        <w:kinsoku/>
        <w:overflowPunct/>
        <w:bidi w:val="0"/>
        <w:adjustRightInd w:val="0"/>
        <w:snapToGrid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招标人另有规定的，见投标人须知前附表</w:t>
      </w:r>
    </w:p>
    <w:p w14:paraId="682F4C44">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2.1.2招标文件对同一内容的表述应当一致。第一章“招标公告”或者“投标邀请书”与招标文件在同一内容的表述上有矛盾或者冲突时，以第一章“招标公告”或者“投标邀请书”为准；投标人须知前附表与投标人须知正文在同一内容的表述上有矛盾或者冲突时，以投标人须知前附表为准。</w:t>
      </w:r>
    </w:p>
    <w:p w14:paraId="363C5922">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2.1.3招标人在招标文件中以显著的方式标明实质性要求、条件以及不满足实质性要求和条件的投标将被否决的提示；对于非实质性要求和条件，规定允许偏差的最大范围、最高项数和调整偏差的方法。显著标识方式和具体要求见投标人须知前附表。</w:t>
      </w:r>
    </w:p>
    <w:p w14:paraId="16206C7D">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2.1.4招标人可以要求以某一单项报价核定是否低于成本，具体要求见投标人须知前附表。</w:t>
      </w:r>
    </w:p>
    <w:p w14:paraId="01BC3021">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327" w:name="_Toc16811"/>
      <w:bookmarkStart w:id="328" w:name="_Toc7466"/>
      <w:bookmarkStart w:id="329" w:name="_Toc447265516"/>
      <w:bookmarkStart w:id="330" w:name="_Toc8321"/>
      <w:bookmarkStart w:id="331" w:name="_Toc8240"/>
      <w:bookmarkStart w:id="332" w:name="_Toc9400"/>
      <w:bookmarkStart w:id="333" w:name="_Toc12573"/>
      <w:bookmarkStart w:id="334" w:name="_Toc17591"/>
      <w:bookmarkStart w:id="335" w:name="_Toc5980"/>
      <w:bookmarkStart w:id="336" w:name="_Toc5068"/>
      <w:bookmarkStart w:id="337" w:name="_Toc22392"/>
      <w:bookmarkStart w:id="338" w:name="_Toc28916"/>
      <w:bookmarkStart w:id="339" w:name="_Toc19900"/>
      <w:bookmarkStart w:id="340" w:name="_Toc447265230"/>
      <w:bookmarkStart w:id="341" w:name="_Toc24247"/>
      <w:bookmarkStart w:id="342" w:name="_Toc447188680"/>
      <w:bookmarkStart w:id="343" w:name="_Toc20746"/>
      <w:bookmarkStart w:id="344" w:name="_Toc38007965"/>
      <w:bookmarkStart w:id="345" w:name="_Toc226969287"/>
      <w:bookmarkStart w:id="346" w:name="_Toc107822490"/>
      <w:bookmarkStart w:id="347" w:name="_Toc227057893"/>
      <w:r>
        <w:rPr>
          <w:rFonts w:hint="eastAsia" w:ascii="宋体" w:hAnsi="宋体" w:eastAsia="宋体" w:cs="宋体"/>
          <w:color w:val="auto"/>
          <w:sz w:val="24"/>
          <w:szCs w:val="24"/>
        </w:rPr>
        <w:t>2.2踏勘现场</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29A9AAA3">
      <w:pPr>
        <w:pStyle w:val="22"/>
        <w:pageBreakBefore w:val="0"/>
        <w:tabs>
          <w:tab w:val="left" w:pos="630"/>
        </w:tabs>
        <w:kinsoku/>
        <w:overflowPunct/>
        <w:bidi w:val="0"/>
        <w:snapToGrid w:val="0"/>
        <w:spacing w:line="360" w:lineRule="auto"/>
        <w:ind w:firstLine="283" w:firstLineChars="135"/>
        <w:rPr>
          <w:rFonts w:hint="eastAsia" w:ascii="宋体" w:hAnsi="宋体" w:eastAsia="宋体" w:cs="宋体"/>
          <w:color w:val="auto"/>
        </w:rPr>
      </w:pPr>
      <w:r>
        <w:rPr>
          <w:rFonts w:hint="eastAsia" w:ascii="宋体" w:hAnsi="宋体" w:eastAsia="宋体" w:cs="宋体"/>
          <w:color w:val="auto"/>
        </w:rPr>
        <w:t xml:space="preserve">2.2.1投标人须知前附表规定组织踏勘现场的，招标人按照投标人须知前附表规定的时间、地点组织投标人踏勘项目现场。 </w:t>
      </w:r>
    </w:p>
    <w:p w14:paraId="15FD2901">
      <w:pPr>
        <w:pStyle w:val="22"/>
        <w:pageBreakBefore w:val="0"/>
        <w:tabs>
          <w:tab w:val="left" w:pos="630"/>
        </w:tabs>
        <w:kinsoku/>
        <w:overflowPunct/>
        <w:bidi w:val="0"/>
        <w:snapToGrid w:val="0"/>
        <w:spacing w:line="360" w:lineRule="auto"/>
        <w:ind w:firstLine="283" w:firstLineChars="135"/>
        <w:rPr>
          <w:rFonts w:hint="eastAsia" w:ascii="宋体" w:hAnsi="宋体" w:eastAsia="宋体" w:cs="宋体"/>
          <w:color w:val="auto"/>
        </w:rPr>
      </w:pPr>
      <w:r>
        <w:rPr>
          <w:rFonts w:hint="eastAsia" w:ascii="宋体" w:hAnsi="宋体" w:eastAsia="宋体" w:cs="宋体"/>
          <w:color w:val="auto"/>
        </w:rPr>
        <w:t>2.2.2潜在投标人踏勘现场发生的费用自理。</w:t>
      </w:r>
    </w:p>
    <w:p w14:paraId="2C2194F5">
      <w:pPr>
        <w:pStyle w:val="22"/>
        <w:pageBreakBefore w:val="0"/>
        <w:tabs>
          <w:tab w:val="left" w:pos="630"/>
        </w:tabs>
        <w:kinsoku/>
        <w:overflowPunct/>
        <w:bidi w:val="0"/>
        <w:snapToGrid w:val="0"/>
        <w:spacing w:line="360" w:lineRule="auto"/>
        <w:ind w:firstLine="283" w:firstLineChars="135"/>
        <w:rPr>
          <w:rFonts w:hint="eastAsia" w:ascii="宋体" w:hAnsi="宋体" w:eastAsia="宋体" w:cs="宋体"/>
          <w:color w:val="auto"/>
        </w:rPr>
      </w:pPr>
      <w:r>
        <w:rPr>
          <w:rFonts w:hint="eastAsia" w:ascii="宋体" w:hAnsi="宋体" w:eastAsia="宋体" w:cs="宋体"/>
          <w:color w:val="auto"/>
        </w:rPr>
        <w:t>2.2.3除招标人的原因外，潜在投标人自行负责在踏勘现场中所发生的人员伤亡和财产损失。</w:t>
      </w:r>
    </w:p>
    <w:p w14:paraId="11EE5A82">
      <w:pPr>
        <w:pStyle w:val="22"/>
        <w:pageBreakBefore w:val="0"/>
        <w:tabs>
          <w:tab w:val="left" w:pos="630"/>
        </w:tabs>
        <w:kinsoku/>
        <w:overflowPunct/>
        <w:bidi w:val="0"/>
        <w:snapToGrid w:val="0"/>
        <w:spacing w:line="360" w:lineRule="auto"/>
        <w:ind w:firstLine="283" w:firstLineChars="135"/>
        <w:rPr>
          <w:rFonts w:hint="eastAsia" w:ascii="宋体" w:hAnsi="宋体" w:eastAsia="宋体" w:cs="宋体"/>
          <w:color w:val="auto"/>
        </w:rPr>
      </w:pPr>
      <w:r>
        <w:rPr>
          <w:rFonts w:hint="eastAsia" w:ascii="宋体" w:hAnsi="宋体" w:eastAsia="宋体" w:cs="宋体"/>
          <w:color w:val="auto"/>
        </w:rPr>
        <w:t>2.2.4招标人在踏勘现场中介绍的项目现场和相关的周边环境情况，供潜在投标人在编制投标文件时参考，招标人不对投标人据此作出的判断和决策负责。</w:t>
      </w:r>
    </w:p>
    <w:p w14:paraId="36B84C28">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348" w:name="_Toc18566"/>
      <w:bookmarkStart w:id="349" w:name="_Toc21453"/>
      <w:bookmarkStart w:id="350" w:name="_Toc292"/>
      <w:bookmarkStart w:id="351" w:name="_Toc28837"/>
      <w:bookmarkStart w:id="352" w:name="_Toc16797"/>
      <w:bookmarkStart w:id="353" w:name="_Toc10045"/>
      <w:bookmarkStart w:id="354" w:name="_Toc447265517"/>
      <w:bookmarkStart w:id="355" w:name="_Toc7705"/>
      <w:bookmarkStart w:id="356" w:name="_Toc26303"/>
      <w:bookmarkStart w:id="357" w:name="_Toc447265231"/>
      <w:bookmarkStart w:id="358" w:name="_Toc15293"/>
      <w:bookmarkStart w:id="359" w:name="_Toc20850"/>
      <w:bookmarkStart w:id="360" w:name="_Toc38007966"/>
      <w:bookmarkStart w:id="361" w:name="_Toc1004"/>
      <w:bookmarkStart w:id="362" w:name="_Toc4828"/>
      <w:bookmarkStart w:id="363" w:name="_Toc17331"/>
      <w:bookmarkStart w:id="364" w:name="_Toc447188681"/>
      <w:bookmarkStart w:id="365" w:name="_Toc7974"/>
      <w:r>
        <w:rPr>
          <w:rFonts w:hint="eastAsia" w:ascii="宋体" w:hAnsi="宋体" w:eastAsia="宋体" w:cs="宋体"/>
          <w:color w:val="auto"/>
          <w:sz w:val="24"/>
          <w:szCs w:val="24"/>
        </w:rPr>
        <w:t>2.3投标预备会</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7FFAEAB0">
      <w:pPr>
        <w:pageBreakBefore w:val="0"/>
        <w:kinsoku/>
        <w:overflowPunct/>
        <w:bidi w:val="0"/>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投标人须知前附表规定召开投标预备会的，招标人按照投标人须知前附表规定的时间和地点召开投标预备会，澄清潜在投标人提出的问题。</w:t>
      </w:r>
    </w:p>
    <w:p w14:paraId="0BEF808D">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366" w:name="_Toc24905"/>
      <w:bookmarkStart w:id="367" w:name="_Toc10766"/>
      <w:bookmarkStart w:id="368" w:name="_Toc32255"/>
      <w:bookmarkStart w:id="369" w:name="_Toc447265232"/>
      <w:bookmarkStart w:id="370" w:name="_Toc27511"/>
      <w:bookmarkStart w:id="371" w:name="_Toc19589"/>
      <w:bookmarkStart w:id="372" w:name="_Toc28013"/>
      <w:bookmarkStart w:id="373" w:name="_Toc20541"/>
      <w:bookmarkStart w:id="374" w:name="_Toc25143"/>
      <w:bookmarkStart w:id="375" w:name="_Toc38007967"/>
      <w:bookmarkStart w:id="376" w:name="_Toc447188682"/>
      <w:bookmarkStart w:id="377" w:name="_Toc5865"/>
      <w:bookmarkStart w:id="378" w:name="_Toc30745"/>
      <w:bookmarkStart w:id="379" w:name="_Toc24075"/>
      <w:bookmarkStart w:id="380" w:name="_Toc447265518"/>
      <w:bookmarkStart w:id="381" w:name="_Toc15972"/>
      <w:bookmarkStart w:id="382" w:name="_Toc13106"/>
      <w:bookmarkStart w:id="383" w:name="_Toc31671"/>
      <w:r>
        <w:rPr>
          <w:rFonts w:hint="eastAsia" w:ascii="宋体" w:hAnsi="宋体" w:eastAsia="宋体" w:cs="宋体"/>
          <w:color w:val="auto"/>
          <w:sz w:val="24"/>
          <w:szCs w:val="24"/>
        </w:rPr>
        <w:t>2.4招标文件的澄清</w:t>
      </w:r>
      <w:bookmarkEnd w:id="345"/>
      <w:bookmarkEnd w:id="346"/>
      <w:bookmarkEnd w:id="347"/>
      <w:r>
        <w:rPr>
          <w:rFonts w:hint="eastAsia" w:ascii="宋体" w:hAnsi="宋体" w:eastAsia="宋体" w:cs="宋体"/>
          <w:color w:val="auto"/>
          <w:sz w:val="24"/>
          <w:szCs w:val="24"/>
        </w:rPr>
        <w:t>和修改</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0F530E3C">
      <w:pPr>
        <w:pStyle w:val="22"/>
        <w:pageBreakBefore w:val="0"/>
        <w:tabs>
          <w:tab w:val="left" w:pos="630"/>
        </w:tabs>
        <w:kinsoku/>
        <w:overflowPunct/>
        <w:bidi w:val="0"/>
        <w:snapToGrid w:val="0"/>
        <w:spacing w:line="360" w:lineRule="auto"/>
        <w:ind w:firstLine="283" w:firstLineChars="135"/>
        <w:rPr>
          <w:rFonts w:hint="eastAsia" w:ascii="宋体" w:hAnsi="宋体" w:eastAsia="宋体" w:cs="宋体"/>
          <w:color w:val="auto"/>
        </w:rPr>
      </w:pPr>
      <w:bookmarkStart w:id="384" w:name="_Toc246996934"/>
      <w:bookmarkStart w:id="385" w:name="_Toc447265233"/>
      <w:bookmarkStart w:id="386" w:name="_Toc247085705"/>
      <w:bookmarkStart w:id="387" w:name="_Toc179632564"/>
      <w:bookmarkStart w:id="388" w:name="_Toc152042322"/>
      <w:bookmarkStart w:id="389" w:name="_Toc246996191"/>
      <w:bookmarkStart w:id="390" w:name="_Toc152045546"/>
      <w:bookmarkStart w:id="391" w:name="_Toc447188683"/>
      <w:bookmarkStart w:id="392" w:name="_Toc296602436"/>
      <w:bookmarkStart w:id="393" w:name="_Toc447265519"/>
      <w:bookmarkStart w:id="394" w:name="_Toc144974514"/>
      <w:bookmarkStart w:id="395" w:name="_Toc107822492"/>
      <w:bookmarkStart w:id="396" w:name="_Toc227057895"/>
      <w:bookmarkStart w:id="397" w:name="_Toc226969289"/>
      <w:r>
        <w:rPr>
          <w:rFonts w:hint="eastAsia" w:ascii="宋体" w:hAnsi="宋体" w:eastAsia="宋体" w:cs="宋体"/>
          <w:color w:val="auto"/>
        </w:rPr>
        <w:t>2.4.1投标人对招标文件有疑问的，应当按照投标人须知前附表规定的时间和方式，要求招标人对招标文件进行澄清。</w:t>
      </w:r>
    </w:p>
    <w:p w14:paraId="3191BEFC">
      <w:pPr>
        <w:pStyle w:val="22"/>
        <w:pageBreakBefore w:val="0"/>
        <w:tabs>
          <w:tab w:val="left" w:pos="630"/>
        </w:tabs>
        <w:kinsoku/>
        <w:overflowPunct/>
        <w:bidi w:val="0"/>
        <w:snapToGrid w:val="0"/>
        <w:spacing w:line="360" w:lineRule="auto"/>
        <w:ind w:firstLine="283" w:firstLineChars="135"/>
        <w:rPr>
          <w:rFonts w:hint="eastAsia" w:ascii="宋体" w:hAnsi="宋体" w:eastAsia="宋体" w:cs="宋体"/>
          <w:color w:val="auto"/>
        </w:rPr>
      </w:pPr>
      <w:r>
        <w:rPr>
          <w:rFonts w:hint="eastAsia" w:ascii="宋体" w:hAnsi="宋体" w:eastAsia="宋体" w:cs="宋体"/>
          <w:color w:val="auto"/>
        </w:rPr>
        <w:t>2.4.2招标人应当按照投标人须知前附表规定的时间和方式，将澄清或者修改内容发给所有购买招标文件的投标人，但不指明问题的来源。</w:t>
      </w:r>
    </w:p>
    <w:p w14:paraId="2329FDA5">
      <w:pPr>
        <w:pStyle w:val="22"/>
        <w:pageBreakBefore w:val="0"/>
        <w:tabs>
          <w:tab w:val="left" w:pos="630"/>
        </w:tabs>
        <w:kinsoku/>
        <w:overflowPunct/>
        <w:bidi w:val="0"/>
        <w:snapToGrid w:val="0"/>
        <w:spacing w:line="360" w:lineRule="auto"/>
        <w:ind w:firstLine="283" w:firstLineChars="135"/>
        <w:rPr>
          <w:rFonts w:hint="eastAsia" w:ascii="宋体" w:hAnsi="宋体" w:eastAsia="宋体" w:cs="宋体"/>
          <w:color w:val="auto"/>
        </w:rPr>
      </w:pPr>
      <w:r>
        <w:rPr>
          <w:rFonts w:hint="eastAsia" w:ascii="宋体" w:hAnsi="宋体" w:eastAsia="宋体" w:cs="宋体"/>
          <w:color w:val="auto"/>
        </w:rPr>
        <w:t>2.4.3如澄清或者修改的内容可能影响投标文件编制的，应当在递交投标文件截止时间至少15日前发出，不足15日的，招标人应当相应顺延投标截止时间。</w:t>
      </w:r>
    </w:p>
    <w:p w14:paraId="5E166A7B">
      <w:pPr>
        <w:pStyle w:val="22"/>
        <w:pageBreakBefore w:val="0"/>
        <w:tabs>
          <w:tab w:val="left" w:pos="630"/>
        </w:tabs>
        <w:kinsoku/>
        <w:overflowPunct/>
        <w:bidi w:val="0"/>
        <w:snapToGrid w:val="0"/>
        <w:spacing w:line="360" w:lineRule="auto"/>
        <w:ind w:firstLine="283" w:firstLineChars="135"/>
        <w:rPr>
          <w:rFonts w:hint="eastAsia" w:ascii="宋体" w:hAnsi="宋体" w:eastAsia="宋体" w:cs="宋体"/>
          <w:color w:val="auto"/>
        </w:rPr>
      </w:pPr>
      <w:r>
        <w:rPr>
          <w:rFonts w:hint="eastAsia" w:ascii="宋体" w:hAnsi="宋体" w:eastAsia="宋体" w:cs="宋体"/>
          <w:color w:val="auto"/>
        </w:rPr>
        <w:t>2.4.4投标人收到澄清或者修改后，应当按照投标人须知前附表规定的时间和方式通知招标人，确认已收到该澄清或者修改。</w:t>
      </w:r>
    </w:p>
    <w:p w14:paraId="6B76E372">
      <w:pPr>
        <w:pStyle w:val="22"/>
        <w:pageBreakBefore w:val="0"/>
        <w:tabs>
          <w:tab w:val="left" w:pos="630"/>
        </w:tabs>
        <w:kinsoku/>
        <w:overflowPunct/>
        <w:bidi w:val="0"/>
        <w:snapToGrid w:val="0"/>
        <w:spacing w:line="360" w:lineRule="auto"/>
        <w:ind w:firstLine="283" w:firstLineChars="135"/>
        <w:rPr>
          <w:rFonts w:hint="eastAsia" w:ascii="宋体" w:hAnsi="宋体" w:eastAsia="宋体" w:cs="宋体"/>
          <w:color w:val="auto"/>
        </w:rPr>
      </w:pPr>
      <w:r>
        <w:rPr>
          <w:rFonts w:hint="eastAsia" w:ascii="宋体" w:hAnsi="宋体" w:eastAsia="宋体" w:cs="宋体"/>
          <w:color w:val="auto"/>
        </w:rPr>
        <w:t>2.4.5所有关于招标文件的澄清和修改均作为招标文件的补充部分。当招标文件、招标文件的澄清或者修改等在同一内容的表述上不一致时，以最后发出的书面文件为准。</w:t>
      </w:r>
    </w:p>
    <w:p w14:paraId="5074DF2F">
      <w:pPr>
        <w:pStyle w:val="39"/>
        <w:pageBreakBefore w:val="0"/>
        <w:numPr>
          <w:ilvl w:val="0"/>
          <w:numId w:val="5"/>
        </w:numPr>
        <w:tabs>
          <w:tab w:val="left" w:pos="588"/>
        </w:tabs>
        <w:kinsoku/>
        <w:overflowPunct/>
        <w:bidi w:val="0"/>
        <w:snapToGrid w:val="0"/>
        <w:spacing w:before="120" w:after="120" w:line="360" w:lineRule="auto"/>
        <w:ind w:left="0" w:firstLine="0"/>
        <w:jc w:val="left"/>
        <w:rPr>
          <w:rFonts w:hint="eastAsia" w:ascii="宋体" w:hAnsi="宋体" w:eastAsia="宋体" w:cs="宋体"/>
          <w:color w:val="auto"/>
          <w:sz w:val="28"/>
          <w:szCs w:val="28"/>
        </w:rPr>
      </w:pPr>
      <w:bookmarkStart w:id="398" w:name="_Toc16992"/>
      <w:bookmarkStart w:id="399" w:name="_Toc13317"/>
      <w:bookmarkStart w:id="400" w:name="_Toc13721"/>
      <w:bookmarkStart w:id="401" w:name="_Toc30573"/>
      <w:bookmarkStart w:id="402" w:name="_Toc5492"/>
      <w:bookmarkStart w:id="403" w:name="_Toc21479"/>
      <w:bookmarkStart w:id="404" w:name="_Toc2181"/>
      <w:bookmarkStart w:id="405" w:name="_Toc18917"/>
      <w:bookmarkStart w:id="406" w:name="_Toc22114"/>
      <w:bookmarkStart w:id="407" w:name="_Toc6040"/>
      <w:bookmarkStart w:id="408" w:name="_Toc31202"/>
      <w:bookmarkStart w:id="409" w:name="_Toc38007968"/>
      <w:bookmarkStart w:id="410" w:name="_Toc14761"/>
      <w:bookmarkStart w:id="411" w:name="_Toc28204"/>
      <w:bookmarkStart w:id="412" w:name="_Toc32280"/>
      <w:r>
        <w:rPr>
          <w:rFonts w:hint="eastAsia" w:ascii="宋体" w:hAnsi="宋体" w:eastAsia="宋体" w:cs="宋体"/>
          <w:color w:val="auto"/>
          <w:sz w:val="28"/>
          <w:szCs w:val="28"/>
        </w:rPr>
        <w:t>投标文件</w:t>
      </w:r>
      <w:bookmarkEnd w:id="384"/>
      <w:bookmarkEnd w:id="385"/>
      <w:bookmarkEnd w:id="386"/>
      <w:bookmarkEnd w:id="387"/>
      <w:bookmarkEnd w:id="388"/>
      <w:bookmarkEnd w:id="389"/>
      <w:bookmarkEnd w:id="390"/>
      <w:bookmarkEnd w:id="391"/>
      <w:bookmarkEnd w:id="392"/>
      <w:bookmarkEnd w:id="393"/>
      <w:bookmarkEnd w:id="394"/>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bookmarkEnd w:id="43"/>
    <w:bookmarkEnd w:id="395"/>
    <w:bookmarkEnd w:id="396"/>
    <w:bookmarkEnd w:id="397"/>
    <w:p w14:paraId="151D54CB">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413" w:name="_Toc227057896"/>
      <w:bookmarkStart w:id="414" w:name="_Toc226969290"/>
      <w:bookmarkStart w:id="415" w:name="_Toc107822493"/>
      <w:bookmarkStart w:id="416" w:name="_Toc450489293"/>
      <w:bookmarkStart w:id="417" w:name="_Toc18542"/>
      <w:bookmarkStart w:id="418" w:name="_Toc20788"/>
      <w:bookmarkStart w:id="419" w:name="_Toc14521"/>
      <w:bookmarkStart w:id="420" w:name="_Toc447265234"/>
      <w:bookmarkStart w:id="421" w:name="_Toc2349"/>
      <w:bookmarkStart w:id="422" w:name="_Toc2337"/>
      <w:bookmarkStart w:id="423" w:name="_Toc7745"/>
      <w:bookmarkStart w:id="424" w:name="_Toc447265520"/>
      <w:bookmarkStart w:id="425" w:name="_Toc3728"/>
      <w:bookmarkStart w:id="426" w:name="_Toc20459"/>
      <w:bookmarkStart w:id="427" w:name="_Toc38007969"/>
      <w:bookmarkStart w:id="428" w:name="_Toc28664"/>
      <w:bookmarkStart w:id="429" w:name="_Toc7225"/>
      <w:bookmarkStart w:id="430" w:name="_Toc6212"/>
      <w:bookmarkStart w:id="431" w:name="_Toc28937"/>
      <w:bookmarkStart w:id="432" w:name="_Toc2392"/>
      <w:bookmarkStart w:id="433" w:name="_Toc447188684"/>
      <w:bookmarkStart w:id="434" w:name="_Toc29871"/>
      <w:bookmarkStart w:id="435" w:name="_Toc447265528"/>
      <w:bookmarkStart w:id="436" w:name="_Toc184635074"/>
      <w:bookmarkStart w:id="437" w:name="_Toc447265242"/>
      <w:bookmarkStart w:id="438" w:name="_Toc488655848"/>
      <w:bookmarkStart w:id="439" w:name="_Toc107822503"/>
      <w:bookmarkStart w:id="440" w:name="_Toc227057906"/>
      <w:bookmarkStart w:id="441" w:name="_Toc226969300"/>
      <w:r>
        <w:rPr>
          <w:rFonts w:hint="eastAsia" w:ascii="宋体" w:hAnsi="宋体" w:eastAsia="宋体" w:cs="宋体"/>
          <w:color w:val="auto"/>
          <w:sz w:val="24"/>
          <w:szCs w:val="24"/>
        </w:rPr>
        <w:t>3.1投标文件的</w:t>
      </w:r>
      <w:bookmarkEnd w:id="413"/>
      <w:bookmarkEnd w:id="414"/>
      <w:bookmarkEnd w:id="415"/>
      <w:r>
        <w:rPr>
          <w:rFonts w:hint="eastAsia" w:ascii="宋体" w:hAnsi="宋体" w:eastAsia="宋体" w:cs="宋体"/>
          <w:color w:val="auto"/>
          <w:sz w:val="24"/>
          <w:szCs w:val="24"/>
        </w:rPr>
        <w:t>组成</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5550EFA6">
      <w:pPr>
        <w:pageBreakBefore w:val="0"/>
        <w:kinsoku/>
        <w:overflowPunct/>
        <w:bidi w:val="0"/>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投标人应当按照投标人须知前附表的要求制作并递交投标文件。投标文件组成见投标人须知前附表。</w:t>
      </w:r>
    </w:p>
    <w:p w14:paraId="669EE864">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442" w:name="_Toc5101"/>
      <w:bookmarkStart w:id="443" w:name="_Toc393"/>
      <w:bookmarkStart w:id="444" w:name="_Toc19977"/>
      <w:bookmarkStart w:id="445" w:name="_Toc5960"/>
      <w:bookmarkStart w:id="446" w:name="_Toc12157"/>
      <w:bookmarkStart w:id="447" w:name="_Toc447265235"/>
      <w:bookmarkStart w:id="448" w:name="_Toc19145"/>
      <w:bookmarkStart w:id="449" w:name="_Toc450489294"/>
      <w:bookmarkStart w:id="450" w:name="_Toc26736"/>
      <w:bookmarkStart w:id="451" w:name="_Toc21574"/>
      <w:bookmarkStart w:id="452" w:name="_Toc12800"/>
      <w:bookmarkStart w:id="453" w:name="_Toc447265521"/>
      <w:bookmarkStart w:id="454" w:name="_Toc38007970"/>
      <w:bookmarkStart w:id="455" w:name="_Toc447188685"/>
      <w:bookmarkStart w:id="456" w:name="_Toc11107"/>
      <w:bookmarkStart w:id="457" w:name="_Toc13743"/>
      <w:bookmarkStart w:id="458" w:name="_Toc3899"/>
      <w:bookmarkStart w:id="459" w:name="_Toc8554"/>
      <w:bookmarkStart w:id="460" w:name="_Toc24392"/>
      <w:r>
        <w:rPr>
          <w:rFonts w:hint="eastAsia" w:ascii="宋体" w:hAnsi="宋体" w:eastAsia="宋体" w:cs="宋体"/>
          <w:color w:val="auto"/>
          <w:sz w:val="24"/>
          <w:szCs w:val="24"/>
        </w:rPr>
        <w:t>3.2投标文件的编制</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18A52DA9">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3.2.1投标人应当按照招标文件的要求编制投标文件，投标文件应当对招标文件提出的实质性要求和条件作出响应。</w:t>
      </w:r>
    </w:p>
    <w:p w14:paraId="74642A39">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3.2.2投标人应当认真阅读招标文件中所有的事项、格式、条款和技术规范等。投标人没有按照招标文件要求递交全部资料或者投标人没有对招标文件在各方面都作出实质性响应是投标人的风险，并可能导致其投标被否决。投标文件应答和编写的具体要求见投标人须知前附表。</w:t>
      </w:r>
    </w:p>
    <w:p w14:paraId="4673B6DB">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3.2.3投标人递交的投标文件以及投标人与招标人就有关投标的所有往来函电均应当使用中文。投标人递交的证明文件和文献可以使用另一种语言，但相应内容应当译成中文，在解释投标文件时以中文译本为准。</w:t>
      </w:r>
    </w:p>
    <w:p w14:paraId="1E0DD6C3">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3.2.4投标文件应当使用不褪色的材料书写或者打印，并加盖单位公章或者由投标人的法定代表人或者其委托代理人签字，委托代理人签字的，投标文件应当附法定代表人签署的授权委托书。投标文件应当尽量避免涂改、行间插字或者删除。如果出现上述情况，改动之处应当加盖单位公章或者由投标人的法定代表人或者其委托代理人签字确认。盖章或者签字另有要求的，见投标人须知前附表。</w:t>
      </w:r>
    </w:p>
    <w:p w14:paraId="69E3BFCA">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461" w:name="_Toc18220"/>
      <w:bookmarkStart w:id="462" w:name="_Toc26335"/>
      <w:bookmarkStart w:id="463" w:name="_Toc447188686"/>
      <w:bookmarkStart w:id="464" w:name="_Toc17123"/>
      <w:bookmarkStart w:id="465" w:name="_Toc14887"/>
      <w:bookmarkStart w:id="466" w:name="_Toc23956"/>
      <w:bookmarkStart w:id="467" w:name="_Toc450489295"/>
      <w:bookmarkStart w:id="468" w:name="_Toc38007971"/>
      <w:bookmarkStart w:id="469" w:name="_Toc27205"/>
      <w:bookmarkStart w:id="470" w:name="_Toc447265522"/>
      <w:bookmarkStart w:id="471" w:name="_Toc447265236"/>
      <w:bookmarkStart w:id="472" w:name="_Toc32723"/>
      <w:bookmarkStart w:id="473" w:name="_Toc23867"/>
      <w:bookmarkStart w:id="474" w:name="_Toc227057898"/>
      <w:bookmarkStart w:id="475" w:name="_Toc107822495"/>
      <w:bookmarkStart w:id="476" w:name="_Toc25403"/>
      <w:bookmarkStart w:id="477" w:name="_Toc1803"/>
      <w:bookmarkStart w:id="478" w:name="_Toc7753"/>
      <w:bookmarkStart w:id="479" w:name="_Toc29953"/>
      <w:bookmarkStart w:id="480" w:name="_Toc12655"/>
      <w:bookmarkStart w:id="481" w:name="_Toc9070"/>
      <w:bookmarkStart w:id="482" w:name="_Toc226969292"/>
      <w:r>
        <w:rPr>
          <w:rFonts w:hint="eastAsia" w:ascii="宋体" w:hAnsi="宋体" w:eastAsia="宋体" w:cs="宋体"/>
          <w:color w:val="auto"/>
          <w:sz w:val="24"/>
          <w:szCs w:val="24"/>
        </w:rPr>
        <w:t>3.3投标报价</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26B43152">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3.3.1投标人应当根据招标文件要求进行报价，投标人应当报出符合招标文件要求的拟提供投标货物的单价（如适用）和总价。</w:t>
      </w:r>
    </w:p>
    <w:p w14:paraId="3189A05F">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3.3.2投标货币：人民币。</w:t>
      </w:r>
    </w:p>
    <w:p w14:paraId="67664577">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3.3.3招标人设有最高投标限价的，投标人的投标报价不得超过最高投标限价，否则其投标将被否决。最高投标限价或者其计算方法见投标人须知前附表。</w:t>
      </w:r>
    </w:p>
    <w:p w14:paraId="6128BD61">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3.3.4招标人不接受投标人的任何低于成本报价的不正当竞争方式。</w:t>
      </w:r>
    </w:p>
    <w:p w14:paraId="36BFE9F0">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3.3.5只有在招标文件要求或者允许报优惠价时，投标人才可以报出。投标人优惠报价的数额，开标时也必须当众宣读。关于优惠条件的规定见投标人须知前附表。</w:t>
      </w:r>
    </w:p>
    <w:p w14:paraId="578D98BE">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3.3.6投标报价的具体要求见投标人须知前附表。</w:t>
      </w:r>
    </w:p>
    <w:p w14:paraId="51651F8F">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483" w:name="_Toc11066"/>
      <w:bookmarkStart w:id="484" w:name="_Toc6508"/>
      <w:bookmarkStart w:id="485" w:name="_Toc15890"/>
      <w:bookmarkStart w:id="486" w:name="_Toc15376"/>
      <w:bookmarkStart w:id="487" w:name="_Toc450489296"/>
      <w:bookmarkStart w:id="488" w:name="_Toc19552"/>
      <w:bookmarkStart w:id="489" w:name="_Toc10024"/>
      <w:bookmarkStart w:id="490" w:name="_Toc5636"/>
      <w:bookmarkStart w:id="491" w:name="_Toc22989"/>
      <w:bookmarkStart w:id="492" w:name="_Toc107822500"/>
      <w:bookmarkStart w:id="493" w:name="_Toc4294"/>
      <w:bookmarkStart w:id="494" w:name="_Toc227057902"/>
      <w:bookmarkStart w:id="495" w:name="_Toc38007972"/>
      <w:bookmarkStart w:id="496" w:name="_Toc6798"/>
      <w:bookmarkStart w:id="497" w:name="_Toc19983"/>
      <w:bookmarkStart w:id="498" w:name="_Toc447188687"/>
      <w:bookmarkStart w:id="499" w:name="_Toc7690"/>
      <w:bookmarkStart w:id="500" w:name="_Toc226969296"/>
      <w:bookmarkStart w:id="501" w:name="_Toc22636"/>
      <w:bookmarkStart w:id="502" w:name="_Toc447265237"/>
      <w:bookmarkStart w:id="503" w:name="_Toc447265523"/>
      <w:bookmarkStart w:id="504" w:name="_Toc5943"/>
      <w:bookmarkStart w:id="505" w:name="_Toc227057901"/>
      <w:bookmarkStart w:id="506" w:name="_Toc107822499"/>
      <w:bookmarkStart w:id="507" w:name="_Toc226969295"/>
      <w:r>
        <w:rPr>
          <w:rFonts w:hint="eastAsia" w:ascii="宋体" w:hAnsi="宋体" w:eastAsia="宋体" w:cs="宋体"/>
          <w:color w:val="auto"/>
          <w:sz w:val="24"/>
          <w:szCs w:val="24"/>
        </w:rPr>
        <w:t>3.4投标有效期</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2A982275">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3.4.1投标有效期从递交投标文件截止之日起计算。投标有效期的具体时间见投标人须知前附表。在此期间，投标人不得要求撤销或者修改其投标文件。投标有效期不满足招标文件要求的投标将被否决。</w:t>
      </w:r>
    </w:p>
    <w:p w14:paraId="01E857E0">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3.4.2在原定投标有效期满之前，如果出现特殊情况，招标人决定延长投标有效期的，应当以书面形式向投标人提出延长投标有效期的要求，投标人须以书面形式予以答复。投标人同意延长投标有效期的，不得修改其投标文件的实质性内容，但应当相应延长其投标保证金有效期；投标人拒绝延长投标有效期的，其投标失效，投标人有权收回其投标保证金。</w:t>
      </w:r>
    </w:p>
    <w:p w14:paraId="5E146BB5">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508" w:name="_Toc9857"/>
      <w:bookmarkStart w:id="509" w:name="_Toc5755"/>
      <w:bookmarkStart w:id="510" w:name="_Toc16444"/>
      <w:bookmarkStart w:id="511" w:name="_Toc7665"/>
      <w:bookmarkStart w:id="512" w:name="_Toc450489297"/>
      <w:bookmarkStart w:id="513" w:name="_Toc447265238"/>
      <w:bookmarkStart w:id="514" w:name="_Toc19756"/>
      <w:bookmarkStart w:id="515" w:name="_Toc28826"/>
      <w:bookmarkStart w:id="516" w:name="_Toc21167"/>
      <w:bookmarkStart w:id="517" w:name="_Toc9019"/>
      <w:bookmarkStart w:id="518" w:name="_Toc447265524"/>
      <w:bookmarkStart w:id="519" w:name="_Toc24526"/>
      <w:bookmarkStart w:id="520" w:name="_Toc29236"/>
      <w:bookmarkStart w:id="521" w:name="_Toc447188688"/>
      <w:bookmarkStart w:id="522" w:name="_Toc23167"/>
      <w:bookmarkStart w:id="523" w:name="_Toc24465"/>
      <w:bookmarkStart w:id="524" w:name="_Toc11724"/>
      <w:bookmarkStart w:id="525" w:name="_Toc38007973"/>
      <w:bookmarkStart w:id="526" w:name="_Toc2832"/>
      <w:r>
        <w:rPr>
          <w:rFonts w:hint="eastAsia" w:ascii="宋体" w:hAnsi="宋体" w:eastAsia="宋体" w:cs="宋体"/>
          <w:color w:val="auto"/>
          <w:sz w:val="24"/>
          <w:szCs w:val="24"/>
        </w:rPr>
        <w:t>3.5投标保证金</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327F0695">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3.5.1招标人要求投标人递交投标保证金的，投标人必须在递交投标文件的同时，按照投标人须知前附表的规定递交投标保证金。投标保证金一般不超过项目估算价的2%，但最高不得超过80万元人民币，本招标项目的投标保证金金额见投标人须知前附表。</w:t>
      </w:r>
    </w:p>
    <w:p w14:paraId="1FCA587C">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3.5.2招标人可以规定投标保证金是以现金、支票、银行汇票、在中国注册的银行出具的银行保函等方式递交，依法必须进行招标的项目的境内投标人，以现金或者支票形式递交的投标保证金应当从其基本账户转出。投标保证金有效期应当与投标有效期一致。投标保证金的形式见投标人须知前附表。</w:t>
      </w:r>
    </w:p>
    <w:p w14:paraId="1C741280">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3.5.3招标人最迟应当在书面合同签订后5日内向中标人和未中标的投标人退还投标保证金及银行同期存款利息。</w:t>
      </w:r>
    </w:p>
    <w:p w14:paraId="2B858DB2">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3.5.4发生下列情形之一时，投标保证金可不予退还：</w:t>
      </w:r>
    </w:p>
    <w:p w14:paraId="1029916A">
      <w:pPr>
        <w:pageBreakBefore w:val="0"/>
        <w:tabs>
          <w:tab w:val="left" w:pos="630"/>
        </w:tabs>
        <w:kinsoku/>
        <w:overflowPunct/>
        <w:bidi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（1）投标人在招标文件中规定的投标有效期内撤销投标的；</w:t>
      </w:r>
    </w:p>
    <w:p w14:paraId="11919761">
      <w:pPr>
        <w:pStyle w:val="51"/>
        <w:pageBreakBefore w:val="0"/>
        <w:tabs>
          <w:tab w:val="left" w:pos="630"/>
        </w:tabs>
        <w:kinsoku/>
        <w:overflowPunct/>
        <w:bidi w:val="0"/>
        <w:spacing w:line="360" w:lineRule="auto"/>
        <w:ind w:left="424" w:firstLine="0" w:firstLineChars="0"/>
        <w:rPr>
          <w:rFonts w:hint="eastAsia" w:ascii="宋体" w:hAnsi="宋体" w:eastAsia="宋体" w:cs="宋体"/>
          <w:color w:val="auto"/>
        </w:rPr>
      </w:pPr>
      <w:r>
        <w:rPr>
          <w:rFonts w:hint="eastAsia" w:ascii="宋体" w:hAnsi="宋体" w:eastAsia="宋体" w:cs="宋体"/>
          <w:color w:val="auto"/>
        </w:rPr>
        <w:t>（2）中标人无正当理由不与招标人在规定期限内订立合同、在签订合同时向招标人提出附加条件，或者不按照招标文件要求递交履约保证金的；</w:t>
      </w:r>
    </w:p>
    <w:p w14:paraId="54D7A4F8">
      <w:pPr>
        <w:pStyle w:val="51"/>
        <w:pageBreakBefore w:val="0"/>
        <w:tabs>
          <w:tab w:val="left" w:pos="630"/>
        </w:tabs>
        <w:kinsoku/>
        <w:overflowPunct/>
        <w:bidi w:val="0"/>
        <w:spacing w:line="360" w:lineRule="auto"/>
        <w:ind w:left="424" w:firstLine="0" w:firstLineChars="0"/>
        <w:rPr>
          <w:rFonts w:hint="eastAsia" w:ascii="宋体" w:hAnsi="宋体" w:eastAsia="宋体" w:cs="宋体"/>
          <w:color w:val="auto"/>
        </w:rPr>
      </w:pPr>
      <w:r>
        <w:rPr>
          <w:rFonts w:hint="eastAsia" w:ascii="宋体" w:hAnsi="宋体" w:eastAsia="宋体" w:cs="宋体"/>
          <w:color w:val="auto"/>
        </w:rPr>
        <w:t>（3）投标人有串通投标、弄虚作假等行为的；</w:t>
      </w:r>
    </w:p>
    <w:p w14:paraId="2267463D">
      <w:pPr>
        <w:pStyle w:val="51"/>
        <w:pageBreakBefore w:val="0"/>
        <w:tabs>
          <w:tab w:val="left" w:pos="630"/>
        </w:tabs>
        <w:kinsoku/>
        <w:overflowPunct/>
        <w:bidi w:val="0"/>
        <w:spacing w:line="360" w:lineRule="auto"/>
        <w:ind w:left="424" w:firstLine="0" w:firstLineChars="0"/>
        <w:rPr>
          <w:rFonts w:hint="eastAsia" w:ascii="宋体" w:hAnsi="宋体" w:eastAsia="宋体" w:cs="宋体"/>
          <w:color w:val="auto"/>
        </w:rPr>
      </w:pPr>
      <w:r>
        <w:rPr>
          <w:rFonts w:hint="eastAsia" w:ascii="宋体" w:hAnsi="宋体" w:eastAsia="宋体" w:cs="宋体"/>
          <w:color w:val="auto"/>
        </w:rPr>
        <w:t>（4）其他规定见投标人须知前附表。</w:t>
      </w:r>
    </w:p>
    <w:p w14:paraId="6E2F13D9">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3.5.5未递交投标保证金或者递交的投标保证金有瑕疵的投标将被否决。</w:t>
      </w:r>
    </w:p>
    <w:p w14:paraId="5A0C39B0">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527" w:name="_Toc32624"/>
      <w:bookmarkStart w:id="528" w:name="_Toc447265525"/>
      <w:bookmarkStart w:id="529" w:name="_Toc227057903"/>
      <w:bookmarkStart w:id="530" w:name="_Toc9407"/>
      <w:bookmarkStart w:id="531" w:name="_Toc447265239"/>
      <w:bookmarkStart w:id="532" w:name="_Toc17973"/>
      <w:bookmarkStart w:id="533" w:name="_Toc28323"/>
      <w:bookmarkStart w:id="534" w:name="_Toc15231"/>
      <w:bookmarkStart w:id="535" w:name="_Toc450489298"/>
      <w:bookmarkStart w:id="536" w:name="_Toc19676"/>
      <w:bookmarkStart w:id="537" w:name="_Toc226969297"/>
      <w:bookmarkStart w:id="538" w:name="_Toc38007974"/>
      <w:bookmarkStart w:id="539" w:name="_Toc4752"/>
      <w:bookmarkStart w:id="540" w:name="_Toc15606"/>
      <w:bookmarkStart w:id="541" w:name="_Toc30519"/>
      <w:bookmarkStart w:id="542" w:name="_Toc2634"/>
      <w:bookmarkStart w:id="543" w:name="_Toc25922"/>
      <w:bookmarkStart w:id="544" w:name="_Toc15787"/>
      <w:bookmarkStart w:id="545" w:name="_Toc12482"/>
      <w:bookmarkStart w:id="546" w:name="_Toc26324"/>
      <w:bookmarkStart w:id="547" w:name="_Toc447188689"/>
      <w:bookmarkStart w:id="548" w:name="_Toc107822501"/>
      <w:r>
        <w:rPr>
          <w:rFonts w:hint="eastAsia" w:ascii="宋体" w:hAnsi="宋体" w:eastAsia="宋体" w:cs="宋体"/>
          <w:color w:val="auto"/>
          <w:sz w:val="24"/>
          <w:szCs w:val="24"/>
        </w:rPr>
        <w:t>3.6备选投标方案</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33A2B6D3">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3.6.1除投标人须知前附表另有规定外，投标人不得递交备选投标方案。</w:t>
      </w:r>
    </w:p>
    <w:p w14:paraId="664157FD">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3.6.2若招标人在招标文件中邀请投标人递交备选方案，则投标人除按照招标文件规定的基本方案编制和递交投标文件外，可以附加递交备选投标方案。</w:t>
      </w:r>
    </w:p>
    <w:p w14:paraId="3A197309">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3.6.3备选投标方案应当说明其对基本方案的改进意见和带来的效益，并附必要的图纸、设计计算、技术要求及其他有关资料，在封面上应当注明“备选投标方案”字样。</w:t>
      </w:r>
    </w:p>
    <w:p w14:paraId="40583FBA">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3.6.4允许投标人递交备选投标方案的，只有符合招标文件要求且评标价最低或者综合评分最高而被推荐为中标候选人的投标人所递交的备选投标方案，可予以考虑。评标委员会认为其备选投标方案优于其按照招标文件要求编制的投标方案的，招标人可以接受该备选投标方案。</w:t>
      </w:r>
    </w:p>
    <w:p w14:paraId="346AC00B">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549" w:name="_Toc226969298"/>
      <w:bookmarkStart w:id="550" w:name="_Toc227057904"/>
      <w:bookmarkStart w:id="551" w:name="_Toc31065"/>
      <w:bookmarkStart w:id="552" w:name="_Toc12403"/>
      <w:bookmarkStart w:id="553" w:name="_Toc447265526"/>
      <w:bookmarkStart w:id="554" w:name="_Toc21833"/>
      <w:bookmarkStart w:id="555" w:name="_Toc32728"/>
      <w:bookmarkStart w:id="556" w:name="_Toc14800"/>
      <w:bookmarkStart w:id="557" w:name="_Toc447265240"/>
      <w:bookmarkStart w:id="558" w:name="_Toc450489299"/>
      <w:bookmarkStart w:id="559" w:name="_Toc1399"/>
      <w:bookmarkStart w:id="560" w:name="_Toc25190"/>
      <w:bookmarkStart w:id="561" w:name="_Toc447188690"/>
      <w:bookmarkStart w:id="562" w:name="_Toc30575"/>
      <w:bookmarkStart w:id="563" w:name="_Toc16234"/>
      <w:bookmarkStart w:id="564" w:name="_Toc21570"/>
      <w:bookmarkStart w:id="565" w:name="_Toc20856"/>
      <w:bookmarkStart w:id="566" w:name="_Toc38007975"/>
      <w:bookmarkStart w:id="567" w:name="_Toc18620"/>
      <w:bookmarkStart w:id="568" w:name="_Toc4471"/>
      <w:bookmarkStart w:id="569" w:name="_Toc32394"/>
      <w:r>
        <w:rPr>
          <w:rFonts w:hint="eastAsia" w:ascii="宋体" w:hAnsi="宋体" w:eastAsia="宋体" w:cs="宋体"/>
          <w:color w:val="auto"/>
          <w:sz w:val="24"/>
          <w:szCs w:val="24"/>
        </w:rPr>
        <w:t>3.7投标文件的式样</w:t>
      </w:r>
      <w:bookmarkEnd w:id="548"/>
      <w:bookmarkEnd w:id="549"/>
      <w:bookmarkEnd w:id="550"/>
      <w:r>
        <w:rPr>
          <w:rFonts w:hint="eastAsia" w:ascii="宋体" w:hAnsi="宋体" w:eastAsia="宋体" w:cs="宋体"/>
          <w:color w:val="auto"/>
          <w:sz w:val="24"/>
          <w:szCs w:val="24"/>
        </w:rPr>
        <w:t>、密封和标记（递交纸质文件适用）</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155B1675">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3.7.1投标人应当编制一份投标文件“正本”和投标人须知前附表所述份数的“副本”和“电子版”，副本为正本复印件。投标文件正本和副本如有不一致之处，以正本为准；纸质版文件与电子版文件不一致时，以纸质版文件为准。</w:t>
      </w:r>
    </w:p>
    <w:p w14:paraId="759A92D1">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3.7.2每份投标文件的正本、副本及电子版应当分别装订，并于封面上明确标明“正本”“副本”和“电子版”字样。</w:t>
      </w:r>
    </w:p>
    <w:p w14:paraId="36F3ABB9">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3.7.3投标文件应当按照招标文件规定密封包装，并于封装封面上明确标明“正本”“副本”和“电子版”字样。密封的所有黏接缝隙必须加盖单位公章或者由投标人的法定代表人或者其委托代理人签字。</w:t>
      </w:r>
    </w:p>
    <w:p w14:paraId="3A827191">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3.7.4外层包封应当写明招标人的名称和地址、项目名称、招标编号、并注明开标时间以前不得开封。还应当写明投标人的名称与地址、邮政编码，以便投标出现逾期送达时能原封退回。</w:t>
      </w:r>
    </w:p>
    <w:p w14:paraId="2BDFDC65">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3.7.5递交投标文件时，招标人应当对符合招标文件规定密封和标记的投标文件进行签收。</w:t>
      </w:r>
    </w:p>
    <w:p w14:paraId="55E62F64">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3.7.6招标人对于投标文件密封、标记另有要求的，见投标人须知前附表。</w:t>
      </w:r>
    </w:p>
    <w:p w14:paraId="71053D83">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570" w:name="_Toc38007976"/>
      <w:bookmarkStart w:id="571" w:name="_Toc2759"/>
      <w:bookmarkStart w:id="572" w:name="_Toc28757"/>
      <w:bookmarkStart w:id="573" w:name="_Toc8827"/>
      <w:bookmarkStart w:id="574" w:name="_Toc7847"/>
      <w:bookmarkStart w:id="575" w:name="_Toc439838338"/>
      <w:bookmarkStart w:id="576" w:name="_Toc27999"/>
      <w:bookmarkStart w:id="577" w:name="_Toc447265527"/>
      <w:bookmarkStart w:id="578" w:name="_Toc22335"/>
      <w:bookmarkStart w:id="579" w:name="_Toc11827"/>
      <w:bookmarkStart w:id="580" w:name="_Toc8006"/>
      <w:bookmarkStart w:id="581" w:name="_Toc170"/>
      <w:bookmarkStart w:id="582" w:name="_Toc447265241"/>
      <w:bookmarkStart w:id="583" w:name="_Toc31512"/>
      <w:bookmarkStart w:id="584" w:name="_Toc450489300"/>
      <w:bookmarkStart w:id="585" w:name="_Toc24977"/>
      <w:bookmarkStart w:id="586" w:name="_Toc4698"/>
      <w:bookmarkStart w:id="587" w:name="_Toc8988"/>
      <w:bookmarkStart w:id="588" w:name="_Toc32639"/>
      <w:bookmarkStart w:id="589" w:name="_Toc447188691"/>
      <w:r>
        <w:rPr>
          <w:rFonts w:hint="eastAsia" w:ascii="宋体" w:hAnsi="宋体" w:eastAsia="宋体" w:cs="宋体"/>
          <w:color w:val="auto"/>
          <w:sz w:val="24"/>
          <w:szCs w:val="24"/>
        </w:rPr>
        <w:t>3.8电子招标的投标文件上传形式</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53854631">
      <w:pPr>
        <w:pageBreakBefore w:val="0"/>
        <w:kinsoku/>
        <w:overflowPunct/>
        <w:bidi w:val="0"/>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投标文件应当按照投标人须知前附表要求的形式上传。</w:t>
      </w:r>
    </w:p>
    <w:p w14:paraId="46C13AEC">
      <w:pPr>
        <w:pStyle w:val="39"/>
        <w:pageBreakBefore w:val="0"/>
        <w:numPr>
          <w:ilvl w:val="0"/>
          <w:numId w:val="5"/>
        </w:numPr>
        <w:tabs>
          <w:tab w:val="left" w:pos="588"/>
        </w:tabs>
        <w:kinsoku/>
        <w:overflowPunct/>
        <w:bidi w:val="0"/>
        <w:snapToGrid w:val="0"/>
        <w:spacing w:before="120" w:after="120" w:line="360" w:lineRule="auto"/>
        <w:ind w:left="0" w:firstLine="0"/>
        <w:jc w:val="left"/>
        <w:rPr>
          <w:rFonts w:hint="eastAsia" w:ascii="宋体" w:hAnsi="宋体" w:eastAsia="宋体" w:cs="宋体"/>
          <w:color w:val="auto"/>
          <w:sz w:val="28"/>
          <w:szCs w:val="28"/>
        </w:rPr>
      </w:pPr>
      <w:bookmarkStart w:id="590" w:name="_Toc427"/>
      <w:bookmarkStart w:id="591" w:name="_Toc6331"/>
      <w:bookmarkStart w:id="592" w:name="_Toc25895"/>
      <w:bookmarkStart w:id="593" w:name="_Toc12168"/>
      <w:bookmarkStart w:id="594" w:name="_Toc13379"/>
      <w:bookmarkStart w:id="595" w:name="_Toc38007977"/>
      <w:bookmarkStart w:id="596" w:name="_Toc32035"/>
      <w:bookmarkStart w:id="597" w:name="_Toc25325"/>
      <w:bookmarkStart w:id="598" w:name="_Toc22838"/>
      <w:bookmarkStart w:id="599" w:name="_Toc13681"/>
      <w:bookmarkStart w:id="600" w:name="_Toc25710"/>
      <w:bookmarkStart w:id="601" w:name="_Toc3770"/>
      <w:bookmarkStart w:id="602" w:name="_Toc3620"/>
      <w:bookmarkStart w:id="603" w:name="_Toc26243"/>
      <w:bookmarkStart w:id="604" w:name="_Toc20932"/>
      <w:r>
        <w:rPr>
          <w:rFonts w:hint="eastAsia" w:ascii="宋体" w:hAnsi="宋体" w:eastAsia="宋体" w:cs="宋体"/>
          <w:color w:val="auto"/>
          <w:sz w:val="28"/>
          <w:szCs w:val="28"/>
        </w:rPr>
        <w:t>投标</w:t>
      </w:r>
      <w:bookmarkEnd w:id="435"/>
      <w:bookmarkEnd w:id="436"/>
      <w:bookmarkEnd w:id="437"/>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3AB69FF2">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605" w:name="_Toc17180"/>
      <w:bookmarkStart w:id="606" w:name="_Toc447265529"/>
      <w:bookmarkStart w:id="607" w:name="_Toc38007978"/>
      <w:bookmarkStart w:id="608" w:name="_Toc1414"/>
      <w:bookmarkStart w:id="609" w:name="_Toc21777"/>
      <w:bookmarkStart w:id="610" w:name="_Toc24715"/>
      <w:bookmarkStart w:id="611" w:name="_Toc9254"/>
      <w:bookmarkStart w:id="612" w:name="_Toc23677"/>
      <w:bookmarkStart w:id="613" w:name="_Toc6228"/>
      <w:bookmarkStart w:id="614" w:name="_Toc2580"/>
      <w:bookmarkStart w:id="615" w:name="_Toc447188692"/>
      <w:bookmarkStart w:id="616" w:name="_Toc447265243"/>
      <w:bookmarkStart w:id="617" w:name="_Toc18200"/>
      <w:bookmarkStart w:id="618" w:name="_Toc25805"/>
      <w:bookmarkStart w:id="619" w:name="_Toc9731"/>
      <w:bookmarkStart w:id="620" w:name="_Toc32585"/>
      <w:bookmarkStart w:id="621" w:name="_Toc1654"/>
      <w:bookmarkStart w:id="622" w:name="_Toc14518"/>
      <w:r>
        <w:rPr>
          <w:rFonts w:hint="eastAsia" w:ascii="宋体" w:hAnsi="宋体" w:eastAsia="宋体" w:cs="宋体"/>
          <w:color w:val="auto"/>
          <w:sz w:val="24"/>
          <w:szCs w:val="24"/>
        </w:rPr>
        <w:t>4.1投标</w:t>
      </w:r>
      <w:bookmarkEnd w:id="438"/>
      <w:bookmarkEnd w:id="439"/>
      <w:r>
        <w:rPr>
          <w:rFonts w:hint="eastAsia" w:ascii="宋体" w:hAnsi="宋体" w:eastAsia="宋体" w:cs="宋体"/>
          <w:color w:val="auto"/>
          <w:sz w:val="24"/>
          <w:szCs w:val="24"/>
        </w:rPr>
        <w:t>文件的递交</w:t>
      </w:r>
      <w:bookmarkEnd w:id="440"/>
      <w:bookmarkEnd w:id="441"/>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36F59778">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bookmarkStart w:id="623" w:name="_Toc488655849"/>
      <w:bookmarkStart w:id="624" w:name="_Toc107822504"/>
      <w:bookmarkStart w:id="625" w:name="_Toc107822505"/>
      <w:bookmarkStart w:id="626" w:name="_Toc226969301"/>
      <w:bookmarkStart w:id="627" w:name="_Toc488655850"/>
      <w:bookmarkStart w:id="628" w:name="_Toc227057907"/>
      <w:bookmarkStart w:id="629" w:name="_Toc447265244"/>
      <w:bookmarkStart w:id="630" w:name="_Toc447265530"/>
      <w:bookmarkStart w:id="631" w:name="_Toc447188693"/>
      <w:r>
        <w:rPr>
          <w:rFonts w:hint="eastAsia" w:ascii="宋体" w:hAnsi="宋体" w:eastAsia="宋体" w:cs="宋体"/>
          <w:color w:val="auto"/>
        </w:rPr>
        <w:t>4.1.1投标文件递交截止时间：见投标人须知前附表。</w:t>
      </w:r>
    </w:p>
    <w:p w14:paraId="47949CD9">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4.1.2投标文件递交地点：见投标人须知前附表。</w:t>
      </w:r>
    </w:p>
    <w:p w14:paraId="5951EEB5">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4.1.3招标人收到投标文件后，向投标人出具签收凭证。</w:t>
      </w:r>
    </w:p>
    <w:p w14:paraId="6EC2FFB6">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4.1.4除投标人须知前附表另有规定外，投标人所递交的投标文件不予退还。</w:t>
      </w:r>
    </w:p>
    <w:p w14:paraId="10F4CD7E">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4.1.5出现下列情形之一时，招标人/招标代理机构不予接收投标文件：</w:t>
      </w:r>
    </w:p>
    <w:p w14:paraId="1945BCFE">
      <w:pPr>
        <w:pStyle w:val="51"/>
        <w:pageBreakBefore w:val="0"/>
        <w:numPr>
          <w:ilvl w:val="0"/>
          <w:numId w:val="7"/>
        </w:numPr>
        <w:tabs>
          <w:tab w:val="left" w:pos="630"/>
        </w:tabs>
        <w:kinsoku/>
        <w:overflowPunct/>
        <w:bidi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逾期送达或者未送达指定地点的；</w:t>
      </w:r>
    </w:p>
    <w:p w14:paraId="3B99D6E3">
      <w:pPr>
        <w:pStyle w:val="51"/>
        <w:pageBreakBefore w:val="0"/>
        <w:numPr>
          <w:ilvl w:val="0"/>
          <w:numId w:val="7"/>
        </w:numPr>
        <w:tabs>
          <w:tab w:val="left" w:pos="630"/>
        </w:tabs>
        <w:kinsoku/>
        <w:overflowPunct/>
        <w:bidi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未按照招标文件要求密封的；</w:t>
      </w:r>
    </w:p>
    <w:p w14:paraId="7EA2F63E">
      <w:pPr>
        <w:pStyle w:val="51"/>
        <w:pageBreakBefore w:val="0"/>
        <w:numPr>
          <w:ilvl w:val="0"/>
          <w:numId w:val="7"/>
        </w:numPr>
        <w:tabs>
          <w:tab w:val="left" w:pos="630"/>
        </w:tabs>
        <w:kinsoku/>
        <w:overflowPunct/>
        <w:bidi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未通过资格预审的申请人递交的；</w:t>
      </w:r>
    </w:p>
    <w:p w14:paraId="7A9E9BE0">
      <w:pPr>
        <w:pStyle w:val="51"/>
        <w:pageBreakBefore w:val="0"/>
        <w:numPr>
          <w:ilvl w:val="0"/>
          <w:numId w:val="7"/>
        </w:numPr>
        <w:tabs>
          <w:tab w:val="left" w:pos="630"/>
        </w:tabs>
        <w:kinsoku/>
        <w:overflowPunct/>
        <w:bidi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未按照第一章“招标公告”或者投标邀请书要求获得本项目招标文件的。</w:t>
      </w:r>
    </w:p>
    <w:p w14:paraId="5E6F796F">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4.1.6招标人采用电子招标投标方式的，投标文件递交异常的处理方式见投标人须知前附表。</w:t>
      </w:r>
    </w:p>
    <w:bookmarkEnd w:id="623"/>
    <w:bookmarkEnd w:id="624"/>
    <w:p w14:paraId="5BB7C390">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632" w:name="_Toc17219"/>
      <w:bookmarkStart w:id="633" w:name="_Toc1489"/>
      <w:bookmarkStart w:id="634" w:name="_Toc32234"/>
      <w:bookmarkStart w:id="635" w:name="_Toc38007979"/>
      <w:bookmarkStart w:id="636" w:name="_Toc13908"/>
      <w:bookmarkStart w:id="637" w:name="_Toc24316"/>
      <w:bookmarkStart w:id="638" w:name="_Toc815"/>
      <w:bookmarkStart w:id="639" w:name="_Toc20081"/>
      <w:bookmarkStart w:id="640" w:name="_Toc7237"/>
      <w:bookmarkStart w:id="641" w:name="_Toc8774"/>
      <w:bookmarkStart w:id="642" w:name="_Toc10547"/>
      <w:bookmarkStart w:id="643" w:name="_Toc627"/>
      <w:bookmarkStart w:id="644" w:name="_Toc3227"/>
      <w:bookmarkStart w:id="645" w:name="_Toc12081"/>
      <w:bookmarkStart w:id="646" w:name="_Toc3113"/>
      <w:r>
        <w:rPr>
          <w:rFonts w:hint="eastAsia" w:ascii="宋体" w:hAnsi="宋体" w:eastAsia="宋体" w:cs="宋体"/>
          <w:color w:val="auto"/>
          <w:sz w:val="24"/>
          <w:szCs w:val="24"/>
        </w:rPr>
        <w:t>4.2投标文件的修改、撤回</w:t>
      </w:r>
      <w:bookmarkEnd w:id="625"/>
      <w:bookmarkEnd w:id="626"/>
      <w:bookmarkEnd w:id="627"/>
      <w:bookmarkEnd w:id="628"/>
      <w:r>
        <w:rPr>
          <w:rFonts w:hint="eastAsia" w:ascii="宋体" w:hAnsi="宋体" w:eastAsia="宋体" w:cs="宋体"/>
          <w:color w:val="auto"/>
          <w:sz w:val="24"/>
          <w:szCs w:val="24"/>
        </w:rPr>
        <w:t>和撤销</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28847DD2">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bookmarkStart w:id="647" w:name="_Toc152042335"/>
      <w:bookmarkStart w:id="648" w:name="_Toc246996203"/>
      <w:bookmarkStart w:id="649" w:name="_Toc144974527"/>
      <w:bookmarkStart w:id="650" w:name="_Toc246996946"/>
      <w:bookmarkStart w:id="651" w:name="_Toc152045559"/>
      <w:bookmarkStart w:id="652" w:name="_Toc447265531"/>
      <w:bookmarkStart w:id="653" w:name="_Toc296602447"/>
      <w:bookmarkStart w:id="654" w:name="_Toc247085717"/>
      <w:bookmarkStart w:id="655" w:name="_Toc447188694"/>
      <w:bookmarkStart w:id="656" w:name="_Toc447265245"/>
      <w:bookmarkStart w:id="657" w:name="_Toc179632577"/>
      <w:bookmarkStart w:id="658" w:name="_Toc226969302"/>
      <w:bookmarkStart w:id="659" w:name="_Toc488655852"/>
      <w:bookmarkStart w:id="660" w:name="_Toc107822506"/>
      <w:bookmarkStart w:id="661" w:name="_Toc227057908"/>
      <w:r>
        <w:rPr>
          <w:rFonts w:hint="eastAsia" w:ascii="宋体" w:hAnsi="宋体" w:eastAsia="宋体" w:cs="宋体"/>
          <w:color w:val="auto"/>
        </w:rPr>
        <w:t>4.2.1在规定的投标截止时间前，投标人可以修改或者撤回已递交的投标文件。</w:t>
      </w:r>
    </w:p>
    <w:p w14:paraId="5CCA067E">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4.2.2投标人修改后的投标文件，应当在规定的投标截止时间前按照招标文件的规定编制、密封、标记、递交。</w:t>
      </w:r>
    </w:p>
    <w:p w14:paraId="6C65B6C7">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4.2.3投标人撤回已递交的投标文件，应当书面通知招标人。招标人已收取投标保证金的，应当自收到投标人书面撤回通知之日起5日内退还。</w:t>
      </w:r>
    </w:p>
    <w:p w14:paraId="4A0938C0">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4.2.4投标人在规定的投标截止时间后，不得在投标有效期内撤销其投标。否则招标人有权不退还其投标保证金。</w:t>
      </w:r>
    </w:p>
    <w:p w14:paraId="44D18B09">
      <w:pPr>
        <w:pStyle w:val="39"/>
        <w:pageBreakBefore w:val="0"/>
        <w:numPr>
          <w:ilvl w:val="0"/>
          <w:numId w:val="5"/>
        </w:numPr>
        <w:tabs>
          <w:tab w:val="left" w:pos="588"/>
        </w:tabs>
        <w:kinsoku/>
        <w:overflowPunct/>
        <w:bidi w:val="0"/>
        <w:snapToGrid w:val="0"/>
        <w:spacing w:before="120" w:after="120" w:line="360" w:lineRule="auto"/>
        <w:ind w:left="0" w:firstLine="0"/>
        <w:jc w:val="left"/>
        <w:rPr>
          <w:rFonts w:hint="eastAsia" w:ascii="宋体" w:hAnsi="宋体" w:eastAsia="宋体" w:cs="宋体"/>
          <w:color w:val="auto"/>
          <w:sz w:val="28"/>
          <w:szCs w:val="28"/>
        </w:rPr>
      </w:pPr>
      <w:bookmarkStart w:id="662" w:name="_Toc19001"/>
      <w:bookmarkStart w:id="663" w:name="_Toc38007980"/>
      <w:bookmarkStart w:id="664" w:name="_Toc2936"/>
      <w:bookmarkStart w:id="665" w:name="_Toc2410"/>
      <w:bookmarkStart w:id="666" w:name="_Toc1966"/>
      <w:bookmarkStart w:id="667" w:name="_Toc14067"/>
      <w:bookmarkStart w:id="668" w:name="_Toc18498"/>
      <w:bookmarkStart w:id="669" w:name="_Toc10895"/>
      <w:bookmarkStart w:id="670" w:name="_Toc23912"/>
      <w:bookmarkStart w:id="671" w:name="_Toc29316"/>
      <w:bookmarkStart w:id="672" w:name="_Toc1304"/>
      <w:bookmarkStart w:id="673" w:name="_Toc19715"/>
      <w:bookmarkStart w:id="674" w:name="_Toc14601"/>
      <w:bookmarkStart w:id="675" w:name="_Toc8844"/>
      <w:bookmarkStart w:id="676" w:name="_Toc24248"/>
      <w:r>
        <w:rPr>
          <w:rFonts w:hint="eastAsia" w:ascii="宋体" w:hAnsi="宋体" w:eastAsia="宋体" w:cs="宋体"/>
          <w:color w:val="auto"/>
          <w:sz w:val="28"/>
          <w:szCs w:val="28"/>
        </w:rPr>
        <w:t>开标</w:t>
      </w:r>
      <w:bookmarkEnd w:id="647"/>
      <w:bookmarkEnd w:id="648"/>
      <w:bookmarkEnd w:id="649"/>
      <w:bookmarkEnd w:id="650"/>
      <w:bookmarkEnd w:id="651"/>
      <w:bookmarkEnd w:id="652"/>
      <w:bookmarkEnd w:id="653"/>
      <w:bookmarkEnd w:id="654"/>
      <w:bookmarkEnd w:id="655"/>
      <w:bookmarkEnd w:id="656"/>
      <w:bookmarkEnd w:id="657"/>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0EBA93AD">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677" w:name="_Toc14020"/>
      <w:bookmarkStart w:id="678" w:name="_Toc24910"/>
      <w:bookmarkStart w:id="679" w:name="_Toc447188695"/>
      <w:bookmarkStart w:id="680" w:name="_Toc447265532"/>
      <w:bookmarkStart w:id="681" w:name="_Toc27762"/>
      <w:bookmarkStart w:id="682" w:name="_Toc29361"/>
      <w:bookmarkStart w:id="683" w:name="_Toc1931"/>
      <w:bookmarkStart w:id="684" w:name="_Toc31068"/>
      <w:bookmarkStart w:id="685" w:name="_Toc18731"/>
      <w:bookmarkStart w:id="686" w:name="_Toc447265246"/>
      <w:bookmarkStart w:id="687" w:name="_Toc15539"/>
      <w:bookmarkStart w:id="688" w:name="_Toc38007981"/>
      <w:bookmarkStart w:id="689" w:name="_Toc7044"/>
      <w:bookmarkStart w:id="690" w:name="_Toc29816"/>
      <w:bookmarkStart w:id="691" w:name="_Toc25696"/>
      <w:bookmarkStart w:id="692" w:name="_Toc3445"/>
      <w:bookmarkStart w:id="693" w:name="_Toc12698"/>
      <w:bookmarkStart w:id="694" w:name="_Toc13431"/>
      <w:r>
        <w:rPr>
          <w:rFonts w:hint="eastAsia" w:ascii="宋体" w:hAnsi="宋体" w:eastAsia="宋体" w:cs="宋体"/>
          <w:color w:val="auto"/>
          <w:sz w:val="24"/>
          <w:szCs w:val="24"/>
        </w:rPr>
        <w:t>5.1开标</w:t>
      </w:r>
      <w:bookmarkEnd w:id="658"/>
      <w:bookmarkEnd w:id="659"/>
      <w:bookmarkEnd w:id="660"/>
      <w:bookmarkEnd w:id="661"/>
      <w:r>
        <w:rPr>
          <w:rFonts w:hint="eastAsia" w:ascii="宋体" w:hAnsi="宋体" w:eastAsia="宋体" w:cs="宋体"/>
          <w:color w:val="auto"/>
          <w:sz w:val="24"/>
          <w:szCs w:val="24"/>
        </w:rPr>
        <w:t>时间和地点</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290C2D41">
      <w:pPr>
        <w:pStyle w:val="22"/>
        <w:pageBreakBefore w:val="0"/>
        <w:tabs>
          <w:tab w:val="left" w:pos="630"/>
        </w:tabs>
        <w:kinsoku/>
        <w:overflowPunct/>
        <w:bidi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招标人将按照投标人须知前附表规定的时间和地点公开开标，参加开标的投标人代表应当签名报到，以证明其出席开标。开标时间和投标截止时间应当为同一时间。</w:t>
      </w:r>
    </w:p>
    <w:p w14:paraId="113A0A9E">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695" w:name="_Toc20519"/>
      <w:bookmarkStart w:id="696" w:name="_Toc38007982"/>
      <w:bookmarkStart w:id="697" w:name="_Toc7904"/>
      <w:bookmarkStart w:id="698" w:name="_Toc1550"/>
      <w:bookmarkStart w:id="699" w:name="_Toc17441"/>
      <w:bookmarkStart w:id="700" w:name="_Toc26840"/>
      <w:bookmarkStart w:id="701" w:name="_Toc629"/>
      <w:bookmarkStart w:id="702" w:name="_Toc3724"/>
      <w:bookmarkStart w:id="703" w:name="_Toc23812"/>
      <w:bookmarkStart w:id="704" w:name="_Toc447265247"/>
      <w:bookmarkStart w:id="705" w:name="_Toc24053"/>
      <w:bookmarkStart w:id="706" w:name="_Toc447188696"/>
      <w:bookmarkStart w:id="707" w:name="_Toc13774"/>
      <w:bookmarkStart w:id="708" w:name="_Toc447265533"/>
      <w:bookmarkStart w:id="709" w:name="_Toc14889"/>
      <w:bookmarkStart w:id="710" w:name="_Toc6925"/>
      <w:bookmarkStart w:id="711" w:name="_Toc26460"/>
      <w:bookmarkStart w:id="712" w:name="_Toc22304"/>
      <w:r>
        <w:rPr>
          <w:rFonts w:hint="eastAsia" w:ascii="宋体" w:hAnsi="宋体" w:eastAsia="宋体" w:cs="宋体"/>
          <w:color w:val="auto"/>
          <w:sz w:val="24"/>
          <w:szCs w:val="24"/>
        </w:rPr>
        <w:t>5.2开标程序</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38747E40">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bookmarkStart w:id="713" w:name="_Toc296602451"/>
      <w:bookmarkStart w:id="714" w:name="_Toc246996206"/>
      <w:bookmarkStart w:id="715" w:name="_Toc447265250"/>
      <w:bookmarkStart w:id="716" w:name="_Toc152042338"/>
      <w:bookmarkStart w:id="717" w:name="_Toc447265536"/>
      <w:bookmarkStart w:id="718" w:name="_Toc247085720"/>
      <w:bookmarkStart w:id="719" w:name="_Toc152045562"/>
      <w:bookmarkStart w:id="720" w:name="_Toc144974530"/>
      <w:bookmarkStart w:id="721" w:name="_Toc246996949"/>
      <w:bookmarkStart w:id="722" w:name="_Toc447188699"/>
      <w:bookmarkStart w:id="723" w:name="_Toc179632580"/>
      <w:bookmarkStart w:id="724" w:name="_Toc107822507"/>
      <w:bookmarkStart w:id="725" w:name="_Toc226969303"/>
      <w:bookmarkStart w:id="726" w:name="_Toc227057909"/>
      <w:r>
        <w:rPr>
          <w:rFonts w:hint="eastAsia" w:ascii="宋体" w:hAnsi="宋体" w:eastAsia="宋体" w:cs="宋体"/>
          <w:color w:val="auto"/>
        </w:rPr>
        <w:t>5.2.1开标会议由招标人或者其委托的招标代理机构组织并主持，邀请所有的投标人或者其代表出席。投标人代表或者招标人委托的公证机构对投标文件密封性进行检查。</w:t>
      </w:r>
    </w:p>
    <w:p w14:paraId="423E672F">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5.2.2招标人在投标文件递交截止时间前收到的所有投标文件在开标时都应当当众予以拆封、宣读，但按照招标文件规定递交合格的书面撤回通知的投标文件不予开封。</w:t>
      </w:r>
    </w:p>
    <w:p w14:paraId="5A918D5B">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5.2.3开标时，招标人应当当众宣布参加本项目招标的投标人个数以及投标文件的密封情况，并宣读收到的所有未撤回的投标文件的“投标一览表”中的内容。“投标一览表”一般包括：投标人名称、投标总报价、交货期、投标保证金以及招标文件中规定的其他内容。</w:t>
      </w:r>
    </w:p>
    <w:p w14:paraId="46775CA3">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5.2.4开标内容填写在“开标记录表”中，由唱标人、记录人、投标人代表、监督人签字确认，存档备查。</w:t>
      </w:r>
    </w:p>
    <w:p w14:paraId="4D9D93D6">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727" w:name="_Toc19022"/>
      <w:bookmarkStart w:id="728" w:name="_Toc447265248"/>
      <w:bookmarkStart w:id="729" w:name="_Toc450489307"/>
      <w:bookmarkStart w:id="730" w:name="_Toc11682"/>
      <w:bookmarkStart w:id="731" w:name="_Toc13974"/>
      <w:bookmarkStart w:id="732" w:name="_Toc447188697"/>
      <w:bookmarkStart w:id="733" w:name="_Toc22211"/>
      <w:bookmarkStart w:id="734" w:name="_Toc18541"/>
      <w:bookmarkStart w:id="735" w:name="_Toc11465"/>
      <w:bookmarkStart w:id="736" w:name="_Toc11154"/>
      <w:bookmarkStart w:id="737" w:name="_Toc2614"/>
      <w:bookmarkStart w:id="738" w:name="_Toc506"/>
      <w:bookmarkStart w:id="739" w:name="_Toc17525"/>
      <w:bookmarkStart w:id="740" w:name="_Toc447265534"/>
      <w:bookmarkStart w:id="741" w:name="_Toc22233"/>
      <w:bookmarkStart w:id="742" w:name="_Toc20898"/>
      <w:bookmarkStart w:id="743" w:name="_Toc38007983"/>
      <w:bookmarkStart w:id="744" w:name="_Toc26139"/>
      <w:bookmarkStart w:id="745" w:name="_Toc24251"/>
      <w:r>
        <w:rPr>
          <w:rFonts w:hint="eastAsia" w:ascii="宋体" w:hAnsi="宋体" w:eastAsia="宋体" w:cs="宋体"/>
          <w:color w:val="auto"/>
          <w:sz w:val="24"/>
          <w:szCs w:val="24"/>
        </w:rPr>
        <w:t>5.3异议</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2359ED3D">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5.3.1投标人对开标有异议的，应当在开标现场提出，招标人应当当场作出答复，并制作记录。</w:t>
      </w:r>
    </w:p>
    <w:p w14:paraId="2BC61A0B">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5.3.2投标人认为存在低于成本价投标情形的，可以在开标现场提出异议，并在评标完成前向招标人递交书面材料，招标人应当及时将书面材料转交给评标委员会。</w:t>
      </w:r>
    </w:p>
    <w:p w14:paraId="7923F59B">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746" w:name="_Toc447265249"/>
      <w:bookmarkStart w:id="747" w:name="_Toc447265535"/>
      <w:bookmarkStart w:id="748" w:name="_Toc447188698"/>
      <w:bookmarkStart w:id="749" w:name="_Toc17724"/>
      <w:bookmarkStart w:id="750" w:name="_Toc1544"/>
      <w:bookmarkStart w:id="751" w:name="_Toc7383"/>
      <w:bookmarkStart w:id="752" w:name="_Toc9026"/>
      <w:bookmarkStart w:id="753" w:name="_Toc8282"/>
      <w:bookmarkStart w:id="754" w:name="_Toc20961"/>
      <w:bookmarkStart w:id="755" w:name="_Toc31988"/>
      <w:bookmarkStart w:id="756" w:name="_Toc16387"/>
      <w:bookmarkStart w:id="757" w:name="_Toc17932"/>
      <w:bookmarkStart w:id="758" w:name="_Toc26133"/>
      <w:bookmarkStart w:id="759" w:name="_Toc17062"/>
      <w:bookmarkStart w:id="760" w:name="_Toc38007984"/>
      <w:bookmarkStart w:id="761" w:name="_Toc12738"/>
      <w:bookmarkStart w:id="762" w:name="_Toc27461"/>
      <w:bookmarkStart w:id="763" w:name="_Toc24848"/>
      <w:bookmarkStart w:id="764" w:name="_Toc450489308"/>
      <w:r>
        <w:rPr>
          <w:rFonts w:hint="eastAsia" w:ascii="宋体" w:hAnsi="宋体" w:eastAsia="宋体" w:cs="宋体"/>
          <w:color w:val="auto"/>
          <w:sz w:val="24"/>
          <w:szCs w:val="24"/>
        </w:rPr>
        <w:t>5.4电子招标开标的其他要求</w:t>
      </w:r>
      <w:bookmarkEnd w:id="746"/>
      <w:bookmarkEnd w:id="747"/>
      <w:bookmarkEnd w:id="748"/>
      <w:r>
        <w:rPr>
          <w:rFonts w:hint="eastAsia" w:ascii="宋体" w:hAnsi="宋体" w:eastAsia="宋体" w:cs="宋体"/>
          <w:color w:val="auto"/>
          <w:sz w:val="24"/>
          <w:szCs w:val="24"/>
        </w:rPr>
        <w:t>及异常处理</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04BE9666">
      <w:pPr>
        <w:pageBreakBefore w:val="0"/>
        <w:kinsoku/>
        <w:overflowPunct/>
        <w:bidi w:val="0"/>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招标人采用电子招标投标方式的，开标的其他要求及异常处理方式见投标人须知前附表。</w:t>
      </w:r>
    </w:p>
    <w:p w14:paraId="2D0E17CE">
      <w:pPr>
        <w:pStyle w:val="39"/>
        <w:pageBreakBefore w:val="0"/>
        <w:numPr>
          <w:ilvl w:val="0"/>
          <w:numId w:val="5"/>
        </w:numPr>
        <w:tabs>
          <w:tab w:val="left" w:pos="588"/>
        </w:tabs>
        <w:kinsoku/>
        <w:overflowPunct/>
        <w:bidi w:val="0"/>
        <w:snapToGrid w:val="0"/>
        <w:spacing w:before="120" w:after="120" w:line="360" w:lineRule="auto"/>
        <w:ind w:left="0" w:firstLine="0"/>
        <w:jc w:val="left"/>
        <w:rPr>
          <w:rFonts w:hint="eastAsia" w:ascii="宋体" w:hAnsi="宋体" w:eastAsia="宋体" w:cs="宋体"/>
          <w:color w:val="auto"/>
          <w:sz w:val="28"/>
          <w:szCs w:val="28"/>
        </w:rPr>
      </w:pPr>
      <w:bookmarkStart w:id="765" w:name="_Toc18449"/>
      <w:bookmarkStart w:id="766" w:name="_Toc529"/>
      <w:bookmarkStart w:id="767" w:name="_Toc2001"/>
      <w:bookmarkStart w:id="768" w:name="_Toc28807"/>
      <w:bookmarkStart w:id="769" w:name="_Toc20063"/>
      <w:bookmarkStart w:id="770" w:name="_Toc19696"/>
      <w:bookmarkStart w:id="771" w:name="_Toc23168"/>
      <w:bookmarkStart w:id="772" w:name="_Toc10363"/>
      <w:bookmarkStart w:id="773" w:name="_Toc19463"/>
      <w:bookmarkStart w:id="774" w:name="_Toc18245"/>
      <w:bookmarkStart w:id="775" w:name="_Toc30192"/>
      <w:bookmarkStart w:id="776" w:name="_Toc17309"/>
      <w:bookmarkStart w:id="777" w:name="_Toc25818"/>
      <w:bookmarkStart w:id="778" w:name="_Toc31477"/>
      <w:bookmarkStart w:id="779" w:name="_Toc38007985"/>
      <w:r>
        <w:rPr>
          <w:rFonts w:hint="eastAsia" w:ascii="宋体" w:hAnsi="宋体" w:eastAsia="宋体" w:cs="宋体"/>
          <w:color w:val="auto"/>
          <w:sz w:val="28"/>
          <w:szCs w:val="28"/>
        </w:rPr>
        <w:t>评标</w:t>
      </w:r>
      <w:bookmarkEnd w:id="713"/>
      <w:bookmarkEnd w:id="714"/>
      <w:bookmarkEnd w:id="715"/>
      <w:bookmarkEnd w:id="716"/>
      <w:bookmarkEnd w:id="717"/>
      <w:bookmarkEnd w:id="718"/>
      <w:bookmarkEnd w:id="719"/>
      <w:bookmarkEnd w:id="720"/>
      <w:bookmarkEnd w:id="721"/>
      <w:bookmarkEnd w:id="722"/>
      <w:bookmarkEnd w:id="723"/>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46507DB4">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780" w:name="_Toc17540"/>
      <w:bookmarkStart w:id="781" w:name="_Toc25419"/>
      <w:bookmarkStart w:id="782" w:name="_Toc27765"/>
      <w:bookmarkStart w:id="783" w:name="_Toc6959"/>
      <w:bookmarkStart w:id="784" w:name="_Toc38007986"/>
      <w:bookmarkStart w:id="785" w:name="_Toc447265251"/>
      <w:bookmarkStart w:id="786" w:name="_Toc32420"/>
      <w:bookmarkStart w:id="787" w:name="_Toc16140"/>
      <w:bookmarkStart w:id="788" w:name="_Toc2602"/>
      <w:bookmarkStart w:id="789" w:name="_Toc1983"/>
      <w:bookmarkStart w:id="790" w:name="_Toc447265537"/>
      <w:bookmarkStart w:id="791" w:name="_Toc20890"/>
      <w:bookmarkStart w:id="792" w:name="_Toc9076"/>
      <w:bookmarkStart w:id="793" w:name="_Toc24504"/>
      <w:bookmarkStart w:id="794" w:name="_Toc14596"/>
      <w:bookmarkStart w:id="795" w:name="_Toc24711"/>
      <w:bookmarkStart w:id="796" w:name="_Toc15587"/>
      <w:bookmarkStart w:id="797" w:name="_Toc447188700"/>
      <w:r>
        <w:rPr>
          <w:rFonts w:hint="eastAsia" w:ascii="宋体" w:hAnsi="宋体" w:eastAsia="宋体" w:cs="宋体"/>
          <w:color w:val="auto"/>
          <w:sz w:val="24"/>
          <w:szCs w:val="24"/>
        </w:rPr>
        <w:t>6.1评标委员会</w:t>
      </w:r>
      <w:bookmarkEnd w:id="724"/>
      <w:bookmarkEnd w:id="725"/>
      <w:bookmarkEnd w:id="726"/>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p w14:paraId="34E2C749">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bookmarkStart w:id="798" w:name="_Toc447265255"/>
      <w:bookmarkStart w:id="799" w:name="_Toc447265541"/>
      <w:bookmarkStart w:id="800" w:name="_Toc447188703"/>
      <w:bookmarkStart w:id="801" w:name="_Toc488655860"/>
      <w:bookmarkStart w:id="802" w:name="_Toc107822516"/>
      <w:bookmarkStart w:id="803" w:name="_Toc227057915"/>
      <w:bookmarkStart w:id="804" w:name="_Toc226969309"/>
      <w:r>
        <w:rPr>
          <w:rFonts w:hint="eastAsia" w:ascii="宋体" w:hAnsi="宋体" w:eastAsia="宋体" w:cs="宋体"/>
          <w:color w:val="auto"/>
        </w:rPr>
        <w:t>6.1.1评标由依法组建的评标委员会负责，具体人数见投标人须知前附表。依法必须进行招标的通信工程建设项目，评标委员会的专家应当从通信工程建设项目评标专家库内相关专业的专家名单中采取随机抽取方式确定。</w:t>
      </w:r>
    </w:p>
    <w:p w14:paraId="09244ADB">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6.1.2评标期间，任何单位和个人不得非法干预或者影响评标的过程和结果。</w:t>
      </w:r>
    </w:p>
    <w:p w14:paraId="553DAC57">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6.1.3评标委员会成员名单在中标结果确定前保密。</w:t>
      </w:r>
    </w:p>
    <w:p w14:paraId="0F28B74F">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805" w:name="_Toc14084"/>
      <w:bookmarkStart w:id="806" w:name="_Toc10761"/>
      <w:bookmarkStart w:id="807" w:name="_Toc296602453"/>
      <w:bookmarkStart w:id="808" w:name="_Toc152045564"/>
      <w:bookmarkStart w:id="809" w:name="_Toc30173"/>
      <w:bookmarkStart w:id="810" w:name="_Toc447265252"/>
      <w:bookmarkStart w:id="811" w:name="_Toc246996951"/>
      <w:bookmarkStart w:id="812" w:name="_Toc152042340"/>
      <w:bookmarkStart w:id="813" w:name="_Toc450489311"/>
      <w:bookmarkStart w:id="814" w:name="_Toc5144"/>
      <w:bookmarkStart w:id="815" w:name="_Toc12660"/>
      <w:bookmarkStart w:id="816" w:name="_Toc20439"/>
      <w:bookmarkStart w:id="817" w:name="_Toc15702"/>
      <w:bookmarkStart w:id="818" w:name="_Toc688"/>
      <w:bookmarkStart w:id="819" w:name="_Toc32208"/>
      <w:bookmarkStart w:id="820" w:name="_Toc447265538"/>
      <w:bookmarkStart w:id="821" w:name="_Toc13327"/>
      <w:bookmarkStart w:id="822" w:name="_Toc20470"/>
      <w:bookmarkStart w:id="823" w:name="_Toc179632582"/>
      <w:bookmarkStart w:id="824" w:name="_Toc247085722"/>
      <w:bookmarkStart w:id="825" w:name="_Toc26715"/>
      <w:bookmarkStart w:id="826" w:name="_Toc29123"/>
      <w:bookmarkStart w:id="827" w:name="_Toc246996208"/>
      <w:bookmarkStart w:id="828" w:name="_Toc144974532"/>
      <w:bookmarkStart w:id="829" w:name="_Toc16629"/>
      <w:bookmarkStart w:id="830" w:name="_Toc38007987"/>
      <w:r>
        <w:rPr>
          <w:rFonts w:hint="eastAsia" w:ascii="宋体" w:hAnsi="宋体" w:eastAsia="宋体" w:cs="宋体"/>
          <w:color w:val="auto"/>
          <w:sz w:val="24"/>
          <w:szCs w:val="24"/>
        </w:rPr>
        <w:t>6.2评标原则</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0615DF95">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6.2.1评标活动遵循公平、公正、科学和择优的原则。</w:t>
      </w:r>
    </w:p>
    <w:p w14:paraId="085CC716">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6.2.2评标委员会按照第三章“评标办法”规定的方法、评审因素、标准和程序对投标文件进行评审。第三章“评标办法”没有规定的方法、评审因素和标准，不得作为评标依据。</w:t>
      </w:r>
    </w:p>
    <w:p w14:paraId="626B6CD7">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831" w:name="_Toc25553"/>
      <w:bookmarkStart w:id="832" w:name="_Toc447265539"/>
      <w:bookmarkStart w:id="833" w:name="_Toc27027"/>
      <w:bookmarkStart w:id="834" w:name="_Toc18296"/>
      <w:bookmarkStart w:id="835" w:name="_Toc7254"/>
      <w:bookmarkStart w:id="836" w:name="_Toc17608"/>
      <w:bookmarkStart w:id="837" w:name="_Toc10315"/>
      <w:bookmarkStart w:id="838" w:name="_Toc16591"/>
      <w:bookmarkStart w:id="839" w:name="_Toc17301"/>
      <w:bookmarkStart w:id="840" w:name="_Toc17374"/>
      <w:bookmarkStart w:id="841" w:name="_Toc8686"/>
      <w:bookmarkStart w:id="842" w:name="_Toc28610"/>
      <w:bookmarkStart w:id="843" w:name="_Toc447188701"/>
      <w:bookmarkStart w:id="844" w:name="_Toc25642"/>
      <w:bookmarkStart w:id="845" w:name="_Toc38007988"/>
      <w:bookmarkStart w:id="846" w:name="_Toc450489312"/>
      <w:bookmarkStart w:id="847" w:name="_Toc447265253"/>
      <w:bookmarkStart w:id="848" w:name="_Toc905"/>
      <w:bookmarkStart w:id="849" w:name="_Toc1637"/>
      <w:r>
        <w:rPr>
          <w:rFonts w:hint="eastAsia" w:ascii="宋体" w:hAnsi="宋体" w:eastAsia="宋体" w:cs="宋体"/>
          <w:color w:val="auto"/>
          <w:sz w:val="24"/>
          <w:szCs w:val="24"/>
        </w:rPr>
        <w:t>6.3评标方法</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14:paraId="165151CA">
      <w:pPr>
        <w:pageBreakBefore w:val="0"/>
        <w:kinsoku/>
        <w:overflowPunct/>
        <w:bidi w:val="0"/>
        <w:adjustRightInd w:val="0"/>
        <w:snapToGrid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6.3.1招标文件中详细载明下述评标方法之一作为本项目评标所采用的评标方法。评标方法见投标人须知前附表。</w:t>
      </w:r>
    </w:p>
    <w:p w14:paraId="6943853D">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6.3.2采用经评审的最低投标价法的，能够满足招标文件的实质性要求，并且经评审的最低投标价的投标，应当推荐为中标候选人，但是价格低于成本的除外。</w:t>
      </w:r>
    </w:p>
    <w:p w14:paraId="7742B524">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采用综合评估法的，最大限度地满足招标文件中规定的各项综合评价标准的投标，应当推荐为中标候选人，量化的标准和权重应当在招标文件中明确规定。</w:t>
      </w:r>
    </w:p>
    <w:p w14:paraId="33D7DC1F">
      <w:pPr>
        <w:pStyle w:val="22"/>
        <w:pageBreakBefore w:val="0"/>
        <w:tabs>
          <w:tab w:val="left" w:pos="588"/>
          <w:tab w:val="left" w:pos="630"/>
        </w:tabs>
        <w:kinsoku/>
        <w:overflowPunct/>
        <w:bidi w:val="0"/>
        <w:snapToGrid w:val="0"/>
        <w:spacing w:before="120" w:after="120" w:line="360" w:lineRule="auto"/>
        <w:ind w:firstLine="424" w:firstLineChars="202"/>
        <w:jc w:val="left"/>
        <w:rPr>
          <w:rFonts w:hint="eastAsia" w:ascii="宋体" w:hAnsi="宋体" w:eastAsia="宋体" w:cs="宋体"/>
          <w:color w:val="auto"/>
          <w:sz w:val="24"/>
          <w:szCs w:val="24"/>
        </w:rPr>
      </w:pPr>
      <w:r>
        <w:rPr>
          <w:rFonts w:hint="eastAsia" w:ascii="宋体" w:hAnsi="宋体" w:eastAsia="宋体" w:cs="宋体"/>
          <w:color w:val="auto"/>
        </w:rPr>
        <w:t>6.3.3法律、法规允许的其他评标方法。</w:t>
      </w:r>
      <w:bookmarkStart w:id="850" w:name="_Toc447188702"/>
      <w:bookmarkStart w:id="851" w:name="_Toc447265254"/>
      <w:bookmarkStart w:id="852" w:name="_Toc447265540"/>
      <w:bookmarkStart w:id="853" w:name="_Toc152042342"/>
      <w:bookmarkStart w:id="854" w:name="_Toc296602455"/>
      <w:bookmarkStart w:id="855" w:name="_Toc246996953"/>
      <w:bookmarkStart w:id="856" w:name="_Toc246996210"/>
      <w:bookmarkStart w:id="857" w:name="_Toc179632584"/>
      <w:bookmarkStart w:id="858" w:name="_Toc247085724"/>
      <w:bookmarkStart w:id="859" w:name="_Toc144974534"/>
      <w:bookmarkStart w:id="860" w:name="_Toc152045566"/>
    </w:p>
    <w:p w14:paraId="39FBD467">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861" w:name="_Toc13419"/>
      <w:bookmarkStart w:id="862" w:name="_Toc12267"/>
      <w:bookmarkStart w:id="863" w:name="_Toc10959"/>
      <w:bookmarkStart w:id="864" w:name="_Toc450489313"/>
      <w:bookmarkStart w:id="865" w:name="_Toc26735"/>
      <w:bookmarkStart w:id="866" w:name="_Toc9342"/>
      <w:bookmarkStart w:id="867" w:name="_Toc27385"/>
      <w:bookmarkStart w:id="868" w:name="_Toc9739"/>
      <w:bookmarkStart w:id="869" w:name="_Toc38007989"/>
      <w:bookmarkStart w:id="870" w:name="_Toc26756"/>
      <w:bookmarkStart w:id="871" w:name="_Toc30551"/>
      <w:bookmarkStart w:id="872" w:name="_Toc16549"/>
      <w:bookmarkStart w:id="873" w:name="_Toc19374"/>
      <w:bookmarkStart w:id="874" w:name="_Toc7892"/>
      <w:bookmarkStart w:id="875" w:name="_Toc1324"/>
      <w:bookmarkStart w:id="876" w:name="_Toc21651"/>
      <w:r>
        <w:rPr>
          <w:rFonts w:hint="eastAsia" w:ascii="宋体" w:hAnsi="宋体" w:eastAsia="宋体" w:cs="宋体"/>
          <w:color w:val="auto"/>
          <w:sz w:val="24"/>
          <w:szCs w:val="24"/>
        </w:rPr>
        <w:t>6.4中标候选人推荐原则</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p>
    <w:p w14:paraId="3D7A8B55">
      <w:pPr>
        <w:pageBreakBefore w:val="0"/>
        <w:kinsoku/>
        <w:overflowPunct/>
        <w:bidi w:val="0"/>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评标委员会应当根据《招标投标法》、《实施条例》和《管理办法》的有关规定推荐中标候选人，具体推荐原则见投标人须知前附表。</w:t>
      </w:r>
    </w:p>
    <w:p w14:paraId="2958F79D">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877" w:name="_Toc30908"/>
      <w:bookmarkStart w:id="878" w:name="_Toc30615"/>
      <w:bookmarkStart w:id="879" w:name="_Toc1664"/>
      <w:bookmarkStart w:id="880" w:name="_Toc463"/>
      <w:bookmarkStart w:id="881" w:name="_Toc31606"/>
      <w:bookmarkStart w:id="882" w:name="_Toc25039"/>
      <w:bookmarkStart w:id="883" w:name="_Toc1257"/>
      <w:bookmarkStart w:id="884" w:name="_Toc20917"/>
      <w:bookmarkStart w:id="885" w:name="_Toc12737"/>
      <w:bookmarkStart w:id="886" w:name="_Toc450489314"/>
      <w:bookmarkStart w:id="887" w:name="_Toc38007990"/>
      <w:bookmarkStart w:id="888" w:name="_Toc6059"/>
      <w:bookmarkStart w:id="889" w:name="_Toc26753"/>
      <w:bookmarkStart w:id="890" w:name="_Toc32218"/>
      <w:bookmarkStart w:id="891" w:name="_Toc3908"/>
      <w:bookmarkStart w:id="892" w:name="_Toc18605"/>
      <w:r>
        <w:rPr>
          <w:rFonts w:hint="eastAsia" w:ascii="宋体" w:hAnsi="宋体" w:eastAsia="宋体" w:cs="宋体"/>
          <w:color w:val="auto"/>
          <w:sz w:val="24"/>
          <w:szCs w:val="24"/>
        </w:rPr>
        <w:t>6.5评标报告</w:t>
      </w:r>
      <w:bookmarkEnd w:id="850"/>
      <w:bookmarkEnd w:id="851"/>
      <w:bookmarkEnd w:id="852"/>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p>
    <w:p w14:paraId="00DB6B3F">
      <w:pPr>
        <w:pageBreakBefore w:val="0"/>
        <w:kinsoku/>
        <w:overflowPunct/>
        <w:bidi w:val="0"/>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评标完成后，评标委员会应当根据《招标投标法》、《实施条例》和《管理办法》的有关规定及时向招标人提交评标报告和中标候选人名单。</w:t>
      </w:r>
    </w:p>
    <w:bookmarkEnd w:id="853"/>
    <w:bookmarkEnd w:id="854"/>
    <w:bookmarkEnd w:id="855"/>
    <w:bookmarkEnd w:id="856"/>
    <w:bookmarkEnd w:id="857"/>
    <w:bookmarkEnd w:id="858"/>
    <w:bookmarkEnd w:id="859"/>
    <w:bookmarkEnd w:id="860"/>
    <w:p w14:paraId="385FB3C4">
      <w:pPr>
        <w:pStyle w:val="39"/>
        <w:pageBreakBefore w:val="0"/>
        <w:numPr>
          <w:ilvl w:val="0"/>
          <w:numId w:val="5"/>
        </w:numPr>
        <w:tabs>
          <w:tab w:val="left" w:pos="602"/>
        </w:tabs>
        <w:kinsoku/>
        <w:overflowPunct/>
        <w:bidi w:val="0"/>
        <w:snapToGrid w:val="0"/>
        <w:spacing w:before="120" w:after="120" w:line="360" w:lineRule="auto"/>
        <w:ind w:left="0" w:firstLine="0"/>
        <w:jc w:val="left"/>
        <w:rPr>
          <w:rFonts w:hint="eastAsia" w:ascii="宋体" w:hAnsi="宋体" w:eastAsia="宋体" w:cs="宋体"/>
          <w:color w:val="auto"/>
          <w:sz w:val="28"/>
          <w:szCs w:val="28"/>
        </w:rPr>
      </w:pPr>
      <w:bookmarkStart w:id="893" w:name="_Toc38007991"/>
      <w:bookmarkStart w:id="894" w:name="_Toc6542"/>
      <w:bookmarkStart w:id="895" w:name="_Toc27093"/>
      <w:bookmarkStart w:id="896" w:name="_Toc7871"/>
      <w:bookmarkStart w:id="897" w:name="_Toc19847"/>
      <w:bookmarkStart w:id="898" w:name="_Toc25184"/>
      <w:bookmarkStart w:id="899" w:name="_Toc29925"/>
      <w:bookmarkStart w:id="900" w:name="_Toc24840"/>
      <w:bookmarkStart w:id="901" w:name="_Toc28076"/>
      <w:bookmarkStart w:id="902" w:name="_Toc28125"/>
      <w:bookmarkStart w:id="903" w:name="_Toc1048"/>
      <w:bookmarkStart w:id="904" w:name="_Toc31750"/>
      <w:bookmarkStart w:id="905" w:name="_Toc23480"/>
      <w:bookmarkStart w:id="906" w:name="_Toc9813"/>
      <w:bookmarkStart w:id="907" w:name="_Toc20557"/>
      <w:r>
        <w:rPr>
          <w:rFonts w:hint="eastAsia" w:ascii="宋体" w:hAnsi="宋体" w:eastAsia="宋体" w:cs="宋体"/>
          <w:color w:val="auto"/>
          <w:sz w:val="28"/>
          <w:szCs w:val="28"/>
        </w:rPr>
        <w:t>中标</w:t>
      </w:r>
      <w:bookmarkEnd w:id="798"/>
      <w:bookmarkEnd w:id="799"/>
      <w:bookmarkEnd w:id="800"/>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p>
    <w:p w14:paraId="51144351">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908" w:name="_Toc27070"/>
      <w:bookmarkStart w:id="909" w:name="_Toc27028"/>
      <w:bookmarkStart w:id="910" w:name="_Toc23953"/>
      <w:bookmarkStart w:id="911" w:name="_Toc32169"/>
      <w:bookmarkStart w:id="912" w:name="_Toc447188704"/>
      <w:bookmarkStart w:id="913" w:name="_Toc18679"/>
      <w:bookmarkStart w:id="914" w:name="_Toc29763"/>
      <w:bookmarkStart w:id="915" w:name="_Toc11248"/>
      <w:bookmarkStart w:id="916" w:name="_Toc26106"/>
      <w:bookmarkStart w:id="917" w:name="_Toc38007992"/>
      <w:bookmarkStart w:id="918" w:name="_Toc13350"/>
      <w:bookmarkStart w:id="919" w:name="_Toc2485"/>
      <w:bookmarkStart w:id="920" w:name="_Toc24195"/>
      <w:bookmarkStart w:id="921" w:name="_Toc447265256"/>
      <w:bookmarkStart w:id="922" w:name="_Toc2097"/>
      <w:bookmarkStart w:id="923" w:name="_Toc6403"/>
      <w:bookmarkStart w:id="924" w:name="_Toc447265542"/>
      <w:bookmarkStart w:id="925" w:name="_Toc13101"/>
      <w:r>
        <w:rPr>
          <w:rFonts w:hint="eastAsia" w:ascii="宋体" w:hAnsi="宋体" w:eastAsia="宋体" w:cs="宋体"/>
          <w:color w:val="auto"/>
          <w:sz w:val="24"/>
          <w:szCs w:val="24"/>
        </w:rPr>
        <w:t>7.1中标候选人公示</w:t>
      </w:r>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bookmarkEnd w:id="801"/>
    <w:bookmarkEnd w:id="802"/>
    <w:bookmarkEnd w:id="803"/>
    <w:bookmarkEnd w:id="804"/>
    <w:p w14:paraId="26CBA72F">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bookmarkStart w:id="926" w:name="_Toc447265259"/>
      <w:bookmarkStart w:id="927" w:name="_Toc447265545"/>
      <w:bookmarkStart w:id="928" w:name="_Toc246996213"/>
      <w:bookmarkStart w:id="929" w:name="_Toc152042345"/>
      <w:bookmarkStart w:id="930" w:name="_Toc246996956"/>
      <w:bookmarkStart w:id="931" w:name="_Toc179632587"/>
      <w:bookmarkStart w:id="932" w:name="_Toc144974537"/>
      <w:bookmarkStart w:id="933" w:name="_Toc296602459"/>
      <w:bookmarkStart w:id="934" w:name="_Toc152045569"/>
      <w:bookmarkStart w:id="935" w:name="_Toc247085727"/>
      <w:bookmarkStart w:id="936" w:name="_Toc226969310"/>
      <w:bookmarkStart w:id="937" w:name="_Toc107822517"/>
      <w:bookmarkStart w:id="938" w:name="_Toc227057916"/>
      <w:r>
        <w:rPr>
          <w:rFonts w:hint="eastAsia" w:ascii="宋体" w:hAnsi="宋体" w:eastAsia="宋体" w:cs="宋体"/>
          <w:color w:val="auto"/>
        </w:rPr>
        <w:t>7.1.1依法必须进行招标的通信工程建设项目，采用公开招标方式的，招标人在收到评标报告之日起3日内在“资格预审公告”或者“招标公告”发布媒介公示全部中标候选人，公示期不少于3日。</w:t>
      </w:r>
    </w:p>
    <w:p w14:paraId="51D89B8B">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7.1.2依法必须进行招标的通信工程建设项目，采用邀请招标方式的，招标人在收到评标报告之日起3日内在通信工程建设项目招标投标管理信息平台公示全部中标候选人，公示期不少于3日。其他公示媒介见投标人须知前附表。</w:t>
      </w:r>
    </w:p>
    <w:p w14:paraId="274459EB">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7.1.3投标人或者其他利害关系人对依法必须进行招标项目的评标结果有异议的，应当在中标候选人公示期间提出。</w:t>
      </w:r>
    </w:p>
    <w:p w14:paraId="63F98DE7">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939" w:name="_Toc1423"/>
      <w:bookmarkStart w:id="940" w:name="_Toc25127"/>
      <w:bookmarkStart w:id="941" w:name="_Toc450489317"/>
      <w:bookmarkStart w:id="942" w:name="_Toc14513"/>
      <w:bookmarkStart w:id="943" w:name="_Toc959"/>
      <w:bookmarkStart w:id="944" w:name="_Toc30344"/>
      <w:bookmarkStart w:id="945" w:name="_Toc31650"/>
      <w:bookmarkStart w:id="946" w:name="_Toc726"/>
      <w:bookmarkStart w:id="947" w:name="_Toc28900"/>
      <w:bookmarkStart w:id="948" w:name="_Toc26551"/>
      <w:bookmarkStart w:id="949" w:name="_Toc14291"/>
      <w:bookmarkStart w:id="950" w:name="_Toc18864"/>
      <w:bookmarkStart w:id="951" w:name="_Toc447188705"/>
      <w:bookmarkStart w:id="952" w:name="_Toc447265543"/>
      <w:bookmarkStart w:id="953" w:name="_Toc30669"/>
      <w:bookmarkStart w:id="954" w:name="_Toc58"/>
      <w:bookmarkStart w:id="955" w:name="_Toc447265257"/>
      <w:bookmarkStart w:id="956" w:name="_Toc38007993"/>
      <w:bookmarkStart w:id="957" w:name="_Toc16464"/>
      <w:r>
        <w:rPr>
          <w:rFonts w:hint="eastAsia" w:ascii="宋体" w:hAnsi="宋体" w:eastAsia="宋体" w:cs="宋体"/>
          <w:color w:val="auto"/>
          <w:sz w:val="24"/>
          <w:szCs w:val="24"/>
        </w:rPr>
        <w:t>7.2确定中标人</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p w14:paraId="4CDD39BE">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7.2.1除投标人须知前附表规定评标委员会直接确定中标人外，招标人依据评标委员会推荐的中标候选人确定中标人，中标人数量见投标人须知前附表。</w:t>
      </w:r>
    </w:p>
    <w:p w14:paraId="7A22DF23">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7.2.2招标人根据评标委员会推荐的中标候选人名单排序依次确定中标人，具体中标原则见投标人须知前附表。</w:t>
      </w:r>
    </w:p>
    <w:p w14:paraId="2AACF4E2">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7.2.3在签订合同之前，中标人放弃中标或者不能履行合同的，招标人可以按照评标委员会提出的中标候选人名单排序依次确定其他中标候选人为中标人，也可以重新招标。</w:t>
      </w:r>
    </w:p>
    <w:p w14:paraId="37490BDA">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958" w:name="_Toc447265544"/>
      <w:bookmarkStart w:id="959" w:name="_Toc14770"/>
      <w:bookmarkStart w:id="960" w:name="_Toc246996212"/>
      <w:bookmarkStart w:id="961" w:name="_Toc447265258"/>
      <w:bookmarkStart w:id="962" w:name="_Toc7859"/>
      <w:bookmarkStart w:id="963" w:name="_Toc22171"/>
      <w:bookmarkStart w:id="964" w:name="_Toc179632586"/>
      <w:bookmarkStart w:id="965" w:name="_Toc14641"/>
      <w:bookmarkStart w:id="966" w:name="_Toc450489318"/>
      <w:bookmarkStart w:id="967" w:name="_Toc4157"/>
      <w:bookmarkStart w:id="968" w:name="_Toc152042344"/>
      <w:bookmarkStart w:id="969" w:name="_Toc247085726"/>
      <w:bookmarkStart w:id="970" w:name="_Toc28685"/>
      <w:bookmarkStart w:id="971" w:name="_Toc31043"/>
      <w:bookmarkStart w:id="972" w:name="_Toc23380"/>
      <w:bookmarkStart w:id="973" w:name="_Toc38007994"/>
      <w:bookmarkStart w:id="974" w:name="_Toc152045568"/>
      <w:bookmarkStart w:id="975" w:name="_Toc246996955"/>
      <w:bookmarkStart w:id="976" w:name="_Toc144974536"/>
      <w:bookmarkStart w:id="977" w:name="_Toc717"/>
      <w:bookmarkStart w:id="978" w:name="_Toc296602458"/>
      <w:bookmarkStart w:id="979" w:name="_Toc13502"/>
      <w:bookmarkStart w:id="980" w:name="_Toc21102"/>
      <w:bookmarkStart w:id="981" w:name="_Toc29223"/>
      <w:bookmarkStart w:id="982" w:name="_Toc11469"/>
      <w:bookmarkStart w:id="983" w:name="_Toc32051"/>
      <w:bookmarkStart w:id="984" w:name="OLE_LINK7"/>
      <w:bookmarkStart w:id="985" w:name="OLE_LINK6"/>
      <w:r>
        <w:rPr>
          <w:rFonts w:hint="eastAsia" w:ascii="宋体" w:hAnsi="宋体" w:eastAsia="宋体" w:cs="宋体"/>
          <w:color w:val="auto"/>
          <w:sz w:val="24"/>
          <w:szCs w:val="24"/>
        </w:rPr>
        <w:t>7.3中标通知</w:t>
      </w:r>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p>
    <w:p w14:paraId="5A8AE3B0">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7.3.1在中标通知书发出前，中标候选人的经营、财务状况发生较大变化或者存在违法行为，可能影响其履约能力的，投标人应当主动告知招标人。</w:t>
      </w:r>
      <w:bookmarkEnd w:id="984"/>
      <w:bookmarkEnd w:id="985"/>
      <w:r>
        <w:rPr>
          <w:rFonts w:hint="eastAsia" w:ascii="宋体" w:hAnsi="宋体" w:eastAsia="宋体" w:cs="宋体"/>
          <w:color w:val="auto"/>
        </w:rPr>
        <w:t>招标人认为可能影响其履约能力的，应当在发出中标通知书前由原评标委员会按照招标文件规定的标准和方法审查确认。</w:t>
      </w:r>
    </w:p>
    <w:p w14:paraId="72FE9478">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7.3.2中标人确定后，招标人应当自行或者委托招标代理机构向中标人发出中标通知书，同时通知未中标人。</w:t>
      </w:r>
    </w:p>
    <w:p w14:paraId="6928AFBE">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7.3.3中标通知书是招标投标档案和合同的组成部分。</w:t>
      </w:r>
    </w:p>
    <w:p w14:paraId="0C6DCAA8">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7.3.4中标通知书对招标人和中标人具有法律约束力。中标通知书发出后，招标人改变中标结果或者中标人放弃中标的，应当承担法律责任。</w:t>
      </w:r>
    </w:p>
    <w:p w14:paraId="6018648D">
      <w:pPr>
        <w:pStyle w:val="39"/>
        <w:pageBreakBefore w:val="0"/>
        <w:numPr>
          <w:ilvl w:val="0"/>
          <w:numId w:val="5"/>
        </w:numPr>
        <w:tabs>
          <w:tab w:val="left" w:pos="588"/>
        </w:tabs>
        <w:kinsoku/>
        <w:overflowPunct/>
        <w:bidi w:val="0"/>
        <w:snapToGrid w:val="0"/>
        <w:spacing w:before="120" w:after="120" w:line="360" w:lineRule="auto"/>
        <w:ind w:left="0" w:firstLine="0"/>
        <w:jc w:val="left"/>
        <w:rPr>
          <w:rFonts w:hint="eastAsia" w:ascii="宋体" w:hAnsi="宋体" w:eastAsia="宋体" w:cs="宋体"/>
          <w:color w:val="auto"/>
          <w:sz w:val="28"/>
          <w:szCs w:val="28"/>
        </w:rPr>
      </w:pPr>
      <w:bookmarkStart w:id="986" w:name="_Toc1008"/>
      <w:bookmarkStart w:id="987" w:name="_Toc10651"/>
      <w:bookmarkStart w:id="988" w:name="_Toc1575"/>
      <w:bookmarkStart w:id="989" w:name="_Toc27063"/>
      <w:bookmarkStart w:id="990" w:name="_Toc24816"/>
      <w:bookmarkStart w:id="991" w:name="_Toc28786"/>
      <w:bookmarkStart w:id="992" w:name="_Toc38007995"/>
      <w:bookmarkStart w:id="993" w:name="_Toc28902"/>
      <w:bookmarkStart w:id="994" w:name="_Toc20535"/>
      <w:bookmarkStart w:id="995" w:name="_Toc29499"/>
      <w:bookmarkStart w:id="996" w:name="_Toc28493"/>
      <w:bookmarkStart w:id="997" w:name="_Toc6953"/>
      <w:bookmarkStart w:id="998" w:name="_Toc1527"/>
      <w:bookmarkStart w:id="999" w:name="_Toc3364"/>
      <w:bookmarkStart w:id="1000" w:name="_Toc3073"/>
      <w:r>
        <w:rPr>
          <w:rFonts w:hint="eastAsia" w:ascii="宋体" w:hAnsi="宋体" w:eastAsia="宋体" w:cs="宋体"/>
          <w:color w:val="auto"/>
          <w:sz w:val="28"/>
          <w:szCs w:val="28"/>
        </w:rPr>
        <w:t>合同签订</w:t>
      </w:r>
      <w:bookmarkEnd w:id="926"/>
      <w:bookmarkEnd w:id="927"/>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p>
    <w:p w14:paraId="58FB9D9D">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001" w:name="_Toc12385"/>
      <w:bookmarkStart w:id="1002" w:name="_Toc7611"/>
      <w:bookmarkStart w:id="1003" w:name="_Toc27368"/>
      <w:bookmarkStart w:id="1004" w:name="_Toc447265546"/>
      <w:bookmarkStart w:id="1005" w:name="_Toc18183"/>
      <w:bookmarkStart w:id="1006" w:name="_Toc7224"/>
      <w:bookmarkStart w:id="1007" w:name="_Toc7537"/>
      <w:bookmarkStart w:id="1008" w:name="_Toc38007996"/>
      <w:bookmarkStart w:id="1009" w:name="_Toc28088"/>
      <w:bookmarkStart w:id="1010" w:name="_Toc11641"/>
      <w:bookmarkStart w:id="1011" w:name="_Toc28761"/>
      <w:bookmarkStart w:id="1012" w:name="_Toc26093"/>
      <w:bookmarkStart w:id="1013" w:name="_Toc6556"/>
      <w:bookmarkStart w:id="1014" w:name="_Toc447265260"/>
      <w:bookmarkStart w:id="1015" w:name="_Toc14980"/>
      <w:bookmarkStart w:id="1016" w:name="_Toc9745"/>
      <w:bookmarkStart w:id="1017" w:name="_Toc28686"/>
      <w:r>
        <w:rPr>
          <w:rFonts w:hint="eastAsia" w:ascii="宋体" w:hAnsi="宋体" w:eastAsia="宋体" w:cs="宋体"/>
          <w:color w:val="auto"/>
          <w:sz w:val="24"/>
          <w:szCs w:val="24"/>
        </w:rPr>
        <w:t>8.1履约</w:t>
      </w:r>
      <w:bookmarkEnd w:id="928"/>
      <w:bookmarkEnd w:id="929"/>
      <w:bookmarkEnd w:id="930"/>
      <w:bookmarkEnd w:id="931"/>
      <w:bookmarkEnd w:id="932"/>
      <w:bookmarkEnd w:id="933"/>
      <w:bookmarkEnd w:id="934"/>
      <w:bookmarkEnd w:id="935"/>
      <w:r>
        <w:rPr>
          <w:rFonts w:hint="eastAsia" w:ascii="宋体" w:hAnsi="宋体" w:eastAsia="宋体" w:cs="宋体"/>
          <w:color w:val="auto"/>
          <w:sz w:val="24"/>
          <w:szCs w:val="24"/>
        </w:rPr>
        <w:t>保证金</w:t>
      </w:r>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p>
    <w:bookmarkEnd w:id="936"/>
    <w:bookmarkEnd w:id="937"/>
    <w:bookmarkEnd w:id="938"/>
    <w:p w14:paraId="6513FED8">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bookmarkStart w:id="1018" w:name="_Toc447265263"/>
      <w:bookmarkStart w:id="1019" w:name="_Toc488655867"/>
      <w:bookmarkStart w:id="1020" w:name="_Toc447188707"/>
      <w:bookmarkStart w:id="1021" w:name="_Toc107822519"/>
      <w:bookmarkStart w:id="1022" w:name="_Toc226969312"/>
      <w:bookmarkStart w:id="1023" w:name="_Toc227057918"/>
      <w:bookmarkStart w:id="1024" w:name="_Toc447265549"/>
      <w:r>
        <w:rPr>
          <w:rFonts w:hint="eastAsia" w:ascii="宋体" w:hAnsi="宋体" w:eastAsia="宋体" w:cs="宋体"/>
          <w:color w:val="auto"/>
        </w:rPr>
        <w:t>8.1.1在签订合同前，中标人应当按照投标人须知前附表中规定的履约保证金的金额和形式向招标人递交履约保证金。</w:t>
      </w:r>
    </w:p>
    <w:p w14:paraId="59CD385A">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8.1.2中标人不能按照招标文件要求递交履约担保的，视为放弃中标，其投标保证金不予退还，给招标人造成的损失超过投标保证金数额的，中标人还应当对超过部分予以赔偿。</w:t>
      </w:r>
    </w:p>
    <w:p w14:paraId="082BE624">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025" w:name="_Toc22734"/>
      <w:bookmarkStart w:id="1026" w:name="_Toc26333"/>
      <w:bookmarkStart w:id="1027" w:name="_Toc2505"/>
      <w:bookmarkStart w:id="1028" w:name="_Toc21992"/>
      <w:bookmarkStart w:id="1029" w:name="_Toc13531"/>
      <w:bookmarkStart w:id="1030" w:name="_Toc17516"/>
      <w:bookmarkStart w:id="1031" w:name="_Toc447265261"/>
      <w:bookmarkStart w:id="1032" w:name="_Toc25034"/>
      <w:bookmarkStart w:id="1033" w:name="_Toc10507"/>
      <w:bookmarkStart w:id="1034" w:name="_Toc24434"/>
      <w:bookmarkStart w:id="1035" w:name="_Toc447265547"/>
      <w:bookmarkStart w:id="1036" w:name="_Toc15775"/>
      <w:bookmarkStart w:id="1037" w:name="_Toc16779"/>
      <w:bookmarkStart w:id="1038" w:name="_Toc38007997"/>
      <w:bookmarkStart w:id="1039" w:name="_Toc450489321"/>
      <w:bookmarkStart w:id="1040" w:name="_Toc24486"/>
      <w:bookmarkStart w:id="1041" w:name="_Toc7886"/>
      <w:bookmarkStart w:id="1042" w:name="_Toc4203"/>
      <w:r>
        <w:rPr>
          <w:rFonts w:hint="eastAsia" w:ascii="宋体" w:hAnsi="宋体" w:eastAsia="宋体" w:cs="宋体"/>
          <w:color w:val="auto"/>
          <w:sz w:val="24"/>
          <w:szCs w:val="24"/>
        </w:rPr>
        <w:t>8.2合同签订</w:t>
      </w:r>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p>
    <w:p w14:paraId="00374068">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8.2.1招标人和中标人应当自中标通知书发出之日起30日内，根据招标文件和中标人的投标文件订立书面合同。招标人和中标人不得订立背离合同实质性内容的其他协议。</w:t>
      </w:r>
    </w:p>
    <w:p w14:paraId="27123F32">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8.2.2中标人无正当理由拒签合同的，招标人取消其中标资格，其投标保证金不予退还；给招标人造成的损失超过投标保证金数额的，中标人还应当对超过部分予以赔偿。</w:t>
      </w:r>
    </w:p>
    <w:p w14:paraId="7F22E7A0">
      <w:pPr>
        <w:pStyle w:val="39"/>
        <w:pageBreakBefore w:val="0"/>
        <w:numPr>
          <w:ilvl w:val="0"/>
          <w:numId w:val="5"/>
        </w:numPr>
        <w:tabs>
          <w:tab w:val="left" w:pos="602"/>
        </w:tabs>
        <w:kinsoku/>
        <w:overflowPunct/>
        <w:bidi w:val="0"/>
        <w:snapToGrid w:val="0"/>
        <w:spacing w:before="120" w:after="120" w:line="360" w:lineRule="auto"/>
        <w:ind w:left="0" w:firstLine="0"/>
        <w:jc w:val="left"/>
        <w:rPr>
          <w:rFonts w:hint="eastAsia" w:ascii="宋体" w:hAnsi="宋体" w:eastAsia="宋体" w:cs="宋体"/>
          <w:color w:val="auto"/>
          <w:sz w:val="28"/>
          <w:szCs w:val="28"/>
        </w:rPr>
      </w:pPr>
      <w:bookmarkStart w:id="1043" w:name="_Toc15447"/>
      <w:bookmarkStart w:id="1044" w:name="_Toc28862"/>
      <w:bookmarkStart w:id="1045" w:name="_Toc24762"/>
      <w:bookmarkStart w:id="1046" w:name="_Toc26937"/>
      <w:bookmarkStart w:id="1047" w:name="_Toc38007998"/>
      <w:bookmarkStart w:id="1048" w:name="_Toc15701"/>
      <w:bookmarkStart w:id="1049" w:name="_Toc5317"/>
      <w:bookmarkStart w:id="1050" w:name="_Toc25089"/>
      <w:bookmarkStart w:id="1051" w:name="_Toc11298"/>
      <w:bookmarkStart w:id="1052" w:name="_Toc8602"/>
      <w:bookmarkStart w:id="1053" w:name="_Toc29397"/>
      <w:bookmarkStart w:id="1054" w:name="_Toc18458"/>
      <w:bookmarkStart w:id="1055" w:name="_Toc21044"/>
      <w:bookmarkStart w:id="1056" w:name="_Toc21951"/>
      <w:bookmarkStart w:id="1057" w:name="_Toc4399"/>
      <w:r>
        <w:rPr>
          <w:rFonts w:hint="eastAsia" w:ascii="宋体" w:hAnsi="宋体" w:eastAsia="宋体" w:cs="宋体"/>
          <w:color w:val="auto"/>
          <w:sz w:val="28"/>
          <w:szCs w:val="28"/>
        </w:rPr>
        <w:t>招标代理服务费</w:t>
      </w:r>
      <w:bookmarkEnd w:id="1018"/>
      <w:bookmarkEnd w:id="1019"/>
      <w:bookmarkEnd w:id="1020"/>
      <w:bookmarkEnd w:id="1021"/>
      <w:bookmarkEnd w:id="1022"/>
      <w:bookmarkEnd w:id="1023"/>
      <w:bookmarkEnd w:id="1024"/>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p>
    <w:p w14:paraId="0D2E50A5">
      <w:pPr>
        <w:pageBreakBefore w:val="0"/>
        <w:kinsoku/>
        <w:overflowPunct/>
        <w:bidi w:val="0"/>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中标人应当按照招标文件规定交纳招标代理服务费，招标人和招标代理机构另有约定的从其约定。招标代理服务费的金额、交纳方式和时限见投标人须知前附表。</w:t>
      </w:r>
    </w:p>
    <w:p w14:paraId="5BC67DE8">
      <w:pPr>
        <w:pStyle w:val="39"/>
        <w:pageBreakBefore w:val="0"/>
        <w:numPr>
          <w:ilvl w:val="0"/>
          <w:numId w:val="5"/>
        </w:numPr>
        <w:tabs>
          <w:tab w:val="left" w:pos="602"/>
        </w:tabs>
        <w:kinsoku/>
        <w:overflowPunct/>
        <w:bidi w:val="0"/>
        <w:snapToGrid w:val="0"/>
        <w:spacing w:before="120" w:after="120" w:line="360" w:lineRule="auto"/>
        <w:ind w:left="0" w:firstLine="0"/>
        <w:jc w:val="left"/>
        <w:rPr>
          <w:rFonts w:hint="eastAsia" w:ascii="宋体" w:hAnsi="宋体" w:eastAsia="宋体" w:cs="宋体"/>
          <w:color w:val="auto"/>
          <w:sz w:val="28"/>
          <w:szCs w:val="28"/>
        </w:rPr>
      </w:pPr>
      <w:bookmarkStart w:id="1058" w:name="_Toc643"/>
      <w:bookmarkStart w:id="1059" w:name="_Toc13551"/>
      <w:bookmarkStart w:id="1060" w:name="_Toc447265550"/>
      <w:bookmarkStart w:id="1061" w:name="_Toc23221"/>
      <w:bookmarkStart w:id="1062" w:name="_Toc2143"/>
      <w:bookmarkStart w:id="1063" w:name="_Toc29708"/>
      <w:bookmarkStart w:id="1064" w:name="_Toc23745"/>
      <w:bookmarkStart w:id="1065" w:name="_Toc12294"/>
      <w:bookmarkStart w:id="1066" w:name="_Toc296602461"/>
      <w:bookmarkStart w:id="1067" w:name="_Toc7968"/>
      <w:bookmarkStart w:id="1068" w:name="_Toc447265264"/>
      <w:bookmarkStart w:id="1069" w:name="_Toc26255"/>
      <w:bookmarkStart w:id="1070" w:name="_Toc25308"/>
      <w:bookmarkStart w:id="1071" w:name="_Toc5860"/>
      <w:bookmarkStart w:id="1072" w:name="_Toc17280"/>
      <w:bookmarkStart w:id="1073" w:name="_Toc38007999"/>
      <w:bookmarkStart w:id="1074" w:name="_Toc447188708"/>
      <w:bookmarkStart w:id="1075" w:name="_Toc8755"/>
      <w:bookmarkStart w:id="1076" w:name="_Toc21315"/>
      <w:r>
        <w:rPr>
          <w:rFonts w:hint="eastAsia" w:ascii="宋体" w:hAnsi="宋体" w:eastAsia="宋体" w:cs="宋体"/>
          <w:color w:val="auto"/>
          <w:sz w:val="28"/>
          <w:szCs w:val="28"/>
        </w:rPr>
        <w:t>纪律和监督</w:t>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p>
    <w:p w14:paraId="2759F296">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077" w:name="_Toc11955"/>
      <w:bookmarkStart w:id="1078" w:name="_Toc246996962"/>
      <w:bookmarkStart w:id="1079" w:name="_Toc15630"/>
      <w:bookmarkStart w:id="1080" w:name="_Toc15469"/>
      <w:bookmarkStart w:id="1081" w:name="_Toc296602462"/>
      <w:bookmarkStart w:id="1082" w:name="_Toc38008000"/>
      <w:bookmarkStart w:id="1083" w:name="_Toc30030"/>
      <w:bookmarkStart w:id="1084" w:name="_Toc15267"/>
      <w:bookmarkStart w:id="1085" w:name="_Toc30273"/>
      <w:bookmarkStart w:id="1086" w:name="_Toc3966"/>
      <w:bookmarkStart w:id="1087" w:name="_Toc14002"/>
      <w:bookmarkStart w:id="1088" w:name="_Toc12222"/>
      <w:bookmarkStart w:id="1089" w:name="_Toc447265551"/>
      <w:bookmarkStart w:id="1090" w:name="_Toc447265265"/>
      <w:bookmarkStart w:id="1091" w:name="_Toc144974543"/>
      <w:bookmarkStart w:id="1092" w:name="_Toc13583"/>
      <w:bookmarkStart w:id="1093" w:name="_Toc152042351"/>
      <w:bookmarkStart w:id="1094" w:name="_Toc13989"/>
      <w:bookmarkStart w:id="1095" w:name="_Toc18490"/>
      <w:bookmarkStart w:id="1096" w:name="_Toc26884"/>
      <w:bookmarkStart w:id="1097" w:name="_Toc152045575"/>
      <w:bookmarkStart w:id="1098" w:name="_Toc296590983"/>
      <w:bookmarkStart w:id="1099" w:name="_Toc246996219"/>
      <w:bookmarkStart w:id="1100" w:name="_Toc247085733"/>
      <w:bookmarkStart w:id="1101" w:name="_Toc179632593"/>
      <w:bookmarkStart w:id="1102" w:name="_Toc12030"/>
      <w:r>
        <w:rPr>
          <w:rFonts w:hint="eastAsia" w:ascii="宋体" w:hAnsi="宋体" w:eastAsia="宋体" w:cs="宋体"/>
          <w:color w:val="auto"/>
          <w:sz w:val="24"/>
          <w:szCs w:val="24"/>
        </w:rPr>
        <w:t>10.1对招标人的纪律要求</w:t>
      </w:r>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p>
    <w:p w14:paraId="2A7714DB">
      <w:pPr>
        <w:pageBreakBefore w:val="0"/>
        <w:kinsoku/>
        <w:overflowPunct/>
        <w:bidi w:val="0"/>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招标人不得泄露招标投标活动中应当保密的情况和资料，不得与投标人串通损害国家利益、社会公共利益或者他人合法权益。</w:t>
      </w:r>
    </w:p>
    <w:p w14:paraId="6D1367E1">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103" w:name="_Toc246996963"/>
      <w:bookmarkStart w:id="1104" w:name="_Toc144974544"/>
      <w:bookmarkStart w:id="1105" w:name="_Toc13685"/>
      <w:bookmarkStart w:id="1106" w:name="_Toc5013"/>
      <w:bookmarkStart w:id="1107" w:name="_Toc4554"/>
      <w:bookmarkStart w:id="1108" w:name="_Toc179632594"/>
      <w:bookmarkStart w:id="1109" w:name="_Toc30484"/>
      <w:bookmarkStart w:id="1110" w:name="_Toc447265266"/>
      <w:bookmarkStart w:id="1111" w:name="_Toc17673"/>
      <w:bookmarkStart w:id="1112" w:name="_Toc152045576"/>
      <w:bookmarkStart w:id="1113" w:name="_Toc9820"/>
      <w:bookmarkStart w:id="1114" w:name="_Toc152042352"/>
      <w:bookmarkStart w:id="1115" w:name="_Toc447265552"/>
      <w:bookmarkStart w:id="1116" w:name="_Toc296602463"/>
      <w:bookmarkStart w:id="1117" w:name="_Toc1936"/>
      <w:bookmarkStart w:id="1118" w:name="_Toc22661"/>
      <w:bookmarkStart w:id="1119" w:name="_Toc26469"/>
      <w:bookmarkStart w:id="1120" w:name="_Toc12522"/>
      <w:bookmarkStart w:id="1121" w:name="_Toc26645"/>
      <w:bookmarkStart w:id="1122" w:name="_Toc246996220"/>
      <w:bookmarkStart w:id="1123" w:name="_Toc3357"/>
      <w:bookmarkStart w:id="1124" w:name="_Toc31386"/>
      <w:bookmarkStart w:id="1125" w:name="_Toc247085734"/>
      <w:bookmarkStart w:id="1126" w:name="_Toc5169"/>
      <w:bookmarkStart w:id="1127" w:name="_Toc38008001"/>
      <w:r>
        <w:rPr>
          <w:rFonts w:hint="eastAsia" w:ascii="宋体" w:hAnsi="宋体" w:eastAsia="宋体" w:cs="宋体"/>
          <w:color w:val="auto"/>
          <w:sz w:val="24"/>
          <w:szCs w:val="24"/>
        </w:rPr>
        <w:t>10.2对投标人的纪律要求</w:t>
      </w:r>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p>
    <w:p w14:paraId="6BE3D4FB">
      <w:pPr>
        <w:pageBreakBefore w:val="0"/>
        <w:kinsoku/>
        <w:overflowPunct/>
        <w:bidi w:val="0"/>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EB15F7C">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128" w:name="_Toc22139"/>
      <w:bookmarkStart w:id="1129" w:name="_Toc20240"/>
      <w:bookmarkStart w:id="1130" w:name="_Toc26597"/>
      <w:bookmarkStart w:id="1131" w:name="_Toc16227"/>
      <w:bookmarkStart w:id="1132" w:name="_Toc7211"/>
      <w:bookmarkStart w:id="1133" w:name="_Toc447265267"/>
      <w:bookmarkStart w:id="1134" w:name="_Toc5575"/>
      <w:bookmarkStart w:id="1135" w:name="_Toc4662"/>
      <w:bookmarkStart w:id="1136" w:name="_Toc32427"/>
      <w:bookmarkStart w:id="1137" w:name="_Toc14653"/>
      <w:bookmarkStart w:id="1138" w:name="_Toc10922"/>
      <w:bookmarkStart w:id="1139" w:name="_Toc76"/>
      <w:bookmarkStart w:id="1140" w:name="_Toc38008002"/>
      <w:bookmarkStart w:id="1141" w:name="_Toc152045577"/>
      <w:bookmarkStart w:id="1142" w:name="_Toc152042353"/>
      <w:bookmarkStart w:id="1143" w:name="_Toc144974545"/>
      <w:bookmarkStart w:id="1144" w:name="_Toc15411"/>
      <w:bookmarkStart w:id="1145" w:name="_Toc296602464"/>
      <w:bookmarkStart w:id="1146" w:name="_Toc246996964"/>
      <w:bookmarkStart w:id="1147" w:name="_Toc247085735"/>
      <w:bookmarkStart w:id="1148" w:name="_Toc447265553"/>
      <w:bookmarkStart w:id="1149" w:name="_Toc179632595"/>
      <w:bookmarkStart w:id="1150" w:name="_Toc246996221"/>
      <w:bookmarkStart w:id="1151" w:name="_Toc9987"/>
      <w:bookmarkStart w:id="1152" w:name="_Toc13836"/>
      <w:r>
        <w:rPr>
          <w:rFonts w:hint="eastAsia" w:ascii="宋体" w:hAnsi="宋体" w:eastAsia="宋体" w:cs="宋体"/>
          <w:color w:val="auto"/>
          <w:sz w:val="24"/>
          <w:szCs w:val="24"/>
        </w:rPr>
        <w:t>10.3对评标委员会成员的纪律要求</w:t>
      </w:r>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p>
    <w:p w14:paraId="07A133BD">
      <w:pPr>
        <w:pageBreakBefore w:val="0"/>
        <w:kinsoku/>
        <w:overflowPunct/>
        <w:bidi w:val="0"/>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5E91078">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153" w:name="_Toc2075"/>
      <w:bookmarkStart w:id="1154" w:name="_Toc6459"/>
      <w:bookmarkStart w:id="1155" w:name="_Toc2209"/>
      <w:bookmarkStart w:id="1156" w:name="_Toc25865"/>
      <w:bookmarkStart w:id="1157" w:name="_Toc246996965"/>
      <w:bookmarkStart w:id="1158" w:name="_Toc3927"/>
      <w:bookmarkStart w:id="1159" w:name="_Toc179632596"/>
      <w:bookmarkStart w:id="1160" w:name="_Toc18445"/>
      <w:bookmarkStart w:id="1161" w:name="_Toc565"/>
      <w:bookmarkStart w:id="1162" w:name="_Toc10414"/>
      <w:bookmarkStart w:id="1163" w:name="_Toc296602465"/>
      <w:bookmarkStart w:id="1164" w:name="_Toc246996222"/>
      <w:bookmarkStart w:id="1165" w:name="_Toc152045578"/>
      <w:bookmarkStart w:id="1166" w:name="_Toc20102"/>
      <w:bookmarkStart w:id="1167" w:name="_Toc447265268"/>
      <w:bookmarkStart w:id="1168" w:name="_Toc29189"/>
      <w:bookmarkStart w:id="1169" w:name="_Toc27010"/>
      <w:bookmarkStart w:id="1170" w:name="_Toc247085736"/>
      <w:bookmarkStart w:id="1171" w:name="_Toc38008003"/>
      <w:bookmarkStart w:id="1172" w:name="_Toc152042354"/>
      <w:bookmarkStart w:id="1173" w:name="_Toc17520"/>
      <w:bookmarkStart w:id="1174" w:name="_Toc447265554"/>
      <w:bookmarkStart w:id="1175" w:name="_Toc17029"/>
      <w:bookmarkStart w:id="1176" w:name="_Toc28236"/>
      <w:bookmarkStart w:id="1177" w:name="_Toc144974546"/>
      <w:r>
        <w:rPr>
          <w:rFonts w:hint="eastAsia" w:ascii="宋体" w:hAnsi="宋体" w:eastAsia="宋体" w:cs="宋体"/>
          <w:color w:val="auto"/>
          <w:sz w:val="24"/>
          <w:szCs w:val="24"/>
        </w:rPr>
        <w:t>10.4对与评标活动有关的工作人员的纪律要求</w:t>
      </w:r>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p>
    <w:p w14:paraId="5AC75288">
      <w:pPr>
        <w:pageBreakBefore w:val="0"/>
        <w:kinsoku/>
        <w:overflowPunct/>
        <w:bidi w:val="0"/>
        <w:adjustRightInd w:val="0"/>
        <w:snapToGrid w:val="0"/>
        <w:spacing w:line="360" w:lineRule="auto"/>
        <w:ind w:firstLine="420" w:firstLineChars="200"/>
        <w:rPr>
          <w:rFonts w:hint="eastAsia" w:ascii="宋体" w:hAnsi="宋体" w:eastAsia="宋体" w:cs="宋体"/>
          <w:color w:val="auto"/>
          <w:szCs w:val="21"/>
        </w:rPr>
      </w:pPr>
      <w:bookmarkStart w:id="1178" w:name="_Toc152042355"/>
      <w:r>
        <w:rPr>
          <w:rFonts w:hint="eastAsia" w:ascii="宋体" w:hAnsi="宋体" w:eastAsia="宋体" w:cs="宋体"/>
          <w:color w:val="auto"/>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bookmarkEnd w:id="1178"/>
    </w:p>
    <w:p w14:paraId="3D988C97">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179" w:name="_Toc5769"/>
      <w:bookmarkStart w:id="1180" w:name="_Toc23094"/>
      <w:bookmarkStart w:id="1181" w:name="_Toc12210"/>
      <w:bookmarkStart w:id="1182" w:name="_Toc447265273"/>
      <w:bookmarkStart w:id="1183" w:name="_Toc447265559"/>
      <w:bookmarkStart w:id="1184" w:name="_Toc38008018"/>
      <w:bookmarkStart w:id="1185" w:name="_Toc247085737"/>
      <w:bookmarkStart w:id="1186" w:name="_Toc447265269"/>
      <w:bookmarkStart w:id="1187" w:name="_Toc1713"/>
      <w:bookmarkStart w:id="1188" w:name="_Toc296602466"/>
      <w:bookmarkStart w:id="1189" w:name="_Toc152045579"/>
      <w:bookmarkStart w:id="1190" w:name="_Toc21106"/>
      <w:bookmarkStart w:id="1191" w:name="_Toc8909"/>
      <w:bookmarkStart w:id="1192" w:name="_Toc15174"/>
      <w:bookmarkStart w:id="1193" w:name="_Toc5508"/>
      <w:bookmarkStart w:id="1194" w:name="_Toc38008004"/>
      <w:bookmarkStart w:id="1195" w:name="_Toc447265555"/>
      <w:bookmarkStart w:id="1196" w:name="_Toc26510"/>
      <w:bookmarkStart w:id="1197" w:name="_Toc3496"/>
      <w:bookmarkStart w:id="1198" w:name="_Toc9754"/>
      <w:bookmarkStart w:id="1199" w:name="_Toc246996223"/>
      <w:bookmarkStart w:id="1200" w:name="_Toc16599"/>
      <w:bookmarkStart w:id="1201" w:name="_Toc246996966"/>
      <w:bookmarkStart w:id="1202" w:name="_Toc32531"/>
      <w:bookmarkStart w:id="1203" w:name="_Toc179632597"/>
      <w:bookmarkStart w:id="1204" w:name="_Toc152042356"/>
      <w:bookmarkStart w:id="1205" w:name="_Toc2197"/>
      <w:r>
        <w:rPr>
          <w:rFonts w:hint="eastAsia" w:ascii="宋体" w:hAnsi="宋体" w:eastAsia="宋体" w:cs="宋体"/>
          <w:color w:val="auto"/>
          <w:sz w:val="24"/>
          <w:szCs w:val="24"/>
        </w:rPr>
        <w:t>10.5投诉</w:t>
      </w:r>
      <w:bookmarkEnd w:id="1179"/>
      <w:bookmarkEnd w:id="1180"/>
      <w:bookmarkEnd w:id="1181"/>
    </w:p>
    <w:p w14:paraId="7BAD104B">
      <w:pPr>
        <w:pStyle w:val="22"/>
        <w:pageBreakBefore w:val="0"/>
        <w:tabs>
          <w:tab w:val="left" w:pos="630"/>
        </w:tabs>
        <w:kinsoku/>
        <w:overflowPunct/>
        <w:bidi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投标人或其他利害关系人认为招标投标活动不符合法律、法规规定的，可以自知道或者应当知道之日起10日内向有关行政监督部门投诉。投诉应当有明确的请求和必要的证明材料。</w:t>
      </w:r>
    </w:p>
    <w:p w14:paraId="0A3DE364">
      <w:pPr>
        <w:pStyle w:val="22"/>
        <w:pageBreakBefore w:val="0"/>
        <w:tabs>
          <w:tab w:val="left" w:pos="630"/>
        </w:tabs>
        <w:kinsoku/>
        <w:overflowPunct/>
        <w:bidi w:val="0"/>
        <w:snapToGrid w:val="0"/>
        <w:spacing w:line="360" w:lineRule="auto"/>
        <w:rPr>
          <w:rFonts w:hint="eastAsia" w:ascii="宋体" w:hAnsi="宋体" w:eastAsia="宋体" w:cs="宋体"/>
          <w:color w:val="auto"/>
        </w:rPr>
      </w:pPr>
      <w:r>
        <w:rPr>
          <w:rFonts w:hint="eastAsia" w:ascii="宋体" w:hAnsi="宋体" w:eastAsia="宋体" w:cs="宋体"/>
          <w:color w:val="auto"/>
        </w:rPr>
        <w:t>就招标文件、开标、中标候选人公示投诉的，应当先向招标人提出异议，异议答复期间不计算在前款规定的期限内。</w:t>
      </w:r>
    </w:p>
    <w:p w14:paraId="7A10AC59">
      <w:pPr>
        <w:pStyle w:val="39"/>
        <w:pageBreakBefore w:val="0"/>
        <w:numPr>
          <w:ilvl w:val="0"/>
          <w:numId w:val="5"/>
        </w:numPr>
        <w:tabs>
          <w:tab w:val="left" w:pos="602"/>
        </w:tabs>
        <w:kinsoku/>
        <w:overflowPunct/>
        <w:bidi w:val="0"/>
        <w:snapToGrid w:val="0"/>
        <w:spacing w:before="120" w:after="120" w:line="360" w:lineRule="auto"/>
        <w:ind w:left="0" w:firstLine="0"/>
        <w:jc w:val="left"/>
        <w:rPr>
          <w:rFonts w:hint="eastAsia" w:ascii="宋体" w:hAnsi="宋体" w:eastAsia="宋体" w:cs="宋体"/>
          <w:color w:val="auto"/>
          <w:sz w:val="28"/>
          <w:szCs w:val="28"/>
        </w:rPr>
      </w:pPr>
      <w:bookmarkStart w:id="1206" w:name="_Toc10447"/>
      <w:bookmarkStart w:id="1207" w:name="_Toc14359"/>
      <w:bookmarkStart w:id="1208" w:name="_Toc246996224"/>
      <w:bookmarkStart w:id="1209" w:name="_Toc1881"/>
      <w:bookmarkStart w:id="1210" w:name="_Toc13264"/>
      <w:bookmarkStart w:id="1211" w:name="_Toc2523"/>
      <w:bookmarkStart w:id="1212" w:name="_Toc447188709"/>
      <w:bookmarkStart w:id="1213" w:name="_Toc18263"/>
      <w:bookmarkStart w:id="1214" w:name="_Toc2893"/>
      <w:bookmarkStart w:id="1215" w:name="_Toc18275"/>
      <w:bookmarkStart w:id="1216" w:name="_Toc447265556"/>
      <w:bookmarkStart w:id="1217" w:name="_Toc16561"/>
      <w:bookmarkStart w:id="1218" w:name="_Toc500"/>
      <w:bookmarkStart w:id="1219" w:name="_Toc152042357"/>
      <w:bookmarkStart w:id="1220" w:name="_Toc247085738"/>
      <w:bookmarkStart w:id="1221" w:name="_Toc14571"/>
      <w:bookmarkStart w:id="1222" w:name="_Toc144974547"/>
      <w:bookmarkStart w:id="1223" w:name="_Toc179632598"/>
      <w:bookmarkStart w:id="1224" w:name="_Toc296602467"/>
      <w:bookmarkStart w:id="1225" w:name="_Toc38008005"/>
      <w:bookmarkStart w:id="1226" w:name="_Toc152045580"/>
      <w:bookmarkStart w:id="1227" w:name="_Toc32602"/>
      <w:bookmarkStart w:id="1228" w:name="_Toc5288"/>
      <w:bookmarkStart w:id="1229" w:name="_Toc447265270"/>
      <w:bookmarkStart w:id="1230" w:name="_Toc27870"/>
      <w:bookmarkStart w:id="1231" w:name="_Toc246996967"/>
      <w:r>
        <w:rPr>
          <w:rFonts w:hint="eastAsia" w:ascii="宋体" w:hAnsi="宋体" w:eastAsia="宋体" w:cs="宋体"/>
          <w:color w:val="auto"/>
          <w:sz w:val="28"/>
          <w:szCs w:val="28"/>
        </w:rPr>
        <w:t>需要补充的其他内容</w:t>
      </w:r>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14:paraId="52CC6058">
      <w:pPr>
        <w:pageBreakBefore w:val="0"/>
        <w:kinsoku/>
        <w:overflowPunct/>
        <w:bidi w:val="0"/>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需要补充的其他内容：见投标人须知前附表。</w:t>
      </w:r>
    </w:p>
    <w:p w14:paraId="4191D317">
      <w:pPr>
        <w:pageBreakBefore w:val="0"/>
        <w:widowControl/>
        <w:kinsoku/>
        <w:overflowPunct/>
        <w:bidi w:val="0"/>
        <w:spacing w:line="360" w:lineRule="auto"/>
        <w:jc w:val="left"/>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14:paraId="7D5BCC6E">
      <w:pPr>
        <w:pStyle w:val="50"/>
        <w:pageBreakBefore w:val="0"/>
        <w:kinsoku/>
        <w:overflowPunct/>
        <w:bidi w:val="0"/>
        <w:spacing w:before="240" w:after="120" w:line="360" w:lineRule="auto"/>
        <w:rPr>
          <w:rFonts w:hint="eastAsia" w:ascii="宋体" w:hAnsi="宋体" w:eastAsia="宋体" w:cs="宋体"/>
          <w:b/>
          <w:bCs w:val="0"/>
          <w:color w:val="auto"/>
          <w:kern w:val="0"/>
          <w:sz w:val="28"/>
          <w:szCs w:val="28"/>
        </w:rPr>
      </w:pPr>
      <w:bookmarkStart w:id="1232" w:name="_Toc26387"/>
      <w:r>
        <w:rPr>
          <w:rFonts w:hint="eastAsia" w:ascii="宋体" w:hAnsi="宋体" w:eastAsia="宋体" w:cs="宋体"/>
          <w:b/>
          <w:bCs w:val="0"/>
          <w:color w:val="auto"/>
          <w:kern w:val="0"/>
          <w:sz w:val="28"/>
          <w:szCs w:val="28"/>
        </w:rPr>
        <w:t>第三章 评标办法（综合评估法）</w:t>
      </w:r>
      <w:bookmarkEnd w:id="1182"/>
      <w:bookmarkEnd w:id="1183"/>
      <w:bookmarkEnd w:id="1184"/>
      <w:bookmarkEnd w:id="1232"/>
    </w:p>
    <w:p w14:paraId="5CF52F68">
      <w:pPr>
        <w:pageBreakBefore w:val="0"/>
        <w:kinsoku/>
        <w:overflowPunct/>
        <w:bidi w:val="0"/>
        <w:spacing w:line="360" w:lineRule="auto"/>
        <w:jc w:val="center"/>
        <w:rPr>
          <w:rFonts w:hint="eastAsia" w:ascii="宋体" w:hAnsi="宋体" w:eastAsia="宋体" w:cs="宋体"/>
          <w:color w:val="auto"/>
        </w:rPr>
      </w:pPr>
      <w:bookmarkStart w:id="1233" w:name="_Toc447265274"/>
      <w:bookmarkStart w:id="1234" w:name="_Toc28576"/>
      <w:bookmarkStart w:id="1235" w:name="_Toc25294"/>
      <w:bookmarkStart w:id="1236" w:name="_Toc447265560"/>
      <w:bookmarkStart w:id="1237" w:name="_Toc13342"/>
      <w:bookmarkStart w:id="1238" w:name="_Toc27366"/>
      <w:bookmarkStart w:id="1239" w:name="_Toc450489344"/>
      <w:bookmarkStart w:id="1240" w:name="_Toc38008019"/>
      <w:r>
        <w:rPr>
          <w:rFonts w:hint="eastAsia" w:ascii="宋体" w:hAnsi="宋体" w:eastAsia="宋体" w:cs="宋体"/>
          <w:color w:val="auto"/>
        </w:rPr>
        <w:t>评标办法前附表</w:t>
      </w:r>
      <w:bookmarkEnd w:id="1233"/>
      <w:bookmarkEnd w:id="1234"/>
      <w:bookmarkEnd w:id="1235"/>
      <w:bookmarkEnd w:id="1236"/>
      <w:bookmarkEnd w:id="1237"/>
      <w:bookmarkEnd w:id="1238"/>
      <w:bookmarkEnd w:id="1239"/>
      <w:bookmarkEnd w:id="1240"/>
    </w:p>
    <w:p w14:paraId="695A7EA0">
      <w:pPr>
        <w:pageBreakBefore w:val="0"/>
        <w:kinsoku/>
        <w:overflowPunct/>
        <w:bidi w:val="0"/>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项目采用综合评估法，总分共100分，其中商务10分，服务10分，技术46分，价格34分。评标时，评标委员会按照招标文件规定的量化因素和权重比值打分，【按照中国电信供应商不良行为处理结果及《中国电信供应商不良行为管理规则》的结果执行规则，应对投标人的本次投标执行限制采购处理措施的,评标委员会应按照处理结果及规则扣减相应分值。】【评标委员会全体成员对该投标人打分的算术平均值为该投标人的最终得分。】</w:t>
      </w:r>
    </w:p>
    <w:tbl>
      <w:tblPr>
        <w:tblStyle w:val="4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1195"/>
        <w:gridCol w:w="1045"/>
        <w:gridCol w:w="1621"/>
        <w:gridCol w:w="731"/>
        <w:gridCol w:w="3136"/>
      </w:tblGrid>
      <w:tr w14:paraId="38BD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1166" w:type="pct"/>
            <w:gridSpan w:val="2"/>
            <w:vAlign w:val="center"/>
          </w:tcPr>
          <w:p w14:paraId="799917CE">
            <w:pPr>
              <w:pageBreakBefore w:val="0"/>
              <w:kinsoku/>
              <w:overflowPunct/>
              <w:bidi w:val="0"/>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szCs w:val="21"/>
              </w:rPr>
              <w:t>条款号</w:t>
            </w:r>
          </w:p>
        </w:tc>
        <w:tc>
          <w:tcPr>
            <w:tcW w:w="613" w:type="pct"/>
            <w:vAlign w:val="center"/>
          </w:tcPr>
          <w:p w14:paraId="4743603E">
            <w:pPr>
              <w:pageBreakBefore w:val="0"/>
              <w:kinsoku/>
              <w:overflowPunct/>
              <w:bidi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kern w:val="0"/>
                <w:szCs w:val="21"/>
              </w:rPr>
              <w:t>评审内容</w:t>
            </w:r>
          </w:p>
        </w:tc>
        <w:tc>
          <w:tcPr>
            <w:tcW w:w="951" w:type="pct"/>
            <w:vAlign w:val="center"/>
          </w:tcPr>
          <w:p w14:paraId="67A7CC51">
            <w:pPr>
              <w:pageBreakBefore w:val="0"/>
              <w:kinsoku/>
              <w:overflowPunct/>
              <w:bidi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kern w:val="0"/>
                <w:szCs w:val="21"/>
              </w:rPr>
              <w:t>评审因素</w:t>
            </w:r>
          </w:p>
        </w:tc>
        <w:tc>
          <w:tcPr>
            <w:tcW w:w="2268" w:type="pct"/>
            <w:gridSpan w:val="2"/>
            <w:vAlign w:val="center"/>
          </w:tcPr>
          <w:p w14:paraId="08417C93">
            <w:pPr>
              <w:pageBreakBefore w:val="0"/>
              <w:kinsoku/>
              <w:overflowPunct/>
              <w:bidi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kern w:val="0"/>
                <w:szCs w:val="21"/>
              </w:rPr>
              <w:t>评审标准</w:t>
            </w:r>
          </w:p>
        </w:tc>
      </w:tr>
      <w:tr w14:paraId="726D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65" w:type="pct"/>
            <w:vMerge w:val="restart"/>
            <w:vAlign w:val="center"/>
          </w:tcPr>
          <w:p w14:paraId="3DED021A">
            <w:pPr>
              <w:pageBreakBefore w:val="0"/>
              <w:kinsoku/>
              <w:overflowPunct/>
              <w:bidi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2.1</w:t>
            </w:r>
          </w:p>
        </w:tc>
        <w:tc>
          <w:tcPr>
            <w:tcW w:w="701" w:type="pct"/>
            <w:vMerge w:val="restart"/>
            <w:vAlign w:val="center"/>
          </w:tcPr>
          <w:p w14:paraId="50485E39">
            <w:pPr>
              <w:pageBreakBefore w:val="0"/>
              <w:kinsoku/>
              <w:overflowPunct/>
              <w:bidi w:val="0"/>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初步评审标准</w:t>
            </w:r>
          </w:p>
        </w:tc>
        <w:tc>
          <w:tcPr>
            <w:tcW w:w="613" w:type="pct"/>
            <w:vMerge w:val="restart"/>
            <w:vAlign w:val="center"/>
          </w:tcPr>
          <w:p w14:paraId="45753404">
            <w:pPr>
              <w:pageBreakBefore w:val="0"/>
              <w:kinsoku/>
              <w:overflowPunct/>
              <w:bidi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kern w:val="0"/>
                <w:szCs w:val="21"/>
              </w:rPr>
              <w:t>形式评审</w:t>
            </w:r>
          </w:p>
        </w:tc>
        <w:tc>
          <w:tcPr>
            <w:tcW w:w="951" w:type="pct"/>
            <w:vAlign w:val="center"/>
          </w:tcPr>
          <w:p w14:paraId="2F41BE66">
            <w:pPr>
              <w:pageBreakBefore w:val="0"/>
              <w:kinsoku/>
              <w:overflowPunct/>
              <w:bidi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kern w:val="0"/>
                <w:szCs w:val="21"/>
              </w:rPr>
              <w:t>投标人名称</w:t>
            </w:r>
          </w:p>
        </w:tc>
        <w:tc>
          <w:tcPr>
            <w:tcW w:w="2268" w:type="pct"/>
            <w:gridSpan w:val="2"/>
            <w:vAlign w:val="center"/>
          </w:tcPr>
          <w:p w14:paraId="5AED1B91">
            <w:pPr>
              <w:pageBreakBefore w:val="0"/>
              <w:kinsoku/>
              <w:overflowPunct/>
              <w:bidi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kern w:val="0"/>
                <w:szCs w:val="21"/>
              </w:rPr>
              <w:t>与营业执照一致</w:t>
            </w:r>
          </w:p>
        </w:tc>
      </w:tr>
      <w:tr w14:paraId="3DAD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65" w:type="pct"/>
            <w:vMerge w:val="continue"/>
            <w:vAlign w:val="center"/>
          </w:tcPr>
          <w:p w14:paraId="1A8A2137">
            <w:pPr>
              <w:pageBreakBefore w:val="0"/>
              <w:kinsoku/>
              <w:overflowPunct/>
              <w:bidi w:val="0"/>
              <w:snapToGrid w:val="0"/>
              <w:spacing w:line="360" w:lineRule="auto"/>
              <w:jc w:val="center"/>
              <w:rPr>
                <w:rFonts w:hint="eastAsia" w:ascii="宋体" w:hAnsi="宋体" w:eastAsia="宋体" w:cs="宋体"/>
                <w:color w:val="auto"/>
                <w:szCs w:val="21"/>
              </w:rPr>
            </w:pPr>
          </w:p>
        </w:tc>
        <w:tc>
          <w:tcPr>
            <w:tcW w:w="701" w:type="pct"/>
            <w:vMerge w:val="continue"/>
          </w:tcPr>
          <w:p w14:paraId="0919F770">
            <w:pPr>
              <w:pageBreakBefore w:val="0"/>
              <w:kinsoku/>
              <w:overflowPunct/>
              <w:bidi w:val="0"/>
              <w:snapToGrid w:val="0"/>
              <w:spacing w:line="360" w:lineRule="auto"/>
              <w:jc w:val="center"/>
              <w:rPr>
                <w:rFonts w:hint="eastAsia" w:ascii="宋体" w:hAnsi="宋体" w:eastAsia="宋体" w:cs="宋体"/>
                <w:color w:val="auto"/>
                <w:szCs w:val="21"/>
              </w:rPr>
            </w:pPr>
          </w:p>
        </w:tc>
        <w:tc>
          <w:tcPr>
            <w:tcW w:w="613" w:type="pct"/>
            <w:vMerge w:val="continue"/>
            <w:vAlign w:val="center"/>
          </w:tcPr>
          <w:p w14:paraId="22C7486B">
            <w:pPr>
              <w:pageBreakBefore w:val="0"/>
              <w:kinsoku/>
              <w:overflowPunct/>
              <w:bidi w:val="0"/>
              <w:snapToGrid w:val="0"/>
              <w:spacing w:line="360" w:lineRule="auto"/>
              <w:jc w:val="left"/>
              <w:rPr>
                <w:rFonts w:hint="eastAsia" w:ascii="宋体" w:hAnsi="宋体" w:eastAsia="宋体" w:cs="宋体"/>
                <w:color w:val="auto"/>
                <w:szCs w:val="21"/>
              </w:rPr>
            </w:pPr>
          </w:p>
        </w:tc>
        <w:tc>
          <w:tcPr>
            <w:tcW w:w="951" w:type="pct"/>
            <w:vAlign w:val="center"/>
          </w:tcPr>
          <w:p w14:paraId="1E23D07E">
            <w:pPr>
              <w:pageBreakBefore w:val="0"/>
              <w:kinsoku/>
              <w:overflowPunct/>
              <w:bidi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投标函</w:t>
            </w:r>
          </w:p>
        </w:tc>
        <w:tc>
          <w:tcPr>
            <w:tcW w:w="2268" w:type="pct"/>
            <w:gridSpan w:val="2"/>
            <w:vAlign w:val="center"/>
          </w:tcPr>
          <w:p w14:paraId="3A62A191">
            <w:pPr>
              <w:pageBreakBefore w:val="0"/>
              <w:kinsoku/>
              <w:overflowPunct/>
              <w:bidi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符合第二章“投标人须知”和第六章“投标文件格式”规定</w:t>
            </w:r>
          </w:p>
        </w:tc>
      </w:tr>
      <w:tr w14:paraId="7970D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65" w:type="pct"/>
            <w:vMerge w:val="continue"/>
            <w:vAlign w:val="center"/>
          </w:tcPr>
          <w:p w14:paraId="5EFE54E9">
            <w:pPr>
              <w:pageBreakBefore w:val="0"/>
              <w:kinsoku/>
              <w:overflowPunct/>
              <w:bidi w:val="0"/>
              <w:snapToGrid w:val="0"/>
              <w:spacing w:line="360" w:lineRule="auto"/>
              <w:jc w:val="center"/>
              <w:rPr>
                <w:rFonts w:hint="eastAsia" w:ascii="宋体" w:hAnsi="宋体" w:eastAsia="宋体" w:cs="宋体"/>
                <w:color w:val="auto"/>
                <w:szCs w:val="21"/>
              </w:rPr>
            </w:pPr>
          </w:p>
        </w:tc>
        <w:tc>
          <w:tcPr>
            <w:tcW w:w="701" w:type="pct"/>
            <w:vMerge w:val="continue"/>
          </w:tcPr>
          <w:p w14:paraId="1B17C375">
            <w:pPr>
              <w:pageBreakBefore w:val="0"/>
              <w:kinsoku/>
              <w:overflowPunct/>
              <w:bidi w:val="0"/>
              <w:snapToGrid w:val="0"/>
              <w:spacing w:line="360" w:lineRule="auto"/>
              <w:jc w:val="center"/>
              <w:rPr>
                <w:rFonts w:hint="eastAsia" w:ascii="宋体" w:hAnsi="宋体" w:eastAsia="宋体" w:cs="宋体"/>
                <w:color w:val="auto"/>
                <w:szCs w:val="21"/>
              </w:rPr>
            </w:pPr>
          </w:p>
        </w:tc>
        <w:tc>
          <w:tcPr>
            <w:tcW w:w="613" w:type="pct"/>
            <w:vMerge w:val="continue"/>
            <w:vAlign w:val="center"/>
          </w:tcPr>
          <w:p w14:paraId="151CBC3C">
            <w:pPr>
              <w:pageBreakBefore w:val="0"/>
              <w:kinsoku/>
              <w:overflowPunct/>
              <w:bidi w:val="0"/>
              <w:snapToGrid w:val="0"/>
              <w:spacing w:line="360" w:lineRule="auto"/>
              <w:jc w:val="left"/>
              <w:rPr>
                <w:rFonts w:hint="eastAsia" w:ascii="宋体" w:hAnsi="宋体" w:eastAsia="宋体" w:cs="宋体"/>
                <w:color w:val="auto"/>
                <w:szCs w:val="21"/>
              </w:rPr>
            </w:pPr>
          </w:p>
        </w:tc>
        <w:tc>
          <w:tcPr>
            <w:tcW w:w="951" w:type="pct"/>
            <w:vAlign w:val="center"/>
          </w:tcPr>
          <w:p w14:paraId="78E9D191">
            <w:pPr>
              <w:pageBreakBefore w:val="0"/>
              <w:kinsoku/>
              <w:overflowPunct/>
              <w:bidi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kern w:val="0"/>
                <w:szCs w:val="21"/>
              </w:rPr>
              <w:t>营业执照和资质证书</w:t>
            </w:r>
          </w:p>
        </w:tc>
        <w:tc>
          <w:tcPr>
            <w:tcW w:w="2268" w:type="pct"/>
            <w:gridSpan w:val="2"/>
            <w:vAlign w:val="center"/>
          </w:tcPr>
          <w:p w14:paraId="7C58D222">
            <w:pPr>
              <w:pageBreakBefore w:val="0"/>
              <w:kinsoku/>
              <w:overflowPunct/>
              <w:bidi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提供有效证明文件</w:t>
            </w:r>
          </w:p>
        </w:tc>
      </w:tr>
      <w:tr w14:paraId="7CBA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65" w:type="pct"/>
            <w:vMerge w:val="continue"/>
            <w:vAlign w:val="center"/>
          </w:tcPr>
          <w:p w14:paraId="6D541FD8">
            <w:pPr>
              <w:pageBreakBefore w:val="0"/>
              <w:kinsoku/>
              <w:overflowPunct/>
              <w:bidi w:val="0"/>
              <w:snapToGrid w:val="0"/>
              <w:spacing w:line="360" w:lineRule="auto"/>
              <w:ind w:firstLine="420" w:firstLineChars="200"/>
              <w:jc w:val="center"/>
              <w:rPr>
                <w:rFonts w:hint="eastAsia" w:ascii="宋体" w:hAnsi="宋体" w:eastAsia="宋体" w:cs="宋体"/>
                <w:color w:val="auto"/>
                <w:szCs w:val="21"/>
              </w:rPr>
            </w:pPr>
          </w:p>
        </w:tc>
        <w:tc>
          <w:tcPr>
            <w:tcW w:w="701" w:type="pct"/>
            <w:vMerge w:val="continue"/>
          </w:tcPr>
          <w:p w14:paraId="20BEE6F3">
            <w:pPr>
              <w:pageBreakBefore w:val="0"/>
              <w:kinsoku/>
              <w:overflowPunct/>
              <w:bidi w:val="0"/>
              <w:snapToGrid w:val="0"/>
              <w:spacing w:line="360" w:lineRule="auto"/>
              <w:jc w:val="center"/>
              <w:rPr>
                <w:rFonts w:hint="eastAsia" w:ascii="宋体" w:hAnsi="宋体" w:eastAsia="宋体" w:cs="宋体"/>
                <w:color w:val="auto"/>
                <w:szCs w:val="21"/>
              </w:rPr>
            </w:pPr>
          </w:p>
        </w:tc>
        <w:tc>
          <w:tcPr>
            <w:tcW w:w="613" w:type="pct"/>
            <w:vMerge w:val="continue"/>
            <w:vAlign w:val="center"/>
          </w:tcPr>
          <w:p w14:paraId="5F3D88A9">
            <w:pPr>
              <w:pageBreakBefore w:val="0"/>
              <w:kinsoku/>
              <w:overflowPunct/>
              <w:bidi w:val="0"/>
              <w:snapToGrid w:val="0"/>
              <w:spacing w:line="360" w:lineRule="auto"/>
              <w:jc w:val="left"/>
              <w:rPr>
                <w:rFonts w:hint="eastAsia" w:ascii="宋体" w:hAnsi="宋体" w:eastAsia="宋体" w:cs="宋体"/>
                <w:color w:val="auto"/>
                <w:szCs w:val="21"/>
              </w:rPr>
            </w:pPr>
          </w:p>
        </w:tc>
        <w:tc>
          <w:tcPr>
            <w:tcW w:w="951" w:type="pct"/>
            <w:vAlign w:val="center"/>
          </w:tcPr>
          <w:p w14:paraId="7F9E20F8">
            <w:pPr>
              <w:pageBreakBefore w:val="0"/>
              <w:kinsoku/>
              <w:overflowPunct/>
              <w:bidi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kern w:val="0"/>
                <w:szCs w:val="21"/>
              </w:rPr>
              <w:t>投标文件签字盖章</w:t>
            </w:r>
          </w:p>
        </w:tc>
        <w:tc>
          <w:tcPr>
            <w:tcW w:w="2268" w:type="pct"/>
            <w:gridSpan w:val="2"/>
            <w:vAlign w:val="center"/>
          </w:tcPr>
          <w:p w14:paraId="6C43E482">
            <w:pPr>
              <w:pageBreakBefore w:val="0"/>
              <w:kinsoku/>
              <w:overflowPunct/>
              <w:bidi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kern w:val="0"/>
                <w:szCs w:val="21"/>
              </w:rPr>
              <w:t>符合第二章“投标须知前附表”第3.2.5项的要求</w:t>
            </w:r>
          </w:p>
        </w:tc>
      </w:tr>
      <w:tr w14:paraId="6B38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65" w:type="pct"/>
            <w:vMerge w:val="continue"/>
            <w:vAlign w:val="center"/>
          </w:tcPr>
          <w:p w14:paraId="17152FB8">
            <w:pPr>
              <w:pageBreakBefore w:val="0"/>
              <w:kinsoku/>
              <w:overflowPunct/>
              <w:bidi w:val="0"/>
              <w:snapToGrid w:val="0"/>
              <w:spacing w:line="360" w:lineRule="auto"/>
              <w:ind w:firstLine="420" w:firstLineChars="200"/>
              <w:jc w:val="center"/>
              <w:rPr>
                <w:rFonts w:hint="eastAsia" w:ascii="宋体" w:hAnsi="宋体" w:eastAsia="宋体" w:cs="宋体"/>
                <w:color w:val="auto"/>
                <w:szCs w:val="21"/>
              </w:rPr>
            </w:pPr>
          </w:p>
        </w:tc>
        <w:tc>
          <w:tcPr>
            <w:tcW w:w="701" w:type="pct"/>
            <w:vMerge w:val="continue"/>
          </w:tcPr>
          <w:p w14:paraId="02E5E5D8">
            <w:pPr>
              <w:pageBreakBefore w:val="0"/>
              <w:kinsoku/>
              <w:overflowPunct/>
              <w:bidi w:val="0"/>
              <w:snapToGrid w:val="0"/>
              <w:spacing w:line="360" w:lineRule="auto"/>
              <w:jc w:val="center"/>
              <w:rPr>
                <w:rFonts w:hint="eastAsia" w:ascii="宋体" w:hAnsi="宋体" w:eastAsia="宋体" w:cs="宋体"/>
                <w:color w:val="auto"/>
                <w:szCs w:val="21"/>
              </w:rPr>
            </w:pPr>
          </w:p>
        </w:tc>
        <w:tc>
          <w:tcPr>
            <w:tcW w:w="613" w:type="pct"/>
            <w:vMerge w:val="continue"/>
            <w:vAlign w:val="center"/>
          </w:tcPr>
          <w:p w14:paraId="55900E7F">
            <w:pPr>
              <w:pageBreakBefore w:val="0"/>
              <w:kinsoku/>
              <w:overflowPunct/>
              <w:bidi w:val="0"/>
              <w:snapToGrid w:val="0"/>
              <w:spacing w:line="360" w:lineRule="auto"/>
              <w:jc w:val="left"/>
              <w:rPr>
                <w:rFonts w:hint="eastAsia" w:ascii="宋体" w:hAnsi="宋体" w:eastAsia="宋体" w:cs="宋体"/>
                <w:color w:val="auto"/>
                <w:szCs w:val="21"/>
              </w:rPr>
            </w:pPr>
          </w:p>
        </w:tc>
        <w:tc>
          <w:tcPr>
            <w:tcW w:w="951" w:type="pct"/>
            <w:vAlign w:val="center"/>
          </w:tcPr>
          <w:p w14:paraId="1AE6B02C">
            <w:pPr>
              <w:pageBreakBefore w:val="0"/>
              <w:kinsoku/>
              <w:overflowPunct/>
              <w:bidi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kern w:val="0"/>
                <w:szCs w:val="21"/>
              </w:rPr>
              <w:t>法定代表人/负责人授权书</w:t>
            </w:r>
          </w:p>
        </w:tc>
        <w:tc>
          <w:tcPr>
            <w:tcW w:w="2268" w:type="pct"/>
            <w:gridSpan w:val="2"/>
            <w:vAlign w:val="center"/>
          </w:tcPr>
          <w:p w14:paraId="19A9979A">
            <w:pPr>
              <w:pageBreakBefore w:val="0"/>
              <w:kinsoku/>
              <w:overflowPunct/>
              <w:bidi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符合第二章“投标人须知前附表”规定和第六章“投标文件格式”规定</w:t>
            </w:r>
          </w:p>
        </w:tc>
      </w:tr>
      <w:tr w14:paraId="67EC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65" w:type="pct"/>
            <w:vMerge w:val="continue"/>
            <w:vAlign w:val="center"/>
          </w:tcPr>
          <w:p w14:paraId="531BC62F">
            <w:pPr>
              <w:pageBreakBefore w:val="0"/>
              <w:kinsoku/>
              <w:overflowPunct/>
              <w:bidi w:val="0"/>
              <w:snapToGrid w:val="0"/>
              <w:spacing w:line="360" w:lineRule="auto"/>
              <w:ind w:firstLine="420" w:firstLineChars="200"/>
              <w:jc w:val="center"/>
              <w:rPr>
                <w:rFonts w:hint="eastAsia" w:ascii="宋体" w:hAnsi="宋体" w:eastAsia="宋体" w:cs="宋体"/>
                <w:color w:val="auto"/>
                <w:szCs w:val="21"/>
              </w:rPr>
            </w:pPr>
          </w:p>
        </w:tc>
        <w:tc>
          <w:tcPr>
            <w:tcW w:w="701" w:type="pct"/>
            <w:vMerge w:val="continue"/>
          </w:tcPr>
          <w:p w14:paraId="511A8C41">
            <w:pPr>
              <w:pageBreakBefore w:val="0"/>
              <w:kinsoku/>
              <w:overflowPunct/>
              <w:bidi w:val="0"/>
              <w:snapToGrid w:val="0"/>
              <w:spacing w:line="360" w:lineRule="auto"/>
              <w:jc w:val="center"/>
              <w:rPr>
                <w:rFonts w:hint="eastAsia" w:ascii="宋体" w:hAnsi="宋体" w:eastAsia="宋体" w:cs="宋体"/>
                <w:color w:val="auto"/>
                <w:szCs w:val="21"/>
              </w:rPr>
            </w:pPr>
          </w:p>
        </w:tc>
        <w:tc>
          <w:tcPr>
            <w:tcW w:w="613" w:type="pct"/>
            <w:vMerge w:val="continue"/>
            <w:vAlign w:val="center"/>
          </w:tcPr>
          <w:p w14:paraId="57AA45C8">
            <w:pPr>
              <w:pageBreakBefore w:val="0"/>
              <w:kinsoku/>
              <w:overflowPunct/>
              <w:bidi w:val="0"/>
              <w:snapToGrid w:val="0"/>
              <w:spacing w:line="360" w:lineRule="auto"/>
              <w:jc w:val="left"/>
              <w:rPr>
                <w:rFonts w:hint="eastAsia" w:ascii="宋体" w:hAnsi="宋体" w:eastAsia="宋体" w:cs="宋体"/>
                <w:color w:val="auto"/>
                <w:szCs w:val="21"/>
              </w:rPr>
            </w:pPr>
          </w:p>
        </w:tc>
        <w:tc>
          <w:tcPr>
            <w:tcW w:w="951" w:type="pct"/>
            <w:vAlign w:val="center"/>
          </w:tcPr>
          <w:p w14:paraId="79D88395">
            <w:pPr>
              <w:pageBreakBefore w:val="0"/>
              <w:kinsoku/>
              <w:overflowPunct/>
              <w:bidi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kern w:val="0"/>
                <w:szCs w:val="21"/>
              </w:rPr>
              <w:t>投标文件格式</w:t>
            </w:r>
          </w:p>
        </w:tc>
        <w:tc>
          <w:tcPr>
            <w:tcW w:w="2268" w:type="pct"/>
            <w:gridSpan w:val="2"/>
            <w:vAlign w:val="center"/>
          </w:tcPr>
          <w:p w14:paraId="37933392">
            <w:pPr>
              <w:pageBreakBefore w:val="0"/>
              <w:kinsoku/>
              <w:overflowPunct/>
              <w:bidi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符合第二章“投标人须知前附表”规定和第六章“投标文件格式”规定</w:t>
            </w:r>
          </w:p>
        </w:tc>
      </w:tr>
      <w:tr w14:paraId="4468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65" w:type="pct"/>
            <w:vMerge w:val="continue"/>
            <w:vAlign w:val="center"/>
          </w:tcPr>
          <w:p w14:paraId="0D250379">
            <w:pPr>
              <w:pageBreakBefore w:val="0"/>
              <w:kinsoku/>
              <w:overflowPunct/>
              <w:bidi w:val="0"/>
              <w:snapToGrid w:val="0"/>
              <w:spacing w:line="360" w:lineRule="auto"/>
              <w:ind w:firstLine="420" w:firstLineChars="200"/>
              <w:jc w:val="center"/>
              <w:rPr>
                <w:rFonts w:hint="eastAsia" w:ascii="宋体" w:hAnsi="宋体" w:eastAsia="宋体" w:cs="宋体"/>
                <w:color w:val="auto"/>
                <w:szCs w:val="21"/>
              </w:rPr>
            </w:pPr>
          </w:p>
        </w:tc>
        <w:tc>
          <w:tcPr>
            <w:tcW w:w="701" w:type="pct"/>
            <w:vMerge w:val="continue"/>
          </w:tcPr>
          <w:p w14:paraId="1B2A0A16">
            <w:pPr>
              <w:pageBreakBefore w:val="0"/>
              <w:kinsoku/>
              <w:overflowPunct/>
              <w:bidi w:val="0"/>
              <w:snapToGrid w:val="0"/>
              <w:spacing w:line="360" w:lineRule="auto"/>
              <w:jc w:val="center"/>
              <w:rPr>
                <w:rFonts w:hint="eastAsia" w:ascii="宋体" w:hAnsi="宋体" w:eastAsia="宋体" w:cs="宋体"/>
                <w:color w:val="auto"/>
                <w:szCs w:val="21"/>
              </w:rPr>
            </w:pPr>
          </w:p>
        </w:tc>
        <w:tc>
          <w:tcPr>
            <w:tcW w:w="613" w:type="pct"/>
            <w:vMerge w:val="continue"/>
            <w:vAlign w:val="center"/>
          </w:tcPr>
          <w:p w14:paraId="4A45B316">
            <w:pPr>
              <w:pageBreakBefore w:val="0"/>
              <w:kinsoku/>
              <w:overflowPunct/>
              <w:bidi w:val="0"/>
              <w:snapToGrid w:val="0"/>
              <w:spacing w:line="360" w:lineRule="auto"/>
              <w:jc w:val="left"/>
              <w:rPr>
                <w:rFonts w:hint="eastAsia" w:ascii="宋体" w:hAnsi="宋体" w:eastAsia="宋体" w:cs="宋体"/>
                <w:color w:val="auto"/>
                <w:szCs w:val="21"/>
              </w:rPr>
            </w:pPr>
          </w:p>
        </w:tc>
        <w:tc>
          <w:tcPr>
            <w:tcW w:w="951" w:type="pct"/>
            <w:vAlign w:val="center"/>
          </w:tcPr>
          <w:p w14:paraId="3097E5C0">
            <w:pPr>
              <w:pageBreakBefore w:val="0"/>
              <w:kinsoku/>
              <w:overflowPunct/>
              <w:bidi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kern w:val="0"/>
                <w:szCs w:val="21"/>
              </w:rPr>
              <w:t>投标保证金</w:t>
            </w:r>
          </w:p>
        </w:tc>
        <w:tc>
          <w:tcPr>
            <w:tcW w:w="2268" w:type="pct"/>
            <w:gridSpan w:val="2"/>
            <w:vAlign w:val="center"/>
          </w:tcPr>
          <w:p w14:paraId="7B102ACA">
            <w:pPr>
              <w:pageBreakBefore w:val="0"/>
              <w:kinsoku/>
              <w:overflowPunct/>
              <w:bidi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符合第二章“投标人须知前附表”关于投标保证金的规定</w:t>
            </w:r>
          </w:p>
        </w:tc>
      </w:tr>
      <w:tr w14:paraId="55F6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65" w:type="pct"/>
            <w:vMerge w:val="continue"/>
            <w:vAlign w:val="center"/>
          </w:tcPr>
          <w:p w14:paraId="02BF313C">
            <w:pPr>
              <w:pageBreakBefore w:val="0"/>
              <w:kinsoku/>
              <w:overflowPunct/>
              <w:bidi w:val="0"/>
              <w:snapToGrid w:val="0"/>
              <w:spacing w:line="360" w:lineRule="auto"/>
              <w:ind w:firstLine="420" w:firstLineChars="200"/>
              <w:jc w:val="center"/>
              <w:rPr>
                <w:rFonts w:hint="eastAsia" w:ascii="宋体" w:hAnsi="宋体" w:eastAsia="宋体" w:cs="宋体"/>
                <w:color w:val="auto"/>
                <w:szCs w:val="21"/>
              </w:rPr>
            </w:pPr>
          </w:p>
        </w:tc>
        <w:tc>
          <w:tcPr>
            <w:tcW w:w="701" w:type="pct"/>
            <w:vMerge w:val="continue"/>
          </w:tcPr>
          <w:p w14:paraId="5C40983D">
            <w:pPr>
              <w:pageBreakBefore w:val="0"/>
              <w:kinsoku/>
              <w:overflowPunct/>
              <w:bidi w:val="0"/>
              <w:snapToGrid w:val="0"/>
              <w:spacing w:line="360" w:lineRule="auto"/>
              <w:jc w:val="center"/>
              <w:rPr>
                <w:rFonts w:hint="eastAsia" w:ascii="宋体" w:hAnsi="宋体" w:eastAsia="宋体" w:cs="宋体"/>
                <w:color w:val="auto"/>
                <w:szCs w:val="21"/>
              </w:rPr>
            </w:pPr>
          </w:p>
        </w:tc>
        <w:tc>
          <w:tcPr>
            <w:tcW w:w="613" w:type="pct"/>
            <w:vMerge w:val="restart"/>
            <w:vAlign w:val="center"/>
          </w:tcPr>
          <w:p w14:paraId="2F042231">
            <w:pPr>
              <w:pageBreakBefore w:val="0"/>
              <w:kinsoku/>
              <w:overflowPunct/>
              <w:bidi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kern w:val="0"/>
                <w:szCs w:val="21"/>
              </w:rPr>
              <w:t>资格评审</w:t>
            </w:r>
          </w:p>
        </w:tc>
        <w:tc>
          <w:tcPr>
            <w:tcW w:w="951" w:type="pct"/>
            <w:vAlign w:val="center"/>
          </w:tcPr>
          <w:p w14:paraId="45E1C058">
            <w:pPr>
              <w:pageBreakBefore w:val="0"/>
              <w:kinsoku/>
              <w:overflowPunct/>
              <w:bidi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kern w:val="0"/>
                <w:szCs w:val="21"/>
              </w:rPr>
              <w:t>资格条件</w:t>
            </w:r>
          </w:p>
        </w:tc>
        <w:tc>
          <w:tcPr>
            <w:tcW w:w="2268" w:type="pct"/>
            <w:gridSpan w:val="2"/>
            <w:vAlign w:val="center"/>
          </w:tcPr>
          <w:p w14:paraId="67D9BF58">
            <w:pPr>
              <w:pageBreakBefore w:val="0"/>
              <w:kinsoku/>
              <w:overflowPunct/>
              <w:bidi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1.投标人基本资格要求：</w:t>
            </w:r>
          </w:p>
          <w:p w14:paraId="535F4553">
            <w:pPr>
              <w:pageBreakBefore w:val="0"/>
              <w:kinsoku/>
              <w:overflowPunct/>
              <w:bidi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1）投标人应为中华人民共和国境内法律上和财务上独立的法人或依法登记注册的其他组织，合法运作并独立于招标人和招标代理机构，具备有效期内的合法企业工商营业执照。法人下属不具备法人资格的分支机构参与投标的，应提供所属法人针对本项目或覆盖本项目的经营事项的有效授权。</w:t>
            </w:r>
          </w:p>
          <w:p w14:paraId="02F20CEE">
            <w:pPr>
              <w:pageBreakBefore w:val="0"/>
              <w:kinsoku/>
              <w:overflowPunct/>
              <w:bidi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（2）投标人的法定代表人或负责人为同一人或者存在控股、管理关系的不同投标人，不得参加同一标段投标或者未划分标段的同一招标项目投标。</w:t>
            </w:r>
          </w:p>
          <w:p w14:paraId="22A7F01E">
            <w:pPr>
              <w:pageBreakBefore w:val="0"/>
              <w:kinsoku/>
              <w:overflowPunct/>
              <w:bidi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（3）投标人须承诺为本项目开具增值税专用发票（提供承诺函，承诺函格式自拟）。</w:t>
            </w:r>
          </w:p>
          <w:p w14:paraId="4D0B54A9">
            <w:pPr>
              <w:pageBreakBefore w:val="0"/>
              <w:kinsoku/>
              <w:overflowPunct/>
              <w:bidi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（4）本项目不接受联合体投标（提供承诺函，承诺函格式自拟）。</w:t>
            </w:r>
          </w:p>
          <w:p w14:paraId="2B31C7E4">
            <w:pPr>
              <w:pageBreakBefore w:val="0"/>
              <w:kinsoku/>
              <w:overflowPunct/>
              <w:bidi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（5）投标人须具备行政主管部门核发的有效安全生产许可证。</w:t>
            </w:r>
          </w:p>
          <w:p w14:paraId="5070AACF">
            <w:pPr>
              <w:pageBreakBefore w:val="0"/>
              <w:kinsoku/>
              <w:overflowPunct/>
              <w:bidi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（6）投标人须具备行政主管部门核发的有效电力工程施工总承包三级及以上资质证书或输变电工程专业承包三级及以上资质证书。</w:t>
            </w:r>
          </w:p>
          <w:p w14:paraId="18B787B0">
            <w:pPr>
              <w:pageBreakBefore w:val="0"/>
              <w:kinsoku/>
              <w:overflowPunct/>
              <w:bidi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注：如已按照《住房和城乡建设部关于印发建设工程企业资质管理制度改革方案的通知》（建市（2020）94号）规定取得新资质证书的，资质相应等级对应上述要求。</w:t>
            </w:r>
          </w:p>
          <w:p w14:paraId="0F95A367">
            <w:pPr>
              <w:pageBreakBefore w:val="0"/>
              <w:kinsoku/>
              <w:overflowPunct/>
              <w:bidi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（7）投标人须具备国家能源局或其派出机构颁发的许可类别和等级为承装类五级及以上、承修类五级及以上、承试类五级及以上的承装（修、试）电力设施许可证。</w:t>
            </w:r>
          </w:p>
          <w:p w14:paraId="723E1ACF">
            <w:pPr>
              <w:pageBreakBefore w:val="0"/>
              <w:kinsoku/>
              <w:overflowPunct/>
              <w:bidi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注：或依据《国家能源局关于做好承装（试）电力设施许可证换领和延续工作的通知》（国能发资质〔2025〕44号）国家能源局或其派出机构颁发的有效的同专业、同等级及以上资质。</w:t>
            </w:r>
          </w:p>
          <w:p w14:paraId="7AF3B5FD">
            <w:pPr>
              <w:pageBreakBefore w:val="0"/>
              <w:kinsoku/>
              <w:overflowPunct/>
              <w:bidi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（8）投标人至少为本项目提供1名特种作业人员，且须持有应急管理部门（或原安全生产监督管理局）颁发有效的电工作业证。</w:t>
            </w:r>
          </w:p>
          <w:p w14:paraId="11A48896">
            <w:pPr>
              <w:pageBreakBefore w:val="0"/>
              <w:kinsoku/>
              <w:overflowPunct/>
              <w:bidi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注：须提供身份证正反面扫描件、证书扫描件、投标人为其缴纳的2025年1月至投标文件递交截至时间前任意连续3个月及以上社保证明材料扫描件，资料未提供或提供不全则无效。</w:t>
            </w:r>
          </w:p>
          <w:p w14:paraId="2C098A7F">
            <w:pPr>
              <w:pageBreakBefore w:val="0"/>
              <w:kinsoku/>
              <w:overflowPunct/>
              <w:bidi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（9）投标人至少为本项目提供1名特种作业人员，且须同时持有应急管理部门（或原安全生产监督管理局）颁发有效的高处作业证。</w:t>
            </w:r>
          </w:p>
          <w:p w14:paraId="3AC25728">
            <w:pPr>
              <w:pageBreakBefore w:val="0"/>
              <w:kinsoku/>
              <w:overflowPunct/>
              <w:bidi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kern w:val="0"/>
                <w:szCs w:val="21"/>
              </w:rPr>
              <w:t>注：须提供身份证正反面扫描件、证书扫描件、投标人为其缴纳的2025年1月至投标文件递交截至时间前任意连续3个月及以上社保证明材料扫描件，资料未提供或提供不全则无效。</w:t>
            </w:r>
          </w:p>
        </w:tc>
      </w:tr>
      <w:tr w14:paraId="66C9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65" w:type="pct"/>
            <w:vMerge w:val="continue"/>
            <w:vAlign w:val="center"/>
          </w:tcPr>
          <w:p w14:paraId="407BFCA1">
            <w:pPr>
              <w:pageBreakBefore w:val="0"/>
              <w:kinsoku/>
              <w:overflowPunct/>
              <w:bidi w:val="0"/>
              <w:snapToGrid w:val="0"/>
              <w:spacing w:line="360" w:lineRule="auto"/>
              <w:ind w:firstLine="420" w:firstLineChars="200"/>
              <w:jc w:val="center"/>
              <w:rPr>
                <w:rFonts w:hint="eastAsia" w:ascii="宋体" w:hAnsi="宋体" w:eastAsia="宋体" w:cs="宋体"/>
                <w:color w:val="auto"/>
                <w:szCs w:val="21"/>
              </w:rPr>
            </w:pPr>
          </w:p>
        </w:tc>
        <w:tc>
          <w:tcPr>
            <w:tcW w:w="701" w:type="pct"/>
            <w:vMerge w:val="continue"/>
          </w:tcPr>
          <w:p w14:paraId="7AC5AE28">
            <w:pPr>
              <w:pageBreakBefore w:val="0"/>
              <w:kinsoku/>
              <w:overflowPunct/>
              <w:bidi w:val="0"/>
              <w:snapToGrid w:val="0"/>
              <w:spacing w:line="360" w:lineRule="auto"/>
              <w:jc w:val="center"/>
              <w:rPr>
                <w:rFonts w:hint="eastAsia" w:ascii="宋体" w:hAnsi="宋体" w:eastAsia="宋体" w:cs="宋体"/>
                <w:color w:val="auto"/>
                <w:szCs w:val="21"/>
              </w:rPr>
            </w:pPr>
          </w:p>
        </w:tc>
        <w:tc>
          <w:tcPr>
            <w:tcW w:w="613" w:type="pct"/>
            <w:vMerge w:val="continue"/>
            <w:vAlign w:val="center"/>
          </w:tcPr>
          <w:p w14:paraId="1D6B19FA">
            <w:pPr>
              <w:pageBreakBefore w:val="0"/>
              <w:kinsoku/>
              <w:overflowPunct/>
              <w:bidi w:val="0"/>
              <w:snapToGrid w:val="0"/>
              <w:spacing w:line="360" w:lineRule="auto"/>
              <w:jc w:val="left"/>
              <w:rPr>
                <w:rFonts w:hint="eastAsia" w:ascii="宋体" w:hAnsi="宋体" w:eastAsia="宋体" w:cs="宋体"/>
                <w:color w:val="auto"/>
                <w:kern w:val="0"/>
                <w:szCs w:val="21"/>
              </w:rPr>
            </w:pPr>
          </w:p>
        </w:tc>
        <w:tc>
          <w:tcPr>
            <w:tcW w:w="951" w:type="pct"/>
            <w:vAlign w:val="center"/>
          </w:tcPr>
          <w:p w14:paraId="53954809">
            <w:pPr>
              <w:pageBreakBefore w:val="0"/>
              <w:kinsoku/>
              <w:overflowPunct/>
              <w:bidi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不得存在的情形</w:t>
            </w:r>
          </w:p>
        </w:tc>
        <w:tc>
          <w:tcPr>
            <w:tcW w:w="2268" w:type="pct"/>
            <w:gridSpan w:val="2"/>
            <w:vAlign w:val="center"/>
          </w:tcPr>
          <w:p w14:paraId="11F75285">
            <w:pPr>
              <w:pageBreakBefore w:val="0"/>
              <w:kinsoku/>
              <w:overflowPunct/>
              <w:bidi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szCs w:val="21"/>
              </w:rPr>
              <w:t>【详见第二章投标人须知1.8条款规定】</w:t>
            </w:r>
          </w:p>
        </w:tc>
      </w:tr>
      <w:tr w14:paraId="27FE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65" w:type="pct"/>
            <w:vMerge w:val="continue"/>
            <w:vAlign w:val="center"/>
          </w:tcPr>
          <w:p w14:paraId="5D084847">
            <w:pPr>
              <w:pageBreakBefore w:val="0"/>
              <w:kinsoku/>
              <w:overflowPunct/>
              <w:bidi w:val="0"/>
              <w:snapToGrid w:val="0"/>
              <w:spacing w:line="360" w:lineRule="auto"/>
              <w:ind w:firstLine="420" w:firstLineChars="200"/>
              <w:jc w:val="center"/>
              <w:rPr>
                <w:rFonts w:hint="eastAsia" w:ascii="宋体" w:hAnsi="宋体" w:eastAsia="宋体" w:cs="宋体"/>
                <w:color w:val="auto"/>
                <w:szCs w:val="21"/>
              </w:rPr>
            </w:pPr>
          </w:p>
        </w:tc>
        <w:tc>
          <w:tcPr>
            <w:tcW w:w="701" w:type="pct"/>
            <w:vMerge w:val="continue"/>
          </w:tcPr>
          <w:p w14:paraId="5A8C251A">
            <w:pPr>
              <w:pageBreakBefore w:val="0"/>
              <w:kinsoku/>
              <w:overflowPunct/>
              <w:bidi w:val="0"/>
              <w:snapToGrid w:val="0"/>
              <w:spacing w:line="360" w:lineRule="auto"/>
              <w:jc w:val="center"/>
              <w:rPr>
                <w:rFonts w:hint="eastAsia" w:ascii="宋体" w:hAnsi="宋体" w:eastAsia="宋体" w:cs="宋体"/>
                <w:color w:val="auto"/>
                <w:szCs w:val="21"/>
              </w:rPr>
            </w:pPr>
          </w:p>
        </w:tc>
        <w:tc>
          <w:tcPr>
            <w:tcW w:w="613" w:type="pct"/>
            <w:vMerge w:val="restart"/>
            <w:vAlign w:val="center"/>
          </w:tcPr>
          <w:p w14:paraId="19112C40">
            <w:pPr>
              <w:pageBreakBefore w:val="0"/>
              <w:kinsoku/>
              <w:overflowPunct/>
              <w:bidi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响应性评审</w:t>
            </w:r>
          </w:p>
        </w:tc>
        <w:tc>
          <w:tcPr>
            <w:tcW w:w="951" w:type="pct"/>
            <w:vAlign w:val="center"/>
          </w:tcPr>
          <w:p w14:paraId="09D47B7D">
            <w:pPr>
              <w:pageBreakBefore w:val="0"/>
              <w:kinsoku/>
              <w:overflowPunct/>
              <w:bidi w:val="0"/>
              <w:snapToGrid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投标有效期</w:t>
            </w:r>
          </w:p>
        </w:tc>
        <w:tc>
          <w:tcPr>
            <w:tcW w:w="2268" w:type="pct"/>
            <w:gridSpan w:val="2"/>
            <w:vAlign w:val="center"/>
          </w:tcPr>
          <w:p w14:paraId="698C323F">
            <w:pPr>
              <w:pageBreakBefore w:val="0"/>
              <w:kinsoku/>
              <w:overflowPunct/>
              <w:bidi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符合第二章“投标人须知前附表”关于投标有效期的规定</w:t>
            </w:r>
          </w:p>
        </w:tc>
      </w:tr>
      <w:tr w14:paraId="354DD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65" w:type="pct"/>
            <w:vMerge w:val="continue"/>
            <w:vAlign w:val="center"/>
          </w:tcPr>
          <w:p w14:paraId="6045D204">
            <w:pPr>
              <w:pageBreakBefore w:val="0"/>
              <w:kinsoku/>
              <w:overflowPunct/>
              <w:bidi w:val="0"/>
              <w:snapToGrid w:val="0"/>
              <w:spacing w:line="360" w:lineRule="auto"/>
              <w:ind w:firstLine="420" w:firstLineChars="200"/>
              <w:jc w:val="center"/>
              <w:rPr>
                <w:rFonts w:hint="eastAsia" w:ascii="宋体" w:hAnsi="宋体" w:eastAsia="宋体" w:cs="宋体"/>
                <w:color w:val="auto"/>
                <w:szCs w:val="21"/>
              </w:rPr>
            </w:pPr>
          </w:p>
        </w:tc>
        <w:tc>
          <w:tcPr>
            <w:tcW w:w="701" w:type="pct"/>
            <w:vMerge w:val="continue"/>
          </w:tcPr>
          <w:p w14:paraId="03D90E39">
            <w:pPr>
              <w:pageBreakBefore w:val="0"/>
              <w:kinsoku/>
              <w:overflowPunct/>
              <w:bidi w:val="0"/>
              <w:snapToGrid w:val="0"/>
              <w:spacing w:line="360" w:lineRule="auto"/>
              <w:jc w:val="center"/>
              <w:rPr>
                <w:rFonts w:hint="eastAsia" w:ascii="宋体" w:hAnsi="宋体" w:eastAsia="宋体" w:cs="宋体"/>
                <w:color w:val="auto"/>
                <w:szCs w:val="21"/>
              </w:rPr>
            </w:pPr>
          </w:p>
        </w:tc>
        <w:tc>
          <w:tcPr>
            <w:tcW w:w="613" w:type="pct"/>
            <w:vMerge w:val="continue"/>
            <w:vAlign w:val="center"/>
          </w:tcPr>
          <w:p w14:paraId="59D42836">
            <w:pPr>
              <w:pageBreakBefore w:val="0"/>
              <w:kinsoku/>
              <w:overflowPunct/>
              <w:bidi w:val="0"/>
              <w:snapToGrid w:val="0"/>
              <w:spacing w:line="360" w:lineRule="auto"/>
              <w:jc w:val="left"/>
              <w:rPr>
                <w:rFonts w:hint="eastAsia" w:ascii="宋体" w:hAnsi="宋体" w:eastAsia="宋体" w:cs="宋体"/>
                <w:color w:val="auto"/>
                <w:kern w:val="0"/>
                <w:szCs w:val="21"/>
              </w:rPr>
            </w:pPr>
          </w:p>
        </w:tc>
        <w:tc>
          <w:tcPr>
            <w:tcW w:w="951" w:type="pct"/>
            <w:vAlign w:val="center"/>
          </w:tcPr>
          <w:p w14:paraId="44D41923">
            <w:pPr>
              <w:pageBreakBefore w:val="0"/>
              <w:kinsoku/>
              <w:overflowPunct/>
              <w:bidi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实质性响应</w:t>
            </w:r>
          </w:p>
        </w:tc>
        <w:tc>
          <w:tcPr>
            <w:tcW w:w="2268" w:type="pct"/>
            <w:gridSpan w:val="2"/>
            <w:vAlign w:val="center"/>
          </w:tcPr>
          <w:p w14:paraId="00D9F19D">
            <w:pPr>
              <w:pageBreakBefore w:val="0"/>
              <w:kinsoku/>
              <w:overflowPunct/>
              <w:bidi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kern w:val="0"/>
                <w:szCs w:val="21"/>
              </w:rPr>
              <w:t>满足全部实质性指标规定</w:t>
            </w:r>
          </w:p>
        </w:tc>
      </w:tr>
      <w:tr w14:paraId="27E9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65" w:type="pct"/>
            <w:vMerge w:val="continue"/>
            <w:vAlign w:val="center"/>
          </w:tcPr>
          <w:p w14:paraId="449A899A">
            <w:pPr>
              <w:pageBreakBefore w:val="0"/>
              <w:kinsoku/>
              <w:overflowPunct/>
              <w:bidi w:val="0"/>
              <w:snapToGrid w:val="0"/>
              <w:spacing w:line="360" w:lineRule="auto"/>
              <w:ind w:firstLine="420" w:firstLineChars="200"/>
              <w:jc w:val="center"/>
              <w:rPr>
                <w:rFonts w:hint="eastAsia" w:ascii="宋体" w:hAnsi="宋体" w:eastAsia="宋体" w:cs="宋体"/>
                <w:color w:val="auto"/>
                <w:szCs w:val="21"/>
              </w:rPr>
            </w:pPr>
          </w:p>
        </w:tc>
        <w:tc>
          <w:tcPr>
            <w:tcW w:w="701" w:type="pct"/>
            <w:vMerge w:val="continue"/>
          </w:tcPr>
          <w:p w14:paraId="538906B8">
            <w:pPr>
              <w:pageBreakBefore w:val="0"/>
              <w:kinsoku/>
              <w:overflowPunct/>
              <w:bidi w:val="0"/>
              <w:snapToGrid w:val="0"/>
              <w:spacing w:line="360" w:lineRule="auto"/>
              <w:jc w:val="center"/>
              <w:rPr>
                <w:rFonts w:hint="eastAsia" w:ascii="宋体" w:hAnsi="宋体" w:eastAsia="宋体" w:cs="宋体"/>
                <w:color w:val="auto"/>
                <w:szCs w:val="21"/>
              </w:rPr>
            </w:pPr>
          </w:p>
        </w:tc>
        <w:tc>
          <w:tcPr>
            <w:tcW w:w="613" w:type="pct"/>
            <w:vMerge w:val="continue"/>
            <w:vAlign w:val="center"/>
          </w:tcPr>
          <w:p w14:paraId="23FF7FA3">
            <w:pPr>
              <w:pageBreakBefore w:val="0"/>
              <w:kinsoku/>
              <w:overflowPunct/>
              <w:bidi w:val="0"/>
              <w:snapToGrid w:val="0"/>
              <w:spacing w:line="360" w:lineRule="auto"/>
              <w:jc w:val="left"/>
              <w:rPr>
                <w:rFonts w:hint="eastAsia" w:ascii="宋体" w:hAnsi="宋体" w:eastAsia="宋体" w:cs="宋体"/>
                <w:color w:val="auto"/>
                <w:kern w:val="0"/>
                <w:szCs w:val="21"/>
              </w:rPr>
            </w:pPr>
          </w:p>
        </w:tc>
        <w:tc>
          <w:tcPr>
            <w:tcW w:w="951" w:type="pct"/>
            <w:vAlign w:val="center"/>
          </w:tcPr>
          <w:p w14:paraId="200258D1">
            <w:pPr>
              <w:pageBreakBefore w:val="0"/>
              <w:kinsoku/>
              <w:overflowPunct/>
              <w:bidi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商务报价</w:t>
            </w:r>
          </w:p>
        </w:tc>
        <w:tc>
          <w:tcPr>
            <w:tcW w:w="2268" w:type="pct"/>
            <w:gridSpan w:val="2"/>
            <w:vAlign w:val="center"/>
          </w:tcPr>
          <w:p w14:paraId="637C3891">
            <w:pPr>
              <w:pageBreakBefore w:val="0"/>
              <w:kinsoku/>
              <w:overflowPunct/>
              <w:bidi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kern w:val="0"/>
                <w:szCs w:val="21"/>
              </w:rPr>
              <w:t>符合第二章“投标人须知前附表”关于投标报价的规定</w:t>
            </w:r>
          </w:p>
        </w:tc>
      </w:tr>
      <w:tr w14:paraId="29198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65" w:type="pct"/>
            <w:vMerge w:val="continue"/>
            <w:vAlign w:val="center"/>
          </w:tcPr>
          <w:p w14:paraId="13376759">
            <w:pPr>
              <w:pageBreakBefore w:val="0"/>
              <w:kinsoku/>
              <w:overflowPunct/>
              <w:bidi w:val="0"/>
              <w:snapToGrid w:val="0"/>
              <w:spacing w:line="360" w:lineRule="auto"/>
              <w:ind w:firstLine="420" w:firstLineChars="200"/>
              <w:jc w:val="center"/>
              <w:rPr>
                <w:rFonts w:hint="eastAsia" w:ascii="宋体" w:hAnsi="宋体" w:eastAsia="宋体" w:cs="宋体"/>
                <w:color w:val="auto"/>
                <w:szCs w:val="21"/>
              </w:rPr>
            </w:pPr>
          </w:p>
        </w:tc>
        <w:tc>
          <w:tcPr>
            <w:tcW w:w="701" w:type="pct"/>
            <w:vMerge w:val="continue"/>
          </w:tcPr>
          <w:p w14:paraId="0802D196">
            <w:pPr>
              <w:pageBreakBefore w:val="0"/>
              <w:kinsoku/>
              <w:overflowPunct/>
              <w:bidi w:val="0"/>
              <w:snapToGrid w:val="0"/>
              <w:spacing w:line="360" w:lineRule="auto"/>
              <w:jc w:val="center"/>
              <w:rPr>
                <w:rFonts w:hint="eastAsia" w:ascii="宋体" w:hAnsi="宋体" w:eastAsia="宋体" w:cs="宋体"/>
                <w:color w:val="auto"/>
                <w:szCs w:val="21"/>
              </w:rPr>
            </w:pPr>
          </w:p>
        </w:tc>
        <w:tc>
          <w:tcPr>
            <w:tcW w:w="613" w:type="pct"/>
            <w:vMerge w:val="continue"/>
            <w:vAlign w:val="center"/>
          </w:tcPr>
          <w:p w14:paraId="0ADDBB5F">
            <w:pPr>
              <w:pageBreakBefore w:val="0"/>
              <w:kinsoku/>
              <w:overflowPunct/>
              <w:bidi w:val="0"/>
              <w:snapToGrid w:val="0"/>
              <w:spacing w:line="360" w:lineRule="auto"/>
              <w:jc w:val="left"/>
              <w:rPr>
                <w:rFonts w:hint="eastAsia" w:ascii="宋体" w:hAnsi="宋体" w:eastAsia="宋体" w:cs="宋体"/>
                <w:color w:val="auto"/>
                <w:kern w:val="0"/>
                <w:szCs w:val="21"/>
              </w:rPr>
            </w:pPr>
          </w:p>
        </w:tc>
        <w:tc>
          <w:tcPr>
            <w:tcW w:w="951" w:type="pct"/>
            <w:vAlign w:val="center"/>
          </w:tcPr>
          <w:p w14:paraId="71CF1B10">
            <w:pPr>
              <w:pageBreakBefore w:val="0"/>
              <w:kinsoku/>
              <w:overflowPunct/>
              <w:bidi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廉洁投标承诺书</w:t>
            </w:r>
          </w:p>
        </w:tc>
        <w:tc>
          <w:tcPr>
            <w:tcW w:w="2268" w:type="pct"/>
            <w:gridSpan w:val="2"/>
            <w:vAlign w:val="center"/>
          </w:tcPr>
          <w:p w14:paraId="15F8FCE9">
            <w:pPr>
              <w:pageBreakBefore w:val="0"/>
              <w:kinsoku/>
              <w:overflowPunct/>
              <w:bidi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kern w:val="0"/>
                <w:szCs w:val="21"/>
              </w:rPr>
              <w:t>按招标文件第六章“投标文件格式”提供廉洁投标承诺书</w:t>
            </w:r>
          </w:p>
        </w:tc>
      </w:tr>
      <w:tr w14:paraId="292D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65" w:type="pct"/>
            <w:vMerge w:val="continue"/>
            <w:vAlign w:val="center"/>
          </w:tcPr>
          <w:p w14:paraId="7CD40B51">
            <w:pPr>
              <w:pageBreakBefore w:val="0"/>
              <w:kinsoku/>
              <w:overflowPunct/>
              <w:bidi w:val="0"/>
              <w:snapToGrid w:val="0"/>
              <w:spacing w:line="360" w:lineRule="auto"/>
              <w:ind w:firstLine="420" w:firstLineChars="200"/>
              <w:jc w:val="center"/>
              <w:rPr>
                <w:rFonts w:hint="eastAsia" w:ascii="宋体" w:hAnsi="宋体" w:eastAsia="宋体" w:cs="宋体"/>
                <w:color w:val="auto"/>
                <w:szCs w:val="21"/>
              </w:rPr>
            </w:pPr>
          </w:p>
        </w:tc>
        <w:tc>
          <w:tcPr>
            <w:tcW w:w="701" w:type="pct"/>
            <w:vMerge w:val="continue"/>
          </w:tcPr>
          <w:p w14:paraId="41B73139">
            <w:pPr>
              <w:pageBreakBefore w:val="0"/>
              <w:kinsoku/>
              <w:overflowPunct/>
              <w:bidi w:val="0"/>
              <w:snapToGrid w:val="0"/>
              <w:spacing w:line="360" w:lineRule="auto"/>
              <w:jc w:val="center"/>
              <w:rPr>
                <w:rFonts w:hint="eastAsia" w:ascii="宋体" w:hAnsi="宋体" w:eastAsia="宋体" w:cs="宋体"/>
                <w:color w:val="auto"/>
                <w:szCs w:val="21"/>
              </w:rPr>
            </w:pPr>
          </w:p>
        </w:tc>
        <w:tc>
          <w:tcPr>
            <w:tcW w:w="613" w:type="pct"/>
            <w:vMerge w:val="continue"/>
            <w:vAlign w:val="center"/>
          </w:tcPr>
          <w:p w14:paraId="5CB6296D">
            <w:pPr>
              <w:pageBreakBefore w:val="0"/>
              <w:kinsoku/>
              <w:overflowPunct/>
              <w:bidi w:val="0"/>
              <w:snapToGrid w:val="0"/>
              <w:spacing w:line="360" w:lineRule="auto"/>
              <w:jc w:val="left"/>
              <w:rPr>
                <w:rFonts w:hint="eastAsia" w:ascii="宋体" w:hAnsi="宋体" w:eastAsia="宋体" w:cs="宋体"/>
                <w:color w:val="auto"/>
                <w:szCs w:val="21"/>
              </w:rPr>
            </w:pPr>
          </w:p>
        </w:tc>
        <w:tc>
          <w:tcPr>
            <w:tcW w:w="951" w:type="pct"/>
            <w:vAlign w:val="center"/>
          </w:tcPr>
          <w:p w14:paraId="611C90C7">
            <w:pPr>
              <w:pageBreakBefore w:val="0"/>
              <w:kinsoku/>
              <w:overflowPunct/>
              <w:bidi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kern w:val="0"/>
                <w:szCs w:val="21"/>
              </w:rPr>
              <w:t>合同条款</w:t>
            </w:r>
          </w:p>
        </w:tc>
        <w:tc>
          <w:tcPr>
            <w:tcW w:w="2268" w:type="pct"/>
            <w:gridSpan w:val="2"/>
            <w:vAlign w:val="center"/>
          </w:tcPr>
          <w:p w14:paraId="09277555">
            <w:pPr>
              <w:pageBreakBefore w:val="0"/>
              <w:kinsoku/>
              <w:overflowPunct/>
              <w:bidi w:val="0"/>
              <w:snapToGrid w:val="0"/>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kern w:val="0"/>
                <w:szCs w:val="21"/>
              </w:rPr>
              <w:t>按招标文件第六章“投标文件格式”要求提供合同条款偏离表</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合同条款偏离表</w:t>
            </w:r>
            <w:r>
              <w:rPr>
                <w:rFonts w:hint="eastAsia" w:ascii="宋体" w:hAnsi="宋体" w:eastAsia="宋体" w:cs="宋体"/>
                <w:color w:val="auto"/>
                <w:kern w:val="0"/>
                <w:szCs w:val="21"/>
                <w:lang w:val="en-US" w:eastAsia="zh-CN"/>
              </w:rPr>
              <w:t>必须全部满足或正偏离。</w:t>
            </w:r>
          </w:p>
        </w:tc>
      </w:tr>
      <w:tr w14:paraId="2BF1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65" w:type="pct"/>
            <w:vMerge w:val="continue"/>
            <w:vAlign w:val="center"/>
          </w:tcPr>
          <w:p w14:paraId="6CB52A2A">
            <w:pPr>
              <w:pageBreakBefore w:val="0"/>
              <w:kinsoku/>
              <w:overflowPunct/>
              <w:bidi w:val="0"/>
              <w:snapToGrid w:val="0"/>
              <w:spacing w:line="360" w:lineRule="auto"/>
              <w:ind w:firstLine="420" w:firstLineChars="200"/>
              <w:jc w:val="center"/>
              <w:rPr>
                <w:rFonts w:hint="eastAsia" w:ascii="宋体" w:hAnsi="宋体" w:eastAsia="宋体" w:cs="宋体"/>
                <w:color w:val="auto"/>
                <w:szCs w:val="21"/>
              </w:rPr>
            </w:pPr>
          </w:p>
        </w:tc>
        <w:tc>
          <w:tcPr>
            <w:tcW w:w="701" w:type="pct"/>
            <w:vMerge w:val="continue"/>
          </w:tcPr>
          <w:p w14:paraId="7F6131DD">
            <w:pPr>
              <w:pageBreakBefore w:val="0"/>
              <w:kinsoku/>
              <w:overflowPunct/>
              <w:bidi w:val="0"/>
              <w:snapToGrid w:val="0"/>
              <w:spacing w:line="360" w:lineRule="auto"/>
              <w:jc w:val="center"/>
              <w:rPr>
                <w:rFonts w:hint="eastAsia" w:ascii="宋体" w:hAnsi="宋体" w:eastAsia="宋体" w:cs="宋体"/>
                <w:color w:val="auto"/>
                <w:szCs w:val="21"/>
              </w:rPr>
            </w:pPr>
          </w:p>
        </w:tc>
        <w:tc>
          <w:tcPr>
            <w:tcW w:w="613" w:type="pct"/>
            <w:vMerge w:val="continue"/>
            <w:vAlign w:val="center"/>
          </w:tcPr>
          <w:p w14:paraId="115ED6F9">
            <w:pPr>
              <w:pageBreakBefore w:val="0"/>
              <w:kinsoku/>
              <w:overflowPunct/>
              <w:bidi w:val="0"/>
              <w:snapToGrid w:val="0"/>
              <w:spacing w:line="360" w:lineRule="auto"/>
              <w:jc w:val="left"/>
              <w:rPr>
                <w:rFonts w:hint="eastAsia" w:ascii="宋体" w:hAnsi="宋体" w:eastAsia="宋体" w:cs="宋体"/>
                <w:color w:val="auto"/>
                <w:kern w:val="0"/>
                <w:szCs w:val="21"/>
              </w:rPr>
            </w:pPr>
          </w:p>
        </w:tc>
        <w:tc>
          <w:tcPr>
            <w:tcW w:w="951" w:type="pct"/>
            <w:vAlign w:val="center"/>
          </w:tcPr>
          <w:p w14:paraId="7F30F780">
            <w:pPr>
              <w:pageBreakBefore w:val="0"/>
              <w:kinsoku/>
              <w:overflowPunct/>
              <w:bidi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kern w:val="0"/>
                <w:szCs w:val="21"/>
              </w:rPr>
              <w:t>技术条款</w:t>
            </w:r>
          </w:p>
        </w:tc>
        <w:tc>
          <w:tcPr>
            <w:tcW w:w="2268" w:type="pct"/>
            <w:gridSpan w:val="2"/>
            <w:vAlign w:val="center"/>
          </w:tcPr>
          <w:p w14:paraId="13A19CE4">
            <w:pPr>
              <w:pageBreakBefore w:val="0"/>
              <w:kinsoku/>
              <w:overflowPunct/>
              <w:bidi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kern w:val="0"/>
                <w:szCs w:val="21"/>
              </w:rPr>
              <w:t>对技术条款进行应答，且必须全部满足或正偏离</w:t>
            </w:r>
            <w:r>
              <w:rPr>
                <w:rFonts w:hint="eastAsia" w:ascii="宋体" w:hAnsi="宋体" w:eastAsia="宋体" w:cs="宋体"/>
                <w:color w:val="auto"/>
              </w:rPr>
              <w:t>标识“★”的条款</w:t>
            </w:r>
            <w:r>
              <w:rPr>
                <w:rFonts w:hint="eastAsia" w:ascii="宋体" w:hAnsi="宋体" w:eastAsia="宋体" w:cs="宋体"/>
                <w:color w:val="auto"/>
                <w:kern w:val="0"/>
                <w:szCs w:val="21"/>
              </w:rPr>
              <w:t>，并按招标文件第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rPr>
              <w:t>章“投标文件格式”要求提供技术条款偏离表</w:t>
            </w:r>
            <w:r>
              <w:rPr>
                <w:rFonts w:hint="eastAsia" w:ascii="宋体" w:hAnsi="宋体" w:eastAsia="宋体" w:cs="宋体"/>
                <w:color w:val="auto"/>
                <w:kern w:val="0"/>
                <w:szCs w:val="21"/>
                <w:lang w:val="en-US" w:eastAsia="zh-CN"/>
              </w:rPr>
              <w:t>及点对点应答</w:t>
            </w:r>
            <w:r>
              <w:rPr>
                <w:rFonts w:hint="eastAsia" w:ascii="宋体" w:hAnsi="宋体" w:eastAsia="宋体" w:cs="宋体"/>
                <w:color w:val="auto"/>
                <w:kern w:val="0"/>
                <w:szCs w:val="21"/>
              </w:rPr>
              <w:t>。</w:t>
            </w:r>
          </w:p>
        </w:tc>
      </w:tr>
      <w:tr w14:paraId="4994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65" w:type="pct"/>
            <w:vMerge w:val="continue"/>
            <w:vAlign w:val="center"/>
          </w:tcPr>
          <w:p w14:paraId="58B987B4">
            <w:pPr>
              <w:pageBreakBefore w:val="0"/>
              <w:kinsoku/>
              <w:overflowPunct/>
              <w:bidi w:val="0"/>
              <w:snapToGrid w:val="0"/>
              <w:spacing w:line="360" w:lineRule="auto"/>
              <w:ind w:firstLine="420" w:firstLineChars="200"/>
              <w:jc w:val="center"/>
              <w:rPr>
                <w:rFonts w:hint="eastAsia" w:ascii="宋体" w:hAnsi="宋体" w:eastAsia="宋体" w:cs="宋体"/>
                <w:color w:val="auto"/>
                <w:szCs w:val="21"/>
              </w:rPr>
            </w:pPr>
          </w:p>
        </w:tc>
        <w:tc>
          <w:tcPr>
            <w:tcW w:w="701" w:type="pct"/>
            <w:vMerge w:val="continue"/>
          </w:tcPr>
          <w:p w14:paraId="2D07D82D">
            <w:pPr>
              <w:pageBreakBefore w:val="0"/>
              <w:kinsoku/>
              <w:overflowPunct/>
              <w:bidi w:val="0"/>
              <w:snapToGrid w:val="0"/>
              <w:spacing w:line="360" w:lineRule="auto"/>
              <w:jc w:val="center"/>
              <w:rPr>
                <w:rFonts w:hint="eastAsia" w:ascii="宋体" w:hAnsi="宋体" w:eastAsia="宋体" w:cs="宋体"/>
                <w:color w:val="auto"/>
                <w:szCs w:val="21"/>
              </w:rPr>
            </w:pPr>
          </w:p>
        </w:tc>
        <w:tc>
          <w:tcPr>
            <w:tcW w:w="613" w:type="pct"/>
            <w:vMerge w:val="continue"/>
            <w:vAlign w:val="center"/>
          </w:tcPr>
          <w:p w14:paraId="70012622">
            <w:pPr>
              <w:pageBreakBefore w:val="0"/>
              <w:kinsoku/>
              <w:overflowPunct/>
              <w:bidi w:val="0"/>
              <w:snapToGrid w:val="0"/>
              <w:spacing w:line="360" w:lineRule="auto"/>
              <w:jc w:val="left"/>
              <w:rPr>
                <w:rFonts w:hint="eastAsia" w:ascii="宋体" w:hAnsi="宋体" w:eastAsia="宋体" w:cs="宋体"/>
                <w:color w:val="auto"/>
                <w:szCs w:val="21"/>
              </w:rPr>
            </w:pPr>
          </w:p>
        </w:tc>
        <w:tc>
          <w:tcPr>
            <w:tcW w:w="951" w:type="pct"/>
            <w:vAlign w:val="center"/>
          </w:tcPr>
          <w:p w14:paraId="0FDEA7E7">
            <w:pPr>
              <w:pageBreakBefore w:val="0"/>
              <w:kinsoku/>
              <w:overflowPunct/>
              <w:bidi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kern w:val="0"/>
                <w:szCs w:val="21"/>
              </w:rPr>
              <w:t>其它要求</w:t>
            </w:r>
          </w:p>
        </w:tc>
        <w:tc>
          <w:tcPr>
            <w:tcW w:w="2268" w:type="pct"/>
            <w:gridSpan w:val="2"/>
            <w:vAlign w:val="center"/>
          </w:tcPr>
          <w:p w14:paraId="5BDE6219">
            <w:pPr>
              <w:pageBreakBefore w:val="0"/>
              <w:kinsoku/>
              <w:overflowPunct/>
              <w:bidi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kern w:val="0"/>
                <w:szCs w:val="21"/>
              </w:rPr>
              <w:t>招标文件或相关法律法规规定的无效投标或否决投标项</w:t>
            </w:r>
          </w:p>
        </w:tc>
      </w:tr>
      <w:tr w14:paraId="4EF5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65" w:type="pct"/>
            <w:vMerge w:val="restart"/>
            <w:vAlign w:val="center"/>
          </w:tcPr>
          <w:p w14:paraId="7DDC851A">
            <w:pPr>
              <w:pageBreakBefore w:val="0"/>
              <w:kinsoku/>
              <w:overflowPunct/>
              <w:bidi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2.2</w:t>
            </w:r>
          </w:p>
        </w:tc>
        <w:tc>
          <w:tcPr>
            <w:tcW w:w="701" w:type="pct"/>
            <w:vMerge w:val="restart"/>
            <w:vAlign w:val="center"/>
          </w:tcPr>
          <w:p w14:paraId="67AD8A37">
            <w:pPr>
              <w:pageBreakBefore w:val="0"/>
              <w:kinsoku/>
              <w:overflowPunct/>
              <w:bidi w:val="0"/>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详细评审标准</w:t>
            </w:r>
          </w:p>
        </w:tc>
        <w:tc>
          <w:tcPr>
            <w:tcW w:w="613" w:type="pct"/>
            <w:vAlign w:val="center"/>
          </w:tcPr>
          <w:p w14:paraId="6F1A6E01">
            <w:pPr>
              <w:pageBreakBefore w:val="0"/>
              <w:kinsoku/>
              <w:overflowPunct/>
              <w:bidi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商务</w:t>
            </w:r>
          </w:p>
        </w:tc>
        <w:tc>
          <w:tcPr>
            <w:tcW w:w="951" w:type="pct"/>
            <w:vAlign w:val="center"/>
          </w:tcPr>
          <w:p w14:paraId="30B8779A">
            <w:pPr>
              <w:pageBreakBefore w:val="0"/>
              <w:kinsoku/>
              <w:overflowPunct/>
              <w:bidi w:val="0"/>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szCs w:val="21"/>
              </w:rPr>
              <w:t>商务</w:t>
            </w:r>
          </w:p>
        </w:tc>
        <w:tc>
          <w:tcPr>
            <w:tcW w:w="429" w:type="pct"/>
            <w:vAlign w:val="center"/>
          </w:tcPr>
          <w:p w14:paraId="4609949A">
            <w:pPr>
              <w:pageBreakBefore w:val="0"/>
              <w:kinsoku/>
              <w:overflowPunct/>
              <w:bidi w:val="0"/>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10分</w:t>
            </w:r>
          </w:p>
        </w:tc>
        <w:tc>
          <w:tcPr>
            <w:tcW w:w="1839" w:type="pct"/>
            <w:vAlign w:val="center"/>
          </w:tcPr>
          <w:p w14:paraId="3534064A">
            <w:pPr>
              <w:pageBreakBefore w:val="0"/>
              <w:kinsoku/>
              <w:overflowPunct/>
              <w:bidi w:val="0"/>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szCs w:val="21"/>
              </w:rPr>
              <w:t>详细评审标准表附后</w:t>
            </w:r>
          </w:p>
        </w:tc>
      </w:tr>
      <w:tr w14:paraId="1713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65" w:type="pct"/>
            <w:vMerge w:val="continue"/>
            <w:vAlign w:val="center"/>
          </w:tcPr>
          <w:p w14:paraId="79D27209">
            <w:pPr>
              <w:pageBreakBefore w:val="0"/>
              <w:kinsoku/>
              <w:overflowPunct/>
              <w:bidi w:val="0"/>
              <w:snapToGrid w:val="0"/>
              <w:spacing w:line="360" w:lineRule="auto"/>
              <w:jc w:val="center"/>
              <w:rPr>
                <w:rFonts w:hint="eastAsia" w:ascii="宋体" w:hAnsi="宋体" w:eastAsia="宋体" w:cs="宋体"/>
                <w:color w:val="auto"/>
                <w:kern w:val="0"/>
                <w:szCs w:val="21"/>
              </w:rPr>
            </w:pPr>
          </w:p>
        </w:tc>
        <w:tc>
          <w:tcPr>
            <w:tcW w:w="701" w:type="pct"/>
            <w:vMerge w:val="continue"/>
          </w:tcPr>
          <w:p w14:paraId="04E0C2AF">
            <w:pPr>
              <w:pageBreakBefore w:val="0"/>
              <w:kinsoku/>
              <w:overflowPunct/>
              <w:bidi w:val="0"/>
              <w:snapToGrid w:val="0"/>
              <w:spacing w:line="360" w:lineRule="auto"/>
              <w:jc w:val="center"/>
              <w:rPr>
                <w:rFonts w:hint="eastAsia" w:ascii="宋体" w:hAnsi="宋体" w:eastAsia="宋体" w:cs="宋体"/>
                <w:color w:val="auto"/>
                <w:kern w:val="0"/>
                <w:szCs w:val="21"/>
              </w:rPr>
            </w:pPr>
          </w:p>
        </w:tc>
        <w:tc>
          <w:tcPr>
            <w:tcW w:w="613" w:type="pct"/>
            <w:vAlign w:val="center"/>
          </w:tcPr>
          <w:p w14:paraId="188E947B">
            <w:pPr>
              <w:pageBreakBefore w:val="0"/>
              <w:kinsoku/>
              <w:overflowPunct/>
              <w:bidi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技术</w:t>
            </w:r>
          </w:p>
        </w:tc>
        <w:tc>
          <w:tcPr>
            <w:tcW w:w="951" w:type="pct"/>
            <w:vAlign w:val="center"/>
          </w:tcPr>
          <w:p w14:paraId="13BE4916">
            <w:pPr>
              <w:pageBreakBefore w:val="0"/>
              <w:kinsoku/>
              <w:overflowPunct/>
              <w:bidi w:val="0"/>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技术</w:t>
            </w:r>
          </w:p>
        </w:tc>
        <w:tc>
          <w:tcPr>
            <w:tcW w:w="429" w:type="pct"/>
            <w:vAlign w:val="center"/>
          </w:tcPr>
          <w:p w14:paraId="40F6530D">
            <w:pPr>
              <w:pageBreakBefore w:val="0"/>
              <w:kinsoku/>
              <w:overflowPunct/>
              <w:bidi w:val="0"/>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46分</w:t>
            </w:r>
          </w:p>
        </w:tc>
        <w:tc>
          <w:tcPr>
            <w:tcW w:w="1839" w:type="pct"/>
            <w:vAlign w:val="center"/>
          </w:tcPr>
          <w:p w14:paraId="15094A83">
            <w:pPr>
              <w:pageBreakBefore w:val="0"/>
              <w:kinsoku/>
              <w:overflowPunct/>
              <w:bidi w:val="0"/>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szCs w:val="21"/>
              </w:rPr>
              <w:t>详细评审标准表附后</w:t>
            </w:r>
          </w:p>
        </w:tc>
      </w:tr>
      <w:tr w14:paraId="4DDB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65" w:type="pct"/>
            <w:vMerge w:val="continue"/>
            <w:vAlign w:val="center"/>
          </w:tcPr>
          <w:p w14:paraId="0FBC5294">
            <w:pPr>
              <w:pageBreakBefore w:val="0"/>
              <w:kinsoku/>
              <w:overflowPunct/>
              <w:bidi w:val="0"/>
              <w:snapToGrid w:val="0"/>
              <w:spacing w:line="360" w:lineRule="auto"/>
              <w:jc w:val="center"/>
              <w:rPr>
                <w:rFonts w:hint="eastAsia" w:ascii="宋体" w:hAnsi="宋体" w:eastAsia="宋体" w:cs="宋体"/>
                <w:color w:val="auto"/>
                <w:kern w:val="0"/>
                <w:szCs w:val="21"/>
              </w:rPr>
            </w:pPr>
          </w:p>
        </w:tc>
        <w:tc>
          <w:tcPr>
            <w:tcW w:w="701" w:type="pct"/>
            <w:vMerge w:val="continue"/>
          </w:tcPr>
          <w:p w14:paraId="096D648A">
            <w:pPr>
              <w:pageBreakBefore w:val="0"/>
              <w:kinsoku/>
              <w:overflowPunct/>
              <w:bidi w:val="0"/>
              <w:snapToGrid w:val="0"/>
              <w:spacing w:line="360" w:lineRule="auto"/>
              <w:jc w:val="center"/>
              <w:rPr>
                <w:rFonts w:hint="eastAsia" w:ascii="宋体" w:hAnsi="宋体" w:eastAsia="宋体" w:cs="宋体"/>
                <w:color w:val="auto"/>
                <w:kern w:val="0"/>
                <w:szCs w:val="21"/>
              </w:rPr>
            </w:pPr>
          </w:p>
        </w:tc>
        <w:tc>
          <w:tcPr>
            <w:tcW w:w="613" w:type="pct"/>
            <w:vAlign w:val="center"/>
          </w:tcPr>
          <w:p w14:paraId="5B7C876B">
            <w:pPr>
              <w:pageBreakBefore w:val="0"/>
              <w:kinsoku/>
              <w:overflowPunct/>
              <w:bidi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服务</w:t>
            </w:r>
          </w:p>
        </w:tc>
        <w:tc>
          <w:tcPr>
            <w:tcW w:w="951" w:type="pct"/>
            <w:vAlign w:val="center"/>
          </w:tcPr>
          <w:p w14:paraId="69BD301C">
            <w:pPr>
              <w:pageBreakBefore w:val="0"/>
              <w:kinsoku/>
              <w:overflowPunct/>
              <w:bidi w:val="0"/>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服务</w:t>
            </w:r>
          </w:p>
        </w:tc>
        <w:tc>
          <w:tcPr>
            <w:tcW w:w="429" w:type="pct"/>
            <w:vAlign w:val="center"/>
          </w:tcPr>
          <w:p w14:paraId="39EAFD2C">
            <w:pPr>
              <w:pageBreakBefore w:val="0"/>
              <w:kinsoku/>
              <w:overflowPunct/>
              <w:bidi w:val="0"/>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szCs w:val="21"/>
                <w:lang w:val="en-US" w:eastAsia="zh-CN"/>
              </w:rPr>
              <w:t>10</w:t>
            </w:r>
            <w:r>
              <w:rPr>
                <w:rFonts w:hint="eastAsia" w:ascii="宋体" w:hAnsi="宋体" w:eastAsia="宋体" w:cs="宋体"/>
                <w:color w:val="auto"/>
                <w:kern w:val="0"/>
                <w:szCs w:val="21"/>
                <w:lang w:val="en-US" w:eastAsia="zh-CN"/>
              </w:rPr>
              <w:t>分</w:t>
            </w:r>
          </w:p>
        </w:tc>
        <w:tc>
          <w:tcPr>
            <w:tcW w:w="1839" w:type="pct"/>
            <w:vAlign w:val="center"/>
          </w:tcPr>
          <w:p w14:paraId="7D89CDA1">
            <w:pPr>
              <w:pageBreakBefore w:val="0"/>
              <w:kinsoku/>
              <w:overflowPunct/>
              <w:bidi w:val="0"/>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szCs w:val="21"/>
              </w:rPr>
              <w:t>详细评审标准表附后</w:t>
            </w:r>
          </w:p>
        </w:tc>
      </w:tr>
      <w:tr w14:paraId="6E5C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65" w:type="pct"/>
            <w:vMerge w:val="continue"/>
            <w:vAlign w:val="center"/>
          </w:tcPr>
          <w:p w14:paraId="4D4DD2FB">
            <w:pPr>
              <w:pageBreakBefore w:val="0"/>
              <w:kinsoku/>
              <w:overflowPunct/>
              <w:bidi w:val="0"/>
              <w:snapToGrid w:val="0"/>
              <w:spacing w:line="360" w:lineRule="auto"/>
              <w:jc w:val="center"/>
              <w:rPr>
                <w:rFonts w:hint="eastAsia" w:ascii="宋体" w:hAnsi="宋体" w:eastAsia="宋体" w:cs="宋体"/>
                <w:color w:val="auto"/>
                <w:kern w:val="0"/>
                <w:szCs w:val="21"/>
              </w:rPr>
            </w:pPr>
          </w:p>
        </w:tc>
        <w:tc>
          <w:tcPr>
            <w:tcW w:w="701" w:type="pct"/>
            <w:vMerge w:val="continue"/>
          </w:tcPr>
          <w:p w14:paraId="4BD6201E">
            <w:pPr>
              <w:pageBreakBefore w:val="0"/>
              <w:kinsoku/>
              <w:overflowPunct/>
              <w:bidi w:val="0"/>
              <w:snapToGrid w:val="0"/>
              <w:spacing w:line="360" w:lineRule="auto"/>
              <w:jc w:val="center"/>
              <w:rPr>
                <w:rFonts w:hint="eastAsia" w:ascii="宋体" w:hAnsi="宋体" w:eastAsia="宋体" w:cs="宋体"/>
                <w:color w:val="auto"/>
                <w:kern w:val="0"/>
                <w:szCs w:val="21"/>
              </w:rPr>
            </w:pPr>
          </w:p>
        </w:tc>
        <w:tc>
          <w:tcPr>
            <w:tcW w:w="613" w:type="pct"/>
            <w:vAlign w:val="center"/>
          </w:tcPr>
          <w:p w14:paraId="185D4A81">
            <w:pPr>
              <w:pageBreakBefore w:val="0"/>
              <w:kinsoku/>
              <w:overflowPunct/>
              <w:bidi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价格</w:t>
            </w:r>
          </w:p>
        </w:tc>
        <w:tc>
          <w:tcPr>
            <w:tcW w:w="951" w:type="pct"/>
            <w:vAlign w:val="center"/>
          </w:tcPr>
          <w:p w14:paraId="4C148E62">
            <w:pPr>
              <w:pageBreakBefore w:val="0"/>
              <w:kinsoku/>
              <w:overflowPunct/>
              <w:bidi w:val="0"/>
              <w:snapToGrid w:val="0"/>
              <w:spacing w:line="360" w:lineRule="auto"/>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价格</w:t>
            </w:r>
          </w:p>
        </w:tc>
        <w:tc>
          <w:tcPr>
            <w:tcW w:w="429" w:type="pct"/>
            <w:vAlign w:val="center"/>
          </w:tcPr>
          <w:p w14:paraId="5A796501">
            <w:pPr>
              <w:pageBreakBefore w:val="0"/>
              <w:kinsoku/>
              <w:overflowPunct/>
              <w:bidi w:val="0"/>
              <w:snapToGrid w:val="0"/>
              <w:spacing w:line="360" w:lineRule="auto"/>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34分</w:t>
            </w:r>
          </w:p>
        </w:tc>
        <w:tc>
          <w:tcPr>
            <w:tcW w:w="1839" w:type="pct"/>
            <w:vAlign w:val="center"/>
          </w:tcPr>
          <w:p w14:paraId="4DD61E28">
            <w:pPr>
              <w:pStyle w:val="49"/>
              <w:pageBreakBefore w:val="0"/>
              <w:numPr>
                <w:ilvl w:val="0"/>
                <w:numId w:val="8"/>
              </w:numPr>
              <w:kinsoku/>
              <w:overflowPunct/>
              <w:bidi w:val="0"/>
              <w:spacing w:line="360" w:lineRule="auto"/>
              <w:ind w:left="0" w:leftChars="0" w:firstLine="0" w:firstLineChars="0"/>
              <w:rPr>
                <w:rFonts w:hint="eastAsia" w:ascii="宋体" w:hAnsi="宋体" w:eastAsia="宋体" w:cs="宋体"/>
                <w:color w:val="auto"/>
                <w:kern w:val="0"/>
                <w:szCs w:val="21"/>
              </w:rPr>
            </w:pPr>
            <w:r>
              <w:rPr>
                <w:rFonts w:hint="eastAsia" w:ascii="宋体" w:hAnsi="宋体" w:eastAsia="宋体" w:cs="宋体"/>
                <w:color w:val="auto"/>
                <w:kern w:val="0"/>
                <w:szCs w:val="21"/>
              </w:rPr>
              <w:t>评分方法：价格评审时以不含税折扣报价进行评审。</w:t>
            </w:r>
          </w:p>
          <w:p w14:paraId="626D92BB">
            <w:pPr>
              <w:pStyle w:val="49"/>
              <w:pageBreakBefore w:val="0"/>
              <w:numPr>
                <w:ilvl w:val="0"/>
                <w:numId w:val="8"/>
              </w:numPr>
              <w:kinsoku/>
              <w:overflowPunct/>
              <w:bidi w:val="0"/>
              <w:spacing w:line="360" w:lineRule="auto"/>
              <w:ind w:left="0" w:leftChars="0" w:firstLine="0" w:firstLineChars="0"/>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评分原则：</w:t>
            </w:r>
          </w:p>
          <w:p w14:paraId="187E1B4A">
            <w:pPr>
              <w:pStyle w:val="49"/>
              <w:pageBreakBefore w:val="0"/>
              <w:numPr>
                <w:ilvl w:val="0"/>
                <w:numId w:val="0"/>
              </w:numPr>
              <w:kinsoku/>
              <w:overflowPunct/>
              <w:bidi w:val="0"/>
              <w:spacing w:line="360" w:lineRule="auto"/>
              <w:ind w:leftChars="0"/>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本项目采用基准价法进行价格评分：</w:t>
            </w:r>
          </w:p>
          <w:p w14:paraId="27FB5A76">
            <w:pPr>
              <w:pStyle w:val="49"/>
              <w:pageBreakBefore w:val="0"/>
              <w:numPr>
                <w:ilvl w:val="0"/>
                <w:numId w:val="0"/>
              </w:numPr>
              <w:kinsoku/>
              <w:overflowPunct/>
              <w:bidi w:val="0"/>
              <w:spacing w:line="360" w:lineRule="auto"/>
              <w:ind w:leftChars="0"/>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在所有有效报价中，剔除异常价后，以去掉（有效投标人数量÷6后向下取整）个最高价和最低价后其余报价的算术平均值的95%作为基准价，各报价得分以偏离基准价的多少计算，报价每高于基准价1个百分点扣0.6分，低于基准价1个百分点扣 0.3分。价格最终得分最高得34分，最低得0分。</w:t>
            </w:r>
          </w:p>
          <w:p w14:paraId="4BC0767B">
            <w:pPr>
              <w:pStyle w:val="49"/>
              <w:pageBreakBefore w:val="0"/>
              <w:numPr>
                <w:ilvl w:val="0"/>
                <w:numId w:val="0"/>
              </w:numPr>
              <w:kinsoku/>
              <w:overflowPunct/>
              <w:bidi w:val="0"/>
              <w:spacing w:line="360" w:lineRule="auto"/>
              <w:ind w:leftChars="0"/>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采用线性方式计算，小数点后保留两位，第三位四舍五入。</w:t>
            </w:r>
          </w:p>
          <w:p w14:paraId="40B450FB">
            <w:pPr>
              <w:pStyle w:val="49"/>
              <w:pageBreakBefore w:val="0"/>
              <w:numPr>
                <w:ilvl w:val="0"/>
                <w:numId w:val="0"/>
              </w:numPr>
              <w:kinsoku/>
              <w:overflowPunct/>
              <w:bidi w:val="0"/>
              <w:spacing w:line="360" w:lineRule="auto"/>
              <w:ind w:leftChars="0"/>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偏离度＝（各有效投标人折扣报价－基准价）/基准价</w:t>
            </w:r>
          </w:p>
          <w:p w14:paraId="42B2D962">
            <w:pPr>
              <w:pStyle w:val="49"/>
              <w:pageBreakBefore w:val="0"/>
              <w:numPr>
                <w:ilvl w:val="0"/>
                <w:numId w:val="0"/>
              </w:numPr>
              <w:kinsoku/>
              <w:overflowPunct/>
              <w:bidi w:val="0"/>
              <w:spacing w:line="360" w:lineRule="auto"/>
              <w:ind w:leftChars="0"/>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最终得分：负偏离得分＝34-|0.3×偏离度/1%|</w:t>
            </w:r>
          </w:p>
          <w:p w14:paraId="2F07A670">
            <w:pPr>
              <w:pStyle w:val="49"/>
              <w:pageBreakBefore w:val="0"/>
              <w:numPr>
                <w:ilvl w:val="0"/>
                <w:numId w:val="0"/>
              </w:numPr>
              <w:kinsoku/>
              <w:overflowPunct/>
              <w:bidi w:val="0"/>
              <w:spacing w:line="360" w:lineRule="auto"/>
              <w:ind w:leftChars="0"/>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 xml:space="preserve">          正偏离得分＝34-|0.6×偏离度/1%|</w:t>
            </w:r>
          </w:p>
          <w:p w14:paraId="2CC265E5">
            <w:pPr>
              <w:pStyle w:val="49"/>
              <w:pageBreakBefore w:val="0"/>
              <w:numPr>
                <w:ilvl w:val="0"/>
                <w:numId w:val="0"/>
              </w:numPr>
              <w:kinsoku/>
              <w:overflowPunct/>
              <w:bidi w:val="0"/>
              <w:spacing w:line="360" w:lineRule="auto"/>
              <w:ind w:leftChars="0"/>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eastAsia="zh-CN"/>
              </w:rPr>
              <w:t>低于基准价为负偏离，高于基准价为正偏离</w:t>
            </w:r>
            <w:r>
              <w:rPr>
                <w:rFonts w:hint="eastAsia" w:ascii="宋体" w:hAnsi="宋体" w:eastAsia="宋体" w:cs="宋体"/>
                <w:color w:val="auto"/>
                <w:kern w:val="0"/>
                <w:szCs w:val="21"/>
                <w:lang w:val="en-US" w:eastAsia="zh-CN"/>
              </w:rPr>
              <w:t>。</w:t>
            </w:r>
          </w:p>
          <w:p w14:paraId="0781A67A">
            <w:pPr>
              <w:pStyle w:val="49"/>
              <w:pageBreakBefore w:val="0"/>
              <w:numPr>
                <w:ilvl w:val="0"/>
                <w:numId w:val="0"/>
              </w:numPr>
              <w:kinsoku/>
              <w:overflowPunct/>
              <w:bidi w:val="0"/>
              <w:spacing w:line="360" w:lineRule="auto"/>
              <w:ind w:leftChars="0"/>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（4）价格评审依据:若出现增值税税率不一致的情形，价格评审以不含税价作为评审依据。</w:t>
            </w:r>
          </w:p>
          <w:p w14:paraId="772A00EC">
            <w:pPr>
              <w:pageBreakBefore w:val="0"/>
              <w:kinsoku/>
              <w:overflowPunct/>
              <w:bidi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 w:val="21"/>
                <w:szCs w:val="21"/>
                <w:lang w:val="en-US" w:eastAsia="zh-CN" w:bidi="ar-SA"/>
              </w:rPr>
              <w:t>(5）是否以单项报价核定低于成本：√要求，具体要求如下：评标委员会发现投标人的单项报价明显低于其他投标报价，认为投标报价可能低于成本的，将书面要求该投标人做出书面说明并提供相关证明材料。投标人不能合理说明或者不能提供相应证明材料的，由评标委员会认定该投标人以低于成本报价竞标，评标委员会将否决其投标。</w:t>
            </w:r>
          </w:p>
        </w:tc>
      </w:tr>
      <w:tr w14:paraId="27873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65" w:type="pct"/>
            <w:vMerge w:val="continue"/>
            <w:vAlign w:val="center"/>
          </w:tcPr>
          <w:p w14:paraId="491317D7">
            <w:pPr>
              <w:pageBreakBefore w:val="0"/>
              <w:kinsoku/>
              <w:overflowPunct/>
              <w:bidi w:val="0"/>
              <w:snapToGrid w:val="0"/>
              <w:spacing w:line="360" w:lineRule="auto"/>
              <w:jc w:val="center"/>
              <w:rPr>
                <w:rFonts w:hint="eastAsia" w:ascii="宋体" w:hAnsi="宋体" w:eastAsia="宋体" w:cs="宋体"/>
                <w:color w:val="auto"/>
                <w:kern w:val="0"/>
                <w:szCs w:val="21"/>
              </w:rPr>
            </w:pPr>
          </w:p>
        </w:tc>
        <w:tc>
          <w:tcPr>
            <w:tcW w:w="701" w:type="pct"/>
            <w:vMerge w:val="continue"/>
          </w:tcPr>
          <w:p w14:paraId="47B66E08">
            <w:pPr>
              <w:pageBreakBefore w:val="0"/>
              <w:kinsoku/>
              <w:overflowPunct/>
              <w:bidi w:val="0"/>
              <w:snapToGrid w:val="0"/>
              <w:spacing w:line="360" w:lineRule="auto"/>
              <w:jc w:val="center"/>
              <w:rPr>
                <w:rFonts w:hint="eastAsia" w:ascii="宋体" w:hAnsi="宋体" w:eastAsia="宋体" w:cs="宋体"/>
                <w:color w:val="auto"/>
                <w:kern w:val="0"/>
                <w:szCs w:val="21"/>
              </w:rPr>
            </w:pPr>
          </w:p>
        </w:tc>
        <w:tc>
          <w:tcPr>
            <w:tcW w:w="613" w:type="pct"/>
            <w:vAlign w:val="center"/>
          </w:tcPr>
          <w:p w14:paraId="6B3BA761">
            <w:pPr>
              <w:pageBreakBefore w:val="0"/>
              <w:kinsoku/>
              <w:overflowPunct/>
              <w:bidi w:val="0"/>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【投标人不良行为】</w:t>
            </w:r>
          </w:p>
        </w:tc>
        <w:tc>
          <w:tcPr>
            <w:tcW w:w="951" w:type="pct"/>
            <w:vAlign w:val="center"/>
          </w:tcPr>
          <w:p w14:paraId="032AB8DC">
            <w:pPr>
              <w:pageBreakBefore w:val="0"/>
              <w:kinsoku/>
              <w:overflowPunct/>
              <w:bidi w:val="0"/>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【中国电信供应商不良行为处理结果执行】</w:t>
            </w:r>
          </w:p>
        </w:tc>
        <w:tc>
          <w:tcPr>
            <w:tcW w:w="429" w:type="pct"/>
            <w:vAlign w:val="center"/>
          </w:tcPr>
          <w:p w14:paraId="5B06E644">
            <w:pPr>
              <w:pageBreakBefore w:val="0"/>
              <w:kinsoku/>
              <w:overflowPunct/>
              <w:bidi w:val="0"/>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w:t>
            </w:r>
          </w:p>
        </w:tc>
        <w:tc>
          <w:tcPr>
            <w:tcW w:w="1839" w:type="pct"/>
            <w:vAlign w:val="center"/>
          </w:tcPr>
          <w:p w14:paraId="66ACB8C3">
            <w:pPr>
              <w:pageBreakBefore w:val="0"/>
              <w:kinsoku/>
              <w:overflowPunct/>
              <w:bidi w:val="0"/>
              <w:snapToGrid w:val="0"/>
              <w:spacing w:line="360" w:lineRule="auto"/>
              <w:rPr>
                <w:rFonts w:hint="eastAsia" w:ascii="宋体" w:hAnsi="宋体" w:eastAsia="宋体" w:cs="宋体"/>
                <w:color w:val="auto"/>
                <w:kern w:val="0"/>
                <w:szCs w:val="21"/>
              </w:rPr>
            </w:pPr>
            <w:r>
              <w:rPr>
                <w:rFonts w:hint="eastAsia" w:ascii="宋体" w:hAnsi="宋体" w:eastAsia="宋体" w:cs="宋体"/>
                <w:color w:val="auto"/>
                <w:szCs w:val="21"/>
              </w:rPr>
              <w:t>【按照中国电信供应商不良行为处理结果及《中国电信供应商不良行为管理规则》的结果执行规则，应对投标人的本次投标执行限制采购的处理措施的,</w:t>
            </w:r>
            <w:r>
              <w:rPr>
                <w:rFonts w:hint="eastAsia" w:ascii="宋体" w:hAnsi="宋体" w:eastAsia="宋体" w:cs="宋体"/>
                <w:color w:val="auto"/>
                <w:kern w:val="0"/>
                <w:szCs w:val="21"/>
              </w:rPr>
              <w:t>评标委员会应按照处理结果及规则上浮评审价格</w:t>
            </w:r>
            <w:r>
              <w:rPr>
                <w:rFonts w:hint="eastAsia" w:ascii="宋体" w:hAnsi="宋体" w:eastAsia="宋体" w:cs="宋体"/>
                <w:color w:val="auto"/>
                <w:szCs w:val="21"/>
              </w:rPr>
              <w:t>。</w:t>
            </w:r>
            <w:r>
              <w:rPr>
                <w:rFonts w:hint="eastAsia" w:ascii="宋体" w:hAnsi="宋体" w:eastAsia="宋体" w:cs="宋体"/>
                <w:color w:val="auto"/>
                <w:szCs w:val="32"/>
              </w:rPr>
              <w:t>】</w:t>
            </w:r>
          </w:p>
        </w:tc>
      </w:tr>
      <w:tr w14:paraId="00B5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65" w:type="pct"/>
            <w:vAlign w:val="center"/>
          </w:tcPr>
          <w:p w14:paraId="11D0E819">
            <w:pPr>
              <w:pageBreakBefore w:val="0"/>
              <w:kinsoku/>
              <w:overflowPunct/>
              <w:bidi w:val="0"/>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3.2.2</w:t>
            </w:r>
          </w:p>
        </w:tc>
        <w:tc>
          <w:tcPr>
            <w:tcW w:w="701" w:type="pct"/>
            <w:vAlign w:val="center"/>
          </w:tcPr>
          <w:p w14:paraId="1549151D">
            <w:pPr>
              <w:pageBreakBefore w:val="0"/>
              <w:kinsoku/>
              <w:overflowPunct/>
              <w:bidi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评分计算原则</w:t>
            </w:r>
          </w:p>
        </w:tc>
        <w:tc>
          <w:tcPr>
            <w:tcW w:w="3833" w:type="pct"/>
            <w:gridSpan w:val="4"/>
            <w:vAlign w:val="center"/>
          </w:tcPr>
          <w:p w14:paraId="1092FB90">
            <w:pPr>
              <w:pageBreakBefore w:val="0"/>
              <w:kinsoku/>
              <w:overflowPunct/>
              <w:bidi w:val="0"/>
              <w:snapToGrid w:val="0"/>
              <w:spacing w:line="360" w:lineRule="auto"/>
              <w:rPr>
                <w:rFonts w:hint="eastAsia" w:ascii="宋体" w:hAnsi="宋体" w:eastAsia="宋体" w:cs="宋体"/>
                <w:color w:val="auto"/>
                <w:kern w:val="0"/>
                <w:szCs w:val="21"/>
              </w:rPr>
            </w:pPr>
            <w:r>
              <w:rPr>
                <w:rFonts w:hint="eastAsia" w:ascii="宋体" w:hAnsi="宋体" w:eastAsia="宋体" w:cs="宋体"/>
                <w:color w:val="auto"/>
                <w:szCs w:val="21"/>
              </w:rPr>
              <w:t>【按照四舍五入方式保留2位小数</w:t>
            </w:r>
            <w:r>
              <w:rPr>
                <w:rFonts w:hint="eastAsia" w:ascii="宋体" w:hAnsi="宋体" w:eastAsia="宋体" w:cs="宋体"/>
                <w:color w:val="auto"/>
                <w:kern w:val="0"/>
                <w:szCs w:val="21"/>
              </w:rPr>
              <w:t>】</w:t>
            </w:r>
          </w:p>
        </w:tc>
      </w:tr>
      <w:tr w14:paraId="69E8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65" w:type="pct"/>
            <w:vAlign w:val="center"/>
          </w:tcPr>
          <w:p w14:paraId="5C75EC7D">
            <w:pPr>
              <w:pageBreakBefore w:val="0"/>
              <w:kinsoku/>
              <w:overflowPunct/>
              <w:bidi w:val="0"/>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3.4.1</w:t>
            </w:r>
          </w:p>
        </w:tc>
        <w:tc>
          <w:tcPr>
            <w:tcW w:w="701" w:type="pct"/>
            <w:vAlign w:val="center"/>
          </w:tcPr>
          <w:p w14:paraId="4732E1A7">
            <w:pPr>
              <w:pageBreakBefore w:val="0"/>
              <w:kinsoku/>
              <w:overflowPunct/>
              <w:bidi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rPr>
              <w:t>综合评分相同的处理原则</w:t>
            </w:r>
          </w:p>
        </w:tc>
        <w:tc>
          <w:tcPr>
            <w:tcW w:w="3833" w:type="pct"/>
            <w:gridSpan w:val="4"/>
            <w:vAlign w:val="center"/>
          </w:tcPr>
          <w:p w14:paraId="2A7D0B9C">
            <w:pPr>
              <w:pStyle w:val="51"/>
              <w:pageBreakBefore w:val="0"/>
              <w:kinsoku/>
              <w:overflowPunct/>
              <w:bidi w:val="0"/>
              <w:snapToGrid w:val="0"/>
              <w:spacing w:line="360" w:lineRule="auto"/>
              <w:ind w:left="14" w:leftChars="0" w:firstLine="0" w:firstLineChars="0"/>
              <w:rPr>
                <w:rFonts w:hint="eastAsia" w:ascii="宋体" w:hAnsi="宋体" w:eastAsia="宋体" w:cs="宋体"/>
                <w:color w:val="auto"/>
                <w:kern w:val="0"/>
                <w:szCs w:val="21"/>
              </w:rPr>
            </w:pPr>
            <w:r>
              <w:rPr>
                <w:rFonts w:hint="eastAsia" w:ascii="宋体" w:hAnsi="宋体" w:eastAsia="宋体" w:cs="宋体"/>
                <w:color w:val="auto"/>
                <w:szCs w:val="21"/>
              </w:rPr>
              <w:t xml:space="preserve">【综合得分相同的，技术得分高者排名优先；技术得分相同的，价格得分高者排名优先；价格得分相同的，商务得分高者排名优先；商务得分相同的，业绩累计金额高者排名优先。】 </w:t>
            </w:r>
          </w:p>
        </w:tc>
      </w:tr>
      <w:tr w14:paraId="0853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65" w:type="pct"/>
            <w:vAlign w:val="center"/>
          </w:tcPr>
          <w:p w14:paraId="0840BF62">
            <w:pPr>
              <w:pageBreakBefore w:val="0"/>
              <w:kinsoku/>
              <w:overflowPunct/>
              <w:bidi w:val="0"/>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3.4.2</w:t>
            </w:r>
          </w:p>
        </w:tc>
        <w:tc>
          <w:tcPr>
            <w:tcW w:w="701" w:type="pct"/>
            <w:vAlign w:val="center"/>
          </w:tcPr>
          <w:p w14:paraId="536AE974">
            <w:pPr>
              <w:pageBreakBefore w:val="0"/>
              <w:kinsoku/>
              <w:overflowPunct/>
              <w:bidi w:val="0"/>
              <w:snapToGrid w:val="0"/>
              <w:spacing w:line="360" w:lineRule="auto"/>
              <w:jc w:val="left"/>
              <w:rPr>
                <w:rFonts w:hint="eastAsia" w:ascii="宋体" w:hAnsi="宋体" w:eastAsia="宋体" w:cs="宋体"/>
                <w:color w:val="auto"/>
              </w:rPr>
            </w:pPr>
            <w:r>
              <w:rPr>
                <w:rFonts w:hint="eastAsia" w:ascii="宋体" w:hAnsi="宋体" w:eastAsia="宋体" w:cs="宋体"/>
                <w:color w:val="auto"/>
                <w:kern w:val="0"/>
                <w:szCs w:val="21"/>
              </w:rPr>
              <w:t>中标候选人推荐原则</w:t>
            </w:r>
          </w:p>
        </w:tc>
        <w:tc>
          <w:tcPr>
            <w:tcW w:w="3833" w:type="pct"/>
            <w:gridSpan w:val="4"/>
            <w:vAlign w:val="center"/>
          </w:tcPr>
          <w:p w14:paraId="76E1D0A6">
            <w:pPr>
              <w:pStyle w:val="51"/>
              <w:pageBreakBefore w:val="0"/>
              <w:kinsoku/>
              <w:overflowPunct/>
              <w:bidi w:val="0"/>
              <w:snapToGrid w:val="0"/>
              <w:spacing w:line="360" w:lineRule="auto"/>
              <w:ind w:left="14" w:leftChars="0" w:firstLine="0" w:firstLineChars="0"/>
              <w:rPr>
                <w:rFonts w:hint="eastAsia" w:ascii="宋体" w:hAnsi="宋体" w:eastAsia="宋体" w:cs="宋体"/>
                <w:color w:val="auto"/>
                <w:szCs w:val="21"/>
              </w:rPr>
            </w:pPr>
            <w:r>
              <w:rPr>
                <w:rFonts w:hint="eastAsia" w:ascii="宋体" w:hAnsi="宋体" w:eastAsia="宋体" w:cs="宋体"/>
                <w:color w:val="auto"/>
                <w:szCs w:val="21"/>
              </w:rPr>
              <w:t>【详见第二章投标人须知6.4条款】</w:t>
            </w:r>
          </w:p>
        </w:tc>
      </w:tr>
    </w:tbl>
    <w:p w14:paraId="3969ED1B">
      <w:pPr>
        <w:pageBreakBefore w:val="0"/>
        <w:kinsoku/>
        <w:overflowPunct/>
        <w:bidi w:val="0"/>
        <w:spacing w:line="360" w:lineRule="auto"/>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14:paraId="521DFCDA">
      <w:pPr>
        <w:pageBreakBefore w:val="0"/>
        <w:kinsoku/>
        <w:overflowPunct/>
        <w:bidi w:val="0"/>
        <w:spacing w:line="360" w:lineRule="auto"/>
        <w:ind w:left="-2" w:leftChars="-1"/>
        <w:jc w:val="left"/>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1.</w:t>
      </w:r>
      <w:r>
        <w:rPr>
          <w:rFonts w:hint="eastAsia" w:ascii="宋体" w:hAnsi="宋体" w:eastAsia="宋体" w:cs="宋体"/>
          <w:b/>
          <w:bCs/>
          <w:color w:val="auto"/>
          <w:szCs w:val="21"/>
        </w:rPr>
        <w:t>商务详细评审标准表</w:t>
      </w:r>
      <w:r>
        <w:rPr>
          <w:rFonts w:hint="eastAsia" w:ascii="宋体" w:hAnsi="宋体" w:eastAsia="宋体" w:cs="宋体"/>
          <w:b/>
          <w:bCs/>
          <w:color w:val="auto"/>
          <w:szCs w:val="21"/>
          <w:lang w:eastAsia="zh-CN"/>
        </w:rPr>
        <w:t>（</w:t>
      </w:r>
      <w:r>
        <w:rPr>
          <w:rFonts w:hint="eastAsia" w:ascii="宋体" w:hAnsi="宋体" w:eastAsia="宋体" w:cs="宋体"/>
          <w:b/>
          <w:bCs/>
          <w:color w:val="auto"/>
          <w:szCs w:val="21"/>
          <w:lang w:val="en-US" w:eastAsia="zh-CN"/>
        </w:rPr>
        <w:t>10分）</w:t>
      </w:r>
    </w:p>
    <w:tbl>
      <w:tblPr>
        <w:tblStyle w:val="41"/>
        <w:tblW w:w="5038" w:type="pct"/>
        <w:tblInd w:w="0" w:type="dxa"/>
        <w:tblLayout w:type="autofit"/>
        <w:tblCellMar>
          <w:top w:w="0" w:type="dxa"/>
          <w:left w:w="108" w:type="dxa"/>
          <w:bottom w:w="0" w:type="dxa"/>
          <w:right w:w="108" w:type="dxa"/>
        </w:tblCellMar>
      </w:tblPr>
      <w:tblGrid>
        <w:gridCol w:w="753"/>
        <w:gridCol w:w="1376"/>
        <w:gridCol w:w="5612"/>
        <w:gridCol w:w="846"/>
      </w:tblGrid>
      <w:tr w14:paraId="1B4070DA">
        <w:tblPrEx>
          <w:tblCellMar>
            <w:top w:w="0" w:type="dxa"/>
            <w:left w:w="108" w:type="dxa"/>
            <w:bottom w:w="0" w:type="dxa"/>
            <w:right w:w="108" w:type="dxa"/>
          </w:tblCellMar>
        </w:tblPrEx>
        <w:trPr>
          <w:trHeight w:val="540" w:hRule="atLeast"/>
        </w:trPr>
        <w:tc>
          <w:tcPr>
            <w:tcW w:w="439" w:type="pct"/>
            <w:tcBorders>
              <w:top w:val="single" w:color="auto" w:sz="4" w:space="0"/>
              <w:left w:val="single" w:color="auto" w:sz="4" w:space="0"/>
              <w:bottom w:val="single" w:color="auto" w:sz="4" w:space="0"/>
              <w:right w:val="single" w:color="auto" w:sz="4" w:space="0"/>
            </w:tcBorders>
            <w:shd w:val="clear" w:color="000000" w:fill="FFFFFF"/>
            <w:vAlign w:val="center"/>
          </w:tcPr>
          <w:p w14:paraId="22EC672F">
            <w:pPr>
              <w:pageBreakBefore w:val="0"/>
              <w:widowControl/>
              <w:kinsoku/>
              <w:overflowPunct/>
              <w:bidi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序号</w:t>
            </w:r>
          </w:p>
        </w:tc>
        <w:tc>
          <w:tcPr>
            <w:tcW w:w="801" w:type="pct"/>
            <w:tcBorders>
              <w:top w:val="single" w:color="auto" w:sz="4" w:space="0"/>
              <w:left w:val="single" w:color="auto" w:sz="4" w:space="0"/>
              <w:bottom w:val="single" w:color="auto" w:sz="4" w:space="0"/>
              <w:right w:val="single" w:color="auto" w:sz="4" w:space="0"/>
            </w:tcBorders>
            <w:shd w:val="clear" w:color="000000" w:fill="FFFFFF"/>
            <w:vAlign w:val="center"/>
          </w:tcPr>
          <w:p w14:paraId="5157F20D">
            <w:pPr>
              <w:pageBreakBefore w:val="0"/>
              <w:widowControl/>
              <w:kinsoku/>
              <w:overflowPunct/>
              <w:bidi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评审因素</w:t>
            </w:r>
          </w:p>
        </w:tc>
        <w:tc>
          <w:tcPr>
            <w:tcW w:w="3266" w:type="pct"/>
            <w:tcBorders>
              <w:top w:val="single" w:color="auto" w:sz="4" w:space="0"/>
              <w:left w:val="nil"/>
              <w:bottom w:val="single" w:color="auto" w:sz="4" w:space="0"/>
              <w:right w:val="single" w:color="auto" w:sz="4" w:space="0"/>
            </w:tcBorders>
            <w:shd w:val="clear" w:color="000000" w:fill="FFFFFF"/>
            <w:vAlign w:val="center"/>
          </w:tcPr>
          <w:p w14:paraId="36B188E0">
            <w:pPr>
              <w:pageBreakBefore w:val="0"/>
              <w:widowControl/>
              <w:kinsoku/>
              <w:overflowPunct/>
              <w:bidi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详细评分规则</w:t>
            </w:r>
          </w:p>
        </w:tc>
        <w:tc>
          <w:tcPr>
            <w:tcW w:w="492" w:type="pct"/>
            <w:tcBorders>
              <w:top w:val="single" w:color="auto" w:sz="4" w:space="0"/>
              <w:left w:val="nil"/>
              <w:bottom w:val="single" w:color="auto" w:sz="4" w:space="0"/>
              <w:right w:val="single" w:color="auto" w:sz="4" w:space="0"/>
            </w:tcBorders>
            <w:shd w:val="clear" w:color="auto" w:fill="auto"/>
            <w:vAlign w:val="center"/>
          </w:tcPr>
          <w:p w14:paraId="7AAEC827">
            <w:pPr>
              <w:pageBreakBefore w:val="0"/>
              <w:widowControl/>
              <w:kinsoku/>
              <w:overflowPunct/>
              <w:bidi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权重比值</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分）</w:t>
            </w:r>
          </w:p>
        </w:tc>
      </w:tr>
      <w:tr w14:paraId="5202FB21">
        <w:tblPrEx>
          <w:tblCellMar>
            <w:top w:w="0" w:type="dxa"/>
            <w:left w:w="108" w:type="dxa"/>
            <w:bottom w:w="0" w:type="dxa"/>
            <w:right w:w="108" w:type="dxa"/>
          </w:tblCellMar>
        </w:tblPrEx>
        <w:trPr>
          <w:trHeight w:val="1124" w:hRule="atLeast"/>
        </w:trPr>
        <w:tc>
          <w:tcPr>
            <w:tcW w:w="439" w:type="pct"/>
            <w:tcBorders>
              <w:top w:val="nil"/>
              <w:left w:val="single" w:color="auto" w:sz="4" w:space="0"/>
              <w:bottom w:val="single" w:color="auto" w:sz="4" w:space="0"/>
              <w:right w:val="single" w:color="auto" w:sz="4" w:space="0"/>
            </w:tcBorders>
            <w:shd w:val="clear" w:color="000000" w:fill="FFFFFF"/>
            <w:vAlign w:val="center"/>
          </w:tcPr>
          <w:p w14:paraId="512097E1">
            <w:pPr>
              <w:pageBreakBefore w:val="0"/>
              <w:widowControl/>
              <w:kinsoku/>
              <w:overflowPunct/>
              <w:bidi w:val="0"/>
              <w:spacing w:line="360" w:lineRule="auto"/>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1</w:t>
            </w:r>
          </w:p>
        </w:tc>
        <w:tc>
          <w:tcPr>
            <w:tcW w:w="801" w:type="pct"/>
            <w:tcBorders>
              <w:top w:val="nil"/>
              <w:left w:val="single" w:color="auto" w:sz="4" w:space="0"/>
              <w:bottom w:val="single" w:color="auto" w:sz="4" w:space="0"/>
              <w:right w:val="single" w:color="auto" w:sz="4" w:space="0"/>
            </w:tcBorders>
            <w:shd w:val="clear" w:color="000000" w:fill="FFFFFF"/>
            <w:vAlign w:val="center"/>
          </w:tcPr>
          <w:p w14:paraId="079808ED">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案例与业绩</w:t>
            </w:r>
          </w:p>
        </w:tc>
        <w:tc>
          <w:tcPr>
            <w:tcW w:w="5612" w:type="dxa"/>
            <w:tcBorders>
              <w:top w:val="nil"/>
              <w:left w:val="nil"/>
              <w:bottom w:val="single" w:color="auto" w:sz="4" w:space="0"/>
              <w:right w:val="single" w:color="auto" w:sz="4" w:space="0"/>
            </w:tcBorders>
            <w:shd w:val="clear" w:color="000000" w:fill="FFFFFF"/>
            <w:vAlign w:val="center"/>
          </w:tcPr>
          <w:p w14:paraId="13400F9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投标人提供2023年1月1日至本项目招标公告发出之日止的类似本项目业绩（电力建设维护类），根据业绩数量及含税金额进行评分，每提供1个120万元及以上业绩合同得1分，满分7分。</w:t>
            </w:r>
          </w:p>
          <w:p w14:paraId="05EE49C5">
            <w:pPr>
              <w:keepNext w:val="0"/>
              <w:keepLines w:val="0"/>
              <w:widowControl/>
              <w:suppressLineNumbers w:val="0"/>
              <w:jc w:val="left"/>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0"/>
                <w:szCs w:val="20"/>
                <w:u w:val="none"/>
                <w:lang w:val="en-US" w:eastAsia="zh-CN" w:bidi="ar"/>
              </w:rPr>
              <w:t>注：投标人须提供合同证明材料，证明材料如为单项合同，须提供合同首页、采购清单页、金额页、双方签字盖章页等关键页；若提供的是框架合同，须提供合同首页、采购清单页、双方签字盖章页等关键页，同时还需提供合同订单或发票或结算单等相关证明，否则不得分。框架合同金额按订单或结算单或发票累计金额计算，合同扫描不清晰无法辨别或提供资料不完整的，不能作为证明材料。</w:t>
            </w:r>
          </w:p>
        </w:tc>
        <w:tc>
          <w:tcPr>
            <w:tcW w:w="846" w:type="dxa"/>
            <w:tcBorders>
              <w:top w:val="nil"/>
              <w:left w:val="nil"/>
              <w:bottom w:val="single" w:color="auto" w:sz="4" w:space="0"/>
              <w:right w:val="single" w:color="auto" w:sz="4" w:space="0"/>
            </w:tcBorders>
            <w:shd w:val="clear" w:color="auto" w:fill="auto"/>
            <w:vAlign w:val="center"/>
          </w:tcPr>
          <w:p w14:paraId="3633A0BB">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0"/>
                <w:szCs w:val="20"/>
                <w:u w:val="none"/>
                <w:lang w:val="en-US" w:eastAsia="zh-CN" w:bidi="ar"/>
              </w:rPr>
              <w:t>7</w:t>
            </w:r>
          </w:p>
        </w:tc>
      </w:tr>
      <w:tr w14:paraId="7A866B1A">
        <w:tblPrEx>
          <w:tblCellMar>
            <w:top w:w="0" w:type="dxa"/>
            <w:left w:w="108" w:type="dxa"/>
            <w:bottom w:w="0" w:type="dxa"/>
            <w:right w:w="108" w:type="dxa"/>
          </w:tblCellMar>
        </w:tblPrEx>
        <w:trPr>
          <w:trHeight w:val="740" w:hRule="atLeast"/>
        </w:trPr>
        <w:tc>
          <w:tcPr>
            <w:tcW w:w="439" w:type="pct"/>
            <w:tcBorders>
              <w:top w:val="nil"/>
              <w:left w:val="single" w:color="auto" w:sz="4" w:space="0"/>
              <w:bottom w:val="single" w:color="auto" w:sz="4" w:space="0"/>
              <w:right w:val="single" w:color="auto" w:sz="4" w:space="0"/>
            </w:tcBorders>
            <w:shd w:val="clear" w:color="000000" w:fill="FFFFFF"/>
            <w:vAlign w:val="center"/>
          </w:tcPr>
          <w:p w14:paraId="666591BF">
            <w:pPr>
              <w:pageBreakBefore w:val="0"/>
              <w:widowControl/>
              <w:kinsoku/>
              <w:overflowPunct/>
              <w:bidi w:val="0"/>
              <w:spacing w:line="360" w:lineRule="auto"/>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2</w:t>
            </w:r>
          </w:p>
        </w:tc>
        <w:tc>
          <w:tcPr>
            <w:tcW w:w="1376" w:type="dxa"/>
            <w:tcBorders>
              <w:top w:val="nil"/>
              <w:left w:val="single" w:color="auto" w:sz="4" w:space="0"/>
              <w:bottom w:val="single" w:color="auto" w:sz="4" w:space="0"/>
              <w:right w:val="single" w:color="auto" w:sz="4" w:space="0"/>
            </w:tcBorders>
            <w:shd w:val="clear" w:color="000000" w:fill="FFFFFF"/>
            <w:vAlign w:val="center"/>
          </w:tcPr>
          <w:p w14:paraId="433210D1">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技术条款满足度</w:t>
            </w:r>
          </w:p>
        </w:tc>
        <w:tc>
          <w:tcPr>
            <w:tcW w:w="5612" w:type="dxa"/>
            <w:tcBorders>
              <w:top w:val="nil"/>
              <w:left w:val="nil"/>
              <w:bottom w:val="single" w:color="auto" w:sz="4" w:space="0"/>
              <w:right w:val="single" w:color="auto" w:sz="4" w:space="0"/>
            </w:tcBorders>
            <w:shd w:val="clear" w:color="000000" w:fill="FFFFFF"/>
            <w:vAlign w:val="center"/>
          </w:tcPr>
          <w:p w14:paraId="55BDBC95">
            <w:pPr>
              <w:keepNext w:val="0"/>
              <w:keepLines w:val="0"/>
              <w:widowControl/>
              <w:suppressLineNumbers w:val="0"/>
              <w:jc w:val="left"/>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000000"/>
                <w:kern w:val="0"/>
                <w:sz w:val="20"/>
                <w:szCs w:val="20"/>
                <w:u w:val="none"/>
                <w:lang w:val="en-US" w:eastAsia="zh-CN" w:bidi="ar"/>
              </w:rPr>
              <w:t>招标文件中未标注“★”的技术条款负偏离达到5项将被否决投标，低于5项的负偏离每项扣0.25分，扣完1分为止。</w:t>
            </w:r>
          </w:p>
        </w:tc>
        <w:tc>
          <w:tcPr>
            <w:tcW w:w="846" w:type="dxa"/>
            <w:tcBorders>
              <w:top w:val="nil"/>
              <w:left w:val="nil"/>
              <w:bottom w:val="single" w:color="auto" w:sz="4" w:space="0"/>
              <w:right w:val="single" w:color="auto" w:sz="4" w:space="0"/>
            </w:tcBorders>
            <w:shd w:val="clear" w:color="auto" w:fill="auto"/>
            <w:vAlign w:val="center"/>
          </w:tcPr>
          <w:p w14:paraId="67BD4A46">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000000"/>
                <w:kern w:val="0"/>
                <w:sz w:val="20"/>
                <w:szCs w:val="20"/>
                <w:u w:val="none"/>
                <w:lang w:val="en-US" w:eastAsia="zh-CN" w:bidi="ar"/>
              </w:rPr>
              <w:t>1</w:t>
            </w:r>
          </w:p>
        </w:tc>
      </w:tr>
      <w:tr w14:paraId="7AFBE019">
        <w:tblPrEx>
          <w:tblCellMar>
            <w:top w:w="0" w:type="dxa"/>
            <w:left w:w="108" w:type="dxa"/>
            <w:bottom w:w="0" w:type="dxa"/>
            <w:right w:w="108" w:type="dxa"/>
          </w:tblCellMar>
        </w:tblPrEx>
        <w:trPr>
          <w:trHeight w:val="740" w:hRule="atLeast"/>
        </w:trPr>
        <w:tc>
          <w:tcPr>
            <w:tcW w:w="439" w:type="pct"/>
            <w:tcBorders>
              <w:top w:val="nil"/>
              <w:left w:val="single" w:color="auto" w:sz="4" w:space="0"/>
              <w:bottom w:val="single" w:color="auto" w:sz="4" w:space="0"/>
              <w:right w:val="single" w:color="auto" w:sz="4" w:space="0"/>
            </w:tcBorders>
            <w:shd w:val="clear" w:color="000000" w:fill="FFFFFF"/>
            <w:vAlign w:val="center"/>
          </w:tcPr>
          <w:p w14:paraId="7B43EB9A">
            <w:pPr>
              <w:pageBreakBefore w:val="0"/>
              <w:widowControl/>
              <w:kinsoku/>
              <w:overflowPunct/>
              <w:bidi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w:t>
            </w:r>
          </w:p>
        </w:tc>
        <w:tc>
          <w:tcPr>
            <w:tcW w:w="1376" w:type="dxa"/>
            <w:tcBorders>
              <w:top w:val="nil"/>
              <w:left w:val="single" w:color="auto" w:sz="4" w:space="0"/>
              <w:bottom w:val="single" w:color="auto" w:sz="4" w:space="0"/>
              <w:right w:val="single" w:color="auto" w:sz="4" w:space="0"/>
            </w:tcBorders>
            <w:shd w:val="clear" w:color="000000" w:fill="FFFFFF"/>
            <w:vAlign w:val="center"/>
          </w:tcPr>
          <w:p w14:paraId="0F4DBB2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投标文件应答和制作情况</w:t>
            </w:r>
          </w:p>
        </w:tc>
        <w:tc>
          <w:tcPr>
            <w:tcW w:w="5612" w:type="dxa"/>
            <w:tcBorders>
              <w:top w:val="nil"/>
              <w:left w:val="nil"/>
              <w:bottom w:val="single" w:color="auto" w:sz="4" w:space="0"/>
              <w:right w:val="single" w:color="auto" w:sz="4" w:space="0"/>
            </w:tcBorders>
            <w:shd w:val="clear" w:color="000000" w:fill="FFFFFF"/>
            <w:vAlign w:val="center"/>
          </w:tcPr>
          <w:p w14:paraId="6CF49BCE">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对投标文件的制作质量（字迹、目录和页码、文件编排合理性、内容的充实程度等方面）进行比较。文字及证件复印件清晰、内容完整而充实、文件编排合理、装订整齐美观，目录清晰、有正文和页码，图纸表格等有编号。完全满足得满分，一项不满足扣0.5分，扣完为止。</w:t>
            </w:r>
          </w:p>
        </w:tc>
        <w:tc>
          <w:tcPr>
            <w:tcW w:w="846" w:type="dxa"/>
            <w:tcBorders>
              <w:top w:val="nil"/>
              <w:left w:val="nil"/>
              <w:bottom w:val="single" w:color="auto" w:sz="4" w:space="0"/>
              <w:right w:val="single" w:color="auto" w:sz="4" w:space="0"/>
            </w:tcBorders>
            <w:shd w:val="clear" w:color="auto" w:fill="auto"/>
            <w:vAlign w:val="center"/>
          </w:tcPr>
          <w:p w14:paraId="4548EAC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14:paraId="3DDCD1E7">
        <w:tblPrEx>
          <w:tblCellMar>
            <w:top w:w="0" w:type="dxa"/>
            <w:left w:w="108" w:type="dxa"/>
            <w:bottom w:w="0" w:type="dxa"/>
            <w:right w:w="108" w:type="dxa"/>
          </w:tblCellMar>
        </w:tblPrEx>
        <w:trPr>
          <w:trHeight w:val="429" w:hRule="atLeast"/>
        </w:trPr>
        <w:tc>
          <w:tcPr>
            <w:tcW w:w="4507"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4A55A238">
            <w:pPr>
              <w:pageBreakBefore w:val="0"/>
              <w:widowControl/>
              <w:kinsoku/>
              <w:overflowPunct/>
              <w:bidi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合计</w:t>
            </w:r>
          </w:p>
        </w:tc>
        <w:tc>
          <w:tcPr>
            <w:tcW w:w="492" w:type="pct"/>
            <w:tcBorders>
              <w:top w:val="single" w:color="auto" w:sz="4" w:space="0"/>
              <w:left w:val="nil"/>
              <w:bottom w:val="single" w:color="auto" w:sz="4" w:space="0"/>
              <w:right w:val="single" w:color="auto" w:sz="4" w:space="0"/>
            </w:tcBorders>
            <w:shd w:val="clear" w:color="auto" w:fill="auto"/>
            <w:vAlign w:val="center"/>
          </w:tcPr>
          <w:p w14:paraId="200B3467">
            <w:pPr>
              <w:pageBreakBefore w:val="0"/>
              <w:widowControl/>
              <w:kinsoku/>
              <w:overflowPunct/>
              <w:bidi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w:t>
            </w:r>
          </w:p>
        </w:tc>
      </w:tr>
    </w:tbl>
    <w:p w14:paraId="417773B0">
      <w:pPr>
        <w:pageBreakBefore w:val="0"/>
        <w:kinsoku/>
        <w:overflowPunct/>
        <w:bidi w:val="0"/>
        <w:spacing w:line="360" w:lineRule="auto"/>
        <w:rPr>
          <w:rFonts w:hint="eastAsia" w:ascii="宋体" w:hAnsi="宋体" w:eastAsia="宋体" w:cs="宋体"/>
          <w:b/>
          <w:bCs/>
          <w:color w:val="auto"/>
          <w:szCs w:val="21"/>
          <w:lang w:val="en-US" w:eastAsia="zh-CN"/>
        </w:rPr>
      </w:pPr>
      <w:r>
        <w:rPr>
          <w:rFonts w:hint="eastAsia" w:ascii="宋体" w:hAnsi="宋体" w:eastAsia="宋体" w:cs="宋体"/>
          <w:color w:val="auto"/>
          <w:sz w:val="32"/>
          <w:szCs w:val="32"/>
        </w:rPr>
        <w:br w:type="page"/>
      </w:r>
      <w:r>
        <w:rPr>
          <w:rFonts w:hint="eastAsia" w:ascii="宋体" w:hAnsi="宋体" w:eastAsia="宋体" w:cs="宋体"/>
          <w:b/>
          <w:bCs/>
          <w:color w:val="auto"/>
          <w:szCs w:val="21"/>
          <w:lang w:val="en-US" w:eastAsia="zh-CN"/>
        </w:rPr>
        <w:t>2.服务</w:t>
      </w:r>
      <w:r>
        <w:rPr>
          <w:rFonts w:hint="eastAsia" w:ascii="宋体" w:hAnsi="宋体" w:eastAsia="宋体" w:cs="宋体"/>
          <w:b/>
          <w:bCs/>
          <w:color w:val="auto"/>
          <w:szCs w:val="21"/>
        </w:rPr>
        <w:t>详细评审标准表</w:t>
      </w:r>
      <w:r>
        <w:rPr>
          <w:rFonts w:hint="eastAsia" w:ascii="宋体" w:hAnsi="宋体" w:eastAsia="宋体" w:cs="宋体"/>
          <w:b/>
          <w:bCs/>
          <w:color w:val="auto"/>
          <w:szCs w:val="21"/>
          <w:lang w:eastAsia="zh-CN"/>
        </w:rPr>
        <w:t>（</w:t>
      </w:r>
      <w:r>
        <w:rPr>
          <w:rFonts w:hint="eastAsia" w:ascii="宋体" w:hAnsi="宋体" w:eastAsia="宋体" w:cs="宋体"/>
          <w:b/>
          <w:bCs/>
          <w:color w:val="auto"/>
          <w:szCs w:val="21"/>
          <w:lang w:val="en-US" w:eastAsia="zh-CN"/>
        </w:rPr>
        <w:t>10分）</w:t>
      </w:r>
    </w:p>
    <w:tbl>
      <w:tblPr>
        <w:tblStyle w:val="41"/>
        <w:tblW w:w="5038" w:type="pct"/>
        <w:tblInd w:w="0" w:type="dxa"/>
        <w:tblLayout w:type="autofit"/>
        <w:tblCellMar>
          <w:top w:w="0" w:type="dxa"/>
          <w:left w:w="108" w:type="dxa"/>
          <w:bottom w:w="0" w:type="dxa"/>
          <w:right w:w="108" w:type="dxa"/>
        </w:tblCellMar>
      </w:tblPr>
      <w:tblGrid>
        <w:gridCol w:w="753"/>
        <w:gridCol w:w="1376"/>
        <w:gridCol w:w="5612"/>
        <w:gridCol w:w="846"/>
      </w:tblGrid>
      <w:tr w14:paraId="6C923BDE">
        <w:tblPrEx>
          <w:tblCellMar>
            <w:top w:w="0" w:type="dxa"/>
            <w:left w:w="108" w:type="dxa"/>
            <w:bottom w:w="0" w:type="dxa"/>
            <w:right w:w="108" w:type="dxa"/>
          </w:tblCellMar>
        </w:tblPrEx>
        <w:trPr>
          <w:trHeight w:val="540" w:hRule="atLeast"/>
        </w:trPr>
        <w:tc>
          <w:tcPr>
            <w:tcW w:w="439" w:type="pct"/>
            <w:tcBorders>
              <w:top w:val="single" w:color="auto" w:sz="4" w:space="0"/>
              <w:left w:val="single" w:color="auto" w:sz="4" w:space="0"/>
              <w:bottom w:val="single" w:color="auto" w:sz="4" w:space="0"/>
              <w:right w:val="single" w:color="auto" w:sz="4" w:space="0"/>
            </w:tcBorders>
            <w:shd w:val="clear" w:color="000000" w:fill="FFFFFF"/>
            <w:vAlign w:val="center"/>
          </w:tcPr>
          <w:p w14:paraId="24BDB98B">
            <w:pPr>
              <w:pageBreakBefore w:val="0"/>
              <w:widowControl/>
              <w:kinsoku/>
              <w:overflowPunct/>
              <w:bidi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序号</w:t>
            </w:r>
          </w:p>
        </w:tc>
        <w:tc>
          <w:tcPr>
            <w:tcW w:w="801" w:type="pct"/>
            <w:tcBorders>
              <w:top w:val="single" w:color="auto" w:sz="4" w:space="0"/>
              <w:left w:val="single" w:color="auto" w:sz="4" w:space="0"/>
              <w:bottom w:val="single" w:color="auto" w:sz="4" w:space="0"/>
              <w:right w:val="single" w:color="auto" w:sz="4" w:space="0"/>
            </w:tcBorders>
            <w:shd w:val="clear" w:color="000000" w:fill="FFFFFF"/>
            <w:vAlign w:val="center"/>
          </w:tcPr>
          <w:p w14:paraId="707AD3F1">
            <w:pPr>
              <w:pageBreakBefore w:val="0"/>
              <w:widowControl/>
              <w:kinsoku/>
              <w:overflowPunct/>
              <w:bidi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评审因素</w:t>
            </w:r>
          </w:p>
        </w:tc>
        <w:tc>
          <w:tcPr>
            <w:tcW w:w="3266" w:type="pct"/>
            <w:tcBorders>
              <w:top w:val="single" w:color="auto" w:sz="4" w:space="0"/>
              <w:left w:val="nil"/>
              <w:bottom w:val="single" w:color="auto" w:sz="4" w:space="0"/>
              <w:right w:val="single" w:color="auto" w:sz="4" w:space="0"/>
            </w:tcBorders>
            <w:shd w:val="clear" w:color="000000" w:fill="FFFFFF"/>
            <w:vAlign w:val="center"/>
          </w:tcPr>
          <w:p w14:paraId="44626003">
            <w:pPr>
              <w:pageBreakBefore w:val="0"/>
              <w:widowControl/>
              <w:kinsoku/>
              <w:overflowPunct/>
              <w:bidi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详细评分规则</w:t>
            </w:r>
          </w:p>
        </w:tc>
        <w:tc>
          <w:tcPr>
            <w:tcW w:w="492" w:type="pct"/>
            <w:tcBorders>
              <w:top w:val="single" w:color="auto" w:sz="4" w:space="0"/>
              <w:left w:val="nil"/>
              <w:bottom w:val="single" w:color="auto" w:sz="4" w:space="0"/>
              <w:right w:val="single" w:color="auto" w:sz="4" w:space="0"/>
            </w:tcBorders>
            <w:shd w:val="clear" w:color="auto" w:fill="auto"/>
            <w:vAlign w:val="center"/>
          </w:tcPr>
          <w:p w14:paraId="239CDFF9">
            <w:pPr>
              <w:pageBreakBefore w:val="0"/>
              <w:widowControl/>
              <w:kinsoku/>
              <w:overflowPunct/>
              <w:bidi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权重比值</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分）</w:t>
            </w:r>
          </w:p>
        </w:tc>
      </w:tr>
      <w:tr w14:paraId="0DD08DE9">
        <w:tblPrEx>
          <w:tblCellMar>
            <w:top w:w="0" w:type="dxa"/>
            <w:left w:w="108" w:type="dxa"/>
            <w:bottom w:w="0" w:type="dxa"/>
            <w:right w:w="108" w:type="dxa"/>
          </w:tblCellMar>
        </w:tblPrEx>
        <w:trPr>
          <w:trHeight w:val="1584" w:hRule="atLeast"/>
        </w:trPr>
        <w:tc>
          <w:tcPr>
            <w:tcW w:w="439" w:type="pct"/>
            <w:tcBorders>
              <w:top w:val="nil"/>
              <w:left w:val="single" w:color="auto" w:sz="4" w:space="0"/>
              <w:bottom w:val="single" w:color="auto" w:sz="4" w:space="0"/>
              <w:right w:val="single" w:color="auto" w:sz="4" w:space="0"/>
            </w:tcBorders>
            <w:shd w:val="clear" w:color="000000" w:fill="FFFFFF"/>
            <w:vAlign w:val="center"/>
          </w:tcPr>
          <w:p w14:paraId="22F7D39C">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801" w:type="pct"/>
            <w:tcBorders>
              <w:top w:val="nil"/>
              <w:left w:val="single" w:color="auto" w:sz="4" w:space="0"/>
              <w:bottom w:val="single" w:color="auto" w:sz="4" w:space="0"/>
              <w:right w:val="single" w:color="auto" w:sz="4" w:space="0"/>
            </w:tcBorders>
            <w:shd w:val="clear" w:color="000000" w:fill="FFFFFF"/>
            <w:vAlign w:val="center"/>
          </w:tcPr>
          <w:p w14:paraId="026405D5">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服务团队覆盖、服务人员数量、原厂服务能力</w:t>
            </w:r>
          </w:p>
        </w:tc>
        <w:tc>
          <w:tcPr>
            <w:tcW w:w="5610" w:type="dxa"/>
            <w:tcBorders>
              <w:top w:val="nil"/>
              <w:left w:val="nil"/>
              <w:bottom w:val="single" w:color="auto" w:sz="4" w:space="0"/>
              <w:right w:val="single" w:color="auto" w:sz="4" w:space="0"/>
            </w:tcBorders>
            <w:shd w:val="clear" w:color="000000" w:fill="FFFFFF"/>
            <w:vAlign w:val="center"/>
          </w:tcPr>
          <w:p w14:paraId="56E50D5F">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针对本项目，供应商拟负责商务对接工作人员（不含项目经理及团队成员、资格条件中要求人员），要求如下：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1、提供商务对接工作人员本科及以上学历1人得1分，在此基础上每增加1名以上要求人员加1分，满分2分。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注：供应商需提供人员名单、身份证正反面扫描件、投标人为其缴纳的2025年1月至投标文件递交截至时间前任意连续3个月及以上社保证明材料扫描件，证明材料缺项不得分。</w:t>
            </w:r>
          </w:p>
        </w:tc>
        <w:tc>
          <w:tcPr>
            <w:tcW w:w="846" w:type="dxa"/>
            <w:tcBorders>
              <w:top w:val="nil"/>
              <w:left w:val="nil"/>
              <w:bottom w:val="single" w:color="auto" w:sz="4" w:space="0"/>
              <w:right w:val="single" w:color="auto" w:sz="4" w:space="0"/>
            </w:tcBorders>
            <w:shd w:val="clear" w:color="auto" w:fill="auto"/>
            <w:vAlign w:val="center"/>
          </w:tcPr>
          <w:p w14:paraId="355C5E2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14:paraId="1A2E380F">
        <w:tblPrEx>
          <w:tblCellMar>
            <w:top w:w="0" w:type="dxa"/>
            <w:left w:w="108" w:type="dxa"/>
            <w:bottom w:w="0" w:type="dxa"/>
            <w:right w:w="108" w:type="dxa"/>
          </w:tblCellMar>
        </w:tblPrEx>
        <w:trPr>
          <w:trHeight w:val="1260" w:hRule="atLeast"/>
        </w:trPr>
        <w:tc>
          <w:tcPr>
            <w:tcW w:w="439" w:type="pct"/>
            <w:tcBorders>
              <w:top w:val="nil"/>
              <w:left w:val="single" w:color="auto" w:sz="4" w:space="0"/>
              <w:bottom w:val="single" w:color="auto" w:sz="4" w:space="0"/>
              <w:right w:val="single" w:color="auto" w:sz="4" w:space="0"/>
            </w:tcBorders>
            <w:shd w:val="clear" w:color="000000" w:fill="FFFFFF"/>
            <w:vAlign w:val="center"/>
          </w:tcPr>
          <w:p w14:paraId="4CA15979">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801" w:type="pct"/>
            <w:tcBorders>
              <w:top w:val="nil"/>
              <w:left w:val="single" w:color="auto" w:sz="4" w:space="0"/>
              <w:bottom w:val="single" w:color="auto" w:sz="4" w:space="0"/>
              <w:right w:val="single" w:color="auto" w:sz="4" w:space="0"/>
            </w:tcBorders>
            <w:shd w:val="clear" w:color="000000" w:fill="FFFFFF"/>
            <w:vAlign w:val="center"/>
          </w:tcPr>
          <w:p w14:paraId="28DBB47C">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服务与支持</w:t>
            </w:r>
          </w:p>
        </w:tc>
        <w:tc>
          <w:tcPr>
            <w:tcW w:w="5610" w:type="dxa"/>
            <w:tcBorders>
              <w:top w:val="nil"/>
              <w:left w:val="nil"/>
              <w:bottom w:val="single" w:color="auto" w:sz="4" w:space="0"/>
              <w:right w:val="single" w:color="auto" w:sz="4" w:space="0"/>
            </w:tcBorders>
            <w:shd w:val="clear" w:color="000000" w:fill="FFFFFF"/>
            <w:vAlign w:val="center"/>
          </w:tcPr>
          <w:p w14:paraId="003F97C1">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投标人制定针对本项目的安全培训方案，培训方案中有培训场地介绍、培训讲师介绍和培训内容等，根据内容进行评审，分为A（优良，方案详细、合理、针对性强）、B（一般，方案较详细、较合理、针对性一般）、C（较差，方案简单、合理性较差、无针对性）三等级评分，A＝(2，3]、B＝(1，2]、C＝[0，1]。</w:t>
            </w:r>
          </w:p>
        </w:tc>
        <w:tc>
          <w:tcPr>
            <w:tcW w:w="846" w:type="dxa"/>
            <w:tcBorders>
              <w:top w:val="nil"/>
              <w:left w:val="nil"/>
              <w:bottom w:val="single" w:color="auto" w:sz="4" w:space="0"/>
              <w:right w:val="single" w:color="auto" w:sz="4" w:space="0"/>
            </w:tcBorders>
            <w:shd w:val="clear" w:color="auto" w:fill="auto"/>
            <w:vAlign w:val="center"/>
          </w:tcPr>
          <w:p w14:paraId="2869DD7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14:paraId="52BBE74B">
        <w:tblPrEx>
          <w:tblCellMar>
            <w:top w:w="0" w:type="dxa"/>
            <w:left w:w="108" w:type="dxa"/>
            <w:bottom w:w="0" w:type="dxa"/>
            <w:right w:w="108" w:type="dxa"/>
          </w:tblCellMar>
        </w:tblPrEx>
        <w:trPr>
          <w:trHeight w:val="740" w:hRule="atLeast"/>
        </w:trPr>
        <w:tc>
          <w:tcPr>
            <w:tcW w:w="439" w:type="pct"/>
            <w:tcBorders>
              <w:top w:val="nil"/>
              <w:left w:val="single" w:color="auto" w:sz="4" w:space="0"/>
              <w:bottom w:val="single" w:color="auto" w:sz="4" w:space="0"/>
              <w:right w:val="single" w:color="auto" w:sz="4" w:space="0"/>
            </w:tcBorders>
            <w:shd w:val="clear" w:color="000000" w:fill="FFFFFF"/>
            <w:vAlign w:val="center"/>
          </w:tcPr>
          <w:p w14:paraId="6F85E479">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801" w:type="pct"/>
            <w:tcBorders>
              <w:top w:val="nil"/>
              <w:left w:val="single" w:color="auto" w:sz="4" w:space="0"/>
              <w:bottom w:val="single" w:color="auto" w:sz="4" w:space="0"/>
              <w:right w:val="single" w:color="auto" w:sz="4" w:space="0"/>
            </w:tcBorders>
            <w:shd w:val="clear" w:color="000000" w:fill="FFFFFF"/>
            <w:vAlign w:val="center"/>
          </w:tcPr>
          <w:p w14:paraId="239E596E">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交付满足度</w:t>
            </w:r>
          </w:p>
        </w:tc>
        <w:tc>
          <w:tcPr>
            <w:tcW w:w="5610" w:type="dxa"/>
            <w:tcBorders>
              <w:top w:val="nil"/>
              <w:left w:val="nil"/>
              <w:bottom w:val="single" w:color="auto" w:sz="4" w:space="0"/>
              <w:right w:val="single" w:color="auto" w:sz="4" w:space="0"/>
            </w:tcBorders>
            <w:shd w:val="clear" w:color="000000" w:fill="FFFFFF"/>
            <w:vAlign w:val="center"/>
          </w:tcPr>
          <w:p w14:paraId="366AE193">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投标人承诺提供7*24小时支撑服务，且维修、技术响应时限在0.5小时内进行响应，3小时内赶到现场，并在4小时内组织实施得1分。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注：承诺格式自拟，不承诺或不满足不得分，如发现有弄虚作假情况或承诺后未按期限执行的则取消合作资格。</w:t>
            </w:r>
          </w:p>
        </w:tc>
        <w:tc>
          <w:tcPr>
            <w:tcW w:w="846" w:type="dxa"/>
            <w:tcBorders>
              <w:top w:val="nil"/>
              <w:left w:val="nil"/>
              <w:bottom w:val="single" w:color="auto" w:sz="4" w:space="0"/>
              <w:right w:val="single" w:color="auto" w:sz="4" w:space="0"/>
            </w:tcBorders>
            <w:shd w:val="clear" w:color="auto" w:fill="auto"/>
            <w:vAlign w:val="center"/>
          </w:tcPr>
          <w:p w14:paraId="7245BB1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2A4DDBEA">
        <w:tblPrEx>
          <w:tblCellMar>
            <w:top w:w="0" w:type="dxa"/>
            <w:left w:w="108" w:type="dxa"/>
            <w:bottom w:w="0" w:type="dxa"/>
            <w:right w:w="108" w:type="dxa"/>
          </w:tblCellMar>
        </w:tblPrEx>
        <w:trPr>
          <w:trHeight w:val="740" w:hRule="atLeast"/>
        </w:trPr>
        <w:tc>
          <w:tcPr>
            <w:tcW w:w="439" w:type="pct"/>
            <w:tcBorders>
              <w:top w:val="nil"/>
              <w:left w:val="single" w:color="auto" w:sz="4" w:space="0"/>
              <w:bottom w:val="single" w:color="auto" w:sz="4" w:space="0"/>
              <w:right w:val="single" w:color="auto" w:sz="4" w:space="0"/>
            </w:tcBorders>
            <w:shd w:val="clear" w:color="000000" w:fill="FFFFFF"/>
            <w:vAlign w:val="center"/>
          </w:tcPr>
          <w:p w14:paraId="249A1816">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1376" w:type="dxa"/>
            <w:tcBorders>
              <w:top w:val="nil"/>
              <w:left w:val="single" w:color="auto" w:sz="4" w:space="0"/>
              <w:bottom w:val="single" w:color="auto" w:sz="4" w:space="0"/>
              <w:right w:val="single" w:color="auto" w:sz="4" w:space="0"/>
            </w:tcBorders>
            <w:shd w:val="clear" w:color="000000" w:fill="FFFFFF"/>
            <w:vAlign w:val="center"/>
          </w:tcPr>
          <w:p w14:paraId="3675FB0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供应商年度绩效考核评估</w:t>
            </w:r>
          </w:p>
        </w:tc>
        <w:tc>
          <w:tcPr>
            <w:tcW w:w="5610" w:type="dxa"/>
            <w:tcBorders>
              <w:top w:val="nil"/>
              <w:left w:val="nil"/>
              <w:bottom w:val="single" w:color="auto" w:sz="4" w:space="0"/>
              <w:right w:val="single" w:color="auto" w:sz="4" w:space="0"/>
            </w:tcBorders>
            <w:shd w:val="clear" w:color="000000" w:fill="FFFFFF"/>
            <w:vAlign w:val="center"/>
          </w:tcPr>
          <w:p w14:paraId="3736FA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根据投标人提供的上一年度后评估结果进行评分：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1、已为招标人服务的投标人，根据招标人上期组织的后评估结果打分，本项目得分为=2*后评估得分/100；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2、未为招标人服务的投标人，取已为招标人服务的投标人后评估得分的平均分,如已为招标人服务的投标人后评估得分的平均分低于2*0.6时，则未为招标人服务的投标人后评估得分为2*0.7；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3、本项评分由招标人提供采用百分制的后评估文件评审，投标人无需提供证明材料。（未开展年度后评估的本项评分不设）</w:t>
            </w:r>
          </w:p>
        </w:tc>
        <w:tc>
          <w:tcPr>
            <w:tcW w:w="846" w:type="dxa"/>
            <w:tcBorders>
              <w:top w:val="nil"/>
              <w:left w:val="nil"/>
              <w:bottom w:val="single" w:color="auto" w:sz="4" w:space="0"/>
              <w:right w:val="single" w:color="auto" w:sz="4" w:space="0"/>
            </w:tcBorders>
            <w:shd w:val="clear" w:color="auto" w:fill="auto"/>
            <w:vAlign w:val="center"/>
          </w:tcPr>
          <w:p w14:paraId="4517BD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14:paraId="264E319B">
        <w:tblPrEx>
          <w:tblCellMar>
            <w:top w:w="0" w:type="dxa"/>
            <w:left w:w="108" w:type="dxa"/>
            <w:bottom w:w="0" w:type="dxa"/>
            <w:right w:w="108" w:type="dxa"/>
          </w:tblCellMar>
        </w:tblPrEx>
        <w:trPr>
          <w:trHeight w:val="740" w:hRule="atLeast"/>
        </w:trPr>
        <w:tc>
          <w:tcPr>
            <w:tcW w:w="439" w:type="pct"/>
            <w:tcBorders>
              <w:top w:val="nil"/>
              <w:left w:val="single" w:color="auto" w:sz="4" w:space="0"/>
              <w:bottom w:val="single" w:color="auto" w:sz="4" w:space="0"/>
              <w:right w:val="single" w:color="auto" w:sz="4" w:space="0"/>
            </w:tcBorders>
            <w:shd w:val="clear" w:color="000000" w:fill="FFFFFF"/>
            <w:vAlign w:val="center"/>
          </w:tcPr>
          <w:p w14:paraId="69FCE915">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1376" w:type="dxa"/>
            <w:tcBorders>
              <w:top w:val="nil"/>
              <w:left w:val="single" w:color="auto" w:sz="4" w:space="0"/>
              <w:bottom w:val="single" w:color="auto" w:sz="4" w:space="0"/>
              <w:right w:val="single" w:color="auto" w:sz="4" w:space="0"/>
            </w:tcBorders>
            <w:shd w:val="clear" w:color="000000" w:fill="FFFFFF"/>
            <w:vAlign w:val="center"/>
          </w:tcPr>
          <w:p w14:paraId="53B5913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供应链数字化供需协同</w:t>
            </w:r>
          </w:p>
        </w:tc>
        <w:tc>
          <w:tcPr>
            <w:tcW w:w="5610" w:type="dxa"/>
            <w:tcBorders>
              <w:top w:val="nil"/>
              <w:left w:val="nil"/>
              <w:bottom w:val="single" w:color="auto" w:sz="4" w:space="0"/>
              <w:right w:val="single" w:color="auto" w:sz="4" w:space="0"/>
            </w:tcBorders>
            <w:shd w:val="clear" w:color="000000" w:fill="FFFFFF"/>
            <w:vAlign w:val="center"/>
          </w:tcPr>
          <w:p w14:paraId="17F9F00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为推进供应链数字化转型，对投标人提交的供应链数字化配合说明进行评分，说明主要包括电子印章应用等情况，说明模板见投标文件格式。首次承诺、已承诺未签订合同、已开通电子印章功能并在合同或订单签署中运用的得2分；说明内容不全、已承诺并已签订采购合同但未应用电子印章功能的不得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注：合同及订单电子印章功能三年使用费1100元</w:t>
            </w:r>
          </w:p>
        </w:tc>
        <w:tc>
          <w:tcPr>
            <w:tcW w:w="846" w:type="dxa"/>
            <w:tcBorders>
              <w:top w:val="nil"/>
              <w:left w:val="nil"/>
              <w:bottom w:val="single" w:color="auto" w:sz="4" w:space="0"/>
              <w:right w:val="single" w:color="auto" w:sz="4" w:space="0"/>
            </w:tcBorders>
            <w:shd w:val="clear" w:color="auto" w:fill="auto"/>
            <w:vAlign w:val="center"/>
          </w:tcPr>
          <w:p w14:paraId="5EA96C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14:paraId="1CCF32E5">
        <w:tblPrEx>
          <w:tblCellMar>
            <w:top w:w="0" w:type="dxa"/>
            <w:left w:w="108" w:type="dxa"/>
            <w:bottom w:w="0" w:type="dxa"/>
            <w:right w:w="108" w:type="dxa"/>
          </w:tblCellMar>
        </w:tblPrEx>
        <w:trPr>
          <w:trHeight w:val="429" w:hRule="atLeast"/>
        </w:trPr>
        <w:tc>
          <w:tcPr>
            <w:tcW w:w="4507"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4098A21">
            <w:pPr>
              <w:pageBreakBefore w:val="0"/>
              <w:widowControl/>
              <w:kinsoku/>
              <w:overflowPunct/>
              <w:bidi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合计</w:t>
            </w:r>
          </w:p>
        </w:tc>
        <w:tc>
          <w:tcPr>
            <w:tcW w:w="492" w:type="pct"/>
            <w:tcBorders>
              <w:top w:val="single" w:color="auto" w:sz="4" w:space="0"/>
              <w:left w:val="nil"/>
              <w:bottom w:val="single" w:color="auto" w:sz="4" w:space="0"/>
              <w:right w:val="single" w:color="auto" w:sz="4" w:space="0"/>
            </w:tcBorders>
            <w:shd w:val="clear" w:color="auto" w:fill="auto"/>
            <w:vAlign w:val="center"/>
          </w:tcPr>
          <w:p w14:paraId="6050FDA5">
            <w:pPr>
              <w:pageBreakBefore w:val="0"/>
              <w:widowControl/>
              <w:kinsoku/>
              <w:overflowPunct/>
              <w:bidi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w:t>
            </w:r>
          </w:p>
        </w:tc>
      </w:tr>
    </w:tbl>
    <w:p w14:paraId="38E89EAB">
      <w:pPr>
        <w:pageBreakBefore w:val="0"/>
        <w:widowControl/>
        <w:kinsoku/>
        <w:overflowPunct/>
        <w:bidi w:val="0"/>
        <w:spacing w:line="360" w:lineRule="auto"/>
        <w:jc w:val="left"/>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14:paraId="0632A645">
      <w:pPr>
        <w:pageBreakBefore w:val="0"/>
        <w:kinsoku/>
        <w:overflowPunct/>
        <w:bidi w:val="0"/>
        <w:spacing w:line="360" w:lineRule="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2.技术详细评审标准表（46分）</w:t>
      </w:r>
    </w:p>
    <w:tbl>
      <w:tblPr>
        <w:tblStyle w:val="41"/>
        <w:tblW w:w="5038" w:type="pct"/>
        <w:tblInd w:w="0" w:type="dxa"/>
        <w:tblLayout w:type="fixed"/>
        <w:tblCellMar>
          <w:top w:w="0" w:type="dxa"/>
          <w:left w:w="108" w:type="dxa"/>
          <w:bottom w:w="0" w:type="dxa"/>
          <w:right w:w="108" w:type="dxa"/>
        </w:tblCellMar>
      </w:tblPr>
      <w:tblGrid>
        <w:gridCol w:w="724"/>
        <w:gridCol w:w="1457"/>
        <w:gridCol w:w="5680"/>
        <w:gridCol w:w="726"/>
      </w:tblGrid>
      <w:tr w14:paraId="311367F0">
        <w:trPr>
          <w:trHeight w:val="465" w:hRule="atLeast"/>
        </w:trPr>
        <w:tc>
          <w:tcPr>
            <w:tcW w:w="421" w:type="pct"/>
            <w:tcBorders>
              <w:top w:val="single" w:color="auto" w:sz="4" w:space="0"/>
              <w:left w:val="single" w:color="auto" w:sz="4" w:space="0"/>
              <w:bottom w:val="single" w:color="auto" w:sz="4" w:space="0"/>
              <w:right w:val="single" w:color="auto" w:sz="4" w:space="0"/>
            </w:tcBorders>
            <w:shd w:val="clear" w:color="000000" w:fill="FFFFFF"/>
            <w:vAlign w:val="center"/>
          </w:tcPr>
          <w:p w14:paraId="1FC6CEB4">
            <w:pPr>
              <w:pageBreakBefore w:val="0"/>
              <w:widowControl/>
              <w:kinsoku/>
              <w:overflowPunct/>
              <w:bidi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序号</w:t>
            </w:r>
          </w:p>
        </w:tc>
        <w:tc>
          <w:tcPr>
            <w:tcW w:w="848" w:type="pct"/>
            <w:tcBorders>
              <w:top w:val="single" w:color="auto" w:sz="4" w:space="0"/>
              <w:left w:val="single" w:color="auto" w:sz="4" w:space="0"/>
              <w:bottom w:val="single" w:color="auto" w:sz="4" w:space="0"/>
              <w:right w:val="single" w:color="auto" w:sz="4" w:space="0"/>
            </w:tcBorders>
            <w:shd w:val="clear" w:color="000000" w:fill="FFFFFF"/>
            <w:vAlign w:val="center"/>
          </w:tcPr>
          <w:p w14:paraId="235D5FE5">
            <w:pPr>
              <w:pageBreakBefore w:val="0"/>
              <w:widowControl/>
              <w:kinsoku/>
              <w:overflowPunct/>
              <w:bidi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评审因素</w:t>
            </w:r>
          </w:p>
        </w:tc>
        <w:tc>
          <w:tcPr>
            <w:tcW w:w="3307" w:type="pct"/>
            <w:tcBorders>
              <w:top w:val="single" w:color="auto" w:sz="4" w:space="0"/>
              <w:left w:val="nil"/>
              <w:bottom w:val="single" w:color="auto" w:sz="4" w:space="0"/>
              <w:right w:val="single" w:color="auto" w:sz="4" w:space="0"/>
            </w:tcBorders>
            <w:shd w:val="clear" w:color="000000" w:fill="FFFFFF"/>
            <w:vAlign w:val="center"/>
          </w:tcPr>
          <w:p w14:paraId="042D1991">
            <w:pPr>
              <w:pageBreakBefore w:val="0"/>
              <w:widowControl/>
              <w:kinsoku/>
              <w:overflowPunct/>
              <w:bidi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详细评分规则</w:t>
            </w:r>
          </w:p>
        </w:tc>
        <w:tc>
          <w:tcPr>
            <w:tcW w:w="422" w:type="pct"/>
            <w:tcBorders>
              <w:top w:val="single" w:color="auto" w:sz="4" w:space="0"/>
              <w:left w:val="nil"/>
              <w:bottom w:val="single" w:color="auto" w:sz="4" w:space="0"/>
              <w:right w:val="single" w:color="auto" w:sz="4" w:space="0"/>
            </w:tcBorders>
            <w:shd w:val="clear" w:color="auto" w:fill="auto"/>
            <w:vAlign w:val="center"/>
          </w:tcPr>
          <w:p w14:paraId="7A00554E">
            <w:pPr>
              <w:pageBreakBefore w:val="0"/>
              <w:widowControl/>
              <w:kinsoku/>
              <w:overflowPunct/>
              <w:bidi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权重比值</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分）</w:t>
            </w:r>
          </w:p>
        </w:tc>
      </w:tr>
      <w:tr w14:paraId="4C13D064">
        <w:tblPrEx>
          <w:tblCellMar>
            <w:top w:w="0" w:type="dxa"/>
            <w:left w:w="108" w:type="dxa"/>
            <w:bottom w:w="0" w:type="dxa"/>
            <w:right w:w="108" w:type="dxa"/>
          </w:tblCellMar>
        </w:tblPrEx>
        <w:trPr>
          <w:trHeight w:val="2265" w:hRule="atLeast"/>
        </w:trPr>
        <w:tc>
          <w:tcPr>
            <w:tcW w:w="421" w:type="pct"/>
            <w:tcBorders>
              <w:top w:val="nil"/>
              <w:left w:val="single" w:color="auto" w:sz="4" w:space="0"/>
              <w:bottom w:val="single" w:color="auto" w:sz="4" w:space="0"/>
              <w:right w:val="single" w:color="auto" w:sz="4" w:space="0"/>
            </w:tcBorders>
            <w:shd w:val="clear" w:color="000000" w:fill="FFFFFF"/>
            <w:vAlign w:val="center"/>
          </w:tcPr>
          <w:p w14:paraId="469E4613">
            <w:pPr>
              <w:pageBreakBefore w:val="0"/>
              <w:widowControl/>
              <w:kinsoku/>
              <w:overflowPunct/>
              <w:bidi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848" w:type="pct"/>
            <w:tcBorders>
              <w:top w:val="nil"/>
              <w:left w:val="single" w:color="auto" w:sz="4" w:space="0"/>
              <w:bottom w:val="single" w:color="auto" w:sz="4" w:space="0"/>
              <w:right w:val="single" w:color="auto" w:sz="4" w:space="0"/>
            </w:tcBorders>
            <w:shd w:val="clear" w:color="000000" w:fill="FFFFFF"/>
            <w:vAlign w:val="center"/>
          </w:tcPr>
          <w:p w14:paraId="5B9A8AFB">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技术方案</w:t>
            </w:r>
          </w:p>
        </w:tc>
        <w:tc>
          <w:tcPr>
            <w:tcW w:w="5680" w:type="dxa"/>
            <w:tcBorders>
              <w:top w:val="nil"/>
              <w:left w:val="nil"/>
              <w:bottom w:val="nil"/>
              <w:right w:val="nil"/>
            </w:tcBorders>
            <w:shd w:val="clear" w:color="auto" w:fill="auto"/>
            <w:vAlign w:val="center"/>
          </w:tcPr>
          <w:p w14:paraId="27C35F94">
            <w:pPr>
              <w:keepNext w:val="0"/>
              <w:keepLines w:val="0"/>
              <w:widowControl/>
              <w:suppressLineNumbers w:val="0"/>
              <w:jc w:val="left"/>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000000"/>
                <w:kern w:val="0"/>
                <w:sz w:val="21"/>
                <w:szCs w:val="21"/>
                <w:u w:val="none"/>
                <w:lang w:val="en-US" w:eastAsia="zh-CN" w:bidi="ar"/>
              </w:rPr>
              <w:t>针对本项目的需求，投标人根据项目的实际情况，编制针对性的技术方案，包含：（1）事故抢修方案、（2）日常维护方案、（3）巡检计划及巡检内容、（4）应急预案、（5）质量管控措施等5项内容。根据每项内容进行评审，每项分值为2.4分，5项合计满分12分，每项分为A（优良，方案详细、合理、针对性强）、B（一般，方案较详细、较合理、针对性一般）、C（较差，方案简单、合理性较差、无针对性）三等级评分，A＝(1.6，2.4]、B＝(0.8，1.6]、C＝[0，0.8]。</w:t>
            </w:r>
          </w:p>
        </w:tc>
        <w:tc>
          <w:tcPr>
            <w:tcW w:w="726" w:type="dxa"/>
            <w:tcBorders>
              <w:top w:val="nil"/>
              <w:left w:val="single" w:color="auto" w:sz="4" w:space="0"/>
              <w:bottom w:val="single" w:color="auto" w:sz="4" w:space="0"/>
              <w:right w:val="single" w:color="auto" w:sz="4" w:space="0"/>
            </w:tcBorders>
            <w:shd w:val="clear" w:color="auto" w:fill="auto"/>
            <w:vAlign w:val="center"/>
          </w:tcPr>
          <w:p w14:paraId="611CE880">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000000"/>
                <w:kern w:val="0"/>
                <w:sz w:val="21"/>
                <w:szCs w:val="21"/>
                <w:u w:val="none"/>
                <w:lang w:val="en-US" w:eastAsia="zh-CN" w:bidi="ar"/>
              </w:rPr>
              <w:t>12</w:t>
            </w:r>
          </w:p>
        </w:tc>
      </w:tr>
      <w:tr w14:paraId="536B757A">
        <w:tblPrEx>
          <w:tblCellMar>
            <w:top w:w="0" w:type="dxa"/>
            <w:left w:w="108" w:type="dxa"/>
            <w:bottom w:w="0" w:type="dxa"/>
            <w:right w:w="108" w:type="dxa"/>
          </w:tblCellMar>
        </w:tblPrEx>
        <w:trPr>
          <w:trHeight w:val="699" w:hRule="atLeast"/>
        </w:trPr>
        <w:tc>
          <w:tcPr>
            <w:tcW w:w="421" w:type="pct"/>
            <w:tcBorders>
              <w:top w:val="single" w:color="auto" w:sz="4" w:space="0"/>
              <w:left w:val="single" w:color="auto" w:sz="4" w:space="0"/>
              <w:bottom w:val="single" w:color="auto" w:sz="4" w:space="0"/>
              <w:right w:val="single" w:color="auto" w:sz="4" w:space="0"/>
              <w:tl2br w:val="nil"/>
            </w:tcBorders>
            <w:shd w:val="clear" w:color="000000" w:fill="FFFFFF"/>
            <w:vAlign w:val="center"/>
          </w:tcPr>
          <w:p w14:paraId="7911BABF">
            <w:pPr>
              <w:pageBreakBefore w:val="0"/>
              <w:widowControl/>
              <w:kinsoku/>
              <w:overflowPunct/>
              <w:bidi w:val="0"/>
              <w:spacing w:line="360" w:lineRule="auto"/>
              <w:jc w:val="center"/>
              <w:rPr>
                <w:rFonts w:hint="eastAsia" w:ascii="宋体" w:hAnsi="宋体" w:eastAsia="宋体" w:cs="宋体"/>
                <w:b w:val="0"/>
                <w:color w:val="auto"/>
                <w:kern w:val="0"/>
                <w:sz w:val="21"/>
                <w:szCs w:val="21"/>
                <w:lang w:eastAsia="zh-CN"/>
              </w:rPr>
            </w:pPr>
            <w:r>
              <w:rPr>
                <w:rFonts w:hint="eastAsia" w:ascii="宋体" w:hAnsi="宋体" w:eastAsia="宋体" w:cs="宋体"/>
                <w:b w:val="0"/>
                <w:color w:val="auto"/>
                <w:kern w:val="0"/>
                <w:sz w:val="21"/>
                <w:szCs w:val="21"/>
                <w:lang w:val="en-US" w:eastAsia="zh-CN"/>
              </w:rPr>
              <w:t>2</w:t>
            </w:r>
          </w:p>
        </w:tc>
        <w:tc>
          <w:tcPr>
            <w:tcW w:w="848" w:type="pct"/>
            <w:tcBorders>
              <w:top w:val="single" w:color="auto" w:sz="4" w:space="0"/>
              <w:left w:val="single" w:color="auto" w:sz="4" w:space="0"/>
              <w:bottom w:val="single" w:color="auto" w:sz="4" w:space="0"/>
              <w:right w:val="single" w:color="auto" w:sz="4" w:space="0"/>
            </w:tcBorders>
            <w:shd w:val="clear" w:color="000000" w:fill="FFFFFF"/>
            <w:vAlign w:val="center"/>
          </w:tcPr>
          <w:p w14:paraId="3A8ECA8A">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设备保障</w:t>
            </w:r>
          </w:p>
        </w:tc>
        <w:tc>
          <w:tcPr>
            <w:tcW w:w="5680" w:type="dxa"/>
            <w:tcBorders>
              <w:top w:val="single" w:color="auto" w:sz="4" w:space="0"/>
              <w:left w:val="single" w:color="auto" w:sz="4" w:space="0"/>
              <w:bottom w:val="single" w:color="auto" w:sz="4" w:space="0"/>
              <w:right w:val="single" w:color="auto" w:sz="4" w:space="0"/>
            </w:tcBorders>
            <w:shd w:val="clear" w:color="auto" w:fill="auto"/>
            <w:vAlign w:val="center"/>
          </w:tcPr>
          <w:p w14:paraId="3F4484BF">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投标人承诺中标后，为本项目配置5辆专用巡检工程车辆不得分，在此基础上每增加1辆专用巡检工程车辆加1.5分，且须为巡检工程车辆配置5名及以上驾驶员(配备的驾驶员至少具备1名B照及以上驾驶证的驾驶员），本小项满分3分。投标人提供的车辆配置承诺书，承诺书格式自拟，无车辆配置承诺，本项得0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注：投标人须提供车辆自有或车辆租赁的使用权证明材料及车辆照片，车辆照片能清晰识别出车牌号,驾驶员驾驶证扫描件。提供的驾驶员须提供投标人为其缴纳的2025年1月至投标文件递交截至时间前任意连续3个月社保等证明材料扫描件。若投标人未按承诺执行，发现有弄虚作假情况或承诺后未按期限执行的则取消合作资格。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投标人为本项目配置的维护工具，1套维护工具中包含：万用表，兆欧表，登杆脚扣，安全带，安全帽，工具包，绝缘鞋，绝缘手套，绝缘垫，低压验电笔，点温枪，内阻测试仪。投标人提供上述维护工具1套得1分，在此基础上增加1套加1分，缺任意一部分视为不满足即不得分，本小项满分5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注：投标人需以列表的形式提供工具配置清单，格式自拟。投标人为本项目配置的工具须附工具照片、购买发票或购买合同等相关证明材料。</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50A23ECC">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000000"/>
                <w:kern w:val="0"/>
                <w:sz w:val="21"/>
                <w:szCs w:val="21"/>
                <w:u w:val="none"/>
                <w:lang w:val="en-US" w:eastAsia="zh-CN" w:bidi="ar"/>
              </w:rPr>
              <w:t>8</w:t>
            </w:r>
          </w:p>
        </w:tc>
      </w:tr>
      <w:tr w14:paraId="586D063F">
        <w:tblPrEx>
          <w:tblCellMar>
            <w:top w:w="0" w:type="dxa"/>
            <w:left w:w="108" w:type="dxa"/>
            <w:bottom w:w="0" w:type="dxa"/>
            <w:right w:w="108" w:type="dxa"/>
          </w:tblCellMar>
        </w:tblPrEx>
        <w:trPr>
          <w:trHeight w:val="557" w:hRule="atLeast"/>
        </w:trPr>
        <w:tc>
          <w:tcPr>
            <w:tcW w:w="421" w:type="pct"/>
            <w:tcBorders>
              <w:top w:val="single" w:color="auto" w:sz="4" w:space="0"/>
              <w:left w:val="single" w:color="auto" w:sz="4" w:space="0"/>
              <w:bottom w:val="single" w:color="auto" w:sz="4" w:space="0"/>
              <w:right w:val="single" w:color="auto" w:sz="4" w:space="0"/>
            </w:tcBorders>
            <w:shd w:val="clear" w:color="000000" w:fill="FFFFFF"/>
            <w:vAlign w:val="center"/>
          </w:tcPr>
          <w:p w14:paraId="4CFA5FA0">
            <w:pPr>
              <w:pageBreakBefore w:val="0"/>
              <w:widowControl/>
              <w:kinsoku/>
              <w:overflowPunct/>
              <w:bidi w:val="0"/>
              <w:spacing w:line="360" w:lineRule="auto"/>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3</w:t>
            </w:r>
          </w:p>
        </w:tc>
        <w:tc>
          <w:tcPr>
            <w:tcW w:w="848" w:type="pct"/>
            <w:tcBorders>
              <w:top w:val="single" w:color="auto" w:sz="4" w:space="0"/>
              <w:left w:val="single" w:color="auto" w:sz="4" w:space="0"/>
              <w:bottom w:val="single" w:color="auto" w:sz="4" w:space="0"/>
              <w:right w:val="single" w:color="auto" w:sz="4" w:space="0"/>
            </w:tcBorders>
            <w:shd w:val="clear" w:color="000000" w:fill="FFFFFF"/>
            <w:vAlign w:val="center"/>
          </w:tcPr>
          <w:p w14:paraId="2CFFF5D1">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服务保障措施</w:t>
            </w:r>
          </w:p>
        </w:tc>
        <w:tc>
          <w:tcPr>
            <w:tcW w:w="5680" w:type="dxa"/>
            <w:tcBorders>
              <w:top w:val="single" w:color="auto" w:sz="4" w:space="0"/>
              <w:left w:val="single" w:color="auto" w:sz="4" w:space="0"/>
              <w:bottom w:val="single" w:color="auto" w:sz="4" w:space="0"/>
              <w:right w:val="single" w:color="auto" w:sz="4" w:space="0"/>
            </w:tcBorders>
            <w:shd w:val="clear" w:color="000000" w:fill="FFFFFF"/>
            <w:vAlign w:val="center"/>
          </w:tcPr>
          <w:p w14:paraId="7F20F5BE">
            <w:pPr>
              <w:keepNext w:val="0"/>
              <w:keepLines w:val="0"/>
              <w:widowControl/>
              <w:suppressLineNumbers w:val="0"/>
              <w:jc w:val="left"/>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000000"/>
                <w:kern w:val="0"/>
                <w:sz w:val="21"/>
                <w:szCs w:val="21"/>
                <w:u w:val="none"/>
                <w:lang w:val="en-US" w:eastAsia="zh-CN" w:bidi="ar"/>
              </w:rPr>
              <w:t>投标人提供一个已完成低压电源维修维护服务类似项目实施案例介绍，案例重点针对技术支持措施、服务质量保障措施、问题整改措施等。根据案例介绍对投标人服务能力进行评审，A（优良，服务保障能力强）、B（一般，服务保障能力一般）、C（较差，服务保障能力较差）三等级评分，A＝(3，4]、B＝(1.5，3]、C＝[0，1.5]。</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00A6EC86">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000000"/>
                <w:kern w:val="0"/>
                <w:sz w:val="21"/>
                <w:szCs w:val="21"/>
                <w:u w:val="none"/>
                <w:lang w:val="en-US" w:eastAsia="zh-CN" w:bidi="ar"/>
              </w:rPr>
              <w:t>4</w:t>
            </w:r>
          </w:p>
        </w:tc>
      </w:tr>
      <w:tr w14:paraId="794D34B4">
        <w:tblPrEx>
          <w:tblCellMar>
            <w:top w:w="0" w:type="dxa"/>
            <w:left w:w="108" w:type="dxa"/>
            <w:bottom w:w="0" w:type="dxa"/>
            <w:right w:w="108" w:type="dxa"/>
          </w:tblCellMar>
        </w:tblPrEx>
        <w:trPr>
          <w:trHeight w:val="855" w:hRule="atLeast"/>
        </w:trPr>
        <w:tc>
          <w:tcPr>
            <w:tcW w:w="421" w:type="pct"/>
            <w:tcBorders>
              <w:top w:val="single" w:color="auto" w:sz="4" w:space="0"/>
              <w:left w:val="single" w:color="auto" w:sz="4" w:space="0"/>
              <w:bottom w:val="single" w:color="auto" w:sz="4" w:space="0"/>
              <w:right w:val="single" w:color="auto" w:sz="4" w:space="0"/>
            </w:tcBorders>
            <w:shd w:val="clear" w:color="000000" w:fill="FFFFFF"/>
            <w:vAlign w:val="center"/>
          </w:tcPr>
          <w:p w14:paraId="0E2E4A7D">
            <w:pPr>
              <w:pageBreakBefore w:val="0"/>
              <w:widowControl/>
              <w:kinsoku/>
              <w:overflowPunct/>
              <w:bidi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w:t>
            </w:r>
          </w:p>
        </w:tc>
        <w:tc>
          <w:tcPr>
            <w:tcW w:w="848" w:type="pct"/>
            <w:tcBorders>
              <w:top w:val="single" w:color="auto" w:sz="4" w:space="0"/>
              <w:left w:val="single" w:color="auto" w:sz="4" w:space="0"/>
              <w:bottom w:val="single" w:color="auto" w:sz="4" w:space="0"/>
              <w:right w:val="single" w:color="auto" w:sz="4" w:space="0"/>
            </w:tcBorders>
            <w:shd w:val="clear" w:color="000000" w:fill="FFFFFF"/>
            <w:vAlign w:val="center"/>
          </w:tcPr>
          <w:p w14:paraId="5870BAFB">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进度安排</w:t>
            </w:r>
          </w:p>
        </w:tc>
        <w:tc>
          <w:tcPr>
            <w:tcW w:w="5680" w:type="dxa"/>
            <w:tcBorders>
              <w:top w:val="single" w:color="auto" w:sz="4" w:space="0"/>
              <w:left w:val="nil"/>
              <w:bottom w:val="single" w:color="auto" w:sz="4" w:space="0"/>
              <w:right w:val="nil"/>
            </w:tcBorders>
            <w:shd w:val="clear" w:color="auto" w:fill="auto"/>
            <w:vAlign w:val="center"/>
          </w:tcPr>
          <w:p w14:paraId="129EDDB6">
            <w:pPr>
              <w:keepNext w:val="0"/>
              <w:keepLines w:val="0"/>
              <w:widowControl/>
              <w:suppressLineNumbers w:val="0"/>
              <w:jc w:val="left"/>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000000"/>
                <w:kern w:val="0"/>
                <w:sz w:val="21"/>
                <w:szCs w:val="21"/>
                <w:u w:val="none"/>
                <w:lang w:val="en-US" w:eastAsia="zh-CN" w:bidi="ar"/>
              </w:rPr>
              <w:t>依据投标人结合本项目特点提出的进度管理方案进行综合评审，进度方案包括总体筹划、项目实施网络图、进度计划与保证措施等。分为A（优良，方案详细、合理、针对性强）、B（一般，方案较详细、较合理、针对性一般）、C（较差，方案简单、合理性较差、无针对性）三等级评分，A＝(1.2，2]、B＝(0.6，1.2]、C＝[0，0.6]。</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4D823B01">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000000"/>
                <w:kern w:val="0"/>
                <w:sz w:val="21"/>
                <w:szCs w:val="21"/>
                <w:u w:val="none"/>
                <w:lang w:val="en-US" w:eastAsia="zh-CN" w:bidi="ar"/>
              </w:rPr>
              <w:t>2</w:t>
            </w:r>
          </w:p>
        </w:tc>
      </w:tr>
      <w:tr w14:paraId="6234C6BD">
        <w:tblPrEx>
          <w:tblCellMar>
            <w:top w:w="0" w:type="dxa"/>
            <w:left w:w="108" w:type="dxa"/>
            <w:bottom w:w="0" w:type="dxa"/>
            <w:right w:w="108" w:type="dxa"/>
          </w:tblCellMar>
        </w:tblPrEx>
        <w:trPr>
          <w:trHeight w:val="855" w:hRule="atLeast"/>
        </w:trPr>
        <w:tc>
          <w:tcPr>
            <w:tcW w:w="421" w:type="pct"/>
            <w:tcBorders>
              <w:top w:val="single" w:color="auto" w:sz="4" w:space="0"/>
              <w:left w:val="single" w:color="auto" w:sz="4" w:space="0"/>
              <w:bottom w:val="single" w:color="auto" w:sz="4" w:space="0"/>
              <w:right w:val="single" w:color="auto" w:sz="4" w:space="0"/>
            </w:tcBorders>
            <w:shd w:val="clear" w:color="000000" w:fill="FFFFFF"/>
            <w:vAlign w:val="center"/>
          </w:tcPr>
          <w:p w14:paraId="19428BF8">
            <w:pPr>
              <w:pageBreakBefore w:val="0"/>
              <w:widowControl/>
              <w:kinsoku/>
              <w:overflowPunct/>
              <w:bidi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w:t>
            </w:r>
          </w:p>
        </w:tc>
        <w:tc>
          <w:tcPr>
            <w:tcW w:w="848" w:type="pct"/>
            <w:tcBorders>
              <w:top w:val="single" w:color="auto" w:sz="4" w:space="0"/>
              <w:left w:val="single" w:color="auto" w:sz="4" w:space="0"/>
              <w:bottom w:val="single" w:color="auto" w:sz="4" w:space="0"/>
              <w:right w:val="single" w:color="auto" w:sz="4" w:space="0"/>
            </w:tcBorders>
            <w:shd w:val="clear" w:color="000000" w:fill="FFFFFF"/>
            <w:vAlign w:val="center"/>
          </w:tcPr>
          <w:p w14:paraId="78A3603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安全生产管理能力</w:t>
            </w:r>
          </w:p>
        </w:tc>
        <w:tc>
          <w:tcPr>
            <w:tcW w:w="5680" w:type="dxa"/>
            <w:tcBorders>
              <w:top w:val="single" w:color="auto" w:sz="4" w:space="0"/>
              <w:left w:val="nil"/>
              <w:bottom w:val="single" w:color="auto" w:sz="4" w:space="0"/>
              <w:right w:val="nil"/>
            </w:tcBorders>
            <w:shd w:val="clear" w:color="auto" w:fill="auto"/>
            <w:vAlign w:val="center"/>
          </w:tcPr>
          <w:p w14:paraId="4B87DCA7">
            <w:pPr>
              <w:keepNext w:val="0"/>
              <w:keepLines w:val="0"/>
              <w:widowControl/>
              <w:suppressLineNumbers w:val="0"/>
              <w:jc w:val="left"/>
              <w:textAlignment w:val="center"/>
              <w:rPr>
                <w:rFonts w:hint="eastAsia" w:ascii="宋体" w:hAnsi="宋体" w:eastAsia="宋体" w:cs="宋体"/>
                <w:b w:val="0"/>
                <w:bCs w:val="0"/>
                <w:color w:val="auto"/>
                <w:kern w:val="0"/>
                <w:sz w:val="21"/>
                <w:szCs w:val="21"/>
              </w:rPr>
            </w:pPr>
            <w:r>
              <w:rPr>
                <w:rFonts w:hint="eastAsia" w:ascii="宋体" w:hAnsi="宋体" w:eastAsia="宋体" w:cs="宋体"/>
                <w:b/>
                <w:bCs/>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根据投标人提交的安全生产情况报告评分，安全生产情况报告需包括：1.安全生产管理水平介绍，包括但不限于安全生产组织体系、责任体系、制度体系、风险控制体系、教育培训体系、应急管理体系、监督保障体系、科技创新和信息化等方面的建设和运行情况（需提交体系建设正式文件、运行检查记录文件等证明材料）；2.近2年（投标截止时间前24个月）被应急管理部门和对有关行业、领域的安全生产工作实施监督管理的部门书面通报并公布涉及生产安全的重大隐患、行政处罚、责任事故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安全生产管理体系不完整、无运行情况或运行情况较差的得[0-1.5]分；安全生产体系较完整、运行情况一般的得（1.5-3]分；安全生产体系完整、运行情况较好、信息化及科创先进的得（3-4]分；未提供安全生产情况报告，存在上述行政处罚、重大安全隐患的为0分；近2年（投标截止时间前24个月）发生一般生产安全责任事故且不涉及人员死亡的，每例扣3分，分值不足的从技术总分中扣除。（隐瞒上述涉及生产安全的重大隐患、行政处罚、责任事故的将被否决投标）。   </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2C568D77">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000000"/>
                <w:kern w:val="0"/>
                <w:sz w:val="21"/>
                <w:szCs w:val="21"/>
                <w:u w:val="none"/>
                <w:lang w:val="en-US" w:eastAsia="zh-CN" w:bidi="ar"/>
              </w:rPr>
              <w:t>4</w:t>
            </w:r>
          </w:p>
        </w:tc>
      </w:tr>
      <w:tr w14:paraId="799063C9">
        <w:tblPrEx>
          <w:tblCellMar>
            <w:top w:w="0" w:type="dxa"/>
            <w:left w:w="108" w:type="dxa"/>
            <w:bottom w:w="0" w:type="dxa"/>
            <w:right w:w="108" w:type="dxa"/>
          </w:tblCellMar>
        </w:tblPrEx>
        <w:trPr>
          <w:trHeight w:val="855" w:hRule="atLeast"/>
        </w:trPr>
        <w:tc>
          <w:tcPr>
            <w:tcW w:w="421" w:type="pct"/>
            <w:tcBorders>
              <w:top w:val="single" w:color="auto" w:sz="4" w:space="0"/>
              <w:left w:val="single" w:color="auto" w:sz="4" w:space="0"/>
              <w:bottom w:val="single" w:color="auto" w:sz="4" w:space="0"/>
              <w:right w:val="single" w:color="auto" w:sz="4" w:space="0"/>
            </w:tcBorders>
            <w:shd w:val="clear" w:color="000000" w:fill="FFFFFF"/>
            <w:vAlign w:val="center"/>
          </w:tcPr>
          <w:p w14:paraId="03248FFE">
            <w:pPr>
              <w:pageBreakBefore w:val="0"/>
              <w:widowControl/>
              <w:kinsoku/>
              <w:overflowPunct/>
              <w:bidi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w:t>
            </w:r>
          </w:p>
        </w:tc>
        <w:tc>
          <w:tcPr>
            <w:tcW w:w="848" w:type="pct"/>
            <w:tcBorders>
              <w:top w:val="single" w:color="auto" w:sz="4" w:space="0"/>
              <w:left w:val="single" w:color="auto" w:sz="4" w:space="0"/>
              <w:bottom w:val="single" w:color="auto" w:sz="4" w:space="0"/>
              <w:right w:val="single" w:color="auto" w:sz="4" w:space="0"/>
            </w:tcBorders>
            <w:shd w:val="clear" w:color="000000" w:fill="FFFFFF"/>
            <w:vAlign w:val="center"/>
          </w:tcPr>
          <w:p w14:paraId="3DB6DA3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团队负责人</w:t>
            </w:r>
          </w:p>
        </w:tc>
        <w:tc>
          <w:tcPr>
            <w:tcW w:w="5680" w:type="dxa"/>
            <w:tcBorders>
              <w:top w:val="single" w:color="auto" w:sz="4" w:space="0"/>
              <w:left w:val="nil"/>
              <w:bottom w:val="single" w:color="auto" w:sz="4" w:space="0"/>
              <w:right w:val="nil"/>
            </w:tcBorders>
            <w:shd w:val="clear" w:color="auto" w:fill="auto"/>
            <w:vAlign w:val="center"/>
          </w:tcPr>
          <w:p w14:paraId="3ABC6F5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对供应商拟投入本项目的项目经理要求</w:t>
            </w:r>
            <w:r>
              <w:rPr>
                <w:rFonts w:hint="eastAsia" w:ascii="宋体" w:hAnsi="宋体" w:cs="宋体"/>
                <w:i w:val="0"/>
                <w:iCs w:val="0"/>
                <w:color w:val="000000"/>
                <w:kern w:val="0"/>
                <w:sz w:val="21"/>
                <w:szCs w:val="21"/>
                <w:u w:val="none"/>
                <w:lang w:val="en-US" w:eastAsia="zh-CN" w:bidi="ar"/>
              </w:rPr>
              <w:t>（1名）</w:t>
            </w:r>
            <w:r>
              <w:rPr>
                <w:rFonts w:hint="eastAsia" w:ascii="宋体" w:hAnsi="宋体" w:eastAsia="宋体" w:cs="宋体"/>
                <w:i w:val="0"/>
                <w:iCs w:val="0"/>
                <w:color w:val="000000"/>
                <w:kern w:val="0"/>
                <w:sz w:val="21"/>
                <w:szCs w:val="21"/>
                <w:u w:val="none"/>
                <w:lang w:val="en-US" w:eastAsia="zh-CN" w:bidi="ar"/>
              </w:rPr>
              <w:t>：</w:t>
            </w:r>
          </w:p>
          <w:p w14:paraId="2FC2214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资质要求（2分）：具备有效的安全生产考核合格证书（B证）、且具备项目行政主管部门颁发的机电类专业二级以及上建造师证书得2分,缺一项或不满足不得分；（提供建造师证书的，证书打印电子证书后，应在个人签名处手写本人签名，未手写签名或与签名图像笔迹不一致的，该电子证书无效。）</w:t>
            </w:r>
          </w:p>
          <w:p w14:paraId="0EBC2F2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2.工作经验（2分）：</w:t>
            </w:r>
          </w:p>
          <w:p w14:paraId="1034DDF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①项目经理具有5年及以上从事电力工程施工项目管理工作经验得1分。</w:t>
            </w:r>
          </w:p>
          <w:p w14:paraId="6D1E421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注：需提供项目经理身份证正反面扫描件，相关证书扫描件，简历（含工作经验介绍）和投标人为其缴纳的2025年1月1日至</w:t>
            </w:r>
            <w:r>
              <w:rPr>
                <w:rFonts w:hint="eastAsia" w:ascii="宋体" w:hAnsi="宋体" w:cs="宋体"/>
                <w:i w:val="0"/>
                <w:iCs w:val="0"/>
                <w:color w:val="000000"/>
                <w:kern w:val="0"/>
                <w:sz w:val="21"/>
                <w:szCs w:val="21"/>
                <w:u w:val="none"/>
                <w:lang w:val="en-US" w:eastAsia="zh-CN" w:bidi="ar"/>
              </w:rPr>
              <w:t>投标截止</w:t>
            </w:r>
            <w:r>
              <w:rPr>
                <w:rFonts w:hint="eastAsia" w:ascii="宋体" w:hAnsi="宋体" w:eastAsia="宋体" w:cs="宋体"/>
                <w:i w:val="0"/>
                <w:iCs w:val="0"/>
                <w:color w:val="000000"/>
                <w:kern w:val="0"/>
                <w:sz w:val="21"/>
                <w:szCs w:val="21"/>
                <w:u w:val="none"/>
                <w:lang w:val="en-US" w:eastAsia="zh-CN" w:bidi="ar"/>
              </w:rPr>
              <w:t>之日任意连续3个月社保证明扫描件。</w:t>
            </w:r>
          </w:p>
          <w:p w14:paraId="751A0985">
            <w:pPr>
              <w:keepNext w:val="0"/>
              <w:keepLines w:val="0"/>
              <w:widowControl/>
              <w:suppressLineNumbers w:val="0"/>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②每具备一个合同金额100万及以上类似的业绩证明（电力建设维护类）得0.5分，最高得1分。（供应商须提供合同证明材料，至少提供a、b两种方式中的一种。a：如为单项合同，提供合同关键页复印件，至少包括首页、合同金额、服务内容、签字盖章页。b：如为框架合同，则同时提供框架合同关键页复印件，及相应的订单或发票或业主出具的结算证明材料。单项合同以合同总价作为单个合同金额计入评审，框架合同取框架下所有的订单或结算材料中的累计金额作为框架合同金额计入评审，且合同中需体现项目经理姓名全称，若合同中无项目经理姓名则需其提供委托方的证明材料，否则不得分）。</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765BB54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r>
      <w:tr w14:paraId="0089F410">
        <w:tblPrEx>
          <w:tblCellMar>
            <w:top w:w="0" w:type="dxa"/>
            <w:left w:w="108" w:type="dxa"/>
            <w:bottom w:w="0" w:type="dxa"/>
            <w:right w:w="108" w:type="dxa"/>
          </w:tblCellMar>
        </w:tblPrEx>
        <w:trPr>
          <w:trHeight w:val="855" w:hRule="atLeast"/>
        </w:trPr>
        <w:tc>
          <w:tcPr>
            <w:tcW w:w="421" w:type="pct"/>
            <w:tcBorders>
              <w:top w:val="nil"/>
              <w:left w:val="single" w:color="auto" w:sz="4" w:space="0"/>
              <w:bottom w:val="single" w:color="auto" w:sz="4" w:space="0"/>
              <w:right w:val="single" w:color="auto" w:sz="4" w:space="0"/>
            </w:tcBorders>
            <w:shd w:val="clear" w:color="000000" w:fill="FFFFFF"/>
            <w:vAlign w:val="center"/>
          </w:tcPr>
          <w:p w14:paraId="16AF6429">
            <w:pPr>
              <w:pageBreakBefore w:val="0"/>
              <w:widowControl/>
              <w:kinsoku/>
              <w:overflowPunct/>
              <w:bidi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w:t>
            </w:r>
          </w:p>
        </w:tc>
        <w:tc>
          <w:tcPr>
            <w:tcW w:w="848" w:type="pct"/>
            <w:tcBorders>
              <w:top w:val="single" w:color="auto" w:sz="4" w:space="0"/>
              <w:left w:val="single" w:color="auto" w:sz="4" w:space="0"/>
              <w:bottom w:val="single" w:color="auto" w:sz="4" w:space="0"/>
              <w:right w:val="single" w:color="auto" w:sz="4" w:space="0"/>
            </w:tcBorders>
            <w:shd w:val="clear" w:color="auto" w:fill="auto"/>
            <w:vAlign w:val="center"/>
          </w:tcPr>
          <w:p w14:paraId="29E155CF">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团队成员</w:t>
            </w:r>
          </w:p>
        </w:tc>
        <w:tc>
          <w:tcPr>
            <w:tcW w:w="5680" w:type="dxa"/>
            <w:tcBorders>
              <w:top w:val="single" w:color="auto" w:sz="4" w:space="0"/>
              <w:left w:val="nil"/>
              <w:bottom w:val="single" w:color="auto" w:sz="4" w:space="0"/>
              <w:right w:val="nil"/>
            </w:tcBorders>
            <w:shd w:val="clear" w:color="auto" w:fill="auto"/>
            <w:vAlign w:val="center"/>
          </w:tcPr>
          <w:p w14:paraId="0991252D">
            <w:pPr>
              <w:keepNext w:val="0"/>
              <w:keepLines w:val="0"/>
              <w:widowControl/>
              <w:suppressLineNumbers w:val="0"/>
              <w:jc w:val="left"/>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投标人须至少提供12人的服务团队（包含维护、抢修、巡检等），人员不与团队负责人、服务评分中技术服务支撑人员、资格条件要求人员复用，且提供的服务团队成员中：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1、每有1人同时具备在有效期内的由应急管理部门（或原安全生产监督管理局）核发的电工作业证及高处作业证（登高证）得1.5分，最多6分；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2、为本项目提供专职安全员，且具备有效的安全生产管理人员职业资格证书（安全员C证），提供1个得1分，最多4分；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注：投标人须提供团队成员名单，身份证正反面及有效期内的相关证书扫描件，投标人为其缴纳的2025年1月1日至</w:t>
            </w:r>
            <w:r>
              <w:rPr>
                <w:rFonts w:hint="eastAsia" w:ascii="宋体" w:hAnsi="宋体" w:cs="宋体"/>
                <w:i w:val="0"/>
                <w:iCs w:val="0"/>
                <w:color w:val="000000"/>
                <w:kern w:val="0"/>
                <w:sz w:val="21"/>
                <w:szCs w:val="21"/>
                <w:u w:val="none"/>
                <w:lang w:val="en-US" w:eastAsia="zh-CN" w:bidi="ar"/>
              </w:rPr>
              <w:t>投标截止</w:t>
            </w:r>
            <w:r>
              <w:rPr>
                <w:rFonts w:hint="eastAsia" w:ascii="宋体" w:hAnsi="宋体" w:eastAsia="宋体" w:cs="宋体"/>
                <w:i w:val="0"/>
                <w:iCs w:val="0"/>
                <w:color w:val="000000"/>
                <w:kern w:val="0"/>
                <w:sz w:val="21"/>
                <w:szCs w:val="21"/>
                <w:u w:val="none"/>
                <w:lang w:val="en-US" w:eastAsia="zh-CN" w:bidi="ar"/>
              </w:rPr>
              <w:t>之日任意连续3个月社保证明材料。</w:t>
            </w:r>
          </w:p>
        </w:tc>
        <w:tc>
          <w:tcPr>
            <w:tcW w:w="726" w:type="dxa"/>
            <w:tcBorders>
              <w:top w:val="nil"/>
              <w:left w:val="single" w:color="auto" w:sz="4" w:space="0"/>
              <w:bottom w:val="single" w:color="auto" w:sz="4" w:space="0"/>
              <w:right w:val="single" w:color="auto" w:sz="4" w:space="0"/>
            </w:tcBorders>
            <w:shd w:val="clear" w:color="auto" w:fill="auto"/>
            <w:vAlign w:val="center"/>
          </w:tcPr>
          <w:p w14:paraId="6CE2D4EF">
            <w:pPr>
              <w:keepNext w:val="0"/>
              <w:keepLines w:val="0"/>
              <w:widowControl/>
              <w:suppressLineNumbers w:val="0"/>
              <w:jc w:val="center"/>
              <w:textAlignment w:val="center"/>
              <w:rPr>
                <w:rFonts w:hint="eastAsia" w:ascii="宋体" w:hAnsi="宋体" w:eastAsia="宋体" w:cs="宋体"/>
                <w:color w:val="auto"/>
                <w:kern w:val="0"/>
                <w:sz w:val="21"/>
                <w:szCs w:val="21"/>
                <w:lang w:val="en-US" w:bidi="ar"/>
              </w:rPr>
            </w:pPr>
            <w:r>
              <w:rPr>
                <w:rFonts w:hint="eastAsia" w:ascii="宋体" w:hAnsi="宋体" w:eastAsia="宋体" w:cs="宋体"/>
                <w:i w:val="0"/>
                <w:iCs w:val="0"/>
                <w:color w:val="000000"/>
                <w:kern w:val="0"/>
                <w:sz w:val="21"/>
                <w:szCs w:val="21"/>
                <w:u w:val="none"/>
                <w:lang w:val="en-US" w:eastAsia="zh-CN" w:bidi="ar"/>
              </w:rPr>
              <w:t>10</w:t>
            </w:r>
          </w:p>
        </w:tc>
      </w:tr>
      <w:tr w14:paraId="45119081">
        <w:tblPrEx>
          <w:tblCellMar>
            <w:top w:w="0" w:type="dxa"/>
            <w:left w:w="108" w:type="dxa"/>
            <w:bottom w:w="0" w:type="dxa"/>
            <w:right w:w="108" w:type="dxa"/>
          </w:tblCellMar>
        </w:tblPrEx>
        <w:trPr>
          <w:trHeight w:val="1756" w:hRule="atLeast"/>
        </w:trPr>
        <w:tc>
          <w:tcPr>
            <w:tcW w:w="421" w:type="pct"/>
            <w:tcBorders>
              <w:top w:val="nil"/>
              <w:left w:val="single" w:color="auto" w:sz="4" w:space="0"/>
              <w:bottom w:val="single" w:color="auto" w:sz="4" w:space="0"/>
              <w:right w:val="single" w:color="auto" w:sz="4" w:space="0"/>
            </w:tcBorders>
            <w:shd w:val="clear" w:color="000000" w:fill="FFFFFF"/>
            <w:vAlign w:val="center"/>
          </w:tcPr>
          <w:p w14:paraId="0C103C04">
            <w:pPr>
              <w:pageBreakBefore w:val="0"/>
              <w:widowControl/>
              <w:kinsoku/>
              <w:overflowPunct/>
              <w:bidi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8</w:t>
            </w:r>
          </w:p>
        </w:tc>
        <w:tc>
          <w:tcPr>
            <w:tcW w:w="848" w:type="pct"/>
            <w:tcBorders>
              <w:top w:val="nil"/>
              <w:left w:val="single" w:color="auto" w:sz="4" w:space="0"/>
              <w:bottom w:val="single" w:color="auto" w:sz="4" w:space="0"/>
              <w:right w:val="single" w:color="auto" w:sz="4" w:space="0"/>
            </w:tcBorders>
            <w:shd w:val="clear" w:color="000000" w:fill="FFFFFF"/>
            <w:vAlign w:val="center"/>
          </w:tcPr>
          <w:p w14:paraId="4DE0E3F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绿色低碳实施方案</w:t>
            </w:r>
          </w:p>
        </w:tc>
        <w:tc>
          <w:tcPr>
            <w:tcW w:w="5680" w:type="dxa"/>
            <w:tcBorders>
              <w:top w:val="single" w:color="auto" w:sz="4" w:space="0"/>
              <w:left w:val="nil"/>
              <w:bottom w:val="single" w:color="auto" w:sz="4" w:space="0"/>
              <w:right w:val="nil"/>
            </w:tcBorders>
            <w:shd w:val="clear" w:color="auto" w:fill="auto"/>
            <w:vAlign w:val="center"/>
          </w:tcPr>
          <w:p w14:paraId="76DE58C0">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针对本项目的需求，投标人编制针对性的绿色低碳实施方案，包含：1、低碳规划及目标；2、实际服务中绿色低碳运行情况等内容，分为A（优良，方案详细、合理、针对性强）、B（一般，方案较详细、较合理、针对性一般）、C（较差，方案简单、合理性较差、无针对性）三等级评分，A＝(1.6，2]、B＝(0.8，1.6]、C＝[0，0.8]。</w:t>
            </w:r>
          </w:p>
        </w:tc>
        <w:tc>
          <w:tcPr>
            <w:tcW w:w="726" w:type="dxa"/>
            <w:tcBorders>
              <w:top w:val="nil"/>
              <w:left w:val="single" w:color="auto" w:sz="4" w:space="0"/>
              <w:bottom w:val="single" w:color="auto" w:sz="4" w:space="0"/>
              <w:right w:val="single" w:color="auto" w:sz="4" w:space="0"/>
            </w:tcBorders>
            <w:shd w:val="clear" w:color="auto" w:fill="auto"/>
            <w:vAlign w:val="center"/>
          </w:tcPr>
          <w:p w14:paraId="70AF93E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14:paraId="03CD63FD">
        <w:tblPrEx>
          <w:tblCellMar>
            <w:top w:w="0" w:type="dxa"/>
            <w:left w:w="108" w:type="dxa"/>
            <w:bottom w:w="0" w:type="dxa"/>
            <w:right w:w="108" w:type="dxa"/>
          </w:tblCellMar>
        </w:tblPrEx>
        <w:trPr>
          <w:trHeight w:val="411" w:hRule="atLeast"/>
        </w:trPr>
        <w:tc>
          <w:tcPr>
            <w:tcW w:w="4577" w:type="pct"/>
            <w:gridSpan w:val="3"/>
            <w:tcBorders>
              <w:top w:val="single" w:color="auto" w:sz="4" w:space="0"/>
              <w:left w:val="single" w:color="auto" w:sz="4" w:space="0"/>
              <w:bottom w:val="single" w:color="auto" w:sz="4" w:space="0"/>
              <w:right w:val="single" w:color="auto" w:sz="4" w:space="0"/>
            </w:tcBorders>
            <w:vAlign w:val="center"/>
          </w:tcPr>
          <w:p w14:paraId="030B66C9">
            <w:pPr>
              <w:pageBreakBefore w:val="0"/>
              <w:widowControl/>
              <w:kinsoku/>
              <w:overflowPunct/>
              <w:bidi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合计</w:t>
            </w:r>
          </w:p>
        </w:tc>
        <w:tc>
          <w:tcPr>
            <w:tcW w:w="422" w:type="pct"/>
            <w:tcBorders>
              <w:top w:val="single" w:color="auto" w:sz="4" w:space="0"/>
              <w:left w:val="nil"/>
              <w:bottom w:val="single" w:color="auto" w:sz="4" w:space="0"/>
              <w:right w:val="single" w:color="auto" w:sz="4" w:space="0"/>
            </w:tcBorders>
            <w:shd w:val="clear" w:color="auto" w:fill="auto"/>
            <w:vAlign w:val="center"/>
          </w:tcPr>
          <w:p w14:paraId="5CD0FAD1">
            <w:pPr>
              <w:pageBreakBefore w:val="0"/>
              <w:widowControl/>
              <w:kinsoku/>
              <w:overflowPunct/>
              <w:bidi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46</w:t>
            </w:r>
          </w:p>
        </w:tc>
      </w:tr>
    </w:tbl>
    <w:p w14:paraId="1551732A">
      <w:pPr>
        <w:pageBreakBefore w:val="0"/>
        <w:kinsoku/>
        <w:overflowPunct/>
        <w:bidi w:val="0"/>
        <w:spacing w:line="360" w:lineRule="auto"/>
        <w:rPr>
          <w:rFonts w:hint="eastAsia" w:ascii="宋体" w:hAnsi="宋体" w:eastAsia="宋体" w:cs="宋体"/>
          <w:color w:val="auto"/>
          <w:sz w:val="32"/>
          <w:szCs w:val="32"/>
        </w:rPr>
      </w:pPr>
      <w:r>
        <w:rPr>
          <w:rFonts w:hint="eastAsia" w:ascii="宋体" w:hAnsi="宋体" w:eastAsia="宋体" w:cs="宋体"/>
          <w:color w:val="auto"/>
          <w:sz w:val="32"/>
          <w:szCs w:val="32"/>
        </w:rPr>
        <w:br w:type="page"/>
      </w:r>
    </w:p>
    <w:bookmarkEnd w:id="1177"/>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p w14:paraId="3E92B4AB">
      <w:pPr>
        <w:pStyle w:val="39"/>
        <w:pageBreakBefore w:val="0"/>
        <w:numPr>
          <w:ilvl w:val="0"/>
          <w:numId w:val="9"/>
        </w:numPr>
        <w:kinsoku/>
        <w:overflowPunct/>
        <w:bidi w:val="0"/>
        <w:snapToGrid w:val="0"/>
        <w:spacing w:before="120" w:after="120" w:line="360" w:lineRule="auto"/>
        <w:ind w:left="0" w:firstLine="0"/>
        <w:jc w:val="left"/>
        <w:rPr>
          <w:rFonts w:hint="eastAsia" w:ascii="宋体" w:hAnsi="宋体" w:eastAsia="宋体" w:cs="宋体"/>
          <w:color w:val="auto"/>
          <w:sz w:val="28"/>
          <w:szCs w:val="28"/>
        </w:rPr>
      </w:pPr>
      <w:bookmarkStart w:id="1241" w:name="_Toc27297"/>
      <w:bookmarkStart w:id="1242" w:name="_Toc14206"/>
      <w:bookmarkStart w:id="1243" w:name="_Toc28746"/>
      <w:bookmarkStart w:id="1244" w:name="_Toc32389"/>
      <w:bookmarkStart w:id="1245" w:name="_Toc28244"/>
      <w:bookmarkStart w:id="1246" w:name="_Toc4850"/>
      <w:bookmarkStart w:id="1247" w:name="_Toc15485"/>
      <w:bookmarkStart w:id="1248" w:name="_Toc9042"/>
      <w:bookmarkStart w:id="1249" w:name="_Toc12677"/>
      <w:bookmarkStart w:id="1250" w:name="_Toc9284"/>
      <w:bookmarkStart w:id="1251" w:name="_Toc38008020"/>
      <w:bookmarkStart w:id="1252" w:name="_Toc450489345"/>
      <w:bookmarkStart w:id="1253" w:name="_Toc25880"/>
      <w:bookmarkStart w:id="1254" w:name="_Toc4079"/>
      <w:bookmarkStart w:id="1255" w:name="_Toc12840"/>
      <w:bookmarkStart w:id="1256" w:name="_Toc15218"/>
      <w:bookmarkStart w:id="1257" w:name="_Toc107822520"/>
      <w:bookmarkStart w:id="1258" w:name="_Toc226969316"/>
      <w:bookmarkStart w:id="1259" w:name="_Toc227057922"/>
      <w:bookmarkStart w:id="1260" w:name="_Toc447265562"/>
      <w:bookmarkStart w:id="1261" w:name="_Toc447265276"/>
      <w:r>
        <w:rPr>
          <w:rFonts w:hint="eastAsia" w:ascii="宋体" w:hAnsi="宋体" w:eastAsia="宋体" w:cs="宋体"/>
          <w:color w:val="auto"/>
          <w:sz w:val="28"/>
          <w:szCs w:val="28"/>
        </w:rPr>
        <w:t>评标方法</w:t>
      </w:r>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p>
    <w:p w14:paraId="1336A721">
      <w:pPr>
        <w:pageBreakBefore w:val="0"/>
        <w:kinsoku/>
        <w:overflowPunct/>
        <w:bidi w:val="0"/>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招标项目评标采用综合评估法。评标委员会对满足招标文件实质要求的投标文件，根据本章第2.2款规定的评分因素和评分标准进行评分，按照综合评分由高到低的顺序推荐中标候选人，或者根据招标人授权直接确定中标人，但投标报价低于其成本的除外。</w:t>
      </w:r>
    </w:p>
    <w:p w14:paraId="756A0F5E">
      <w:pPr>
        <w:pStyle w:val="39"/>
        <w:pageBreakBefore w:val="0"/>
        <w:numPr>
          <w:ilvl w:val="0"/>
          <w:numId w:val="9"/>
        </w:numPr>
        <w:tabs>
          <w:tab w:val="left" w:pos="602"/>
        </w:tabs>
        <w:kinsoku/>
        <w:overflowPunct/>
        <w:bidi w:val="0"/>
        <w:snapToGrid w:val="0"/>
        <w:spacing w:before="120" w:after="120" w:line="360" w:lineRule="auto"/>
        <w:ind w:left="0" w:firstLine="0"/>
        <w:jc w:val="left"/>
        <w:rPr>
          <w:rFonts w:hint="eastAsia" w:ascii="宋体" w:hAnsi="宋体" w:eastAsia="宋体" w:cs="宋体"/>
          <w:color w:val="auto"/>
          <w:sz w:val="28"/>
          <w:szCs w:val="28"/>
        </w:rPr>
      </w:pPr>
      <w:bookmarkStart w:id="1262" w:name="_Toc10773"/>
      <w:bookmarkStart w:id="1263" w:name="_Toc27996"/>
      <w:bookmarkStart w:id="1264" w:name="_Toc38008021"/>
      <w:bookmarkStart w:id="1265" w:name="_Toc16516"/>
      <w:bookmarkStart w:id="1266" w:name="_Toc32159"/>
      <w:bookmarkStart w:id="1267" w:name="_Toc14052"/>
      <w:bookmarkStart w:id="1268" w:name="_Toc450489346"/>
      <w:bookmarkStart w:id="1269" w:name="_Toc24548"/>
      <w:bookmarkStart w:id="1270" w:name="_Toc6613"/>
      <w:bookmarkStart w:id="1271" w:name="_Toc15561"/>
      <w:bookmarkStart w:id="1272" w:name="_Toc12016"/>
      <w:bookmarkStart w:id="1273" w:name="_Toc788"/>
      <w:bookmarkStart w:id="1274" w:name="_Toc31033"/>
      <w:bookmarkStart w:id="1275" w:name="_Toc17101"/>
      <w:bookmarkStart w:id="1276" w:name="_Toc13677"/>
      <w:bookmarkStart w:id="1277" w:name="_Toc11448"/>
      <w:r>
        <w:rPr>
          <w:rFonts w:hint="eastAsia" w:ascii="宋体" w:hAnsi="宋体" w:eastAsia="宋体" w:cs="宋体"/>
          <w:color w:val="auto"/>
          <w:sz w:val="28"/>
          <w:szCs w:val="28"/>
        </w:rPr>
        <w:t>评审标准</w:t>
      </w:r>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p>
    <w:p w14:paraId="487B611D">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278" w:name="_Toc19521"/>
      <w:bookmarkStart w:id="1279" w:name="_Toc29201"/>
      <w:bookmarkStart w:id="1280" w:name="_Toc450489347"/>
      <w:bookmarkStart w:id="1281" w:name="_Toc14264"/>
      <w:bookmarkStart w:id="1282" w:name="_Toc11454"/>
      <w:bookmarkStart w:id="1283" w:name="_Toc346"/>
      <w:bookmarkStart w:id="1284" w:name="_Toc11259"/>
      <w:bookmarkStart w:id="1285" w:name="_Toc23478"/>
      <w:bookmarkStart w:id="1286" w:name="_Toc20750"/>
      <w:bookmarkStart w:id="1287" w:name="_Toc22099"/>
      <w:bookmarkStart w:id="1288" w:name="_Toc17678"/>
      <w:bookmarkStart w:id="1289" w:name="_Toc13783"/>
      <w:bookmarkStart w:id="1290" w:name="_Toc2613"/>
      <w:bookmarkStart w:id="1291" w:name="_Toc10290"/>
      <w:bookmarkStart w:id="1292" w:name="_Toc24432"/>
      <w:bookmarkStart w:id="1293" w:name="_Toc38008022"/>
      <w:r>
        <w:rPr>
          <w:rFonts w:hint="eastAsia" w:ascii="宋体" w:hAnsi="宋体" w:eastAsia="宋体" w:cs="宋体"/>
          <w:color w:val="auto"/>
          <w:sz w:val="24"/>
          <w:szCs w:val="24"/>
        </w:rPr>
        <w:t>2.1初步评审标准</w:t>
      </w:r>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p>
    <w:p w14:paraId="378E4712">
      <w:pPr>
        <w:pageBreakBefore w:val="0"/>
        <w:kinsoku/>
        <w:overflowPunct/>
        <w:bidi w:val="0"/>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初步评审标准：见评标办法前附表。</w:t>
      </w:r>
    </w:p>
    <w:p w14:paraId="50AAE0D5">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294" w:name="_Toc14342"/>
      <w:bookmarkStart w:id="1295" w:name="_Toc24081"/>
      <w:bookmarkStart w:id="1296" w:name="_Toc2938"/>
      <w:bookmarkStart w:id="1297" w:name="_Toc10691"/>
      <w:bookmarkStart w:id="1298" w:name="_Toc38008023"/>
      <w:bookmarkStart w:id="1299" w:name="_Toc30334"/>
      <w:bookmarkStart w:id="1300" w:name="_Toc613"/>
      <w:bookmarkStart w:id="1301" w:name="_Toc6196"/>
      <w:bookmarkStart w:id="1302" w:name="_Toc22299"/>
      <w:bookmarkStart w:id="1303" w:name="_Toc10376"/>
      <w:bookmarkStart w:id="1304" w:name="_Toc10495"/>
      <w:bookmarkStart w:id="1305" w:name="_Toc31485"/>
      <w:bookmarkStart w:id="1306" w:name="_Toc450489348"/>
      <w:bookmarkStart w:id="1307" w:name="_Toc30950"/>
      <w:bookmarkStart w:id="1308" w:name="_Toc18115"/>
      <w:bookmarkStart w:id="1309" w:name="_Toc19328"/>
      <w:r>
        <w:rPr>
          <w:rFonts w:hint="eastAsia" w:ascii="宋体" w:hAnsi="宋体" w:eastAsia="宋体" w:cs="宋体"/>
          <w:color w:val="auto"/>
          <w:sz w:val="24"/>
          <w:szCs w:val="24"/>
        </w:rPr>
        <w:t>2.2详细评审标准</w:t>
      </w:r>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p>
    <w:p w14:paraId="0DB33C38">
      <w:pPr>
        <w:pageBreakBefore w:val="0"/>
        <w:kinsoku/>
        <w:overflowPunct/>
        <w:bidi w:val="0"/>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详细评审标准：见评标办法前附表。</w:t>
      </w:r>
    </w:p>
    <w:p w14:paraId="13465197">
      <w:pPr>
        <w:pStyle w:val="39"/>
        <w:pageBreakBefore w:val="0"/>
        <w:numPr>
          <w:ilvl w:val="0"/>
          <w:numId w:val="9"/>
        </w:numPr>
        <w:kinsoku/>
        <w:overflowPunct/>
        <w:bidi w:val="0"/>
        <w:snapToGrid w:val="0"/>
        <w:spacing w:before="120" w:after="120" w:line="360" w:lineRule="auto"/>
        <w:ind w:left="0" w:firstLine="0"/>
        <w:jc w:val="left"/>
        <w:rPr>
          <w:rFonts w:hint="eastAsia" w:ascii="宋体" w:hAnsi="宋体" w:eastAsia="宋体" w:cs="宋体"/>
          <w:color w:val="auto"/>
          <w:sz w:val="28"/>
          <w:szCs w:val="28"/>
        </w:rPr>
      </w:pPr>
      <w:bookmarkStart w:id="1310" w:name="_Toc11398"/>
      <w:bookmarkStart w:id="1311" w:name="_Toc27335"/>
      <w:bookmarkStart w:id="1312" w:name="_Toc12321"/>
      <w:bookmarkStart w:id="1313" w:name="_Toc25423"/>
      <w:bookmarkStart w:id="1314" w:name="_Toc9216"/>
      <w:bookmarkStart w:id="1315" w:name="_Toc2814"/>
      <w:bookmarkStart w:id="1316" w:name="_Toc26849"/>
      <w:bookmarkStart w:id="1317" w:name="_Toc3335"/>
      <w:bookmarkStart w:id="1318" w:name="_Toc38008024"/>
      <w:bookmarkStart w:id="1319" w:name="_Toc615"/>
      <w:bookmarkStart w:id="1320" w:name="_Toc14441"/>
      <w:bookmarkStart w:id="1321" w:name="_Toc450489349"/>
      <w:bookmarkStart w:id="1322" w:name="_Toc1309"/>
      <w:bookmarkStart w:id="1323" w:name="_Toc26741"/>
      <w:bookmarkStart w:id="1324" w:name="_Toc10561"/>
      <w:bookmarkStart w:id="1325" w:name="_Toc28294"/>
      <w:r>
        <w:rPr>
          <w:rFonts w:hint="eastAsia" w:ascii="宋体" w:hAnsi="宋体" w:eastAsia="宋体" w:cs="宋体"/>
          <w:color w:val="auto"/>
          <w:sz w:val="28"/>
          <w:szCs w:val="28"/>
        </w:rPr>
        <w:t>评标程序</w:t>
      </w:r>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p>
    <w:p w14:paraId="1A314FA0">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326" w:name="_Toc4009"/>
      <w:bookmarkStart w:id="1327" w:name="_Toc23859"/>
      <w:bookmarkStart w:id="1328" w:name="_Toc11649"/>
      <w:bookmarkStart w:id="1329" w:name="_Toc21991"/>
      <w:bookmarkStart w:id="1330" w:name="_Toc20380"/>
      <w:bookmarkStart w:id="1331" w:name="_Toc27064"/>
      <w:bookmarkStart w:id="1332" w:name="_Toc30038"/>
      <w:bookmarkStart w:id="1333" w:name="_Toc14914"/>
      <w:bookmarkStart w:id="1334" w:name="_Toc12710"/>
      <w:bookmarkStart w:id="1335" w:name="_Toc2154"/>
      <w:bookmarkStart w:id="1336" w:name="_Toc17953"/>
      <w:bookmarkStart w:id="1337" w:name="_Toc38008025"/>
      <w:bookmarkStart w:id="1338" w:name="_Toc450489350"/>
      <w:bookmarkStart w:id="1339" w:name="_Toc7561"/>
      <w:bookmarkStart w:id="1340" w:name="_Toc13338"/>
      <w:bookmarkStart w:id="1341" w:name="_Toc4726"/>
      <w:r>
        <w:rPr>
          <w:rFonts w:hint="eastAsia" w:ascii="宋体" w:hAnsi="宋体" w:eastAsia="宋体" w:cs="宋体"/>
          <w:color w:val="auto"/>
          <w:sz w:val="24"/>
          <w:szCs w:val="24"/>
        </w:rPr>
        <w:t>3.1初步评审</w:t>
      </w:r>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p>
    <w:p w14:paraId="13318455">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3.1.1评标委员会根据本章第2.1款规定的标准对投标文件进行初步评审。有一项不符合评审标准的，评标委员会应当否决其投标。</w:t>
      </w:r>
    </w:p>
    <w:p w14:paraId="6164F88F">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3.1.2投标人有以下情形之一的，评标委员会应当否决其投标：</w:t>
      </w:r>
    </w:p>
    <w:p w14:paraId="5E023BFB">
      <w:pPr>
        <w:pageBreakBefore w:val="0"/>
        <w:kinsoku/>
        <w:overflowPunct/>
        <w:bidi w:val="0"/>
        <w:adjustRightInd w:val="0"/>
        <w:snapToGrid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（1）第二章“投标人须知”第1.8款规定的任何一种情形的；</w:t>
      </w:r>
    </w:p>
    <w:p w14:paraId="503EC240">
      <w:pPr>
        <w:pageBreakBefore w:val="0"/>
        <w:kinsoku/>
        <w:overflowPunct/>
        <w:bidi w:val="0"/>
        <w:adjustRightInd w:val="0"/>
        <w:snapToGrid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（2）不按照评标委员会要求澄清、说明或者补正的；</w:t>
      </w:r>
    </w:p>
    <w:p w14:paraId="2E76C6CB">
      <w:pPr>
        <w:pageBreakBefore w:val="0"/>
        <w:kinsoku/>
        <w:overflowPunct/>
        <w:bidi w:val="0"/>
        <w:adjustRightInd w:val="0"/>
        <w:snapToGrid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（3）投标文件未经投标单位盖章和单位负责人签字；</w:t>
      </w:r>
    </w:p>
    <w:p w14:paraId="277A9A69">
      <w:pPr>
        <w:pageBreakBefore w:val="0"/>
        <w:kinsoku/>
        <w:overflowPunct/>
        <w:bidi w:val="0"/>
        <w:adjustRightInd w:val="0"/>
        <w:snapToGrid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（4）允许联合体投标的，投标联合体没有递交共同投标协议；</w:t>
      </w:r>
    </w:p>
    <w:p w14:paraId="46C863E2">
      <w:pPr>
        <w:pageBreakBefore w:val="0"/>
        <w:kinsoku/>
        <w:overflowPunct/>
        <w:bidi w:val="0"/>
        <w:adjustRightInd w:val="0"/>
        <w:snapToGrid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（5）投标人不符合国家或者招标文件规定的资格条件；</w:t>
      </w:r>
    </w:p>
    <w:p w14:paraId="6256B337">
      <w:pPr>
        <w:pageBreakBefore w:val="0"/>
        <w:kinsoku/>
        <w:overflowPunct/>
        <w:bidi w:val="0"/>
        <w:adjustRightInd w:val="0"/>
        <w:snapToGrid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（6）同一投标人递交两个以上不同的投标文件或者投标报价，但招标文件要求递交备选投标的除外；</w:t>
      </w:r>
    </w:p>
    <w:p w14:paraId="2FAC00E3">
      <w:pPr>
        <w:pageBreakBefore w:val="0"/>
        <w:kinsoku/>
        <w:overflowPunct/>
        <w:bidi w:val="0"/>
        <w:adjustRightInd w:val="0"/>
        <w:snapToGrid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（7）投标报价低于成本或者高于招标文件设定的最高投标限价；</w:t>
      </w:r>
    </w:p>
    <w:p w14:paraId="0BFCACFF">
      <w:pPr>
        <w:pageBreakBefore w:val="0"/>
        <w:kinsoku/>
        <w:overflowPunct/>
        <w:bidi w:val="0"/>
        <w:adjustRightInd w:val="0"/>
        <w:snapToGrid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（8）投标文件没有对招标文件的实质性要求和条件做出响应；</w:t>
      </w:r>
    </w:p>
    <w:p w14:paraId="04FB9396">
      <w:pPr>
        <w:pageBreakBefore w:val="0"/>
        <w:kinsoku/>
        <w:overflowPunct/>
        <w:bidi w:val="0"/>
        <w:adjustRightInd w:val="0"/>
        <w:snapToGrid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（9）投标人有串通投标、弄虚作假、行贿等违法行为；</w:t>
      </w:r>
    </w:p>
    <w:p w14:paraId="1BD0BB9D">
      <w:pPr>
        <w:pageBreakBefore w:val="0"/>
        <w:kinsoku/>
        <w:overflowPunct/>
        <w:bidi w:val="0"/>
        <w:adjustRightInd w:val="0"/>
        <w:snapToGrid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（10）投标人以他人名义投标；</w:t>
      </w:r>
    </w:p>
    <w:p w14:paraId="1C45B5B6">
      <w:pPr>
        <w:pageBreakBefore w:val="0"/>
        <w:kinsoku/>
        <w:overflowPunct/>
        <w:bidi w:val="0"/>
        <w:adjustRightInd w:val="0"/>
        <w:snapToGrid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（11）没有按照招标文件要求提供投标担保或者所提供的投标担保有瑕疵；</w:t>
      </w:r>
    </w:p>
    <w:p w14:paraId="633B873E">
      <w:pPr>
        <w:pageBreakBefore w:val="0"/>
        <w:kinsoku/>
        <w:overflowPunct/>
        <w:bidi w:val="0"/>
        <w:adjustRightInd w:val="0"/>
        <w:snapToGrid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（12）投标文件载明的招标项目完成期限超过招标文件规定的期限；</w:t>
      </w:r>
    </w:p>
    <w:p w14:paraId="0AFA2504">
      <w:pPr>
        <w:pageBreakBefore w:val="0"/>
        <w:kinsoku/>
        <w:overflowPunct/>
        <w:bidi w:val="0"/>
        <w:adjustRightInd w:val="0"/>
        <w:snapToGrid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（13）明显不符合技术规格、技术标准的要求；</w:t>
      </w:r>
    </w:p>
    <w:p w14:paraId="3C4C21CD">
      <w:pPr>
        <w:pageBreakBefore w:val="0"/>
        <w:kinsoku/>
        <w:overflowPunct/>
        <w:bidi w:val="0"/>
        <w:adjustRightInd w:val="0"/>
        <w:snapToGrid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（14）投标文件载明的货物包装方式、检验标准和方法等不符合招标文件的要求；</w:t>
      </w:r>
    </w:p>
    <w:p w14:paraId="76BEEB91">
      <w:pPr>
        <w:pageBreakBefore w:val="0"/>
        <w:kinsoku/>
        <w:overflowPunct/>
        <w:bidi w:val="0"/>
        <w:adjustRightInd w:val="0"/>
        <w:snapToGrid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（15）投标文件附有招标人不能接受的条件；</w:t>
      </w:r>
    </w:p>
    <w:p w14:paraId="56AC8A92">
      <w:pPr>
        <w:pageBreakBefore w:val="0"/>
        <w:kinsoku/>
        <w:overflowPunct/>
        <w:bidi w:val="0"/>
        <w:adjustRightInd w:val="0"/>
        <w:snapToGrid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（16）不符合招标文件中规定的其他实质性要求。</w:t>
      </w:r>
    </w:p>
    <w:p w14:paraId="245D4E54">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3.1.3评标过程中，评标委员会收到低于成本价投标的书面质疑材料、发现投标人的综合报价明显低于其他投标报价或者设有标底时明显低于标底，认为投标报价可能低于其个别成本的，应当书面要求该投标人做出书面说明并提供相关证明材料。投标人不能合理说明或者不能提供相应证明材料的，由评标委员会认定该投标人以低于成本报价竞标，评标委员会应当否决其投标。</w:t>
      </w:r>
    </w:p>
    <w:p w14:paraId="3429230F">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3.1.4投标报价有算术错误的，评标委员会按照以下原则对投标报价进行修正，修正的价格经投标人书面确认后具有约束力。投标人不接受修正价格的，评标委员会应当否决其投标。</w:t>
      </w:r>
    </w:p>
    <w:p w14:paraId="77D44D03">
      <w:pPr>
        <w:pageBreakBefore w:val="0"/>
        <w:kinsoku/>
        <w:overflowPunct/>
        <w:bidi w:val="0"/>
        <w:adjustRightInd w:val="0"/>
        <w:snapToGrid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（1）投标文件中的大写金额与小写金额不一致的，以大写金额为准；</w:t>
      </w:r>
    </w:p>
    <w:p w14:paraId="250E692F">
      <w:pPr>
        <w:pageBreakBefore w:val="0"/>
        <w:kinsoku/>
        <w:overflowPunct/>
        <w:bidi w:val="0"/>
        <w:adjustRightInd w:val="0"/>
        <w:snapToGrid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（2）总价金额与根据单价计算出的结果不一致的，以单价金额为准修正总价，但单价金额小数点有明显错误的除外。</w:t>
      </w:r>
    </w:p>
    <w:p w14:paraId="676A0BC1">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342" w:name="_Toc450489351"/>
      <w:bookmarkStart w:id="1343" w:name="_Toc6297"/>
      <w:bookmarkStart w:id="1344" w:name="_Toc17222"/>
      <w:bookmarkStart w:id="1345" w:name="_Toc9363"/>
      <w:bookmarkStart w:id="1346" w:name="_Toc28782"/>
      <w:bookmarkStart w:id="1347" w:name="_Toc31954"/>
      <w:bookmarkStart w:id="1348" w:name="_Toc8196"/>
      <w:bookmarkStart w:id="1349" w:name="_Toc6684"/>
      <w:bookmarkStart w:id="1350" w:name="_Toc30271"/>
      <w:bookmarkStart w:id="1351" w:name="_Toc38008026"/>
      <w:bookmarkStart w:id="1352" w:name="_Toc26241"/>
      <w:bookmarkStart w:id="1353" w:name="_Toc32706"/>
      <w:bookmarkStart w:id="1354" w:name="_Toc25301"/>
      <w:bookmarkStart w:id="1355" w:name="_Toc13612"/>
      <w:bookmarkStart w:id="1356" w:name="_Toc17228"/>
      <w:bookmarkStart w:id="1357" w:name="_Toc13963"/>
      <w:r>
        <w:rPr>
          <w:rFonts w:hint="eastAsia" w:ascii="宋体" w:hAnsi="宋体" w:eastAsia="宋体" w:cs="宋体"/>
          <w:color w:val="auto"/>
          <w:sz w:val="24"/>
          <w:szCs w:val="24"/>
        </w:rPr>
        <w:t>3.2详细评审</w:t>
      </w:r>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p>
    <w:p w14:paraId="6C32D1E3">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3.2.1评标委员会按照本章第2.2款规定的评审因素和量化标准进行评分，并计算出综合评估得分。</w:t>
      </w:r>
    </w:p>
    <w:p w14:paraId="20BC544D">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3.2.2评分分值计算原则上保留小数点后两位，小数点后第三位“四舍五入”。</w:t>
      </w:r>
    </w:p>
    <w:p w14:paraId="54DE3D31">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358" w:name="_Toc25144"/>
      <w:bookmarkStart w:id="1359" w:name="_Toc7946"/>
      <w:bookmarkStart w:id="1360" w:name="_Toc23243"/>
      <w:bookmarkStart w:id="1361" w:name="_Toc26593"/>
      <w:bookmarkStart w:id="1362" w:name="_Toc447265561"/>
      <w:bookmarkStart w:id="1363" w:name="_Toc709"/>
      <w:bookmarkStart w:id="1364" w:name="_Toc24747"/>
      <w:bookmarkStart w:id="1365" w:name="_Toc21022"/>
      <w:bookmarkStart w:id="1366" w:name="_Toc13131"/>
      <w:bookmarkStart w:id="1367" w:name="_Toc14396"/>
      <w:bookmarkStart w:id="1368" w:name="_Toc447265275"/>
      <w:bookmarkStart w:id="1369" w:name="_Toc7029"/>
      <w:bookmarkStart w:id="1370" w:name="_Toc38008027"/>
      <w:bookmarkStart w:id="1371" w:name="_Toc28950"/>
      <w:bookmarkStart w:id="1372" w:name="_Toc385"/>
      <w:bookmarkStart w:id="1373" w:name="_Toc450489352"/>
      <w:bookmarkStart w:id="1374" w:name="_Toc4894"/>
      <w:bookmarkStart w:id="1375" w:name="_Toc9299"/>
      <w:r>
        <w:rPr>
          <w:rFonts w:hint="eastAsia" w:ascii="宋体" w:hAnsi="宋体" w:eastAsia="宋体" w:cs="宋体"/>
          <w:color w:val="auto"/>
          <w:sz w:val="24"/>
          <w:szCs w:val="24"/>
        </w:rPr>
        <w:t>3.3投标文件的澄清</w:t>
      </w:r>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p>
    <w:p w14:paraId="2E5A7469">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3.3.1在评标过程中，评标委员会应当以书面形式要求投标人对所递交的投标文件中不明确的内容进行书面澄清、说明或者对投标文件中的细微偏差进行补正。评标委员会不接受投标人主动提出的澄清、说明或者补正。</w:t>
      </w:r>
    </w:p>
    <w:p w14:paraId="45B882B1">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3.3.2细微偏差是指投标文件在实质上响应招标文件要求，但个别地方存在漏项或者提供了不完整的技术信息和数据等情况，并且补正这些遗漏或者不完整不会对其他投标人造成不公平的结果。细微偏差不影响投标文件的有效性。</w:t>
      </w:r>
    </w:p>
    <w:p w14:paraId="1A2D1572">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3.3.3澄清、说明和补正不得改变投标文件的实质性内容（算术性错误修正的除外）。投标人的书面澄清、说明和补正属于投标文件的组成部分。</w:t>
      </w:r>
    </w:p>
    <w:p w14:paraId="20A23FF9">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3.3.4评标委员会对投标人递交的澄清、说明或者补正有疑问的，可以要求投标人进一步澄清、说明或者补正，直至满足评标委员会的要求。</w:t>
      </w:r>
    </w:p>
    <w:p w14:paraId="4F47632A">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3.3.5评标委员会必要时可以要求投标人递交有关证明和证件的原件，以便核验。</w:t>
      </w:r>
    </w:p>
    <w:p w14:paraId="54507249">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376" w:name="_Toc875"/>
      <w:bookmarkStart w:id="1377" w:name="_Toc14862"/>
      <w:bookmarkStart w:id="1378" w:name="_Toc1897"/>
      <w:bookmarkStart w:id="1379" w:name="_Toc22202"/>
      <w:bookmarkStart w:id="1380" w:name="_Toc20588"/>
      <w:bookmarkStart w:id="1381" w:name="_Toc38008028"/>
      <w:bookmarkStart w:id="1382" w:name="_Toc450489353"/>
      <w:bookmarkStart w:id="1383" w:name="_Toc1093"/>
      <w:bookmarkStart w:id="1384" w:name="_Toc14347"/>
      <w:bookmarkStart w:id="1385" w:name="_Toc16681"/>
      <w:bookmarkStart w:id="1386" w:name="_Toc23950"/>
      <w:bookmarkStart w:id="1387" w:name="_Toc20165"/>
      <w:bookmarkStart w:id="1388" w:name="_Toc18011"/>
      <w:bookmarkStart w:id="1389" w:name="_Toc25522"/>
      <w:bookmarkStart w:id="1390" w:name="_Toc30315"/>
      <w:bookmarkStart w:id="1391" w:name="_Toc4372"/>
      <w:r>
        <w:rPr>
          <w:rFonts w:hint="eastAsia" w:ascii="宋体" w:hAnsi="宋体" w:eastAsia="宋体" w:cs="宋体"/>
          <w:color w:val="auto"/>
          <w:sz w:val="24"/>
          <w:szCs w:val="24"/>
        </w:rPr>
        <w:t>3.4中标候选人推荐原则</w:t>
      </w:r>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p>
    <w:p w14:paraId="049C2455">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3.4.1除第二章投标人须知前附表授权直接确定中标人外，评标委员会按照综合评分由高到低的顺序推荐中标候选人。综合评分相同的，处理原则见评标办法前附表。</w:t>
      </w:r>
    </w:p>
    <w:p w14:paraId="34DEFF80">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3.4.2中标候选人推荐原则见评标办法前附表。</w:t>
      </w:r>
    </w:p>
    <w:p w14:paraId="7FA3E1E0">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392" w:name="_Toc17655"/>
      <w:bookmarkStart w:id="1393" w:name="_Toc38008029"/>
      <w:bookmarkStart w:id="1394" w:name="_Toc24229"/>
      <w:bookmarkStart w:id="1395" w:name="_Toc11287"/>
      <w:bookmarkStart w:id="1396" w:name="_Toc13540"/>
      <w:bookmarkStart w:id="1397" w:name="_Toc17769"/>
      <w:bookmarkStart w:id="1398" w:name="_Toc18088"/>
      <w:bookmarkStart w:id="1399" w:name="_Toc450489354"/>
      <w:bookmarkStart w:id="1400" w:name="_Toc28194"/>
      <w:bookmarkStart w:id="1401" w:name="_Toc27805"/>
      <w:bookmarkStart w:id="1402" w:name="_Toc15981"/>
      <w:bookmarkStart w:id="1403" w:name="_Toc1389"/>
      <w:bookmarkStart w:id="1404" w:name="_Toc30437"/>
      <w:bookmarkStart w:id="1405" w:name="_Toc15193"/>
      <w:bookmarkStart w:id="1406" w:name="_Toc7591"/>
      <w:bookmarkStart w:id="1407" w:name="_Toc17565"/>
      <w:r>
        <w:rPr>
          <w:rFonts w:hint="eastAsia" w:ascii="宋体" w:hAnsi="宋体" w:eastAsia="宋体" w:cs="宋体"/>
          <w:color w:val="auto"/>
          <w:sz w:val="24"/>
          <w:szCs w:val="24"/>
        </w:rPr>
        <w:t>3.5评标结果</w:t>
      </w:r>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p>
    <w:p w14:paraId="571275E6">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3.5.1评标委员会完成评标后，应当向招标人递交书面评标报告。评标委员会分组评审的，应当形成统一、完整的评标报告。</w:t>
      </w:r>
    </w:p>
    <w:p w14:paraId="53B57EC0">
      <w:pPr>
        <w:pStyle w:val="22"/>
        <w:pageBreakBefore w:val="0"/>
        <w:tabs>
          <w:tab w:val="left" w:pos="630"/>
        </w:tabs>
        <w:kinsoku/>
        <w:overflowPunct/>
        <w:bidi w:val="0"/>
        <w:snapToGrid w:val="0"/>
        <w:spacing w:line="360" w:lineRule="auto"/>
        <w:ind w:firstLine="424" w:firstLineChars="202"/>
        <w:rPr>
          <w:rFonts w:hint="eastAsia" w:ascii="宋体" w:hAnsi="宋体" w:eastAsia="宋体" w:cs="宋体"/>
          <w:color w:val="auto"/>
        </w:rPr>
      </w:pPr>
      <w:r>
        <w:rPr>
          <w:rFonts w:hint="eastAsia" w:ascii="宋体" w:hAnsi="宋体" w:eastAsia="宋体" w:cs="宋体"/>
          <w:color w:val="auto"/>
        </w:rPr>
        <w:t>3.5.2评标报告应当包括下列内容：</w:t>
      </w:r>
    </w:p>
    <w:p w14:paraId="689346A4">
      <w:pPr>
        <w:pStyle w:val="51"/>
        <w:pageBreakBefore w:val="0"/>
        <w:numPr>
          <w:ilvl w:val="0"/>
          <w:numId w:val="10"/>
        </w:numPr>
        <w:tabs>
          <w:tab w:val="left" w:pos="630"/>
        </w:tabs>
        <w:kinsoku/>
        <w:overflowPunct/>
        <w:bidi w:val="0"/>
        <w:adjustRightInd w:val="0"/>
        <w:snapToGrid w:val="0"/>
        <w:spacing w:line="360" w:lineRule="auto"/>
        <w:ind w:left="0" w:firstLine="424" w:firstLineChars="202"/>
        <w:rPr>
          <w:rFonts w:hint="eastAsia" w:ascii="宋体" w:hAnsi="宋体" w:eastAsia="宋体" w:cs="宋体"/>
          <w:color w:val="auto"/>
          <w:szCs w:val="21"/>
        </w:rPr>
      </w:pPr>
      <w:r>
        <w:rPr>
          <w:rFonts w:hint="eastAsia" w:ascii="宋体" w:hAnsi="宋体" w:eastAsia="宋体" w:cs="宋体"/>
          <w:color w:val="auto"/>
          <w:szCs w:val="21"/>
        </w:rPr>
        <w:t>基本情况；</w:t>
      </w:r>
    </w:p>
    <w:p w14:paraId="22B9B410">
      <w:pPr>
        <w:pStyle w:val="51"/>
        <w:pageBreakBefore w:val="0"/>
        <w:numPr>
          <w:ilvl w:val="0"/>
          <w:numId w:val="10"/>
        </w:numPr>
        <w:tabs>
          <w:tab w:val="left" w:pos="630"/>
        </w:tabs>
        <w:kinsoku/>
        <w:overflowPunct/>
        <w:bidi w:val="0"/>
        <w:adjustRightInd w:val="0"/>
        <w:snapToGrid w:val="0"/>
        <w:spacing w:line="360" w:lineRule="auto"/>
        <w:ind w:left="0" w:firstLine="424" w:firstLineChars="202"/>
        <w:rPr>
          <w:rFonts w:hint="eastAsia" w:ascii="宋体" w:hAnsi="宋体" w:eastAsia="宋体" w:cs="宋体"/>
          <w:color w:val="auto"/>
          <w:szCs w:val="21"/>
        </w:rPr>
      </w:pPr>
      <w:r>
        <w:rPr>
          <w:rFonts w:hint="eastAsia" w:ascii="宋体" w:hAnsi="宋体" w:eastAsia="宋体" w:cs="宋体"/>
          <w:color w:val="auto"/>
          <w:szCs w:val="21"/>
        </w:rPr>
        <w:t>开标记录和投标一览表；</w:t>
      </w:r>
    </w:p>
    <w:p w14:paraId="00AB201B">
      <w:pPr>
        <w:pStyle w:val="51"/>
        <w:pageBreakBefore w:val="0"/>
        <w:numPr>
          <w:ilvl w:val="0"/>
          <w:numId w:val="10"/>
        </w:numPr>
        <w:tabs>
          <w:tab w:val="left" w:pos="630"/>
        </w:tabs>
        <w:kinsoku/>
        <w:overflowPunct/>
        <w:bidi w:val="0"/>
        <w:adjustRightInd w:val="0"/>
        <w:snapToGrid w:val="0"/>
        <w:spacing w:line="360" w:lineRule="auto"/>
        <w:ind w:left="0" w:firstLine="424" w:firstLineChars="202"/>
        <w:rPr>
          <w:rFonts w:hint="eastAsia" w:ascii="宋体" w:hAnsi="宋体" w:eastAsia="宋体" w:cs="宋体"/>
          <w:color w:val="auto"/>
          <w:szCs w:val="21"/>
        </w:rPr>
      </w:pPr>
      <w:r>
        <w:rPr>
          <w:rFonts w:hint="eastAsia" w:ascii="宋体" w:hAnsi="宋体" w:eastAsia="宋体" w:cs="宋体"/>
          <w:color w:val="auto"/>
          <w:szCs w:val="21"/>
        </w:rPr>
        <w:t>评标方法、评标标准或者评标因素一览表；</w:t>
      </w:r>
    </w:p>
    <w:p w14:paraId="5E1A0CC7">
      <w:pPr>
        <w:pStyle w:val="51"/>
        <w:pageBreakBefore w:val="0"/>
        <w:numPr>
          <w:ilvl w:val="0"/>
          <w:numId w:val="10"/>
        </w:numPr>
        <w:tabs>
          <w:tab w:val="left" w:pos="630"/>
        </w:tabs>
        <w:kinsoku/>
        <w:overflowPunct/>
        <w:bidi w:val="0"/>
        <w:adjustRightInd w:val="0"/>
        <w:snapToGrid w:val="0"/>
        <w:spacing w:line="360" w:lineRule="auto"/>
        <w:ind w:left="0" w:firstLine="424" w:firstLineChars="202"/>
        <w:rPr>
          <w:rFonts w:hint="eastAsia" w:ascii="宋体" w:hAnsi="宋体" w:eastAsia="宋体" w:cs="宋体"/>
          <w:color w:val="auto"/>
          <w:szCs w:val="21"/>
        </w:rPr>
      </w:pPr>
      <w:r>
        <w:rPr>
          <w:rFonts w:hint="eastAsia" w:ascii="宋体" w:hAnsi="宋体" w:eastAsia="宋体" w:cs="宋体"/>
          <w:color w:val="auto"/>
          <w:szCs w:val="21"/>
        </w:rPr>
        <w:t>评标专家评分原始记录表和否决投标的情况说明；</w:t>
      </w:r>
    </w:p>
    <w:p w14:paraId="4C084E7B">
      <w:pPr>
        <w:pStyle w:val="51"/>
        <w:pageBreakBefore w:val="0"/>
        <w:numPr>
          <w:ilvl w:val="0"/>
          <w:numId w:val="10"/>
        </w:numPr>
        <w:tabs>
          <w:tab w:val="left" w:pos="630"/>
        </w:tabs>
        <w:kinsoku/>
        <w:overflowPunct/>
        <w:bidi w:val="0"/>
        <w:adjustRightInd w:val="0"/>
        <w:snapToGrid w:val="0"/>
        <w:spacing w:line="360" w:lineRule="auto"/>
        <w:ind w:left="0" w:firstLine="424" w:firstLineChars="202"/>
        <w:rPr>
          <w:rFonts w:hint="eastAsia" w:ascii="宋体" w:hAnsi="宋体" w:eastAsia="宋体" w:cs="宋体"/>
          <w:color w:val="auto"/>
          <w:szCs w:val="21"/>
        </w:rPr>
      </w:pPr>
      <w:r>
        <w:rPr>
          <w:rFonts w:hint="eastAsia" w:ascii="宋体" w:hAnsi="宋体" w:eastAsia="宋体" w:cs="宋体"/>
          <w:color w:val="auto"/>
          <w:szCs w:val="21"/>
        </w:rPr>
        <w:t>经评审的价格或者评分比较一览表和投标人排序；</w:t>
      </w:r>
    </w:p>
    <w:p w14:paraId="3885A378">
      <w:pPr>
        <w:pStyle w:val="51"/>
        <w:pageBreakBefore w:val="0"/>
        <w:numPr>
          <w:ilvl w:val="0"/>
          <w:numId w:val="10"/>
        </w:numPr>
        <w:tabs>
          <w:tab w:val="left" w:pos="630"/>
        </w:tabs>
        <w:kinsoku/>
        <w:overflowPunct/>
        <w:bidi w:val="0"/>
        <w:adjustRightInd w:val="0"/>
        <w:snapToGrid w:val="0"/>
        <w:spacing w:line="360" w:lineRule="auto"/>
        <w:ind w:left="0" w:firstLine="424" w:firstLineChars="202"/>
        <w:rPr>
          <w:rFonts w:hint="eastAsia" w:ascii="宋体" w:hAnsi="宋体" w:eastAsia="宋体" w:cs="宋体"/>
          <w:color w:val="auto"/>
          <w:szCs w:val="21"/>
        </w:rPr>
      </w:pPr>
      <w:r>
        <w:rPr>
          <w:rFonts w:hint="eastAsia" w:ascii="宋体" w:hAnsi="宋体" w:eastAsia="宋体" w:cs="宋体"/>
          <w:color w:val="auto"/>
          <w:szCs w:val="21"/>
        </w:rPr>
        <w:t>推荐的中标候选人名单及其排序；</w:t>
      </w:r>
    </w:p>
    <w:p w14:paraId="072A23C7">
      <w:pPr>
        <w:pStyle w:val="51"/>
        <w:pageBreakBefore w:val="0"/>
        <w:numPr>
          <w:ilvl w:val="0"/>
          <w:numId w:val="10"/>
        </w:numPr>
        <w:tabs>
          <w:tab w:val="left" w:pos="630"/>
        </w:tabs>
        <w:kinsoku/>
        <w:overflowPunct/>
        <w:bidi w:val="0"/>
        <w:adjustRightInd w:val="0"/>
        <w:snapToGrid w:val="0"/>
        <w:spacing w:line="360" w:lineRule="auto"/>
        <w:ind w:left="0" w:firstLine="424" w:firstLineChars="202"/>
        <w:rPr>
          <w:rFonts w:hint="eastAsia" w:ascii="宋体" w:hAnsi="宋体" w:eastAsia="宋体" w:cs="宋体"/>
          <w:color w:val="auto"/>
          <w:szCs w:val="21"/>
        </w:rPr>
      </w:pPr>
      <w:r>
        <w:rPr>
          <w:rFonts w:hint="eastAsia" w:ascii="宋体" w:hAnsi="宋体" w:eastAsia="宋体" w:cs="宋体"/>
          <w:color w:val="auto"/>
          <w:szCs w:val="21"/>
        </w:rPr>
        <w:t>签订合同前要处理的事宜；</w:t>
      </w:r>
    </w:p>
    <w:p w14:paraId="0E6200F4">
      <w:pPr>
        <w:pStyle w:val="51"/>
        <w:pageBreakBefore w:val="0"/>
        <w:numPr>
          <w:ilvl w:val="0"/>
          <w:numId w:val="10"/>
        </w:numPr>
        <w:tabs>
          <w:tab w:val="left" w:pos="630"/>
        </w:tabs>
        <w:kinsoku/>
        <w:overflowPunct/>
        <w:bidi w:val="0"/>
        <w:adjustRightInd w:val="0"/>
        <w:snapToGrid w:val="0"/>
        <w:spacing w:line="360" w:lineRule="auto"/>
        <w:ind w:left="0" w:firstLine="424" w:firstLineChars="202"/>
        <w:rPr>
          <w:rFonts w:hint="eastAsia" w:ascii="宋体" w:hAnsi="宋体" w:eastAsia="宋体" w:cs="宋体"/>
          <w:color w:val="auto"/>
          <w:szCs w:val="21"/>
        </w:rPr>
      </w:pPr>
      <w:r>
        <w:rPr>
          <w:rFonts w:hint="eastAsia" w:ascii="宋体" w:hAnsi="宋体" w:eastAsia="宋体" w:cs="宋体"/>
          <w:color w:val="auto"/>
          <w:szCs w:val="21"/>
        </w:rPr>
        <w:t>澄清、说明、补正事项纪要；</w:t>
      </w:r>
    </w:p>
    <w:p w14:paraId="0084859A">
      <w:pPr>
        <w:pStyle w:val="51"/>
        <w:pageBreakBefore w:val="0"/>
        <w:numPr>
          <w:ilvl w:val="0"/>
          <w:numId w:val="10"/>
        </w:numPr>
        <w:tabs>
          <w:tab w:val="left" w:pos="630"/>
        </w:tabs>
        <w:kinsoku/>
        <w:overflowPunct/>
        <w:bidi w:val="0"/>
        <w:adjustRightInd w:val="0"/>
        <w:snapToGrid w:val="0"/>
        <w:spacing w:line="360" w:lineRule="auto"/>
        <w:ind w:left="0" w:firstLine="424" w:firstLineChars="202"/>
        <w:rPr>
          <w:rFonts w:hint="eastAsia" w:ascii="宋体" w:hAnsi="宋体" w:eastAsia="宋体" w:cs="宋体"/>
          <w:color w:val="auto"/>
          <w:szCs w:val="21"/>
        </w:rPr>
      </w:pPr>
      <w:r>
        <w:rPr>
          <w:rFonts w:hint="eastAsia" w:ascii="宋体" w:hAnsi="宋体" w:eastAsia="宋体" w:cs="宋体"/>
          <w:color w:val="auto"/>
          <w:szCs w:val="21"/>
        </w:rPr>
        <w:t>评标委员会成员名单及本人签字、拒绝在评标报告上签字的评标委员会成员名单及其陈述的不同意见和理由。</w:t>
      </w:r>
    </w:p>
    <w:p w14:paraId="21557404">
      <w:pPr>
        <w:pageBreakBefore w:val="0"/>
        <w:kinsoku/>
        <w:overflowPunct/>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br w:type="page"/>
      </w:r>
    </w:p>
    <w:p w14:paraId="5262CE05">
      <w:pPr>
        <w:pStyle w:val="51"/>
        <w:pageBreakBefore w:val="0"/>
        <w:numPr>
          <w:ilvl w:val="0"/>
          <w:numId w:val="10"/>
        </w:numPr>
        <w:tabs>
          <w:tab w:val="left" w:pos="630"/>
        </w:tabs>
        <w:kinsoku/>
        <w:overflowPunct/>
        <w:bidi w:val="0"/>
        <w:adjustRightInd w:val="0"/>
        <w:snapToGrid w:val="0"/>
        <w:spacing w:line="360" w:lineRule="auto"/>
        <w:ind w:left="0" w:firstLine="424" w:firstLineChars="202"/>
        <w:rPr>
          <w:rFonts w:hint="eastAsia" w:ascii="宋体" w:hAnsi="宋体" w:eastAsia="宋体" w:cs="宋体"/>
          <w:color w:val="auto"/>
          <w:szCs w:val="21"/>
        </w:rPr>
        <w:sectPr>
          <w:pgSz w:w="11906" w:h="16838"/>
          <w:pgMar w:top="1440" w:right="1800" w:bottom="1440" w:left="1800" w:header="851" w:footer="992" w:gutter="0"/>
          <w:pgNumType w:fmt="decimal"/>
          <w:cols w:space="425" w:num="1"/>
          <w:docGrid w:type="lines" w:linePitch="312" w:charSpace="0"/>
        </w:sectPr>
      </w:pPr>
    </w:p>
    <w:bookmarkEnd w:id="1257"/>
    <w:bookmarkEnd w:id="1258"/>
    <w:bookmarkEnd w:id="1259"/>
    <w:bookmarkEnd w:id="1260"/>
    <w:bookmarkEnd w:id="1261"/>
    <w:p w14:paraId="7DB6F6E2">
      <w:pPr>
        <w:pStyle w:val="50"/>
        <w:pageBreakBefore w:val="0"/>
        <w:numPr>
          <w:ilvl w:val="0"/>
          <w:numId w:val="11"/>
        </w:numPr>
        <w:kinsoku/>
        <w:overflowPunct/>
        <w:bidi w:val="0"/>
        <w:spacing w:before="240" w:after="120" w:line="360" w:lineRule="auto"/>
        <w:rPr>
          <w:rFonts w:hint="eastAsia" w:ascii="宋体" w:hAnsi="宋体" w:eastAsia="宋体" w:cs="宋体"/>
          <w:b/>
          <w:bCs/>
          <w:color w:val="auto"/>
          <w:sz w:val="28"/>
          <w:szCs w:val="28"/>
        </w:rPr>
      </w:pPr>
      <w:bookmarkStart w:id="1408" w:name="_Toc475472623"/>
      <w:bookmarkStart w:id="1409" w:name="_Toc2678"/>
      <w:bookmarkStart w:id="1410" w:name="_Toc38008030"/>
      <w:bookmarkStart w:id="1411" w:name="_Toc447265313"/>
      <w:bookmarkStart w:id="1412" w:name="_Toc107822570"/>
      <w:bookmarkStart w:id="1413" w:name="_Toc226969353"/>
      <w:bookmarkStart w:id="1414" w:name="_Toc447265599"/>
      <w:bookmarkStart w:id="1415" w:name="_Toc227057959"/>
      <w:r>
        <w:rPr>
          <w:rFonts w:hint="eastAsia" w:ascii="宋体" w:hAnsi="宋体" w:eastAsia="宋体" w:cs="宋体"/>
          <w:b/>
          <w:bCs w:val="0"/>
          <w:color w:val="auto"/>
          <w:kern w:val="0"/>
          <w:sz w:val="28"/>
          <w:szCs w:val="28"/>
        </w:rPr>
        <w:t>合同条款</w:t>
      </w:r>
      <w:bookmarkEnd w:id="1408"/>
      <w:bookmarkEnd w:id="1409"/>
      <w:bookmarkEnd w:id="1410"/>
      <w:bookmarkStart w:id="1416" w:name="_Toc447265563"/>
      <w:bookmarkStart w:id="1417" w:name="_Toc447265277"/>
      <w:bookmarkStart w:id="1418" w:name="_Toc227057923"/>
      <w:bookmarkStart w:id="1419" w:name="_Toc226969317"/>
      <w:bookmarkStart w:id="1420" w:name="_Toc475472625"/>
    </w:p>
    <w:p w14:paraId="790BAE51">
      <w:pPr>
        <w:widowControl/>
        <w:autoSpaceDE w:val="0"/>
        <w:autoSpaceDN w:val="0"/>
        <w:spacing w:line="360" w:lineRule="exact"/>
        <w:ind w:firstLine="420" w:firstLineChars="200"/>
        <w:jc w:val="center"/>
        <w:textAlignment w:val="bottom"/>
        <w:rPr>
          <w:rFonts w:hint="eastAsia" w:ascii="宋体" w:hAnsi="宋体" w:eastAsia="宋体" w:cs="宋体"/>
          <w:color w:val="auto"/>
          <w:sz w:val="21"/>
          <w:szCs w:val="21"/>
        </w:rPr>
      </w:pPr>
    </w:p>
    <w:p w14:paraId="164D1151">
      <w:pPr>
        <w:widowControl/>
        <w:autoSpaceDE w:val="0"/>
        <w:autoSpaceDN w:val="0"/>
        <w:spacing w:line="360" w:lineRule="exact"/>
        <w:ind w:firstLine="420" w:firstLineChars="200"/>
        <w:jc w:val="center"/>
        <w:textAlignment w:val="bottom"/>
        <w:rPr>
          <w:rFonts w:hint="eastAsia" w:ascii="宋体" w:hAnsi="宋体" w:eastAsia="宋体" w:cs="宋体"/>
          <w:color w:val="auto"/>
          <w:sz w:val="21"/>
          <w:szCs w:val="21"/>
        </w:rPr>
      </w:pPr>
    </w:p>
    <w:p w14:paraId="353416D0">
      <w:pPr>
        <w:rPr>
          <w:rFonts w:hint="eastAsia" w:ascii="宋体" w:hAnsi="宋体" w:eastAsia="宋体" w:cs="宋体"/>
          <w:sz w:val="21"/>
          <w:szCs w:val="21"/>
        </w:rPr>
      </w:pPr>
    </w:p>
    <w:p w14:paraId="71A9A1C0">
      <w:pPr>
        <w:rPr>
          <w:rFonts w:hint="eastAsia" w:ascii="宋体" w:hAnsi="宋体" w:eastAsia="宋体" w:cs="宋体"/>
          <w:b/>
          <w:bCs/>
          <w:sz w:val="21"/>
          <w:szCs w:val="21"/>
        </w:rPr>
      </w:pPr>
    </w:p>
    <w:p w14:paraId="17540A53">
      <w:pPr>
        <w:rPr>
          <w:rFonts w:hint="eastAsia" w:ascii="宋体" w:hAnsi="宋体" w:eastAsia="宋体" w:cs="宋体"/>
          <w:b/>
          <w:bCs/>
          <w:sz w:val="21"/>
          <w:szCs w:val="21"/>
        </w:rPr>
      </w:pPr>
    </w:p>
    <w:p w14:paraId="7E0E4CC7">
      <w:pPr>
        <w:rPr>
          <w:rFonts w:hint="eastAsia" w:ascii="宋体" w:hAnsi="宋体" w:eastAsia="宋体" w:cs="宋体"/>
          <w:b/>
          <w:bCs/>
          <w:sz w:val="21"/>
          <w:szCs w:val="21"/>
        </w:rPr>
      </w:pPr>
    </w:p>
    <w:p w14:paraId="38FD22A0">
      <w:pPr>
        <w:rPr>
          <w:rFonts w:hint="eastAsia" w:ascii="宋体" w:hAnsi="宋体" w:eastAsia="宋体" w:cs="宋体"/>
          <w:b/>
          <w:bCs/>
          <w:sz w:val="21"/>
          <w:szCs w:val="21"/>
        </w:rPr>
      </w:pPr>
    </w:p>
    <w:p w14:paraId="6E9E03A1">
      <w:pPr>
        <w:rPr>
          <w:rFonts w:hint="eastAsia" w:ascii="宋体" w:hAnsi="宋体" w:eastAsia="宋体" w:cs="宋体"/>
          <w:b/>
          <w:bCs/>
          <w:sz w:val="21"/>
          <w:szCs w:val="21"/>
        </w:rPr>
      </w:pPr>
    </w:p>
    <w:p w14:paraId="62D5A2AE">
      <w:pPr>
        <w:jc w:val="center"/>
        <w:rPr>
          <w:rFonts w:hint="eastAsia" w:ascii="宋体" w:hAnsi="宋体" w:eastAsia="宋体" w:cs="宋体"/>
          <w:b/>
          <w:bCs/>
          <w:sz w:val="21"/>
          <w:szCs w:val="21"/>
        </w:rPr>
      </w:pPr>
      <w:r>
        <w:rPr>
          <w:rFonts w:hint="eastAsia" w:ascii="宋体" w:hAnsi="宋体" w:eastAsia="宋体" w:cs="宋体"/>
          <w:b/>
          <w:sz w:val="21"/>
          <w:szCs w:val="21"/>
        </w:rPr>
        <w:t>[ 2025年中国电信贵阳分公司低压动力设备维护抢修服务框架采购 ]</w:t>
      </w:r>
      <w:r>
        <w:rPr>
          <w:rFonts w:hint="eastAsia" w:ascii="宋体" w:hAnsi="宋体" w:eastAsia="宋体" w:cs="宋体"/>
          <w:b/>
          <w:bCs/>
          <w:sz w:val="21"/>
          <w:szCs w:val="21"/>
        </w:rPr>
        <w:t>技术服务框架协议</w:t>
      </w:r>
    </w:p>
    <w:p w14:paraId="5473F9B0">
      <w:pPr>
        <w:rPr>
          <w:rFonts w:hint="eastAsia" w:ascii="宋体" w:hAnsi="宋体" w:eastAsia="宋体" w:cs="宋体"/>
          <w:sz w:val="21"/>
          <w:szCs w:val="21"/>
        </w:rPr>
      </w:pPr>
    </w:p>
    <w:p w14:paraId="1A48D423">
      <w:pPr>
        <w:rPr>
          <w:rFonts w:hint="eastAsia" w:ascii="宋体" w:hAnsi="宋体" w:eastAsia="宋体" w:cs="宋体"/>
          <w:sz w:val="21"/>
          <w:szCs w:val="21"/>
        </w:rPr>
      </w:pPr>
    </w:p>
    <w:p w14:paraId="2294C79F">
      <w:pPr>
        <w:rPr>
          <w:rFonts w:hint="eastAsia" w:ascii="宋体" w:hAnsi="宋体" w:eastAsia="宋体" w:cs="宋体"/>
          <w:sz w:val="21"/>
          <w:szCs w:val="21"/>
        </w:rPr>
      </w:pPr>
    </w:p>
    <w:p w14:paraId="7056ECB0">
      <w:pPr>
        <w:rPr>
          <w:rFonts w:hint="eastAsia" w:ascii="宋体" w:hAnsi="宋体" w:eastAsia="宋体" w:cs="宋体"/>
          <w:sz w:val="21"/>
          <w:szCs w:val="21"/>
        </w:rPr>
      </w:pPr>
    </w:p>
    <w:p w14:paraId="7A06B075">
      <w:pPr>
        <w:rPr>
          <w:rFonts w:hint="eastAsia" w:ascii="宋体" w:hAnsi="宋体" w:eastAsia="宋体" w:cs="宋体"/>
          <w:sz w:val="21"/>
          <w:szCs w:val="21"/>
        </w:rPr>
      </w:pPr>
    </w:p>
    <w:p w14:paraId="6FBEC4A1">
      <w:pPr>
        <w:rPr>
          <w:rFonts w:hint="eastAsia" w:ascii="宋体" w:hAnsi="宋体" w:eastAsia="宋体" w:cs="宋体"/>
          <w:sz w:val="21"/>
          <w:szCs w:val="21"/>
          <w:u w:val="single"/>
        </w:rPr>
      </w:pPr>
      <w:r>
        <w:rPr>
          <w:rFonts w:hint="eastAsia" w:ascii="宋体" w:hAnsi="宋体" w:eastAsia="宋体" w:cs="宋体"/>
          <w:sz w:val="21"/>
          <w:szCs w:val="21"/>
        </w:rPr>
        <w:t xml:space="preserve">项目名称: [  </w:t>
      </w:r>
      <w:r>
        <w:rPr>
          <w:rFonts w:hint="eastAsia" w:ascii="宋体" w:hAnsi="宋体" w:eastAsia="宋体" w:cs="宋体"/>
          <w:sz w:val="21"/>
          <w:szCs w:val="21"/>
          <w:lang w:eastAsia="zh-CN"/>
        </w:rPr>
        <w:t>2025年中国电信贵阳分公司低压动力设备维护抢修服务框架采购</w:t>
      </w:r>
      <w:r>
        <w:rPr>
          <w:rFonts w:hint="eastAsia" w:ascii="宋体" w:hAnsi="宋体" w:eastAsia="宋体" w:cs="宋体"/>
          <w:sz w:val="21"/>
          <w:szCs w:val="21"/>
        </w:rPr>
        <w:t xml:space="preserve"> ]                                               </w:t>
      </w:r>
    </w:p>
    <w:p w14:paraId="123B0F9D">
      <w:pPr>
        <w:rPr>
          <w:rFonts w:hint="eastAsia" w:ascii="宋体" w:hAnsi="宋体" w:eastAsia="宋体" w:cs="宋体"/>
          <w:sz w:val="21"/>
          <w:szCs w:val="21"/>
          <w:u w:val="single"/>
        </w:rPr>
      </w:pPr>
      <w:r>
        <w:rPr>
          <w:rFonts w:hint="eastAsia" w:ascii="宋体" w:hAnsi="宋体" w:eastAsia="宋体" w:cs="宋体"/>
          <w:sz w:val="21"/>
          <w:szCs w:val="21"/>
        </w:rPr>
        <w:t>委托方(甲方): 中国电信[ 股份有限公司贵阳分 ]公司</w:t>
      </w:r>
    </w:p>
    <w:p w14:paraId="54D8CAAA">
      <w:pPr>
        <w:rPr>
          <w:rFonts w:hint="eastAsia" w:ascii="宋体" w:hAnsi="宋体" w:eastAsia="宋体" w:cs="宋体"/>
          <w:sz w:val="21"/>
          <w:szCs w:val="21"/>
          <w:u w:val="single"/>
        </w:rPr>
      </w:pPr>
      <w:r>
        <w:rPr>
          <w:rFonts w:hint="eastAsia" w:ascii="宋体" w:hAnsi="宋体" w:eastAsia="宋体" w:cs="宋体"/>
          <w:sz w:val="21"/>
          <w:szCs w:val="21"/>
        </w:rPr>
        <w:t xml:space="preserve">受托方(乙方): [  ]                                           </w:t>
      </w:r>
    </w:p>
    <w:p w14:paraId="189C9C22">
      <w:pPr>
        <w:tabs>
          <w:tab w:val="left" w:pos="8715"/>
        </w:tabs>
        <w:rPr>
          <w:rFonts w:hint="eastAsia" w:ascii="宋体" w:hAnsi="宋体" w:eastAsia="宋体" w:cs="宋体"/>
          <w:sz w:val="21"/>
          <w:szCs w:val="21"/>
          <w:u w:val="single"/>
        </w:rPr>
      </w:pPr>
      <w:r>
        <w:rPr>
          <w:rFonts w:hint="eastAsia" w:ascii="宋体" w:hAnsi="宋体" w:eastAsia="宋体" w:cs="宋体"/>
          <w:sz w:val="21"/>
          <w:szCs w:val="21"/>
        </w:rPr>
        <w:t xml:space="preserve">                                              </w:t>
      </w:r>
    </w:p>
    <w:p w14:paraId="51F7951E">
      <w:pPr>
        <w:rPr>
          <w:rFonts w:hint="eastAsia" w:ascii="宋体" w:hAnsi="宋体" w:eastAsia="宋体" w:cs="宋体"/>
          <w:sz w:val="21"/>
          <w:szCs w:val="21"/>
          <w:u w:val="single"/>
        </w:rPr>
      </w:pPr>
    </w:p>
    <w:p w14:paraId="32B7BE5D">
      <w:pPr>
        <w:rPr>
          <w:rFonts w:hint="eastAsia" w:ascii="宋体" w:hAnsi="宋体" w:eastAsia="宋体" w:cs="宋体"/>
          <w:sz w:val="21"/>
          <w:szCs w:val="21"/>
        </w:rPr>
      </w:pPr>
    </w:p>
    <w:p w14:paraId="4F6633AD">
      <w:pPr>
        <w:rPr>
          <w:rFonts w:hint="eastAsia" w:ascii="宋体" w:hAnsi="宋体" w:eastAsia="宋体" w:cs="宋体"/>
          <w:sz w:val="21"/>
          <w:szCs w:val="21"/>
        </w:rPr>
      </w:pPr>
    </w:p>
    <w:p w14:paraId="100774EA">
      <w:pPr>
        <w:spacing w:line="360" w:lineRule="exact"/>
        <w:jc w:val="center"/>
        <w:rPr>
          <w:rFonts w:hint="eastAsia" w:ascii="宋体" w:hAnsi="宋体" w:eastAsia="宋体" w:cs="宋体"/>
          <w:sz w:val="21"/>
          <w:szCs w:val="21"/>
        </w:rPr>
        <w:sectPr>
          <w:headerReference r:id="rId9" w:type="default"/>
          <w:footerReference r:id="rId10" w:type="default"/>
          <w:type w:val="continuous"/>
          <w:pgSz w:w="11907" w:h="16840"/>
          <w:pgMar w:top="1440" w:right="1803" w:bottom="1440" w:left="1803" w:header="454" w:footer="992" w:gutter="0"/>
          <w:cols w:space="720" w:num="1"/>
          <w:docGrid w:type="lines" w:linePitch="312" w:charSpace="0"/>
        </w:sectPr>
      </w:pPr>
      <w:r>
        <w:rPr>
          <w:rFonts w:hint="eastAsia" w:ascii="宋体" w:hAnsi="宋体" w:eastAsia="宋体" w:cs="宋体"/>
          <w:sz w:val="21"/>
          <w:szCs w:val="21"/>
        </w:rPr>
        <w:t>中华人民共和国科学技术部印制</w:t>
      </w:r>
    </w:p>
    <w:p w14:paraId="4BDD79E9">
      <w:pPr>
        <w:widowControl/>
        <w:spacing w:line="360" w:lineRule="exact"/>
        <w:jc w:val="center"/>
        <w:rPr>
          <w:rFonts w:hint="eastAsia" w:ascii="宋体" w:hAnsi="宋体" w:eastAsia="宋体" w:cs="宋体"/>
          <w:b/>
          <w:bCs/>
          <w:sz w:val="21"/>
          <w:szCs w:val="21"/>
        </w:rPr>
      </w:pPr>
      <w:r>
        <w:rPr>
          <w:rFonts w:hint="eastAsia" w:ascii="宋体" w:hAnsi="宋体" w:eastAsia="宋体" w:cs="宋体"/>
          <w:b/>
          <w:sz w:val="21"/>
          <w:szCs w:val="21"/>
        </w:rPr>
        <w:t xml:space="preserve">[ </w:t>
      </w:r>
      <w:r>
        <w:rPr>
          <w:rFonts w:hint="eastAsia" w:ascii="宋体" w:hAnsi="宋体" w:eastAsia="宋体" w:cs="宋体"/>
          <w:b/>
          <w:sz w:val="21"/>
          <w:szCs w:val="21"/>
          <w:lang w:eastAsia="zh-CN"/>
        </w:rPr>
        <w:t>2025年中国电信贵阳分公司低压动力设备维护抢修服务框架采购</w:t>
      </w:r>
      <w:r>
        <w:rPr>
          <w:rFonts w:hint="eastAsia" w:ascii="宋体" w:hAnsi="宋体" w:eastAsia="宋体" w:cs="宋体"/>
          <w:b/>
          <w:sz w:val="21"/>
          <w:szCs w:val="21"/>
        </w:rPr>
        <w:t xml:space="preserve">  ]</w:t>
      </w:r>
      <w:r>
        <w:rPr>
          <w:rFonts w:hint="eastAsia" w:ascii="宋体" w:hAnsi="宋体" w:eastAsia="宋体" w:cs="宋体"/>
          <w:b/>
          <w:bCs/>
          <w:sz w:val="21"/>
          <w:szCs w:val="21"/>
        </w:rPr>
        <w:t>技术服务框架协议</w:t>
      </w:r>
    </w:p>
    <w:p w14:paraId="7AAB9942">
      <w:pPr>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协议签订地：[ </w:t>
      </w:r>
      <w:r>
        <w:rPr>
          <w:rFonts w:hint="eastAsia" w:ascii="宋体" w:hAnsi="宋体" w:eastAsia="宋体" w:cs="宋体"/>
          <w:kern w:val="0"/>
          <w:sz w:val="21"/>
          <w:szCs w:val="21"/>
          <w:lang w:val="en-US" w:eastAsia="zh-CN"/>
        </w:rPr>
        <w:t>贵阳</w:t>
      </w:r>
      <w:r>
        <w:rPr>
          <w:rFonts w:hint="eastAsia" w:ascii="宋体" w:hAnsi="宋体" w:eastAsia="宋体" w:cs="宋体"/>
          <w:kern w:val="0"/>
          <w:sz w:val="21"/>
          <w:szCs w:val="21"/>
        </w:rPr>
        <w:t xml:space="preserve"> ]</w:t>
      </w:r>
    </w:p>
    <w:p w14:paraId="206FC678">
      <w:pPr>
        <w:spacing w:line="360" w:lineRule="exact"/>
        <w:jc w:val="left"/>
        <w:rPr>
          <w:rFonts w:hint="eastAsia" w:ascii="宋体" w:hAnsi="宋体" w:eastAsia="宋体" w:cs="宋体"/>
          <w:kern w:val="0"/>
          <w:sz w:val="21"/>
          <w:szCs w:val="21"/>
        </w:rPr>
      </w:pPr>
    </w:p>
    <w:p w14:paraId="504B9DF4">
      <w:pPr>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委托方（甲方）：中国电信[ 股份有限公司贵阳分 ]公司</w:t>
      </w:r>
    </w:p>
    <w:p w14:paraId="7431D00E">
      <w:pPr>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地址：[ 贵州省贵阳市云岩区新添大道南段半边街17号 ]     </w:t>
      </w:r>
    </w:p>
    <w:p w14:paraId="39503E53">
      <w:pPr>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法定代表人/负责人：[ </w:t>
      </w:r>
      <w:r>
        <w:rPr>
          <w:rFonts w:hint="eastAsia" w:ascii="宋体" w:hAnsi="宋体" w:eastAsia="宋体" w:cs="宋体"/>
          <w:kern w:val="0"/>
          <w:sz w:val="21"/>
          <w:szCs w:val="21"/>
          <w:lang w:eastAsia="zh-CN"/>
        </w:rPr>
        <w:t>王林松</w:t>
      </w:r>
      <w:r>
        <w:rPr>
          <w:rFonts w:hint="eastAsia" w:ascii="宋体" w:hAnsi="宋体" w:eastAsia="宋体" w:cs="宋体"/>
          <w:kern w:val="0"/>
          <w:sz w:val="21"/>
          <w:szCs w:val="21"/>
        </w:rPr>
        <w:t xml:space="preserve"> ]        </w:t>
      </w:r>
    </w:p>
    <w:p w14:paraId="604627E8">
      <w:pPr>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项目联系人：[  ]           </w:t>
      </w:r>
    </w:p>
    <w:p w14:paraId="0CDCDAAE">
      <w:pPr>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通讯地址：[  ]                                     </w:t>
      </w:r>
    </w:p>
    <w:p w14:paraId="31C5CB8B">
      <w:pPr>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电话：[  ]                    传真：[  ]            </w:t>
      </w:r>
    </w:p>
    <w:p w14:paraId="5E57E862">
      <w:pPr>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电子邮箱：[  ]                                          </w:t>
      </w:r>
    </w:p>
    <w:p w14:paraId="77CF6AFC">
      <w:pPr>
        <w:spacing w:line="360" w:lineRule="exact"/>
        <w:ind w:firstLine="420" w:firstLineChars="200"/>
        <w:jc w:val="left"/>
        <w:rPr>
          <w:rFonts w:hint="eastAsia" w:ascii="宋体" w:hAnsi="宋体" w:eastAsia="宋体" w:cs="宋体"/>
          <w:kern w:val="0"/>
          <w:sz w:val="21"/>
          <w:szCs w:val="21"/>
        </w:rPr>
      </w:pPr>
    </w:p>
    <w:p w14:paraId="78054A89">
      <w:pPr>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受托方（乙方）：[  ]                        </w:t>
      </w:r>
    </w:p>
    <w:p w14:paraId="5C421E08">
      <w:pPr>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地址：[  ]     </w:t>
      </w:r>
    </w:p>
    <w:p w14:paraId="07D1FA55">
      <w:pPr>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法定代表人/负责人：[  ]        </w:t>
      </w:r>
    </w:p>
    <w:p w14:paraId="57E3DC81">
      <w:pPr>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项目联系人：[  ]           </w:t>
      </w:r>
    </w:p>
    <w:p w14:paraId="10BE7682">
      <w:pPr>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通讯地址：[  ]                                     </w:t>
      </w:r>
    </w:p>
    <w:p w14:paraId="33ACDB4D">
      <w:pPr>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电话：[  ]                    传真：[  ]            </w:t>
      </w:r>
    </w:p>
    <w:p w14:paraId="4AEC8120">
      <w:pPr>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电子邮箱：[  ] </w:t>
      </w:r>
    </w:p>
    <w:p w14:paraId="759B82A3">
      <w:pPr>
        <w:spacing w:line="36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甲方、乙方经过平等协商，在真实、充分地表达各自意愿的基础上，根据《中华人民共和国民法典》以及相关法律法规的规定，达成如下协议，并由双方共同恪守。</w:t>
      </w:r>
    </w:p>
    <w:p w14:paraId="0AA23900">
      <w:pPr>
        <w:tabs>
          <w:tab w:val="left" w:pos="525"/>
        </w:tabs>
        <w:spacing w:line="36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第一条委托项目</w:t>
      </w:r>
    </w:p>
    <w:p w14:paraId="313AA6AF">
      <w:pPr>
        <w:widowControl/>
        <w:autoSpaceDE w:val="0"/>
        <w:autoSpaceDN w:val="0"/>
        <w:spacing w:line="360" w:lineRule="exact"/>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 xml:space="preserve">乙方作为甲方的服务提供商,根据甲方和/或采购方要求在[ </w:t>
      </w:r>
      <w:r>
        <w:rPr>
          <w:rFonts w:hint="eastAsia" w:ascii="宋体" w:hAnsi="宋体" w:eastAsia="宋体" w:cs="宋体"/>
          <w:sz w:val="21"/>
          <w:szCs w:val="21"/>
          <w:lang w:val="en-US" w:eastAsia="zh-CN"/>
        </w:rPr>
        <w:t>服务</w:t>
      </w:r>
      <w:r>
        <w:rPr>
          <w:rFonts w:hint="eastAsia" w:ascii="宋体" w:hAnsi="宋体" w:eastAsia="宋体" w:cs="宋体"/>
          <w:sz w:val="21"/>
          <w:szCs w:val="21"/>
        </w:rPr>
        <w:t xml:space="preserve"> ]期限范围内、按照本协议和本协议项下的订单约定的条件为甲方和/或采购方的提供技术服务，技术服务内容和范围等见附件。根据不同情况，向乙方下达订单的采购单位（“采购方”）可以是甲方，也可以是甲方的分公司、子公司。本协议的双方指乙方以及甲方和/或采购方。</w:t>
      </w:r>
    </w:p>
    <w:p w14:paraId="46468FDB">
      <w:pPr>
        <w:spacing w:line="360" w:lineRule="exact"/>
        <w:ind w:firstLine="422" w:firstLineChars="200"/>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第二条技术服务具体要求</w:t>
      </w:r>
    </w:p>
    <w:p w14:paraId="0B0FBFF8">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2.1 乙方为甲方和/或采购方提供技术服务的地点、服务期限、服务进度、质量要求、质量期限要求见订单。</w:t>
      </w:r>
    </w:p>
    <w:p w14:paraId="4D7046DE">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2.2 未经甲方和/或采购方事先书面同意，乙方不得将本协议和/或订单项下的委托事项分包或转包给第三方。乙方如征得甲方和/或采购方书面同意将部分工作交由第三方办理的，应当负责审核该第三方的资质，保证该第三方具备完成委托事项的资质和能力，并就该第三方的工作向甲方和/或采购方承担全部责任。</w:t>
      </w:r>
    </w:p>
    <w:p w14:paraId="5C278D21">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2.3 双方确定，在本协议有效期内，乙方指定[  ]为乙方项目联系人，作为乙方履约代表。该项目联系人作出的意思表示均视为乙方的意思表示，对乙方具有约束力。乙方如变更项目联系人，应当提前及时以书面形式通知甲方和/或采购方；未及时通知而影响本协议履行或造成损失的，乙方应当承担相应的责任，并赔偿甲方和/或采购方全部损失。</w:t>
      </w:r>
    </w:p>
    <w:p w14:paraId="46B96B33">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2.4乙方应当签署并履行附件的《安全生产管理责任书》。乙方应当对其参与协议履行的相关作业人员（“作业人员”）进行安全生产教育，并就该等人员的行为向甲方承担全部责任。</w:t>
      </w:r>
    </w:p>
    <w:p w14:paraId="3996A412">
      <w:pPr>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2.5乙方应当签署附件《网络及信息安全承诺书》，并严格遵守在该等文件中的承诺。</w:t>
      </w:r>
    </w:p>
    <w:p w14:paraId="52105DE9">
      <w:pPr>
        <w:spacing w:line="360" w:lineRule="exact"/>
        <w:ind w:firstLine="422" w:firstLineChars="200"/>
        <w:jc w:val="left"/>
        <w:rPr>
          <w:rFonts w:hint="eastAsia" w:ascii="宋体" w:hAnsi="宋体" w:eastAsia="宋体" w:cs="宋体"/>
          <w:b/>
          <w:sz w:val="21"/>
          <w:szCs w:val="21"/>
        </w:rPr>
      </w:pPr>
      <w:r>
        <w:rPr>
          <w:rFonts w:hint="eastAsia" w:ascii="宋体" w:hAnsi="宋体" w:eastAsia="宋体" w:cs="宋体"/>
          <w:b/>
          <w:bCs/>
          <w:kern w:val="0"/>
          <w:sz w:val="21"/>
          <w:szCs w:val="21"/>
        </w:rPr>
        <w:t>第三条</w:t>
      </w:r>
      <w:r>
        <w:rPr>
          <w:rFonts w:hint="eastAsia" w:ascii="宋体" w:hAnsi="宋体" w:eastAsia="宋体" w:cs="宋体"/>
          <w:b/>
          <w:sz w:val="21"/>
          <w:szCs w:val="21"/>
        </w:rPr>
        <w:t>订单的确认</w:t>
      </w:r>
    </w:p>
    <w:p w14:paraId="7615B1CD">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3.1 双方约定按第3.1.1条的方式对订单的法律效力进行确认并由乙方传回甲方和/或采购方，以确认订单信息。如乙方在订单发出后[ </w:t>
      </w:r>
      <w:r>
        <w:rPr>
          <w:rFonts w:hint="eastAsia" w:ascii="宋体" w:hAnsi="宋体" w:eastAsia="宋体" w:cs="宋体"/>
          <w:sz w:val="21"/>
          <w:szCs w:val="21"/>
          <w:lang w:val="en-US" w:eastAsia="zh-CN"/>
        </w:rPr>
        <w:t>8</w:t>
      </w:r>
      <w:r>
        <w:rPr>
          <w:rFonts w:hint="eastAsia" w:ascii="宋体" w:hAnsi="宋体" w:eastAsia="宋体" w:cs="宋体"/>
          <w:sz w:val="21"/>
          <w:szCs w:val="21"/>
        </w:rPr>
        <w:t xml:space="preserve"> ]小时内未传回订单，则视为乙方已确认订单并同意接受订单约束，除非甲方和/或采购方撤销订单；如果乙方对传回的订单进行了任何修改，甲方和/或采购方有权不同意修改内容、拒绝确认订单且不承担任何责任。</w:t>
      </w:r>
    </w:p>
    <w:p w14:paraId="479256D2">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3.1.1 订单确认方式为以下第（</w:t>
      </w: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 ）种方式：</w:t>
      </w:r>
    </w:p>
    <w:p w14:paraId="09DC1E74">
      <w:pPr>
        <w:widowControl/>
        <w:tabs>
          <w:tab w:val="left" w:pos="0"/>
        </w:tabs>
        <w:autoSpaceDE w:val="0"/>
        <w:autoSpaceDN w:val="0"/>
        <w:spacing w:line="360" w:lineRule="exact"/>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（1）双方签字盖章；采用电子印章的，双方加盖电子印章。</w:t>
      </w:r>
    </w:p>
    <w:p w14:paraId="4D224E82">
      <w:pPr>
        <w:widowControl/>
        <w:tabs>
          <w:tab w:val="left" w:pos="0"/>
        </w:tabs>
        <w:autoSpaceDE w:val="0"/>
        <w:autoSpaceDN w:val="0"/>
        <w:spacing w:line="360" w:lineRule="exact"/>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 xml:space="preserve">（2）其他方式：[ </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 ]。</w:t>
      </w:r>
    </w:p>
    <w:p w14:paraId="4924C835">
      <w:pPr>
        <w:widowControl/>
        <w:tabs>
          <w:tab w:val="left" w:pos="0"/>
        </w:tabs>
        <w:autoSpaceDE w:val="0"/>
        <w:autoSpaceDN w:val="0"/>
        <w:spacing w:line="360" w:lineRule="exact"/>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 xml:space="preserve">3.1.2 除双方加盖电子印章的订单外，乙方应当将订单原件在[ </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]日内送达甲方和/或采购方，否则甲方和/或采购方有权拒绝付款。</w:t>
      </w:r>
    </w:p>
    <w:p w14:paraId="05981A9B">
      <w:pPr>
        <w:widowControl/>
        <w:tabs>
          <w:tab w:val="left" w:pos="0"/>
        </w:tabs>
        <w:autoSpaceDE w:val="0"/>
        <w:autoSpaceDN w:val="0"/>
        <w:spacing w:line="360" w:lineRule="exact"/>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3.1.3 确认的订单对乙方具有约束力。未经甲方和/或采购方书面同意，乙方不得对确认的订单进行变更或撤销。</w:t>
      </w:r>
    </w:p>
    <w:p w14:paraId="7AB23F1F">
      <w:pPr>
        <w:spacing w:line="36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 xml:space="preserve"> 3.2 乙方以任何方式违反本协议约定，包括但不限于存在下述情形之一的，甲方和/或采购方有权采取包括中止订单、终止订单、调整或取消乙方在本协议项下的份额直至终止本协议、取消其服务供应商资格等措施：</w:t>
      </w:r>
    </w:p>
    <w:p w14:paraId="3B82AAC9">
      <w:pPr>
        <w:spacing w:line="36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 xml:space="preserve"> 3.2.1 乙方违反本协议规定将本协议和/或订单分包或转包给第三方。</w:t>
      </w:r>
    </w:p>
    <w:p w14:paraId="6DDCFADA">
      <w:pPr>
        <w:widowControl/>
        <w:tabs>
          <w:tab w:val="left" w:pos="0"/>
        </w:tabs>
        <w:autoSpaceDE w:val="0"/>
        <w:autoSpaceDN w:val="0"/>
        <w:spacing w:line="360" w:lineRule="exact"/>
        <w:textAlignment w:val="bottom"/>
        <w:rPr>
          <w:rFonts w:hint="eastAsia" w:ascii="宋体" w:hAnsi="宋体" w:eastAsia="宋体" w:cs="宋体"/>
          <w:sz w:val="21"/>
          <w:szCs w:val="21"/>
        </w:rPr>
      </w:pPr>
      <w:r>
        <w:rPr>
          <w:rFonts w:hint="eastAsia" w:ascii="宋体" w:hAnsi="宋体" w:eastAsia="宋体" w:cs="宋体"/>
          <w:sz w:val="21"/>
          <w:szCs w:val="21"/>
        </w:rPr>
        <w:t xml:space="preserve">    3.2.2 未按照本协议约定确认订单，或不按照本协议约定的时限传回订单。</w:t>
      </w:r>
    </w:p>
    <w:p w14:paraId="7788A79D">
      <w:pPr>
        <w:spacing w:line="360" w:lineRule="exact"/>
        <w:rPr>
          <w:rFonts w:hint="eastAsia" w:ascii="宋体" w:hAnsi="宋体" w:eastAsia="宋体" w:cs="宋体"/>
          <w:sz w:val="21"/>
          <w:szCs w:val="21"/>
        </w:rPr>
      </w:pPr>
      <w:r>
        <w:rPr>
          <w:rFonts w:hint="eastAsia" w:ascii="宋体" w:hAnsi="宋体" w:eastAsia="宋体" w:cs="宋体"/>
          <w:sz w:val="21"/>
          <w:szCs w:val="21"/>
        </w:rPr>
        <w:t xml:space="preserve">    3.2.3 本协议约定的其他情形。</w:t>
      </w:r>
    </w:p>
    <w:p w14:paraId="2619FF64">
      <w:pPr>
        <w:spacing w:line="36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 xml:space="preserve"> 3.2.4 [ </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 ]。</w:t>
      </w:r>
    </w:p>
    <w:p w14:paraId="1E1C8C04">
      <w:pPr>
        <w:spacing w:line="360" w:lineRule="exact"/>
        <w:ind w:firstLine="371" w:firstLineChars="177"/>
        <w:rPr>
          <w:rFonts w:hint="eastAsia" w:ascii="宋体" w:hAnsi="宋体" w:eastAsia="宋体" w:cs="宋体"/>
          <w:sz w:val="21"/>
          <w:szCs w:val="21"/>
        </w:rPr>
      </w:pPr>
      <w:r>
        <w:rPr>
          <w:rFonts w:hint="eastAsia" w:ascii="宋体" w:hAnsi="宋体" w:eastAsia="宋体" w:cs="宋体"/>
          <w:sz w:val="21"/>
          <w:szCs w:val="21"/>
        </w:rPr>
        <w:t>3.3 根据本协议下达的订单受本协议的约束。在本协议终止或解除后，甲方和/或采购方不再向乙方下达新的订单，但双方仍应当按照本协议的其他规定和已确认的订单继续履行，直至该订单下的权利义务履行完毕。订单终止或解除，不影响本协议效力。</w:t>
      </w:r>
    </w:p>
    <w:p w14:paraId="6524E6EC">
      <w:pPr>
        <w:widowControl/>
        <w:autoSpaceDE w:val="0"/>
        <w:autoSpaceDN w:val="0"/>
        <w:spacing w:line="360" w:lineRule="exact"/>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 xml:space="preserve">3.4乙方应当在每月[ </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]日前对本协议的执行情况进行统计，并将统计结果发至甲方和/或采购方经办人或联系人电子邮箱或传真至甲方和/或采购方。</w:t>
      </w:r>
    </w:p>
    <w:p w14:paraId="6E2E43C4">
      <w:pPr>
        <w:spacing w:line="360" w:lineRule="exact"/>
        <w:ind w:firstLine="422" w:firstLineChars="200"/>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第四条</w:t>
      </w:r>
      <w:r>
        <w:rPr>
          <w:rFonts w:hint="eastAsia" w:ascii="宋体" w:hAnsi="宋体" w:eastAsia="宋体" w:cs="宋体"/>
          <w:b/>
          <w:sz w:val="21"/>
          <w:szCs w:val="21"/>
        </w:rPr>
        <w:t>甲方和/或采购方提供的</w:t>
      </w:r>
      <w:r>
        <w:rPr>
          <w:rFonts w:hint="eastAsia" w:ascii="宋体" w:hAnsi="宋体" w:eastAsia="宋体" w:cs="宋体"/>
          <w:b/>
          <w:bCs/>
          <w:kern w:val="0"/>
          <w:sz w:val="21"/>
          <w:szCs w:val="21"/>
        </w:rPr>
        <w:t>工作条件和协作事项</w:t>
      </w:r>
    </w:p>
    <w:p w14:paraId="364489F5">
      <w:pPr>
        <w:spacing w:line="36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为保证乙方有效进行技术服务工作，甲方和/或采购方应当向乙方提供下列工作条件和协作事项：</w:t>
      </w:r>
    </w:p>
    <w:p w14:paraId="7B760EAA">
      <w:pPr>
        <w:spacing w:line="36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4.1 提供技术资料：[与履行本协议有关的技术背景资料 ]。</w:t>
      </w:r>
    </w:p>
    <w:p w14:paraId="5657E20F">
      <w:pPr>
        <w:spacing w:line="36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4.2 提供工作条件：[ </w:t>
      </w:r>
      <w:r>
        <w:rPr>
          <w:rFonts w:hint="eastAsia" w:ascii="宋体" w:hAnsi="宋体" w:eastAsia="宋体" w:cs="宋体"/>
          <w:kern w:val="0"/>
          <w:sz w:val="21"/>
          <w:szCs w:val="21"/>
          <w:lang w:val="en-US" w:eastAsia="zh-CN"/>
        </w:rPr>
        <w:t>双方协商</w:t>
      </w:r>
      <w:r>
        <w:rPr>
          <w:rFonts w:hint="eastAsia" w:ascii="宋体" w:hAnsi="宋体" w:eastAsia="宋体" w:cs="宋体"/>
          <w:kern w:val="0"/>
          <w:sz w:val="21"/>
          <w:szCs w:val="21"/>
        </w:rPr>
        <w:t xml:space="preserve"> ]。</w:t>
      </w:r>
    </w:p>
    <w:p w14:paraId="6DC5F008">
      <w:pPr>
        <w:spacing w:line="36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4.3 其他配合协作事项：[ </w:t>
      </w:r>
      <w:r>
        <w:rPr>
          <w:rFonts w:hint="eastAsia" w:ascii="宋体" w:hAnsi="宋体" w:eastAsia="宋体" w:cs="宋体"/>
          <w:kern w:val="0"/>
          <w:sz w:val="21"/>
          <w:szCs w:val="21"/>
          <w:lang w:val="en-US" w:eastAsia="zh-CN"/>
        </w:rPr>
        <w:t>双方协商</w:t>
      </w:r>
      <w:r>
        <w:rPr>
          <w:rFonts w:hint="eastAsia" w:ascii="宋体" w:hAnsi="宋体" w:eastAsia="宋体" w:cs="宋体"/>
          <w:kern w:val="0"/>
          <w:sz w:val="21"/>
          <w:szCs w:val="21"/>
        </w:rPr>
        <w:t xml:space="preserve"> ]。</w:t>
      </w:r>
    </w:p>
    <w:p w14:paraId="55F5D2B3">
      <w:pPr>
        <w:spacing w:line="36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4.4 提供上述技术资料、工作条件和配合协作事项的时间及方式：[ </w:t>
      </w:r>
      <w:r>
        <w:rPr>
          <w:rFonts w:hint="eastAsia" w:ascii="宋体" w:hAnsi="宋体" w:eastAsia="宋体" w:cs="宋体"/>
          <w:kern w:val="0"/>
          <w:sz w:val="21"/>
          <w:szCs w:val="21"/>
          <w:lang w:val="en-US" w:eastAsia="zh-CN"/>
        </w:rPr>
        <w:t>双方协商</w:t>
      </w:r>
      <w:r>
        <w:rPr>
          <w:rFonts w:hint="eastAsia" w:ascii="宋体" w:hAnsi="宋体" w:eastAsia="宋体" w:cs="宋体"/>
          <w:kern w:val="0"/>
          <w:sz w:val="21"/>
          <w:szCs w:val="21"/>
        </w:rPr>
        <w:t xml:space="preserve"> ]。</w:t>
      </w:r>
    </w:p>
    <w:p w14:paraId="5862D0A4">
      <w:pPr>
        <w:spacing w:line="360" w:lineRule="exact"/>
        <w:ind w:firstLine="422" w:firstLineChars="200"/>
        <w:jc w:val="left"/>
        <w:rPr>
          <w:rFonts w:hint="eastAsia" w:ascii="宋体" w:hAnsi="宋体" w:eastAsia="宋体" w:cs="宋体"/>
          <w:kern w:val="0"/>
          <w:sz w:val="21"/>
          <w:szCs w:val="21"/>
        </w:rPr>
      </w:pPr>
      <w:r>
        <w:rPr>
          <w:rFonts w:hint="eastAsia" w:ascii="宋体" w:hAnsi="宋体" w:eastAsia="宋体" w:cs="宋体"/>
          <w:b/>
          <w:bCs/>
          <w:kern w:val="0"/>
          <w:sz w:val="21"/>
          <w:szCs w:val="21"/>
        </w:rPr>
        <w:t>第五条</w:t>
      </w:r>
      <w:r>
        <w:rPr>
          <w:rFonts w:hint="eastAsia" w:ascii="宋体" w:hAnsi="宋体" w:eastAsia="宋体" w:cs="宋体"/>
          <w:b/>
          <w:kern w:val="0"/>
          <w:sz w:val="21"/>
          <w:szCs w:val="21"/>
        </w:rPr>
        <w:t>费用及支付</w:t>
      </w:r>
    </w:p>
    <w:p w14:paraId="56EA5D27">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5.1 本协议项下采购方向乙方支付的金额按照订单进行结算，具体金额以订单费用金额为准。本协议项下订单的费用均为含税价。</w:t>
      </w:r>
    </w:p>
    <w:p w14:paraId="6B99B193">
      <w:pPr>
        <w:tabs>
          <w:tab w:val="left" w:pos="7980"/>
        </w:tabs>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除另有约定外，甲方和/或采购方无需就本协议项下委托事项向乙方支付上述费用之外的任何其他费用及税费。如因国家税收政策导致增值税率变化，订单价款（不含税价）不变，增值税税款和订单金额（含税价）相应变更。</w:t>
      </w:r>
    </w:p>
    <w:p w14:paraId="1783A0D8">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5.2 采购方凭乙方开具的相应金额的、符合国家规定的增值税专用发票，并按以下第（ </w:t>
      </w:r>
      <w:r>
        <w:rPr>
          <w:rFonts w:hint="eastAsia" w:ascii="宋体" w:hAnsi="宋体" w:eastAsia="宋体" w:cs="宋体"/>
          <w:sz w:val="21"/>
          <w:szCs w:val="21"/>
          <w:lang w:val="en-US" w:eastAsia="zh-CN"/>
        </w:rPr>
        <w:t>1</w:t>
      </w:r>
      <w:r>
        <w:rPr>
          <w:rFonts w:hint="eastAsia" w:ascii="宋体" w:hAnsi="宋体" w:eastAsia="宋体" w:cs="宋体"/>
          <w:sz w:val="21"/>
          <w:szCs w:val="21"/>
        </w:rPr>
        <w:t>）种方式向乙方支付当期订单费用：</w:t>
      </w:r>
    </w:p>
    <w:p w14:paraId="5EC8DC75">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（1）一次性支付</w:t>
      </w:r>
    </w:p>
    <w:p w14:paraId="0BBFE26F">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根据维护部门考核结果，按实际结算金额每季度支付一次。考核方式详见技术规范书。采购方在收到乙方下述全部文件后[  ]日内向乙方支付当期订单费用。</w:t>
      </w:r>
    </w:p>
    <w:p w14:paraId="62CE8713">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考核结果报告</w:t>
      </w:r>
      <w:r>
        <w:rPr>
          <w:rFonts w:hint="eastAsia" w:ascii="宋体" w:hAnsi="宋体" w:eastAsia="宋体" w:cs="宋体"/>
          <w:sz w:val="21"/>
          <w:szCs w:val="21"/>
        </w:rPr>
        <w:t>复印件一份；</w:t>
      </w:r>
    </w:p>
    <w:p w14:paraId="5E8BD4AB">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（2）乙方开具的相应金额的、符合国家规定的</w:t>
      </w:r>
      <w:r>
        <w:rPr>
          <w:rFonts w:hint="eastAsia" w:ascii="宋体" w:hAnsi="宋体" w:eastAsia="宋体" w:cs="宋体"/>
          <w:kern w:val="0"/>
          <w:sz w:val="21"/>
          <w:szCs w:val="21"/>
        </w:rPr>
        <w:t>增值税专用</w:t>
      </w:r>
      <w:r>
        <w:rPr>
          <w:rFonts w:hint="eastAsia" w:ascii="宋体" w:hAnsi="宋体" w:eastAsia="宋体" w:cs="宋体"/>
          <w:sz w:val="21"/>
          <w:szCs w:val="21"/>
        </w:rPr>
        <w:t>发票；</w:t>
      </w:r>
    </w:p>
    <w:p w14:paraId="1C1AE605">
      <w:pPr>
        <w:spacing w:line="360" w:lineRule="exact"/>
        <w:ind w:firstLine="420" w:firstLineChars="200"/>
        <w:rPr>
          <w:rFonts w:hint="eastAsia" w:ascii="宋体" w:hAnsi="宋体" w:eastAsia="宋体" w:cs="宋体"/>
          <w:sz w:val="21"/>
          <w:szCs w:val="21"/>
        </w:rPr>
      </w:pPr>
    </w:p>
    <w:p w14:paraId="2FA89C4F">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5.3 乙方向采购方开具增值税专用发票的，乙方应当派专人或使用挂号信件或特快专递方式在发票开具后三十日内送达采购方，送达日期以采购方签收日期为准；逾期送达的，每逾期一日，乙方应当按逾期送达发票金额的千分之三支付违约金，若因逾期送达造成采购方无法抵扣的，乙方还应当赔偿采购方由此遭受的损失，金额相当于逾期送达发票可抵扣金额。</w:t>
      </w:r>
    </w:p>
    <w:p w14:paraId="1DABDFFD">
      <w:pPr>
        <w:widowControl/>
        <w:tabs>
          <w:tab w:val="left" w:pos="0"/>
        </w:tabs>
        <w:autoSpaceDE w:val="0"/>
        <w:autoSpaceDN w:val="0"/>
        <w:spacing w:line="360" w:lineRule="exact"/>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 xml:space="preserve">5.4 如乙方提供的增值税专用发票不符合法律法规要求或本协议约定，或不能通过税务认证或不能实现税款抵扣的，采购方有权拒收或退回，乙方应当及时更换，如因此导致未能在第5.3条约定时限内送达增值税专用发票的，乙方应当按照第5.3条约定承担逾期送达的违约责任；如无法更换的，采购方有权要求乙方支付发票金额 [ </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]%的违约金，并赔偿采购方由此遭受的损失。</w:t>
      </w:r>
    </w:p>
    <w:p w14:paraId="4BBEA7E1">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5.5 订单下的费用由采购方</w:t>
      </w:r>
      <w:r>
        <w:rPr>
          <w:rFonts w:hint="eastAsia" w:ascii="宋体" w:hAnsi="宋体" w:eastAsia="宋体" w:cs="宋体"/>
          <w:kern w:val="0"/>
          <w:sz w:val="21"/>
          <w:szCs w:val="21"/>
        </w:rPr>
        <w:t>以</w:t>
      </w:r>
      <w:bookmarkStart w:id="1421" w:name="_Hlk19694645"/>
      <w:r>
        <w:rPr>
          <w:rFonts w:hint="eastAsia" w:ascii="宋体" w:hAnsi="宋体" w:eastAsia="宋体" w:cs="宋体"/>
          <w:kern w:val="0"/>
          <w:sz w:val="21"/>
          <w:szCs w:val="21"/>
        </w:rPr>
        <w:t>[ 银行转账 ]（银行转账、电汇、支票等方式）</w:t>
      </w:r>
      <w:bookmarkEnd w:id="1421"/>
      <w:r>
        <w:rPr>
          <w:rFonts w:hint="eastAsia" w:ascii="宋体" w:hAnsi="宋体" w:eastAsia="宋体" w:cs="宋体"/>
          <w:sz w:val="21"/>
          <w:szCs w:val="21"/>
        </w:rPr>
        <w:t>付至乙方。乙方和采购方的银行账户信息和纳税人信息详见订单。</w:t>
      </w:r>
    </w:p>
    <w:p w14:paraId="57DB5921">
      <w:pPr>
        <w:widowControl/>
        <w:autoSpaceDE w:val="0"/>
        <w:autoSpaceDN w:val="0"/>
        <w:spacing w:line="360" w:lineRule="exact"/>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 xml:space="preserve">5.6 如根据本协议/订单约定乙方应当支付违约金和/或承担赔偿责任，则甲方和/或采购方有权从上述任何一笔付款中直接扣除相应金额。扣除后仍不足以赔偿甲方和/或采购方损失的，乙方应当在接到甲方和/或采购方通知后十五日内将不足部分以[ </w:t>
      </w:r>
      <w:r>
        <w:rPr>
          <w:rFonts w:hint="eastAsia" w:ascii="宋体" w:hAnsi="宋体" w:eastAsia="宋体" w:cs="宋体"/>
          <w:kern w:val="0"/>
          <w:sz w:val="21"/>
          <w:szCs w:val="21"/>
        </w:rPr>
        <w:t>银行转账</w:t>
      </w:r>
      <w:r>
        <w:rPr>
          <w:rFonts w:hint="eastAsia" w:ascii="宋体" w:hAnsi="宋体" w:eastAsia="宋体" w:cs="宋体"/>
          <w:sz w:val="21"/>
          <w:szCs w:val="21"/>
        </w:rPr>
        <w:t xml:space="preserve"> ]（银行转账、电汇、支票等）方式付至甲方和/或采购方。</w:t>
      </w:r>
    </w:p>
    <w:p w14:paraId="478674F7">
      <w:pPr>
        <w:widowControl/>
        <w:autoSpaceDE w:val="0"/>
        <w:autoSpaceDN w:val="0"/>
        <w:spacing w:line="360" w:lineRule="exact"/>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5.7 若双方互负到期债务，且该债务均为金钱给付的，甲方和/或采购方有权以其到期债务抵销乙方的到期债务，抵销自甲方和/或采购方通知到达乙方时生效。</w:t>
      </w:r>
    </w:p>
    <w:p w14:paraId="48EBF8D9">
      <w:pPr>
        <w:tabs>
          <w:tab w:val="left" w:pos="7980"/>
        </w:tabs>
        <w:spacing w:line="360" w:lineRule="exact"/>
        <w:ind w:firstLine="422" w:firstLineChars="200"/>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第六条保密</w:t>
      </w:r>
    </w:p>
    <w:p w14:paraId="3DDC7351">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6.1乙方（“接收方”）对甲方和/或采购方及其关联方（合称“披露方”）以任何方式（包括但不限于以传真、电话、视频、电子邮件、即时通信、邮递、快递、挂号信、专人递送、当面告知等方式）提供的资料以及在本协议及订单签订、履行过程中所接触到的披露方的商业秘密、技术资料、客户信息等资料和信息（合称“保密信息”)，无论其是否为披露方开发或拥有，接收方均负有保密义务。</w:t>
      </w:r>
    </w:p>
    <w:p w14:paraId="2EFF172E">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6.2未经披露方书面许可，接收方不得以任何方式向任何第三方披露，不得将保密信息的部分或全部用于本协议约定事项以外的其他用途。接收方仅可为本协议之目的向其确有知悉必要的雇员披露保密信息，但同时应当指示其雇员遵守本条规定的保密及不披露义务。</w:t>
      </w:r>
    </w:p>
    <w:p w14:paraId="4406060C">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6.3接收方仅得为履行本协议之目的对保密信息进行复制。接收方不得以任何方式（如软硬盘、图纸、彩样、照片、菲林、光盘等）留存保密信息。接收方应当在完成委托事项或本协议终止或解除后十日内将载有保密信息的原件资料全部返还披露方，并销毁所有复制件。</w:t>
      </w:r>
    </w:p>
    <w:p w14:paraId="5F125F01">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6.4除另有约定外，接收方未经披露方同意，不得向任何第三方披露本协议的签订及其内容。经披露方书面同意对外披露，仅限于披露方书面同意的范围、方式且遵循书面同意中规定的其他条件。</w:t>
      </w:r>
    </w:p>
    <w:p w14:paraId="53D65E0E">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6.5接收方应当妥善保管保密信息，采取不低于对其本身商业秘密所采取的保护手段予以保护，并对保密信息在接收方期间发生的被盗、泄露或其他有损保密信息保密性的事件承担全部责任。</w:t>
      </w:r>
    </w:p>
    <w:p w14:paraId="3CDCBA64">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6.6</w:t>
      </w:r>
      <w:r>
        <w:rPr>
          <w:rFonts w:hint="eastAsia" w:ascii="宋体" w:hAnsi="宋体" w:eastAsia="宋体" w:cs="宋体"/>
          <w:kern w:val="0"/>
          <w:sz w:val="21"/>
          <w:szCs w:val="21"/>
          <w:lang w:val="zh-CN"/>
        </w:rPr>
        <w:t>如接收方应法律、行政法规要求披露信息的，接收方应当至少于实际作出披露行为前五个工作日通知披露方，说明其拟根据上述约定披露有关的保密信息，并就披露对象和披露范围、方式等作出说明，且接收方应当采取所有措施，协助披露方采取法律上的救济或其他措施以阻止该等保密信息的披露，或在法律允许的范围内保护保密信息的秘密性。若披露方未能阻止该等保密信息的披露，则接收方仅能在相关法律、行政法规要求的必要限度内披露该等保密信息</w:t>
      </w:r>
    </w:p>
    <w:p w14:paraId="67644945">
      <w:pPr>
        <w:spacing w:line="360" w:lineRule="exact"/>
        <w:ind w:firstLine="420" w:firstLineChars="200"/>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6.7披露方不保证保密信息的精确性与合理性。</w:t>
      </w:r>
    </w:p>
    <w:p w14:paraId="3A30CA65">
      <w:pPr>
        <w:spacing w:line="360" w:lineRule="exact"/>
        <w:ind w:firstLine="420" w:firstLineChars="200"/>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6.8如果接收方得知第三方获得任何保密信息，应当及时书面通知披露方，并向披露方提供掌握的所有相关情况。</w:t>
      </w:r>
    </w:p>
    <w:p w14:paraId="694A2BB8">
      <w:pPr>
        <w:spacing w:line="360" w:lineRule="exact"/>
        <w:ind w:firstLine="420" w:firstLineChars="200"/>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6.9对于接收方在本合同签订及履行过程中依法获得的个人信息和重要数据，接收方应当依法在境内存储，且不得向境外提供。</w:t>
      </w:r>
    </w:p>
    <w:p w14:paraId="65A21AF0">
      <w:pPr>
        <w:spacing w:line="360" w:lineRule="exact"/>
        <w:ind w:firstLine="420" w:firstLineChars="200"/>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6.10如接收方违反本条约定的，接收方应当赔偿因此而给披露方造成的一切损失。</w:t>
      </w:r>
    </w:p>
    <w:p w14:paraId="4468E26D">
      <w:pPr>
        <w:spacing w:line="36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lang w:val="zh-CN"/>
        </w:rPr>
        <w:t>6.11本保密条款自保密信息提供或披露之日起至本合同终止或解除后十年内持续有效</w:t>
      </w:r>
      <w:r>
        <w:rPr>
          <w:rFonts w:hint="eastAsia" w:ascii="宋体" w:hAnsi="宋体" w:eastAsia="宋体" w:cs="宋体"/>
          <w:sz w:val="21"/>
          <w:szCs w:val="21"/>
        </w:rPr>
        <w:t>。</w:t>
      </w:r>
    </w:p>
    <w:p w14:paraId="59D4840E">
      <w:pPr>
        <w:tabs>
          <w:tab w:val="left" w:pos="7980"/>
        </w:tabs>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6.12其他[</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 ]。</w:t>
      </w:r>
    </w:p>
    <w:p w14:paraId="289E8793">
      <w:pPr>
        <w:tabs>
          <w:tab w:val="left" w:pos="7980"/>
        </w:tabs>
        <w:spacing w:line="360" w:lineRule="exact"/>
        <w:ind w:firstLine="422" w:firstLineChars="200"/>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第七条技术服务的验收</w:t>
      </w:r>
    </w:p>
    <w:p w14:paraId="18C4D687">
      <w:pPr>
        <w:spacing w:line="36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7.1 乙方完成技术服务工作的形式：[</w:t>
      </w:r>
      <w:r>
        <w:rPr>
          <w:rFonts w:hint="eastAsia" w:ascii="宋体" w:hAnsi="宋体" w:eastAsia="宋体" w:cs="宋体"/>
          <w:kern w:val="0"/>
          <w:sz w:val="21"/>
          <w:szCs w:val="21"/>
          <w:lang w:val="en-US" w:eastAsia="zh-CN"/>
        </w:rPr>
        <w:t>现场服务</w:t>
      </w:r>
      <w:r>
        <w:rPr>
          <w:rFonts w:hint="eastAsia" w:ascii="宋体" w:hAnsi="宋体" w:eastAsia="宋体" w:cs="宋体"/>
          <w:kern w:val="0"/>
          <w:sz w:val="21"/>
          <w:szCs w:val="21"/>
        </w:rPr>
        <w:t xml:space="preserve"> ]。</w:t>
      </w:r>
    </w:p>
    <w:p w14:paraId="1F66666D">
      <w:pPr>
        <w:spacing w:line="36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7.2 技术服务工作成果的验收标准：[ </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 xml:space="preserve"> ]。</w:t>
      </w:r>
    </w:p>
    <w:p w14:paraId="6F07A109">
      <w:pPr>
        <w:spacing w:line="36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7.3 技术服务工作成果的验收方法：[ </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 xml:space="preserve"> ]。</w:t>
      </w:r>
    </w:p>
    <w:p w14:paraId="77C22555">
      <w:pPr>
        <w:spacing w:line="360" w:lineRule="exact"/>
        <w:ind w:firstLine="420" w:firstLineChars="200"/>
        <w:jc w:val="left"/>
        <w:rPr>
          <w:rFonts w:hint="eastAsia" w:ascii="宋体" w:hAnsi="宋体" w:eastAsia="宋体" w:cs="宋体"/>
          <w:b/>
          <w:bCs/>
          <w:kern w:val="0"/>
          <w:sz w:val="21"/>
          <w:szCs w:val="21"/>
        </w:rPr>
      </w:pPr>
      <w:r>
        <w:rPr>
          <w:rFonts w:hint="eastAsia" w:ascii="宋体" w:hAnsi="宋体" w:eastAsia="宋体" w:cs="宋体"/>
          <w:kern w:val="0"/>
          <w:sz w:val="21"/>
          <w:szCs w:val="21"/>
        </w:rPr>
        <w:t xml:space="preserve">7.4 验收的时间和地点：[ </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 xml:space="preserve"> ]。</w:t>
      </w:r>
    </w:p>
    <w:p w14:paraId="7AB4E560">
      <w:pPr>
        <w:tabs>
          <w:tab w:val="left" w:pos="7980"/>
        </w:tabs>
        <w:spacing w:line="360" w:lineRule="exact"/>
        <w:ind w:firstLine="422" w:firstLineChars="200"/>
        <w:jc w:val="left"/>
        <w:rPr>
          <w:rFonts w:hint="eastAsia" w:ascii="宋体" w:hAnsi="宋体" w:eastAsia="宋体" w:cs="宋体"/>
          <w:b/>
          <w:bCs/>
          <w:sz w:val="21"/>
          <w:szCs w:val="21"/>
        </w:rPr>
      </w:pPr>
      <w:r>
        <w:rPr>
          <w:rFonts w:hint="eastAsia" w:ascii="宋体" w:hAnsi="宋体" w:eastAsia="宋体" w:cs="宋体"/>
          <w:b/>
          <w:bCs/>
          <w:sz w:val="21"/>
          <w:szCs w:val="21"/>
        </w:rPr>
        <w:t>第八条侵权处理</w:t>
      </w:r>
    </w:p>
    <w:p w14:paraId="0E4E44A8">
      <w:pPr>
        <w:widowControl/>
        <w:autoSpaceDE w:val="0"/>
        <w:autoSpaceDN w:val="0"/>
        <w:spacing w:line="360" w:lineRule="exact"/>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8.1 乙方应当保证，其依本协议为甲方和/或采购方提供技术服务过程中和/或其为甲方和/或采购方提供的服务成果不侵犯任何第三方的合法权益。如果有人提出法律或行政程序(合称“侵权指控”)，声称甲方和/或采购方侵犯了其知识产权等合法权益的，乙方应当负责解决，并赔偿甲方和/或采购方就此所承担的一切损失和费用，包括但不限于上述侵权指控中所产生的诉讼费用、合理的律师费用、调查费用、和解金额或生效法律文书中规定的赔偿金额。</w:t>
      </w:r>
    </w:p>
    <w:p w14:paraId="6ABFC930">
      <w:pPr>
        <w:widowControl/>
        <w:autoSpaceDE w:val="0"/>
        <w:autoSpaceDN w:val="0"/>
        <w:spacing w:line="360" w:lineRule="exact"/>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8.2 如果在侵权指控的审理过程中有关机关禁止甲方和/或采购方继续使用技术服务成果的部分或全部，乙方应当采取以下措施之一：</w:t>
      </w:r>
    </w:p>
    <w:p w14:paraId="6B09DD09">
      <w:pPr>
        <w:widowControl/>
        <w:autoSpaceDE w:val="0"/>
        <w:autoSpaceDN w:val="0"/>
        <w:spacing w:line="360" w:lineRule="exact"/>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（1）使甲方和/或采购方重新免费获得使用上述技术服务成果的权利。</w:t>
      </w:r>
    </w:p>
    <w:p w14:paraId="414AFB30">
      <w:pPr>
        <w:widowControl/>
        <w:autoSpaceDE w:val="0"/>
        <w:autoSpaceDN w:val="0"/>
        <w:spacing w:line="360" w:lineRule="exact"/>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（2）免费更换或改造上述技术服务成果，使甲方和/或采购方不受上述禁令限制继续使用技术服务成果。</w:t>
      </w:r>
    </w:p>
    <w:p w14:paraId="2DC4CCB3">
      <w:pPr>
        <w:widowControl/>
        <w:autoSpaceDE w:val="0"/>
        <w:autoSpaceDN w:val="0"/>
        <w:spacing w:line="360" w:lineRule="exact"/>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（3）其它使甲方和/或采购方对技术服务成果拥有合法使用权，或其它弥补甲方和/或采购方受损利益、实现协议目的的合理方式，且不得向甲方收取任何费用。</w:t>
      </w:r>
    </w:p>
    <w:p w14:paraId="130B6B0D">
      <w:pPr>
        <w:widowControl/>
        <w:autoSpaceDE w:val="0"/>
        <w:autoSpaceDN w:val="0"/>
        <w:spacing w:line="360" w:lineRule="exact"/>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乙方采取上述措施不能免除乙方就甲方和/或采购方因此遭受的损失进行赔偿的义务。</w:t>
      </w:r>
    </w:p>
    <w:p w14:paraId="260D5CAC">
      <w:pPr>
        <w:widowControl/>
        <w:autoSpaceDE w:val="0"/>
        <w:autoSpaceDN w:val="0"/>
        <w:spacing w:line="360" w:lineRule="exact"/>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8.3 本协议项下技术服务如涉及可能影响国家安全的内容，乙方承诺提供的技术服务应当首先通过国家相关部门的安全审查，并遵守相关法律法规的其他要求。</w:t>
      </w:r>
    </w:p>
    <w:p w14:paraId="6C25DC98">
      <w:pPr>
        <w:spacing w:line="360" w:lineRule="exact"/>
        <w:ind w:firstLine="422" w:firstLineChars="200"/>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第九条项目服务成果的权利归属</w:t>
      </w:r>
    </w:p>
    <w:p w14:paraId="2A7A7294">
      <w:pPr>
        <w:spacing w:line="36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9.1 双方确定，乙方所完成的服务成果的所有权利，包括但不限于知识产权、专利申请权和所有权，归甲方和/或采购方所有。</w:t>
      </w:r>
    </w:p>
    <w:p w14:paraId="10A168F0">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9.2双方确定，甲方和/或采购方利用乙方的服务成果所完成的新的技术成果的所有权利，包括但不限于知识产权、专利申请权和所有权，归甲方和/或采购方所有。</w:t>
      </w:r>
    </w:p>
    <w:p w14:paraId="02BEC6A7">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9.3乙方有义务根据甲方和/或采购方要求配合甲方和/或采购方相关知识产权的登记或申请工作。</w:t>
      </w:r>
    </w:p>
    <w:p w14:paraId="33FD38A9">
      <w:pPr>
        <w:tabs>
          <w:tab w:val="left" w:pos="7980"/>
        </w:tabs>
        <w:spacing w:line="360" w:lineRule="exact"/>
        <w:ind w:firstLine="422" w:firstLineChars="200"/>
        <w:rPr>
          <w:rFonts w:hint="eastAsia" w:ascii="宋体" w:hAnsi="宋体" w:eastAsia="宋体" w:cs="宋体"/>
          <w:b/>
          <w:kern w:val="0"/>
          <w:sz w:val="21"/>
          <w:szCs w:val="21"/>
        </w:rPr>
      </w:pPr>
      <w:r>
        <w:rPr>
          <w:rFonts w:hint="eastAsia" w:ascii="宋体" w:hAnsi="宋体" w:eastAsia="宋体" w:cs="宋体"/>
          <w:b/>
          <w:bCs/>
          <w:kern w:val="0"/>
          <w:sz w:val="21"/>
          <w:szCs w:val="21"/>
        </w:rPr>
        <w:t>第十条</w:t>
      </w:r>
      <w:r>
        <w:rPr>
          <w:rFonts w:hint="eastAsia" w:ascii="宋体" w:hAnsi="宋体" w:eastAsia="宋体" w:cs="宋体"/>
          <w:b/>
          <w:kern w:val="0"/>
          <w:sz w:val="21"/>
          <w:szCs w:val="21"/>
        </w:rPr>
        <w:t>培训和指导</w:t>
      </w:r>
    </w:p>
    <w:p w14:paraId="03CA067F">
      <w:pPr>
        <w:tabs>
          <w:tab w:val="left" w:pos="7980"/>
        </w:tabs>
        <w:spacing w:line="36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乙方提供技术服务过程中将根据甲方和/或采购方要求，为甲方和/或采购方指定的人员提供技术指导和培训。</w:t>
      </w:r>
    </w:p>
    <w:p w14:paraId="1FC1169C">
      <w:pPr>
        <w:tabs>
          <w:tab w:val="left" w:pos="7980"/>
        </w:tabs>
        <w:spacing w:line="36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10.1技术指导和培训内容:[  ]。</w:t>
      </w:r>
    </w:p>
    <w:p w14:paraId="4F1F114E">
      <w:pPr>
        <w:tabs>
          <w:tab w:val="left" w:pos="7980"/>
        </w:tabs>
        <w:spacing w:line="36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10.2地点和方式：[  ]。</w:t>
      </w:r>
    </w:p>
    <w:p w14:paraId="027CA746">
      <w:pPr>
        <w:tabs>
          <w:tab w:val="left" w:pos="7980"/>
        </w:tabs>
        <w:spacing w:line="36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10.3费用及支付方式：[  ]。</w:t>
      </w:r>
    </w:p>
    <w:p w14:paraId="1FC18668">
      <w:pPr>
        <w:tabs>
          <w:tab w:val="left" w:pos="7980"/>
        </w:tabs>
        <w:spacing w:line="360" w:lineRule="exact"/>
        <w:ind w:firstLine="422" w:firstLineChars="200"/>
        <w:jc w:val="left"/>
        <w:rPr>
          <w:rFonts w:hint="eastAsia" w:ascii="宋体" w:hAnsi="宋体" w:eastAsia="宋体" w:cs="宋体"/>
          <w:kern w:val="0"/>
          <w:sz w:val="21"/>
          <w:szCs w:val="21"/>
        </w:rPr>
      </w:pPr>
      <w:r>
        <w:rPr>
          <w:rFonts w:hint="eastAsia" w:ascii="宋体" w:hAnsi="宋体" w:eastAsia="宋体" w:cs="宋体"/>
          <w:b/>
          <w:bCs/>
          <w:kern w:val="0"/>
          <w:sz w:val="21"/>
          <w:szCs w:val="21"/>
        </w:rPr>
        <w:t>第十一条违约责任</w:t>
      </w:r>
    </w:p>
    <w:p w14:paraId="65BD24C9">
      <w:pPr>
        <w:tabs>
          <w:tab w:val="left" w:pos="7980"/>
        </w:tabs>
        <w:spacing w:line="36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11.1双方确定，任何一方未履行或未完全履行本协议项下的义务，均构成违约。违约方应当赔偿因违约给对方造成的一切损失。</w:t>
      </w:r>
    </w:p>
    <w:p w14:paraId="4BB73D75">
      <w:pPr>
        <w:tabs>
          <w:tab w:val="left" w:pos="7980"/>
        </w:tabs>
        <w:spacing w:line="36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11.2乙方未能按本协议及订单约定按期提供技术服务的，每逾期[ </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 xml:space="preserve"> ]日，乙方应当按照相应订单费用总额的[ </w:t>
      </w:r>
      <w:r>
        <w:rPr>
          <w:rFonts w:hint="eastAsia" w:ascii="宋体" w:hAnsi="宋体" w:eastAsia="宋体" w:cs="宋体"/>
          <w:kern w:val="0"/>
          <w:sz w:val="21"/>
          <w:szCs w:val="21"/>
          <w:lang w:val="en-US" w:eastAsia="zh-CN"/>
        </w:rPr>
        <w:t>0.1</w:t>
      </w:r>
      <w:r>
        <w:rPr>
          <w:rFonts w:hint="eastAsia" w:ascii="宋体" w:hAnsi="宋体" w:eastAsia="宋体" w:cs="宋体"/>
          <w:kern w:val="0"/>
          <w:sz w:val="21"/>
          <w:szCs w:val="21"/>
        </w:rPr>
        <w:t xml:space="preserve"> ]%向甲方</w:t>
      </w:r>
      <w:r>
        <w:rPr>
          <w:rFonts w:hint="eastAsia" w:ascii="宋体" w:hAnsi="宋体" w:eastAsia="宋体" w:cs="宋体"/>
          <w:sz w:val="21"/>
          <w:szCs w:val="21"/>
        </w:rPr>
        <w:t>和/或采购方</w:t>
      </w:r>
      <w:r>
        <w:rPr>
          <w:rFonts w:hint="eastAsia" w:ascii="宋体" w:hAnsi="宋体" w:eastAsia="宋体" w:cs="宋体"/>
          <w:kern w:val="0"/>
          <w:sz w:val="21"/>
          <w:szCs w:val="21"/>
        </w:rPr>
        <w:t>支付违约金</w:t>
      </w:r>
      <w:r>
        <w:rPr>
          <w:rFonts w:hint="eastAsia" w:ascii="宋体" w:hAnsi="宋体" w:eastAsia="宋体" w:cs="宋体"/>
          <w:sz w:val="21"/>
          <w:szCs w:val="21"/>
        </w:rPr>
        <w:t xml:space="preserve">。如乙方逾期[ </w:t>
      </w:r>
      <w:r>
        <w:rPr>
          <w:rFonts w:hint="eastAsia" w:ascii="宋体" w:hAnsi="宋体" w:eastAsia="宋体" w:cs="宋体"/>
          <w:sz w:val="21"/>
          <w:szCs w:val="21"/>
          <w:lang w:val="en-US" w:eastAsia="zh-CN"/>
        </w:rPr>
        <w:t>10</w:t>
      </w:r>
      <w:r>
        <w:rPr>
          <w:rFonts w:hint="eastAsia" w:ascii="宋体" w:hAnsi="宋体" w:eastAsia="宋体" w:cs="宋体"/>
          <w:sz w:val="21"/>
          <w:szCs w:val="21"/>
        </w:rPr>
        <w:t xml:space="preserve"> ]日仍未交付的，则甲方和/或采购方有权解除相应订单直至解除本协议；除承担上述违约金外，乙方还应当退还甲方和/或采购方依据相应订单已支付款项及支付自甲方和/或采购方付款之日起至乙方退还款项之日止的利息（按照付款时中国人民银行授权全国银行间同业拆借中心公布的一年期贷款市场报价利率（LPR）标准计算），同时赔偿甲方和/或采购方的相应损失</w:t>
      </w:r>
      <w:r>
        <w:rPr>
          <w:rFonts w:hint="eastAsia" w:ascii="宋体" w:hAnsi="宋体" w:eastAsia="宋体" w:cs="宋体"/>
          <w:kern w:val="0"/>
          <w:sz w:val="21"/>
          <w:szCs w:val="21"/>
        </w:rPr>
        <w:t>。</w:t>
      </w:r>
    </w:p>
    <w:p w14:paraId="5620C6B1">
      <w:pPr>
        <w:tabs>
          <w:tab w:val="left" w:pos="7980"/>
        </w:tabs>
        <w:spacing w:line="36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11.3乙方提供技术服务不符合本协议要求的，乙方应当按照甲方</w:t>
      </w:r>
      <w:r>
        <w:rPr>
          <w:rFonts w:hint="eastAsia" w:ascii="宋体" w:hAnsi="宋体" w:eastAsia="宋体" w:cs="宋体"/>
          <w:sz w:val="21"/>
          <w:szCs w:val="21"/>
        </w:rPr>
        <w:t>和/或采购方</w:t>
      </w:r>
      <w:r>
        <w:rPr>
          <w:rFonts w:hint="eastAsia" w:ascii="宋体" w:hAnsi="宋体" w:eastAsia="宋体" w:cs="宋体"/>
          <w:kern w:val="0"/>
          <w:sz w:val="21"/>
          <w:szCs w:val="21"/>
        </w:rPr>
        <w:t>要求更正和修改，并承担由此产生的全部费用。因此造成逾期的，</w:t>
      </w:r>
      <w:r>
        <w:rPr>
          <w:rFonts w:hint="eastAsia" w:ascii="宋体" w:hAnsi="宋体" w:eastAsia="宋体" w:cs="宋体"/>
          <w:sz w:val="21"/>
          <w:szCs w:val="21"/>
        </w:rPr>
        <w:t xml:space="preserve">乙方并应当按照本协议第11.2条约定承担逾期交付的违约责任；如甲方和/或采购方提出更正或修改要求后[ </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]日内，乙方仍未满足甲方和/或采购方要求，甲方和/或采购方</w:t>
      </w:r>
      <w:r>
        <w:rPr>
          <w:rFonts w:hint="eastAsia" w:ascii="宋体" w:hAnsi="宋体" w:eastAsia="宋体" w:cs="宋体"/>
          <w:kern w:val="0"/>
          <w:sz w:val="21"/>
          <w:szCs w:val="21"/>
        </w:rPr>
        <w:t>有权</w:t>
      </w:r>
      <w:r>
        <w:rPr>
          <w:rFonts w:hint="eastAsia" w:ascii="宋体" w:hAnsi="宋体" w:eastAsia="宋体" w:cs="宋体"/>
          <w:sz w:val="21"/>
          <w:szCs w:val="21"/>
        </w:rPr>
        <w:t>解除相应订单直至解除本协议</w:t>
      </w:r>
      <w:r>
        <w:rPr>
          <w:rFonts w:hint="eastAsia" w:ascii="宋体" w:hAnsi="宋体" w:eastAsia="宋体" w:cs="宋体"/>
          <w:kern w:val="0"/>
          <w:sz w:val="21"/>
          <w:szCs w:val="21"/>
        </w:rPr>
        <w:t>。</w:t>
      </w:r>
      <w:r>
        <w:rPr>
          <w:rFonts w:hint="eastAsia" w:ascii="宋体" w:hAnsi="宋体" w:eastAsia="宋体" w:cs="宋体"/>
          <w:sz w:val="21"/>
          <w:szCs w:val="21"/>
        </w:rPr>
        <w:t>除承担上述违约责任外，乙方还应当返还甲方和/或采购方就乙方违约所涉订单已支付款项以及支付自甲方和/或采购方付款之日起至乙方退还款项之日止的利息（按照付款时中国人民银行授权全国银行间同业拆借中心公布的一年期贷款市场报价利率（LPR）标准计算），同时赔偿甲方和/或采购方的相应损失。</w:t>
      </w:r>
    </w:p>
    <w:p w14:paraId="49595EB1">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11.4本协议履行过程中，如乙方发生以下任一情形的，甲方和/或采购方有权视情节严重程度采取中止订单、终止订单、调整或取消乙方在本协议项下的份额直至终止本协议、取消其服务供应商资格等措施且不承担违约责任；因此导致任何第三方向甲方和/或采购方提出法律或行政程序，乙方应当负责解决；因此给甲方和/或采购方造成损失的，乙方应当负责赔偿： </w:t>
      </w:r>
    </w:p>
    <w:p w14:paraId="6D5950C0">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（1）被行政机关纳入“严重违法失信”名单；</w:t>
      </w:r>
    </w:p>
    <w:p w14:paraId="62DDD6BB">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（2）被人民法院纳入“失信被执行人”名单；</w:t>
      </w:r>
    </w:p>
    <w:p w14:paraId="4769B95B">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（3）被甲方（含甲方上级单位）纳入违规失信合作商名单；</w:t>
      </w:r>
    </w:p>
    <w:p w14:paraId="5E5A592A">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如存在网络和信息安全违法、违规行为的，包括但不限于因网络和信息安全问题承担刑事责任或受到行政处罚，被列入各级公安机关的涉通讯信息诈骗违法犯罪高危自然人或法人名单、电信业务经营不良名单、失信名单等;</w:t>
      </w:r>
    </w:p>
    <w:p w14:paraId="7D3FA3FC">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（5）中标通知书/中选通知书/成交通知书发出或对应的协议签署后，发现乙方存在中标无效/中选无效/成交无效或者存在应当被否决投标/否决参选/否决应答的情形；</w:t>
      </w:r>
    </w:p>
    <w:p w14:paraId="35988F25">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（6）其他相关法律法规规定或有权机关认定的违法失信情形，以及可能导致协议履行风险或侵害甲方合法权益或声誉的违规失信情形。</w:t>
      </w:r>
    </w:p>
    <w:p w14:paraId="185CE0A4">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11.5如乙方违约，除按照本协议的约定向甲方和/或采购方承担违约责任、赔偿责任外，还应当承担甲方和/或采购方追究乙方违约责任、赔偿责任而支出的各项费用（包括但不限于律师费、诉讼费、保全费、财产保全担保费等）。</w:t>
      </w:r>
    </w:p>
    <w:p w14:paraId="2C6D02F7">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11.6</w:t>
      </w:r>
      <w:bookmarkStart w:id="1422" w:name="_Hlk145155044"/>
      <w:r>
        <w:rPr>
          <w:rFonts w:hint="eastAsia" w:ascii="宋体" w:hAnsi="宋体" w:eastAsia="宋体" w:cs="宋体"/>
          <w:sz w:val="21"/>
          <w:szCs w:val="21"/>
        </w:rPr>
        <w:t>乙方违反第九条约定，包括但不限于未经甲方许可占有、使用、收益和处分服务成果或申请、登记、注册服务成果的知识产权的，甲方有权解除协议并追究乙方侵权责任，</w:t>
      </w:r>
      <w:r>
        <w:rPr>
          <w:rFonts w:hint="eastAsia" w:ascii="宋体" w:hAnsi="宋体" w:eastAsia="宋体" w:cs="宋体"/>
          <w:kern w:val="0"/>
          <w:sz w:val="21"/>
          <w:szCs w:val="21"/>
        </w:rPr>
        <w:t>包括但不限于要求乙方停止侵害、返还财产、恢复原状、赔偿损失、承担惩罚性赔偿。乙方未经甲方许可</w:t>
      </w:r>
      <w:r>
        <w:rPr>
          <w:rFonts w:hint="eastAsia" w:ascii="宋体" w:hAnsi="宋体" w:eastAsia="宋体" w:cs="宋体"/>
          <w:sz w:val="21"/>
          <w:szCs w:val="21"/>
        </w:rPr>
        <w:t>申请、登记、注册服务成果知识产权的，</w:t>
      </w:r>
      <w:r>
        <w:rPr>
          <w:rFonts w:hint="eastAsia" w:ascii="宋体" w:hAnsi="宋体" w:eastAsia="宋体" w:cs="宋体"/>
          <w:kern w:val="0"/>
          <w:sz w:val="21"/>
          <w:szCs w:val="21"/>
        </w:rPr>
        <w:t xml:space="preserve">甲方有权要求乙方在规定的期限内完成撤回相关申请、登记、注册手续或者将相关权利人变更为甲方或甲方指定的主体，由此产生的一切费用由乙方承担；如乙方未在甲方规定的期限内完成上述手续，则每逾期[ </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 xml:space="preserve"> ]日，</w:t>
      </w:r>
      <w:r>
        <w:rPr>
          <w:rFonts w:hint="eastAsia" w:ascii="宋体" w:hAnsi="宋体" w:eastAsia="宋体" w:cs="宋体"/>
          <w:sz w:val="21"/>
          <w:szCs w:val="21"/>
        </w:rPr>
        <w:t xml:space="preserve">乙方应当按照本合同费用总额的[ </w:t>
      </w: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 ]%向甲方支付违约金。</w:t>
      </w:r>
      <w:bookmarkEnd w:id="1422"/>
    </w:p>
    <w:p w14:paraId="7EE325B3">
      <w:pPr>
        <w:tabs>
          <w:tab w:val="left" w:pos="7980"/>
        </w:tabs>
        <w:spacing w:line="360" w:lineRule="exact"/>
        <w:ind w:firstLine="422" w:firstLineChars="200"/>
        <w:jc w:val="left"/>
        <w:rPr>
          <w:rFonts w:hint="eastAsia" w:ascii="宋体" w:hAnsi="宋体" w:eastAsia="宋体" w:cs="宋体"/>
          <w:b/>
          <w:bCs/>
          <w:sz w:val="21"/>
          <w:szCs w:val="21"/>
        </w:rPr>
      </w:pPr>
      <w:r>
        <w:rPr>
          <w:rFonts w:hint="eastAsia" w:ascii="宋体" w:hAnsi="宋体" w:eastAsia="宋体" w:cs="宋体"/>
          <w:b/>
          <w:bCs/>
          <w:kern w:val="0"/>
          <w:sz w:val="21"/>
          <w:szCs w:val="21"/>
        </w:rPr>
        <w:t>第十二条</w:t>
      </w:r>
      <w:r>
        <w:rPr>
          <w:rFonts w:hint="eastAsia" w:ascii="宋体" w:hAnsi="宋体" w:eastAsia="宋体" w:cs="宋体"/>
          <w:b/>
          <w:bCs/>
          <w:sz w:val="21"/>
          <w:szCs w:val="21"/>
        </w:rPr>
        <w:t>不可抗力</w:t>
      </w:r>
    </w:p>
    <w:p w14:paraId="29E8935E">
      <w:pPr>
        <w:widowControl w:val="0"/>
        <w:spacing w:line="360" w:lineRule="exact"/>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12.1本合同所称不可抗力，是指地震、台风、水灾、火灾、战争等本合同双方不能预见、不能避免且不能克服的客观情况。</w:t>
      </w:r>
    </w:p>
    <w:p w14:paraId="33C6CFF9">
      <w:pPr>
        <w:adjustRightInd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12.2本合同任何一方因不可抗力不能履行或不能完全履行本协议义务时，应当在不可抗力发生之日起十日内书面通知另一方，并向另一方提供由有关部门出具的不可抗力证明。</w:t>
      </w:r>
    </w:p>
    <w:p w14:paraId="702A5401">
      <w:pPr>
        <w:adjustRightInd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12.3因不可抗力不能履行合同的，根据不可抗力的影响，受影响方部分或全部免除责任，但法律另有规定的除外。迟延履行协议后发生不可抗力的，不能免除责任。</w:t>
      </w:r>
    </w:p>
    <w:p w14:paraId="21252077">
      <w:pPr>
        <w:widowControl w:val="0"/>
        <w:spacing w:line="360" w:lineRule="exact"/>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12.4如果因不可抗力的影响致使本协议和/或订单中止履行三十日或以上时，甲方有权决定是否继续履行或终止本协议和/或订单，并书面通知乙方。</w:t>
      </w:r>
    </w:p>
    <w:p w14:paraId="02EF121D">
      <w:pPr>
        <w:tabs>
          <w:tab w:val="left" w:pos="7980"/>
        </w:tabs>
        <w:spacing w:line="360" w:lineRule="exact"/>
        <w:ind w:firstLine="422" w:firstLineChars="200"/>
        <w:jc w:val="left"/>
        <w:rPr>
          <w:rFonts w:hint="eastAsia" w:ascii="宋体" w:hAnsi="宋体" w:eastAsia="宋体" w:cs="宋体"/>
          <w:b/>
          <w:bCs/>
          <w:sz w:val="21"/>
          <w:szCs w:val="21"/>
        </w:rPr>
      </w:pPr>
      <w:r>
        <w:rPr>
          <w:rFonts w:hint="eastAsia" w:ascii="宋体" w:hAnsi="宋体" w:eastAsia="宋体" w:cs="宋体"/>
          <w:b/>
          <w:bCs/>
          <w:kern w:val="0"/>
          <w:sz w:val="21"/>
          <w:szCs w:val="21"/>
        </w:rPr>
        <w:t>第十三条</w:t>
      </w:r>
      <w:r>
        <w:rPr>
          <w:rFonts w:hint="eastAsia" w:ascii="宋体" w:hAnsi="宋体" w:eastAsia="宋体" w:cs="宋体"/>
          <w:b/>
          <w:bCs/>
          <w:sz w:val="21"/>
          <w:szCs w:val="21"/>
        </w:rPr>
        <w:t>个人信息保护和数据安全</w:t>
      </w:r>
    </w:p>
    <w:p w14:paraId="6B9E7A71">
      <w:pPr>
        <w:tabs>
          <w:tab w:val="left" w:pos="7980"/>
        </w:tabs>
        <w:autoSpaceDE w:val="0"/>
        <w:autoSpaceDN w:val="0"/>
        <w:adjustRightInd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为履行本协议，如乙方处理相关数据和个人信息，应当遵守本条相关规定：</w:t>
      </w:r>
    </w:p>
    <w:p w14:paraId="46971921">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13.1个人信息种类：[ </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 ]。乙方处理个人信息和数据的期限为：[ </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 ];处理方式为：[ </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 ] 以及本合同约定的其他处理方式。</w:t>
      </w:r>
    </w:p>
    <w:p w14:paraId="0EC72727">
      <w:pPr>
        <w:tabs>
          <w:tab w:val="left" w:pos="7980"/>
        </w:tabs>
        <w:autoSpaceDE w:val="0"/>
        <w:autoSpaceDN w:val="0"/>
        <w:adjustRightInd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13.2乙方应当按照《中华人民共和国数据安全法》《中华人民共和国个人信息保护法》等法律法规、监管要求和协议约定处理个人信息和数据，不得超出约定的处理目的、处理方式等处理。乙方应当采取措施确保个人信息和数据处理活动符合法律法规、监管要求和协议约定，防止未经授权的访问以及个人信息和数据的泄露、篡改、丢失。</w:t>
      </w:r>
    </w:p>
    <w:p w14:paraId="705D6171">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13.3如果协议和/或订单不生效、无效、被撤销或者终止的，或协议和/或订单目的已经实现的，乙方应当按照甲方和/或采购方的要求返还个人信息等数据或者予以删除（包括但不限于原始数据、备份数据、基于所提供的数据产生的衍生数据），且不得以任何方式留存履行协议过程中所处理的任何个人信息和数据。上述个人信息和数据的返还或删除并不免除乙方其他义务。未经甲方同意,乙方不得转委托他人处理个人信息和数据。</w:t>
      </w:r>
    </w:p>
    <w:p w14:paraId="5276615B">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13.4乙方处理的个人信息和数据，应当在中华人民共和国境内存储，且不得向境外提供。</w:t>
      </w:r>
    </w:p>
    <w:p w14:paraId="7A716C7E">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13.5在发生或者可能发生个人信息泄露、毁损、丢失或其他数据安全事件的情况时，乙方应当立即采取补救措施，并配合甲方和/或采购方及相关部门进行调查处理。</w:t>
      </w:r>
    </w:p>
    <w:p w14:paraId="606AC3A9">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13.6甲方和/或采购方有权对乙方的个人信息保护和数据安全、个人信息和数据处理情况进行监督和检查。对于甲方和/或采购方检查发现乙方存在违反法律法规、监管要求的规定或者双方的约定处理个人信息和数据的，甲方和/或采购方有权要求乙方在一定期限内整改。如果乙方未按照甲方和/或采购方要求整改或整改未达到甲方和/或采购方的相关要求，甲方和/或采购方有权解除协议，且不承担赔偿责任；由此给甲方和/或采购方造成损失的，乙方应当全额赔偿。</w:t>
      </w:r>
    </w:p>
    <w:p w14:paraId="261C5C32">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13.7乙方违反本协议及其附件个人信息保护和数据安全相关条款和相关法律法规、监管要求的，乙方应当承担一切民事、行政和刑事责任，如因此给个人信息主体、甲方和/或采购方或其他人造成任何损失的，乙方应当承担全部责任。</w:t>
      </w:r>
    </w:p>
    <w:p w14:paraId="3549C9F5">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13.8乙方承诺遵守国家相关法律法规，本协议项下乙方提供的产品或服务若涉及可能影响国家安全的内容，乙方提供的产品或服务应当首先通过国家相关部门的安全审查。</w:t>
      </w:r>
    </w:p>
    <w:p w14:paraId="07A1E0D5">
      <w:pPr>
        <w:spacing w:line="36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第十四条法律适用和争议解决</w:t>
      </w:r>
    </w:p>
    <w:p w14:paraId="2333189C">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14.1本协议适用中华人民共和国法律。</w:t>
      </w:r>
    </w:p>
    <w:p w14:paraId="7C8FA261">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14.2所有因本协议引起的或与本协议有关的任何争议通过双方友好协商解决。如果双方不能通过友好协商解决争议，则任何一方均可向甲方住所地有管辖权的人民法院起诉。</w:t>
      </w:r>
    </w:p>
    <w:p w14:paraId="7246D9E2">
      <w:pPr>
        <w:tabs>
          <w:tab w:val="left" w:pos="7980"/>
        </w:tabs>
        <w:spacing w:line="36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14.3诉讼进行过程中，双方继续履行本协议未涉诉讼的其它部分。</w:t>
      </w:r>
    </w:p>
    <w:p w14:paraId="659A77AC">
      <w:pPr>
        <w:tabs>
          <w:tab w:val="left" w:pos="7980"/>
        </w:tabs>
        <w:spacing w:line="36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14.4甲方有权代表采购方进行诉讼。</w:t>
      </w:r>
    </w:p>
    <w:p w14:paraId="1F4CD2BA">
      <w:pPr>
        <w:tabs>
          <w:tab w:val="left" w:pos="7980"/>
        </w:tabs>
        <w:spacing w:line="360" w:lineRule="exact"/>
        <w:ind w:firstLine="422" w:firstLineChars="200"/>
        <w:jc w:val="left"/>
        <w:rPr>
          <w:rFonts w:hint="eastAsia" w:ascii="宋体" w:hAnsi="宋体" w:eastAsia="宋体" w:cs="宋体"/>
          <w:kern w:val="0"/>
          <w:sz w:val="21"/>
          <w:szCs w:val="21"/>
        </w:rPr>
      </w:pPr>
      <w:r>
        <w:rPr>
          <w:rFonts w:hint="eastAsia" w:ascii="宋体" w:hAnsi="宋体" w:eastAsia="宋体" w:cs="宋体"/>
          <w:b/>
          <w:bCs/>
          <w:kern w:val="0"/>
          <w:sz w:val="21"/>
          <w:szCs w:val="21"/>
        </w:rPr>
        <w:t>第十五条协议生效和其他</w:t>
      </w:r>
    </w:p>
    <w:p w14:paraId="2B3C9AE8">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15.1本协议纸质文本一式四份，甲乙双方各执二份，自双方签字盖章之日起生效；若使用电子印章的，自双方盖章之日起生效。</w:t>
      </w:r>
    </w:p>
    <w:p w14:paraId="5D807FC8">
      <w:pPr>
        <w:spacing w:line="36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rPr>
        <w:t>若甲方加盖电子印章的，以加盖甲方电子印章的本协议电子文档所载内容为准。</w:t>
      </w:r>
    </w:p>
    <w:p w14:paraId="3D042A45">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15.2如果本协议的任何条款在任何时候变成不合法、无效或不可强制执行而不从根本上影响本协议的效力时，本协议的其他条款不受影响。</w:t>
      </w:r>
    </w:p>
    <w:p w14:paraId="5C8583BB">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15.3本协议各条标题仅为提示之用，应当以条文内容确定各方的权利义务。</w:t>
      </w:r>
    </w:p>
    <w:p w14:paraId="0C8F4239">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15.4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14:paraId="170325D8">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15.5本协议的任何内容不应当被视为或解释为双方之间具有合资、合伙、代理关系。</w:t>
      </w:r>
    </w:p>
    <w:p w14:paraId="1A2171AA">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15.6本协议替代此前双方所有关于本协议事项的口头或书面的纪要、备忘录、合同和协议等法律文件。</w:t>
      </w:r>
    </w:p>
    <w:p w14:paraId="10A376AC">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15.7乙方保证乙方和/或其所代表的制造商（如有）、软件著作权人（如有）、知识产权权利人（如有）等第三方接受不时修订的《中国电信供应商不良行为管理规则》（发布于“中国电信阳光采购网”[https://caigou.chinatelecom.com.cn/MSS-PORTAL/account/login.do]），甲方有权按照《中国电信供应商不良行为管理规则》，对乙方和/或其代表的制造商（如有）、软件著作权人（如有）、知识产权权利人（如有）等第三方进行不良行为管理和处理。</w:t>
      </w:r>
    </w:p>
    <w:p w14:paraId="7F7E0E2A">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15.8甲方、乙方因履行本协议或与本协议有关的一切通知都应当按照本协议中的地址，以书面信函或者传真或者电子邮件方式进行。其中：</w:t>
      </w:r>
    </w:p>
    <w:p w14:paraId="22C42F91">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15.8.1除本协议另有约定外，有关下述任一事项的通知，均应当采用书面信函形式作出，否则，该通知无效，不产生本协议项下的任何通知效力：</w:t>
      </w:r>
    </w:p>
    <w:p w14:paraId="62213BD2">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（1）与本协议费用及支付事宜有关的通知；</w:t>
      </w:r>
    </w:p>
    <w:p w14:paraId="3A8EFC9B">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（2）与本协议违约事宜有关的通知；</w:t>
      </w:r>
    </w:p>
    <w:p w14:paraId="00EF10A3">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（3）与本协议终止、解除或变更事宜有关的通知；</w:t>
      </w:r>
    </w:p>
    <w:p w14:paraId="6954C148">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（4）与本协议延续/续展有关的通知；</w:t>
      </w:r>
    </w:p>
    <w:p w14:paraId="31584D0A">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（5）[ </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 ]。</w:t>
      </w:r>
    </w:p>
    <w:p w14:paraId="02611D8A">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15.8.2本协议约定的各种通知方式的送达标准如下：</w:t>
      </w:r>
    </w:p>
    <w:p w14:paraId="4B232E7C">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（1）如采用书面信函形式，应当使用挂号信或者具有良好信誉的特快专递送达，接受方签收挂号信或特快专递的时间（以邮局或快递公司系统记录为准）为通知送达时间；</w:t>
      </w:r>
    </w:p>
    <w:p w14:paraId="125BADFD">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（2）如采用传真方式，传真到达接受方指定传真系统的时间为通知送达时间；</w:t>
      </w:r>
    </w:p>
    <w:p w14:paraId="7B2217BB">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（3）如采用电子邮件方式，电子邮件到达接受方指定电子邮箱的时间为通知送达时间。</w:t>
      </w:r>
    </w:p>
    <w:p w14:paraId="2920BB20">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（4）如采用甲方供应商门户网站在线提交的方式，信息表单正式创建提交系统的时间为通知送达时间。如甲方供应商门户网站关闭或故障，双方应当立即使用书面信函形式或者传真或者电子邮件方式进行通知。</w:t>
      </w:r>
    </w:p>
    <w:p w14:paraId="0280E879">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如果因接受方原因（包括但不限于接受方拒收书面信函、接受方传真机关闭或故障、接受方电子邮箱地址不存在或者电子邮箱已满或者设置拒收等）导致通知发送失败，视为通知已经送达（发送方侧载明的书面信函寄出时间或者传真发送时间或者电子邮件发送时间视为通知送达时间）。</w:t>
      </w:r>
    </w:p>
    <w:p w14:paraId="12FD3BD5">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15.8.3本协议双方通知地址及方式如下：</w:t>
      </w:r>
    </w:p>
    <w:p w14:paraId="3B39A79D">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甲方：中国电信[ 股份有限公司贵阳分 ]公司</w:t>
      </w:r>
    </w:p>
    <w:p w14:paraId="308DECD2">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地址：[贵州省贵阳市云岩区新添大道南段半边街17号  ]</w:t>
      </w:r>
    </w:p>
    <w:p w14:paraId="19301475">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联系人：[  ]</w:t>
      </w:r>
    </w:p>
    <w:p w14:paraId="63BD8AB0">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电话：[  ]</w:t>
      </w:r>
    </w:p>
    <w:p w14:paraId="1CD3CF58">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传真：[  ]</w:t>
      </w:r>
    </w:p>
    <w:p w14:paraId="7BE2E29A">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邮编：[  ]</w:t>
      </w:r>
    </w:p>
    <w:p w14:paraId="5BF0282A">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电子邮箱：[  ]</w:t>
      </w:r>
    </w:p>
    <w:p w14:paraId="384CE577">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乙方：[  ]</w:t>
      </w:r>
    </w:p>
    <w:p w14:paraId="023110E6">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地址：[  ]</w:t>
      </w:r>
    </w:p>
    <w:p w14:paraId="4AA72323">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联系人：[  ]</w:t>
      </w:r>
    </w:p>
    <w:p w14:paraId="1999C6F4">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电话：[  ]</w:t>
      </w:r>
    </w:p>
    <w:p w14:paraId="26C5D011">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传真：[  ]</w:t>
      </w:r>
    </w:p>
    <w:p w14:paraId="7A1D3A43">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邮编：[  ]</w:t>
      </w:r>
    </w:p>
    <w:p w14:paraId="20FC5435">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电子邮箱：[  ]</w:t>
      </w:r>
    </w:p>
    <w:p w14:paraId="40BEF000">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上述任何信息发生变更的，变更方应当及时以书面形式通知另一方，未及时通知并影响本协议履行或造成损失的，应当承担相应的责任。</w:t>
      </w:r>
    </w:p>
    <w:p w14:paraId="00BB7E4E">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15.9未经甲方书面同意，乙方不得向第三方转让全部或部分权利，也不得以包括但不限于保理、质押等形式处分本协议项下的权利。</w:t>
      </w:r>
    </w:p>
    <w:p w14:paraId="452E37AC">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15.10双方同意，下述文件是本协议不可分割的组成部分，并与本协议文件一起阅读和解释：</w:t>
      </w:r>
    </w:p>
    <w:p w14:paraId="080AD368">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（1）本协议正文；</w:t>
      </w:r>
    </w:p>
    <w:p w14:paraId="663AD900">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（2）协议附件； </w:t>
      </w:r>
    </w:p>
    <w:p w14:paraId="460DEC1C">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（3）中标/中选/成交通知书； </w:t>
      </w:r>
    </w:p>
    <w:p w14:paraId="76BF7EB4">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（4）投标文件/参选文件/应答文件；</w:t>
      </w:r>
    </w:p>
    <w:p w14:paraId="555F8311">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（5）其他明确双方权利义务的协议性文件。</w:t>
      </w:r>
    </w:p>
    <w:p w14:paraId="3D298507">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上述各文件彼此相互解释、相互补充，如在上述文件之间出现含糊或冲突之处，就同一事项的解释，应当以本条上述排列次序在先的文件所表述的意思为准；当同一顺序的多份文件之间发生内容冲突时，应当以文件形成时间较后的为准。对于同一类协议文件，以其最新版本为准。</w:t>
      </w:r>
    </w:p>
    <w:p w14:paraId="2A3AC814">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本协议附件为：</w:t>
      </w:r>
    </w:p>
    <w:p w14:paraId="4D377392">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附件一：安全生产管理责任书</w:t>
      </w:r>
    </w:p>
    <w:p w14:paraId="3762C1C6">
      <w:pPr>
        <w:tabs>
          <w:tab w:val="left" w:pos="7980"/>
        </w:tabs>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附件二：</w:t>
      </w:r>
      <w:r>
        <w:rPr>
          <w:rFonts w:hint="eastAsia" w:ascii="宋体" w:hAnsi="宋体" w:eastAsia="宋体" w:cs="宋体"/>
          <w:kern w:val="0"/>
          <w:sz w:val="21"/>
          <w:szCs w:val="21"/>
        </w:rPr>
        <w:t>网络及信息安全承诺书</w:t>
      </w:r>
    </w:p>
    <w:p w14:paraId="69BDBA59">
      <w:pPr>
        <w:spacing w:line="36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rPr>
        <w:t>附件三</w:t>
      </w:r>
      <w:r>
        <w:rPr>
          <w:rFonts w:hint="eastAsia" w:ascii="宋体" w:hAnsi="宋体" w:eastAsia="宋体" w:cs="宋体"/>
          <w:sz w:val="21"/>
          <w:szCs w:val="21"/>
        </w:rPr>
        <w:t>：廉洁协议</w:t>
      </w:r>
    </w:p>
    <w:p w14:paraId="24AD3966">
      <w:pPr>
        <w:tabs>
          <w:tab w:val="left" w:pos="7980"/>
        </w:tabs>
        <w:spacing w:line="360" w:lineRule="exact"/>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附件四：用工承诺书</w:t>
      </w:r>
    </w:p>
    <w:p w14:paraId="5D0F580F">
      <w:pPr>
        <w:tabs>
          <w:tab w:val="left" w:pos="7980"/>
        </w:tabs>
        <w:spacing w:line="360" w:lineRule="exact"/>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附件五：报价文件</w:t>
      </w:r>
    </w:p>
    <w:p w14:paraId="29A1A8B9">
      <w:pPr>
        <w:tabs>
          <w:tab w:val="left" w:pos="7980"/>
        </w:tabs>
        <w:spacing w:line="360" w:lineRule="exact"/>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附件六：技术规范书</w:t>
      </w:r>
    </w:p>
    <w:p w14:paraId="0163C7C7">
      <w:pPr>
        <w:tabs>
          <w:tab w:val="left" w:pos="7980"/>
        </w:tabs>
        <w:spacing w:line="360" w:lineRule="exact"/>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附件七：服务项目人员名单</w:t>
      </w:r>
    </w:p>
    <w:p w14:paraId="74BFCB31">
      <w:pPr>
        <w:spacing w:line="360" w:lineRule="exact"/>
        <w:ind w:firstLine="420" w:firstLineChars="200"/>
        <w:rPr>
          <w:rFonts w:hint="eastAsia" w:ascii="宋体" w:hAnsi="宋体" w:eastAsia="宋体" w:cs="宋体"/>
          <w:b/>
          <w:bCs/>
          <w:sz w:val="21"/>
          <w:szCs w:val="21"/>
        </w:rPr>
      </w:pPr>
      <w:r>
        <w:rPr>
          <w:rFonts w:hint="eastAsia" w:ascii="宋体" w:hAnsi="宋体" w:eastAsia="宋体" w:cs="宋体"/>
          <w:kern w:val="0"/>
          <w:sz w:val="21"/>
          <w:szCs w:val="21"/>
          <w:lang w:val="en-US" w:eastAsia="zh-CN"/>
        </w:rPr>
        <w:t>附件八：采购应答文件正偏离信息表</w:t>
      </w:r>
    </w:p>
    <w:p w14:paraId="0CBB546F">
      <w:pPr>
        <w:spacing w:line="360" w:lineRule="exact"/>
        <w:jc w:val="center"/>
        <w:rPr>
          <w:rFonts w:hint="eastAsia" w:ascii="宋体" w:hAnsi="宋体" w:eastAsia="宋体" w:cs="宋体"/>
          <w:b/>
          <w:bCs/>
          <w:sz w:val="21"/>
          <w:szCs w:val="21"/>
        </w:rPr>
      </w:pPr>
      <w:r>
        <w:rPr>
          <w:rFonts w:hint="eastAsia" w:ascii="宋体" w:hAnsi="宋体" w:eastAsia="宋体" w:cs="宋体"/>
          <w:b/>
          <w:bCs/>
          <w:sz w:val="21"/>
          <w:szCs w:val="21"/>
        </w:rPr>
        <w:t>补充附页</w:t>
      </w:r>
    </w:p>
    <w:p w14:paraId="7BD8A82F">
      <w:pPr>
        <w:spacing w:line="360" w:lineRule="exact"/>
        <w:rPr>
          <w:rFonts w:hint="eastAsia" w:ascii="宋体" w:hAnsi="宋体" w:eastAsia="宋体" w:cs="宋体"/>
          <w:sz w:val="21"/>
          <w:szCs w:val="21"/>
        </w:rPr>
      </w:pPr>
      <w:r>
        <w:rPr>
          <w:rFonts w:hint="eastAsia" w:ascii="宋体" w:hAnsi="宋体" w:eastAsia="宋体" w:cs="宋体"/>
          <w:sz w:val="21"/>
          <w:szCs w:val="21"/>
        </w:rPr>
        <w:t>经友好协商，对本协议条款补充、修改如下，本补充附页为协议正文的一部分，与协议正文冲突时，以本补充附页为准：[无]</w:t>
      </w:r>
      <w:r>
        <w:rPr>
          <w:rFonts w:hint="eastAsia" w:ascii="宋体" w:hAnsi="宋体" w:eastAsia="宋体" w:cs="宋体"/>
          <w:sz w:val="21"/>
          <w:szCs w:val="21"/>
        </w:rPr>
        <w:br w:type="page"/>
      </w:r>
    </w:p>
    <w:p w14:paraId="060F4857">
      <w:pPr>
        <w:tabs>
          <w:tab w:val="left" w:pos="7980"/>
        </w:tabs>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（此页无正文）</w:t>
      </w:r>
    </w:p>
    <w:p w14:paraId="1F634202">
      <w:pPr>
        <w:tabs>
          <w:tab w:val="left" w:pos="7980"/>
        </w:tabs>
        <w:spacing w:line="360" w:lineRule="exact"/>
        <w:jc w:val="left"/>
        <w:rPr>
          <w:rFonts w:hint="eastAsia" w:ascii="宋体" w:hAnsi="宋体" w:eastAsia="宋体" w:cs="宋体"/>
          <w:kern w:val="0"/>
          <w:sz w:val="21"/>
          <w:szCs w:val="21"/>
        </w:rPr>
      </w:pPr>
    </w:p>
    <w:p w14:paraId="2B282A5D">
      <w:pPr>
        <w:spacing w:line="360" w:lineRule="exact"/>
        <w:rPr>
          <w:rFonts w:hint="eastAsia" w:ascii="宋体" w:hAnsi="宋体" w:eastAsia="宋体" w:cs="宋体"/>
          <w:sz w:val="21"/>
          <w:szCs w:val="21"/>
        </w:rPr>
      </w:pPr>
      <w:r>
        <w:rPr>
          <w:rFonts w:hint="eastAsia" w:ascii="宋体" w:hAnsi="宋体" w:eastAsia="宋体" w:cs="宋体"/>
          <w:sz w:val="21"/>
          <w:szCs w:val="21"/>
        </w:rPr>
        <w:t xml:space="preserve">甲方：中国电信[ </w:t>
      </w:r>
      <w:r>
        <w:rPr>
          <w:rFonts w:hint="eastAsia" w:ascii="宋体" w:hAnsi="宋体" w:eastAsia="宋体" w:cs="宋体"/>
          <w:sz w:val="21"/>
          <w:szCs w:val="21"/>
          <w:lang w:val="en-US" w:eastAsia="zh-CN"/>
        </w:rPr>
        <w:t>股份有限公司贵阳分</w:t>
      </w:r>
      <w:r>
        <w:rPr>
          <w:rFonts w:hint="eastAsia" w:ascii="宋体" w:hAnsi="宋体" w:eastAsia="宋体" w:cs="宋体"/>
          <w:sz w:val="21"/>
          <w:szCs w:val="21"/>
        </w:rPr>
        <w:t xml:space="preserve"> ]公司</w:t>
      </w:r>
    </w:p>
    <w:p w14:paraId="6E68A10F">
      <w:pPr>
        <w:spacing w:line="360" w:lineRule="exact"/>
        <w:rPr>
          <w:rFonts w:hint="eastAsia" w:ascii="宋体" w:hAnsi="宋体" w:eastAsia="宋体" w:cs="宋体"/>
          <w:sz w:val="21"/>
          <w:szCs w:val="21"/>
        </w:rPr>
      </w:pPr>
      <w:r>
        <w:rPr>
          <w:rFonts w:hint="eastAsia" w:ascii="宋体" w:hAnsi="宋体" w:eastAsia="宋体" w:cs="宋体"/>
          <w:sz w:val="21"/>
          <w:szCs w:val="21"/>
        </w:rPr>
        <w:t>法定代表人/负责人</w:t>
      </w:r>
    </w:p>
    <w:p w14:paraId="2603B4EC">
      <w:pPr>
        <w:spacing w:line="360" w:lineRule="exact"/>
        <w:rPr>
          <w:rFonts w:hint="eastAsia" w:ascii="宋体" w:hAnsi="宋体" w:eastAsia="宋体" w:cs="宋体"/>
          <w:sz w:val="21"/>
          <w:szCs w:val="21"/>
        </w:rPr>
      </w:pPr>
      <w:r>
        <w:rPr>
          <w:rFonts w:hint="eastAsia" w:ascii="宋体" w:hAnsi="宋体" w:eastAsia="宋体" w:cs="宋体"/>
          <w:sz w:val="21"/>
          <w:szCs w:val="21"/>
        </w:rPr>
        <w:t>或授权代表：</w:t>
      </w:r>
    </w:p>
    <w:p w14:paraId="3A49E877">
      <w:pPr>
        <w:spacing w:line="360" w:lineRule="exact"/>
        <w:rPr>
          <w:rFonts w:hint="eastAsia" w:ascii="宋体" w:hAnsi="宋体" w:eastAsia="宋体" w:cs="宋体"/>
          <w:kern w:val="0"/>
          <w:sz w:val="21"/>
          <w:szCs w:val="21"/>
        </w:rPr>
      </w:pPr>
    </w:p>
    <w:p w14:paraId="4809AEDF">
      <w:pPr>
        <w:spacing w:line="360" w:lineRule="exact"/>
        <w:rPr>
          <w:rFonts w:hint="eastAsia" w:ascii="宋体" w:hAnsi="宋体" w:eastAsia="宋体" w:cs="宋体"/>
          <w:kern w:val="0"/>
          <w:sz w:val="21"/>
          <w:szCs w:val="21"/>
        </w:rPr>
      </w:pPr>
    </w:p>
    <w:p w14:paraId="774098A4">
      <w:pPr>
        <w:spacing w:line="360" w:lineRule="exact"/>
        <w:jc w:val="left"/>
        <w:rPr>
          <w:rFonts w:hint="eastAsia" w:ascii="宋体" w:hAnsi="宋体" w:eastAsia="宋体" w:cs="宋体"/>
          <w:kern w:val="0"/>
          <w:sz w:val="21"/>
          <w:szCs w:val="21"/>
        </w:rPr>
      </w:pPr>
    </w:p>
    <w:p w14:paraId="617B5ED3">
      <w:pPr>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乙方：[  ] </w:t>
      </w:r>
    </w:p>
    <w:p w14:paraId="25A1E9DC">
      <w:pPr>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法定代表人/负责人</w:t>
      </w:r>
    </w:p>
    <w:p w14:paraId="5AB91D6C">
      <w:pPr>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或授权代表：</w:t>
      </w:r>
    </w:p>
    <w:p w14:paraId="10830F1B">
      <w:pPr>
        <w:spacing w:line="360" w:lineRule="exact"/>
        <w:jc w:val="left"/>
        <w:rPr>
          <w:rFonts w:hint="eastAsia" w:ascii="宋体" w:hAnsi="宋体" w:eastAsia="宋体" w:cs="宋体"/>
          <w:kern w:val="0"/>
          <w:sz w:val="21"/>
          <w:szCs w:val="21"/>
        </w:rPr>
      </w:pPr>
    </w:p>
    <w:p w14:paraId="24A03AD7">
      <w:pPr>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签署日期：[  ]年[  ]月[  ]日</w:t>
      </w:r>
      <w:r>
        <w:rPr>
          <w:rFonts w:hint="eastAsia" w:ascii="宋体" w:hAnsi="宋体" w:eastAsia="宋体" w:cs="宋体"/>
          <w:kern w:val="0"/>
          <w:sz w:val="21"/>
          <w:szCs w:val="21"/>
        </w:rPr>
        <w:br w:type="page"/>
      </w:r>
      <w:r>
        <w:rPr>
          <w:rFonts w:hint="eastAsia" w:ascii="宋体" w:hAnsi="宋体" w:eastAsia="宋体" w:cs="宋体"/>
          <w:b/>
          <w:kern w:val="0"/>
          <w:sz w:val="21"/>
          <w:szCs w:val="21"/>
        </w:rPr>
        <w:t xml:space="preserve"> </w:t>
      </w:r>
      <w:r>
        <w:rPr>
          <w:rFonts w:hint="eastAsia" w:ascii="宋体" w:hAnsi="宋体" w:eastAsia="宋体" w:cs="宋体"/>
          <w:kern w:val="0"/>
          <w:sz w:val="21"/>
          <w:szCs w:val="21"/>
        </w:rPr>
        <w:t>印花税票粘贴处：</w:t>
      </w:r>
    </w:p>
    <w:p w14:paraId="036ABB58">
      <w:pPr>
        <w:tabs>
          <w:tab w:val="left" w:pos="7980"/>
        </w:tabs>
        <w:spacing w:line="360" w:lineRule="exact"/>
        <w:jc w:val="left"/>
        <w:rPr>
          <w:rFonts w:hint="eastAsia" w:ascii="宋体" w:hAnsi="宋体" w:eastAsia="宋体" w:cs="宋体"/>
          <w:kern w:val="0"/>
          <w:sz w:val="21"/>
          <w:szCs w:val="21"/>
        </w:rPr>
      </w:pPr>
    </w:p>
    <w:p w14:paraId="0C9B2161">
      <w:pPr>
        <w:tabs>
          <w:tab w:val="left" w:pos="7980"/>
        </w:tabs>
        <w:spacing w:line="360" w:lineRule="exact"/>
        <w:jc w:val="left"/>
        <w:rPr>
          <w:rFonts w:hint="eastAsia" w:ascii="宋体" w:hAnsi="宋体" w:eastAsia="宋体" w:cs="宋体"/>
          <w:kern w:val="0"/>
          <w:sz w:val="21"/>
          <w:szCs w:val="21"/>
        </w:rPr>
      </w:pPr>
    </w:p>
    <w:p w14:paraId="69591C72">
      <w:pPr>
        <w:tabs>
          <w:tab w:val="left" w:pos="7980"/>
        </w:tabs>
        <w:spacing w:line="360" w:lineRule="exact"/>
        <w:jc w:val="left"/>
        <w:rPr>
          <w:rFonts w:hint="eastAsia" w:ascii="宋体" w:hAnsi="宋体" w:eastAsia="宋体" w:cs="宋体"/>
          <w:kern w:val="0"/>
          <w:sz w:val="21"/>
          <w:szCs w:val="21"/>
        </w:rPr>
      </w:pPr>
    </w:p>
    <w:p w14:paraId="066CBA2B">
      <w:pPr>
        <w:tabs>
          <w:tab w:val="left" w:pos="7980"/>
        </w:tabs>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（以下由技术合同登记机构填写）</w:t>
      </w:r>
    </w:p>
    <w:p w14:paraId="626CB619">
      <w:pPr>
        <w:tabs>
          <w:tab w:val="left" w:pos="7980"/>
        </w:tabs>
        <w:spacing w:line="360" w:lineRule="exact"/>
        <w:jc w:val="left"/>
        <w:rPr>
          <w:rFonts w:hint="eastAsia" w:ascii="宋体" w:hAnsi="宋体" w:eastAsia="宋体" w:cs="宋体"/>
          <w:kern w:val="0"/>
          <w:sz w:val="21"/>
          <w:szCs w:val="21"/>
        </w:rPr>
      </w:pPr>
    </w:p>
    <w:p w14:paraId="7884567C">
      <w:pPr>
        <w:tabs>
          <w:tab w:val="left" w:pos="7980"/>
        </w:tabs>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合同登记编号：</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
        <w:gridCol w:w="302"/>
        <w:gridCol w:w="302"/>
        <w:gridCol w:w="302"/>
        <w:gridCol w:w="302"/>
        <w:gridCol w:w="302"/>
        <w:gridCol w:w="302"/>
        <w:gridCol w:w="302"/>
        <w:gridCol w:w="301"/>
        <w:gridCol w:w="302"/>
        <w:gridCol w:w="302"/>
        <w:gridCol w:w="302"/>
        <w:gridCol w:w="302"/>
        <w:gridCol w:w="302"/>
        <w:gridCol w:w="302"/>
        <w:gridCol w:w="302"/>
      </w:tblGrid>
      <w:tr w14:paraId="541F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1" w:type="dxa"/>
            <w:tcBorders>
              <w:top w:val="single" w:color="auto" w:sz="4" w:space="0"/>
              <w:left w:val="single" w:color="auto" w:sz="4" w:space="0"/>
              <w:bottom w:val="single" w:color="auto" w:sz="4" w:space="0"/>
              <w:right w:val="single" w:color="auto" w:sz="4" w:space="0"/>
            </w:tcBorders>
            <w:noWrap w:val="0"/>
            <w:vAlign w:val="top"/>
          </w:tcPr>
          <w:p w14:paraId="14184793">
            <w:pPr>
              <w:tabs>
                <w:tab w:val="left" w:pos="7980"/>
              </w:tabs>
              <w:spacing w:line="360" w:lineRule="exact"/>
              <w:jc w:val="left"/>
              <w:rPr>
                <w:rFonts w:hint="eastAsia" w:ascii="宋体" w:hAnsi="宋体" w:eastAsia="宋体" w:cs="宋体"/>
                <w:sz w:val="21"/>
                <w:szCs w:val="21"/>
              </w:rPr>
            </w:pPr>
          </w:p>
        </w:tc>
        <w:tc>
          <w:tcPr>
            <w:tcW w:w="302" w:type="dxa"/>
            <w:tcBorders>
              <w:top w:val="single" w:color="auto" w:sz="4" w:space="0"/>
              <w:left w:val="single" w:color="auto" w:sz="4" w:space="0"/>
              <w:bottom w:val="single" w:color="auto" w:sz="4" w:space="0"/>
              <w:right w:val="single" w:color="auto" w:sz="4" w:space="0"/>
            </w:tcBorders>
            <w:noWrap w:val="0"/>
            <w:vAlign w:val="top"/>
          </w:tcPr>
          <w:p w14:paraId="32DC6D4F">
            <w:pPr>
              <w:tabs>
                <w:tab w:val="left" w:pos="7980"/>
              </w:tabs>
              <w:spacing w:line="360" w:lineRule="exact"/>
              <w:jc w:val="left"/>
              <w:rPr>
                <w:rFonts w:hint="eastAsia" w:ascii="宋体" w:hAnsi="宋体" w:eastAsia="宋体" w:cs="宋体"/>
                <w:sz w:val="21"/>
                <w:szCs w:val="21"/>
              </w:rPr>
            </w:pPr>
          </w:p>
        </w:tc>
        <w:tc>
          <w:tcPr>
            <w:tcW w:w="302" w:type="dxa"/>
            <w:tcBorders>
              <w:top w:val="single" w:color="auto" w:sz="4" w:space="0"/>
              <w:left w:val="single" w:color="auto" w:sz="4" w:space="0"/>
              <w:bottom w:val="single" w:color="auto" w:sz="4" w:space="0"/>
              <w:right w:val="single" w:color="auto" w:sz="4" w:space="0"/>
            </w:tcBorders>
            <w:noWrap w:val="0"/>
            <w:vAlign w:val="top"/>
          </w:tcPr>
          <w:p w14:paraId="4BC75D58">
            <w:pPr>
              <w:tabs>
                <w:tab w:val="left" w:pos="7980"/>
              </w:tabs>
              <w:spacing w:line="360" w:lineRule="exact"/>
              <w:jc w:val="left"/>
              <w:rPr>
                <w:rFonts w:hint="eastAsia" w:ascii="宋体" w:hAnsi="宋体" w:eastAsia="宋体" w:cs="宋体"/>
                <w:sz w:val="21"/>
                <w:szCs w:val="21"/>
              </w:rPr>
            </w:pPr>
          </w:p>
        </w:tc>
        <w:tc>
          <w:tcPr>
            <w:tcW w:w="302" w:type="dxa"/>
            <w:tcBorders>
              <w:top w:val="single" w:color="auto" w:sz="4" w:space="0"/>
              <w:left w:val="single" w:color="auto" w:sz="4" w:space="0"/>
              <w:bottom w:val="single" w:color="auto" w:sz="4" w:space="0"/>
              <w:right w:val="single" w:color="auto" w:sz="4" w:space="0"/>
            </w:tcBorders>
            <w:noWrap w:val="0"/>
            <w:vAlign w:val="top"/>
          </w:tcPr>
          <w:p w14:paraId="211AAD64">
            <w:pPr>
              <w:tabs>
                <w:tab w:val="left" w:pos="7980"/>
              </w:tabs>
              <w:spacing w:line="360" w:lineRule="exact"/>
              <w:jc w:val="left"/>
              <w:rPr>
                <w:rFonts w:hint="eastAsia" w:ascii="宋体" w:hAnsi="宋体" w:eastAsia="宋体" w:cs="宋体"/>
                <w:sz w:val="21"/>
                <w:szCs w:val="21"/>
              </w:rPr>
            </w:pPr>
          </w:p>
        </w:tc>
        <w:tc>
          <w:tcPr>
            <w:tcW w:w="302" w:type="dxa"/>
            <w:tcBorders>
              <w:top w:val="single" w:color="auto" w:sz="4" w:space="0"/>
              <w:left w:val="single" w:color="auto" w:sz="4" w:space="0"/>
              <w:bottom w:val="single" w:color="auto" w:sz="4" w:space="0"/>
              <w:right w:val="single" w:color="auto" w:sz="4" w:space="0"/>
            </w:tcBorders>
            <w:noWrap w:val="0"/>
            <w:vAlign w:val="top"/>
          </w:tcPr>
          <w:p w14:paraId="7122073E">
            <w:pPr>
              <w:tabs>
                <w:tab w:val="left" w:pos="7980"/>
              </w:tabs>
              <w:spacing w:line="360" w:lineRule="exact"/>
              <w:jc w:val="left"/>
              <w:rPr>
                <w:rFonts w:hint="eastAsia" w:ascii="宋体" w:hAnsi="宋体" w:eastAsia="宋体" w:cs="宋体"/>
                <w:sz w:val="21"/>
                <w:szCs w:val="21"/>
              </w:rPr>
            </w:pPr>
          </w:p>
        </w:tc>
        <w:tc>
          <w:tcPr>
            <w:tcW w:w="302" w:type="dxa"/>
            <w:tcBorders>
              <w:top w:val="single" w:color="auto" w:sz="4" w:space="0"/>
              <w:left w:val="single" w:color="auto" w:sz="4" w:space="0"/>
              <w:bottom w:val="single" w:color="auto" w:sz="4" w:space="0"/>
              <w:right w:val="single" w:color="auto" w:sz="4" w:space="0"/>
            </w:tcBorders>
            <w:noWrap w:val="0"/>
            <w:vAlign w:val="top"/>
          </w:tcPr>
          <w:p w14:paraId="7B00B806">
            <w:pPr>
              <w:tabs>
                <w:tab w:val="left" w:pos="7980"/>
              </w:tabs>
              <w:spacing w:line="360" w:lineRule="exact"/>
              <w:jc w:val="left"/>
              <w:rPr>
                <w:rFonts w:hint="eastAsia" w:ascii="宋体" w:hAnsi="宋体" w:eastAsia="宋体" w:cs="宋体"/>
                <w:sz w:val="21"/>
                <w:szCs w:val="21"/>
              </w:rPr>
            </w:pPr>
          </w:p>
        </w:tc>
        <w:tc>
          <w:tcPr>
            <w:tcW w:w="302" w:type="dxa"/>
            <w:tcBorders>
              <w:top w:val="single" w:color="auto" w:sz="4" w:space="0"/>
              <w:left w:val="single" w:color="auto" w:sz="4" w:space="0"/>
              <w:bottom w:val="single" w:color="auto" w:sz="4" w:space="0"/>
              <w:right w:val="single" w:color="auto" w:sz="4" w:space="0"/>
            </w:tcBorders>
            <w:noWrap w:val="0"/>
            <w:vAlign w:val="top"/>
          </w:tcPr>
          <w:p w14:paraId="4142E864">
            <w:pPr>
              <w:tabs>
                <w:tab w:val="left" w:pos="7980"/>
              </w:tabs>
              <w:spacing w:line="360" w:lineRule="exact"/>
              <w:jc w:val="left"/>
              <w:rPr>
                <w:rFonts w:hint="eastAsia" w:ascii="宋体" w:hAnsi="宋体" w:eastAsia="宋体" w:cs="宋体"/>
                <w:sz w:val="21"/>
                <w:szCs w:val="21"/>
              </w:rPr>
            </w:pPr>
          </w:p>
        </w:tc>
        <w:tc>
          <w:tcPr>
            <w:tcW w:w="302" w:type="dxa"/>
            <w:tcBorders>
              <w:top w:val="single" w:color="auto" w:sz="4" w:space="0"/>
              <w:left w:val="single" w:color="auto" w:sz="4" w:space="0"/>
              <w:bottom w:val="single" w:color="auto" w:sz="4" w:space="0"/>
              <w:right w:val="single" w:color="auto" w:sz="4" w:space="0"/>
            </w:tcBorders>
            <w:noWrap w:val="0"/>
            <w:vAlign w:val="top"/>
          </w:tcPr>
          <w:p w14:paraId="08A9C49F">
            <w:pPr>
              <w:tabs>
                <w:tab w:val="left" w:pos="7980"/>
              </w:tabs>
              <w:spacing w:line="360" w:lineRule="exact"/>
              <w:jc w:val="left"/>
              <w:rPr>
                <w:rFonts w:hint="eastAsia" w:ascii="宋体" w:hAnsi="宋体" w:eastAsia="宋体" w:cs="宋体"/>
                <w:sz w:val="21"/>
                <w:szCs w:val="21"/>
              </w:rPr>
            </w:pPr>
          </w:p>
        </w:tc>
        <w:tc>
          <w:tcPr>
            <w:tcW w:w="301" w:type="dxa"/>
            <w:tcBorders>
              <w:top w:val="single" w:color="auto" w:sz="4" w:space="0"/>
              <w:left w:val="single" w:color="auto" w:sz="4" w:space="0"/>
              <w:bottom w:val="single" w:color="auto" w:sz="4" w:space="0"/>
              <w:right w:val="single" w:color="auto" w:sz="4" w:space="0"/>
            </w:tcBorders>
            <w:noWrap w:val="0"/>
            <w:vAlign w:val="top"/>
          </w:tcPr>
          <w:p w14:paraId="735ED520">
            <w:pPr>
              <w:tabs>
                <w:tab w:val="left" w:pos="7980"/>
              </w:tabs>
              <w:spacing w:line="360" w:lineRule="exact"/>
              <w:jc w:val="left"/>
              <w:rPr>
                <w:rFonts w:hint="eastAsia" w:ascii="宋体" w:hAnsi="宋体" w:eastAsia="宋体" w:cs="宋体"/>
                <w:sz w:val="21"/>
                <w:szCs w:val="21"/>
              </w:rPr>
            </w:pPr>
          </w:p>
        </w:tc>
        <w:tc>
          <w:tcPr>
            <w:tcW w:w="302" w:type="dxa"/>
            <w:tcBorders>
              <w:top w:val="single" w:color="auto" w:sz="4" w:space="0"/>
              <w:left w:val="single" w:color="auto" w:sz="4" w:space="0"/>
              <w:bottom w:val="single" w:color="auto" w:sz="4" w:space="0"/>
              <w:right w:val="single" w:color="auto" w:sz="4" w:space="0"/>
            </w:tcBorders>
            <w:noWrap w:val="0"/>
            <w:vAlign w:val="top"/>
          </w:tcPr>
          <w:p w14:paraId="48664C0B">
            <w:pPr>
              <w:tabs>
                <w:tab w:val="left" w:pos="7980"/>
              </w:tabs>
              <w:spacing w:line="360" w:lineRule="exact"/>
              <w:jc w:val="left"/>
              <w:rPr>
                <w:rFonts w:hint="eastAsia" w:ascii="宋体" w:hAnsi="宋体" w:eastAsia="宋体" w:cs="宋体"/>
                <w:sz w:val="21"/>
                <w:szCs w:val="21"/>
              </w:rPr>
            </w:pPr>
          </w:p>
        </w:tc>
        <w:tc>
          <w:tcPr>
            <w:tcW w:w="302" w:type="dxa"/>
            <w:tcBorders>
              <w:top w:val="single" w:color="auto" w:sz="4" w:space="0"/>
              <w:left w:val="single" w:color="auto" w:sz="4" w:space="0"/>
              <w:bottom w:val="single" w:color="auto" w:sz="4" w:space="0"/>
              <w:right w:val="single" w:color="auto" w:sz="4" w:space="0"/>
            </w:tcBorders>
            <w:noWrap w:val="0"/>
            <w:vAlign w:val="top"/>
          </w:tcPr>
          <w:p w14:paraId="75864F2A">
            <w:pPr>
              <w:tabs>
                <w:tab w:val="left" w:pos="7980"/>
              </w:tabs>
              <w:spacing w:line="360" w:lineRule="exact"/>
              <w:jc w:val="left"/>
              <w:rPr>
                <w:rFonts w:hint="eastAsia" w:ascii="宋体" w:hAnsi="宋体" w:eastAsia="宋体" w:cs="宋体"/>
                <w:sz w:val="21"/>
                <w:szCs w:val="21"/>
              </w:rPr>
            </w:pPr>
          </w:p>
        </w:tc>
        <w:tc>
          <w:tcPr>
            <w:tcW w:w="302" w:type="dxa"/>
            <w:tcBorders>
              <w:top w:val="single" w:color="auto" w:sz="4" w:space="0"/>
              <w:left w:val="single" w:color="auto" w:sz="4" w:space="0"/>
              <w:bottom w:val="single" w:color="auto" w:sz="4" w:space="0"/>
              <w:right w:val="single" w:color="auto" w:sz="4" w:space="0"/>
            </w:tcBorders>
            <w:noWrap w:val="0"/>
            <w:vAlign w:val="top"/>
          </w:tcPr>
          <w:p w14:paraId="22CE978F">
            <w:pPr>
              <w:tabs>
                <w:tab w:val="left" w:pos="7980"/>
              </w:tabs>
              <w:spacing w:line="360" w:lineRule="exact"/>
              <w:jc w:val="left"/>
              <w:rPr>
                <w:rFonts w:hint="eastAsia" w:ascii="宋体" w:hAnsi="宋体" w:eastAsia="宋体" w:cs="宋体"/>
                <w:sz w:val="21"/>
                <w:szCs w:val="21"/>
              </w:rPr>
            </w:pPr>
          </w:p>
        </w:tc>
        <w:tc>
          <w:tcPr>
            <w:tcW w:w="302" w:type="dxa"/>
            <w:tcBorders>
              <w:top w:val="single" w:color="auto" w:sz="4" w:space="0"/>
              <w:left w:val="single" w:color="auto" w:sz="4" w:space="0"/>
              <w:bottom w:val="single" w:color="auto" w:sz="4" w:space="0"/>
              <w:right w:val="single" w:color="auto" w:sz="4" w:space="0"/>
            </w:tcBorders>
            <w:noWrap w:val="0"/>
            <w:vAlign w:val="top"/>
          </w:tcPr>
          <w:p w14:paraId="2DA273F2">
            <w:pPr>
              <w:tabs>
                <w:tab w:val="left" w:pos="7980"/>
              </w:tabs>
              <w:spacing w:line="360" w:lineRule="exact"/>
              <w:jc w:val="left"/>
              <w:rPr>
                <w:rFonts w:hint="eastAsia" w:ascii="宋体" w:hAnsi="宋体" w:eastAsia="宋体" w:cs="宋体"/>
                <w:sz w:val="21"/>
                <w:szCs w:val="21"/>
              </w:rPr>
            </w:pPr>
          </w:p>
        </w:tc>
        <w:tc>
          <w:tcPr>
            <w:tcW w:w="302" w:type="dxa"/>
            <w:tcBorders>
              <w:top w:val="single" w:color="auto" w:sz="4" w:space="0"/>
              <w:left w:val="single" w:color="auto" w:sz="4" w:space="0"/>
              <w:bottom w:val="single" w:color="auto" w:sz="4" w:space="0"/>
              <w:right w:val="single" w:color="auto" w:sz="4" w:space="0"/>
            </w:tcBorders>
            <w:noWrap w:val="0"/>
            <w:vAlign w:val="top"/>
          </w:tcPr>
          <w:p w14:paraId="3807068B">
            <w:pPr>
              <w:tabs>
                <w:tab w:val="left" w:pos="7980"/>
              </w:tabs>
              <w:spacing w:line="360" w:lineRule="exact"/>
              <w:jc w:val="left"/>
              <w:rPr>
                <w:rFonts w:hint="eastAsia" w:ascii="宋体" w:hAnsi="宋体" w:eastAsia="宋体" w:cs="宋体"/>
                <w:sz w:val="21"/>
                <w:szCs w:val="21"/>
              </w:rPr>
            </w:pPr>
          </w:p>
        </w:tc>
        <w:tc>
          <w:tcPr>
            <w:tcW w:w="302" w:type="dxa"/>
            <w:tcBorders>
              <w:top w:val="single" w:color="auto" w:sz="4" w:space="0"/>
              <w:left w:val="single" w:color="auto" w:sz="4" w:space="0"/>
              <w:bottom w:val="single" w:color="auto" w:sz="4" w:space="0"/>
              <w:right w:val="single" w:color="auto" w:sz="4" w:space="0"/>
            </w:tcBorders>
            <w:noWrap w:val="0"/>
            <w:vAlign w:val="top"/>
          </w:tcPr>
          <w:p w14:paraId="7FCAA887">
            <w:pPr>
              <w:tabs>
                <w:tab w:val="left" w:pos="7980"/>
              </w:tabs>
              <w:spacing w:line="360" w:lineRule="exact"/>
              <w:jc w:val="left"/>
              <w:rPr>
                <w:rFonts w:hint="eastAsia" w:ascii="宋体" w:hAnsi="宋体" w:eastAsia="宋体" w:cs="宋体"/>
                <w:sz w:val="21"/>
                <w:szCs w:val="21"/>
              </w:rPr>
            </w:pPr>
          </w:p>
        </w:tc>
        <w:tc>
          <w:tcPr>
            <w:tcW w:w="302" w:type="dxa"/>
            <w:tcBorders>
              <w:top w:val="single" w:color="auto" w:sz="4" w:space="0"/>
              <w:left w:val="single" w:color="auto" w:sz="4" w:space="0"/>
              <w:bottom w:val="single" w:color="auto" w:sz="4" w:space="0"/>
              <w:right w:val="single" w:color="auto" w:sz="4" w:space="0"/>
            </w:tcBorders>
            <w:noWrap w:val="0"/>
            <w:vAlign w:val="top"/>
          </w:tcPr>
          <w:p w14:paraId="266C8D36">
            <w:pPr>
              <w:tabs>
                <w:tab w:val="left" w:pos="7980"/>
              </w:tabs>
              <w:spacing w:line="360" w:lineRule="exact"/>
              <w:jc w:val="left"/>
              <w:rPr>
                <w:rFonts w:hint="eastAsia" w:ascii="宋体" w:hAnsi="宋体" w:eastAsia="宋体" w:cs="宋体"/>
                <w:sz w:val="21"/>
                <w:szCs w:val="21"/>
              </w:rPr>
            </w:pPr>
          </w:p>
        </w:tc>
      </w:tr>
    </w:tbl>
    <w:p w14:paraId="09C06047">
      <w:pPr>
        <w:tabs>
          <w:tab w:val="left" w:pos="7980"/>
        </w:tabs>
        <w:spacing w:line="360" w:lineRule="exact"/>
        <w:jc w:val="left"/>
        <w:rPr>
          <w:rFonts w:hint="eastAsia" w:ascii="宋体" w:hAnsi="宋体" w:eastAsia="宋体" w:cs="宋体"/>
          <w:kern w:val="0"/>
          <w:sz w:val="21"/>
          <w:szCs w:val="21"/>
        </w:rPr>
      </w:pPr>
    </w:p>
    <w:p w14:paraId="26D2E4EC">
      <w:pPr>
        <w:tabs>
          <w:tab w:val="left" w:pos="7980"/>
        </w:tabs>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1．申请登记人：</w:t>
      </w:r>
    </w:p>
    <w:p w14:paraId="1565C312">
      <w:pPr>
        <w:tabs>
          <w:tab w:val="left" w:pos="7980"/>
        </w:tabs>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2．登记材料：(1) </w:t>
      </w:r>
    </w:p>
    <w:p w14:paraId="78F12120">
      <w:pPr>
        <w:tabs>
          <w:tab w:val="left" w:pos="7980"/>
        </w:tabs>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(2) </w:t>
      </w:r>
    </w:p>
    <w:p w14:paraId="6DBA65A3">
      <w:pPr>
        <w:tabs>
          <w:tab w:val="left" w:pos="7980"/>
        </w:tabs>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(3) </w:t>
      </w:r>
    </w:p>
    <w:p w14:paraId="4EEEC3F7">
      <w:pPr>
        <w:tabs>
          <w:tab w:val="left" w:pos="7980"/>
        </w:tabs>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3．合同类型：</w:t>
      </w:r>
    </w:p>
    <w:p w14:paraId="0CE73BB5">
      <w:pPr>
        <w:tabs>
          <w:tab w:val="left" w:pos="7980"/>
        </w:tabs>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4．合同交易额：</w:t>
      </w:r>
    </w:p>
    <w:p w14:paraId="614635AC">
      <w:pPr>
        <w:tabs>
          <w:tab w:val="left" w:pos="7980"/>
        </w:tabs>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5．技术交易额：</w:t>
      </w:r>
    </w:p>
    <w:p w14:paraId="0FE43A70">
      <w:pPr>
        <w:tabs>
          <w:tab w:val="left" w:pos="7980"/>
        </w:tabs>
        <w:spacing w:line="360" w:lineRule="exact"/>
        <w:jc w:val="left"/>
        <w:rPr>
          <w:rFonts w:hint="eastAsia" w:ascii="宋体" w:hAnsi="宋体" w:eastAsia="宋体" w:cs="宋体"/>
          <w:kern w:val="0"/>
          <w:sz w:val="21"/>
          <w:szCs w:val="21"/>
        </w:rPr>
      </w:pPr>
    </w:p>
    <w:p w14:paraId="26F4AA80">
      <w:pPr>
        <w:tabs>
          <w:tab w:val="left" w:pos="7980"/>
        </w:tabs>
        <w:spacing w:line="360" w:lineRule="exact"/>
        <w:jc w:val="left"/>
        <w:rPr>
          <w:rFonts w:hint="eastAsia" w:ascii="宋体" w:hAnsi="宋体" w:eastAsia="宋体" w:cs="宋体"/>
          <w:kern w:val="0"/>
          <w:sz w:val="21"/>
          <w:szCs w:val="21"/>
        </w:rPr>
      </w:pPr>
    </w:p>
    <w:p w14:paraId="637A91FA">
      <w:pPr>
        <w:tabs>
          <w:tab w:val="left" w:pos="7980"/>
        </w:tabs>
        <w:spacing w:line="360" w:lineRule="exact"/>
        <w:ind w:firstLine="3360" w:firstLineChars="1600"/>
        <w:jc w:val="left"/>
        <w:rPr>
          <w:rFonts w:hint="eastAsia" w:ascii="宋体" w:hAnsi="宋体" w:eastAsia="宋体" w:cs="宋体"/>
          <w:kern w:val="0"/>
          <w:sz w:val="21"/>
          <w:szCs w:val="21"/>
        </w:rPr>
      </w:pPr>
      <w:r>
        <w:rPr>
          <w:rFonts w:hint="eastAsia" w:ascii="宋体" w:hAnsi="宋体" w:eastAsia="宋体" w:cs="宋体"/>
          <w:kern w:val="0"/>
          <w:sz w:val="21"/>
          <w:szCs w:val="21"/>
        </w:rPr>
        <w:t>技术合同登记机构（印章）</w:t>
      </w:r>
    </w:p>
    <w:p w14:paraId="06179E8A">
      <w:pPr>
        <w:tabs>
          <w:tab w:val="left" w:pos="7980"/>
        </w:tabs>
        <w:spacing w:line="36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经办人：</w:t>
      </w:r>
    </w:p>
    <w:p w14:paraId="0D2E8EE3">
      <w:pPr>
        <w:spacing w:line="360" w:lineRule="exact"/>
        <w:ind w:left="6720" w:hanging="5040" w:hangingChars="2400"/>
        <w:rPr>
          <w:rFonts w:hint="eastAsia" w:ascii="宋体" w:hAnsi="宋体" w:eastAsia="宋体" w:cs="宋体"/>
          <w:sz w:val="21"/>
          <w:szCs w:val="21"/>
        </w:rPr>
      </w:pPr>
    </w:p>
    <w:p w14:paraId="1A169725">
      <w:pPr>
        <w:spacing w:line="360" w:lineRule="exact"/>
        <w:ind w:left="5040" w:leftChars="2400"/>
        <w:rPr>
          <w:rFonts w:hint="eastAsia" w:ascii="宋体" w:hAnsi="宋体" w:eastAsia="宋体" w:cs="宋体"/>
          <w:sz w:val="21"/>
          <w:szCs w:val="21"/>
        </w:rPr>
      </w:pPr>
      <w:r>
        <w:rPr>
          <w:rFonts w:hint="eastAsia" w:ascii="宋体" w:hAnsi="宋体" w:eastAsia="宋体" w:cs="宋体"/>
          <w:sz w:val="21"/>
          <w:szCs w:val="21"/>
        </w:rPr>
        <w:t>年   月   日</w:t>
      </w:r>
    </w:p>
    <w:p w14:paraId="413F6B4B">
      <w:pPr>
        <w:spacing w:line="360" w:lineRule="exact"/>
        <w:rPr>
          <w:rFonts w:hint="eastAsia" w:ascii="宋体" w:hAnsi="宋体" w:eastAsia="宋体" w:cs="宋体"/>
          <w:bCs/>
          <w:sz w:val="21"/>
          <w:szCs w:val="21"/>
        </w:rPr>
      </w:pPr>
    </w:p>
    <w:p w14:paraId="4BBCBEBD">
      <w:pPr>
        <w:spacing w:line="360" w:lineRule="exact"/>
        <w:rPr>
          <w:rFonts w:hint="eastAsia" w:ascii="宋体" w:hAnsi="宋体" w:eastAsia="宋体" w:cs="宋体"/>
          <w:bCs/>
          <w:sz w:val="21"/>
          <w:szCs w:val="21"/>
        </w:rPr>
      </w:pPr>
    </w:p>
    <w:p w14:paraId="4FAD2526">
      <w:pPr>
        <w:spacing w:line="360" w:lineRule="exact"/>
        <w:rPr>
          <w:rFonts w:hint="eastAsia" w:ascii="宋体" w:hAnsi="宋体" w:eastAsia="宋体" w:cs="宋体"/>
          <w:bCs/>
          <w:sz w:val="21"/>
          <w:szCs w:val="21"/>
        </w:rPr>
      </w:pPr>
    </w:p>
    <w:p w14:paraId="39A9E7D1">
      <w:pPr>
        <w:spacing w:line="360" w:lineRule="exact"/>
        <w:rPr>
          <w:rFonts w:hint="eastAsia" w:ascii="宋体" w:hAnsi="宋体" w:eastAsia="宋体" w:cs="宋体"/>
          <w:bCs/>
          <w:sz w:val="21"/>
          <w:szCs w:val="21"/>
        </w:rPr>
      </w:pPr>
    </w:p>
    <w:p w14:paraId="16891269">
      <w:pPr>
        <w:spacing w:line="360" w:lineRule="exact"/>
        <w:rPr>
          <w:rFonts w:hint="eastAsia" w:ascii="宋体" w:hAnsi="宋体" w:eastAsia="宋体" w:cs="宋体"/>
          <w:bCs/>
          <w:sz w:val="21"/>
          <w:szCs w:val="21"/>
        </w:rPr>
      </w:pPr>
    </w:p>
    <w:p w14:paraId="03C909BF">
      <w:pPr>
        <w:spacing w:line="360" w:lineRule="exact"/>
        <w:rPr>
          <w:rFonts w:hint="eastAsia" w:ascii="宋体" w:hAnsi="宋体" w:eastAsia="宋体" w:cs="宋体"/>
          <w:bCs/>
          <w:sz w:val="21"/>
          <w:szCs w:val="21"/>
        </w:rPr>
      </w:pPr>
    </w:p>
    <w:p w14:paraId="6455416E">
      <w:pPr>
        <w:spacing w:line="360" w:lineRule="exact"/>
        <w:rPr>
          <w:rFonts w:hint="eastAsia" w:ascii="宋体" w:hAnsi="宋体" w:eastAsia="宋体" w:cs="宋体"/>
          <w:bCs/>
          <w:sz w:val="21"/>
          <w:szCs w:val="21"/>
        </w:rPr>
      </w:pPr>
    </w:p>
    <w:p w14:paraId="487DF1BB">
      <w:pPr>
        <w:spacing w:line="360" w:lineRule="exact"/>
        <w:rPr>
          <w:rFonts w:hint="eastAsia" w:ascii="宋体" w:hAnsi="宋体" w:eastAsia="宋体" w:cs="宋体"/>
          <w:bCs/>
          <w:sz w:val="21"/>
          <w:szCs w:val="21"/>
        </w:rPr>
      </w:pPr>
    </w:p>
    <w:p w14:paraId="18A7A66D">
      <w:pPr>
        <w:spacing w:line="360" w:lineRule="exact"/>
        <w:rPr>
          <w:rFonts w:hint="eastAsia" w:ascii="宋体" w:hAnsi="宋体" w:eastAsia="宋体" w:cs="宋体"/>
          <w:bCs/>
          <w:sz w:val="21"/>
          <w:szCs w:val="21"/>
        </w:rPr>
      </w:pPr>
    </w:p>
    <w:p w14:paraId="74AFEC30">
      <w:pPr>
        <w:spacing w:line="360" w:lineRule="exact"/>
        <w:rPr>
          <w:rFonts w:hint="eastAsia" w:ascii="宋体" w:hAnsi="宋体" w:eastAsia="宋体" w:cs="宋体"/>
          <w:bCs/>
          <w:sz w:val="21"/>
          <w:szCs w:val="21"/>
        </w:rPr>
      </w:pPr>
    </w:p>
    <w:p w14:paraId="2C468F6E">
      <w:pPr>
        <w:spacing w:line="360" w:lineRule="exact"/>
        <w:rPr>
          <w:rFonts w:hint="eastAsia" w:ascii="宋体" w:hAnsi="宋体" w:eastAsia="宋体" w:cs="宋体"/>
          <w:bCs/>
          <w:sz w:val="21"/>
          <w:szCs w:val="21"/>
        </w:rPr>
      </w:pPr>
    </w:p>
    <w:p w14:paraId="63F799C3">
      <w:pPr>
        <w:spacing w:line="360" w:lineRule="exact"/>
        <w:rPr>
          <w:rFonts w:hint="eastAsia" w:ascii="宋体" w:hAnsi="宋体" w:eastAsia="宋体" w:cs="宋体"/>
          <w:bCs/>
          <w:sz w:val="21"/>
          <w:szCs w:val="21"/>
        </w:rPr>
      </w:pPr>
    </w:p>
    <w:p w14:paraId="461EF894">
      <w:pPr>
        <w:spacing w:line="360" w:lineRule="exact"/>
        <w:rPr>
          <w:rFonts w:hint="eastAsia" w:ascii="宋体" w:hAnsi="宋体" w:eastAsia="宋体" w:cs="宋体"/>
          <w:bCs/>
          <w:sz w:val="21"/>
          <w:szCs w:val="21"/>
        </w:rPr>
      </w:pPr>
    </w:p>
    <w:p w14:paraId="41D8CD42">
      <w:pPr>
        <w:spacing w:line="360" w:lineRule="exact"/>
        <w:rPr>
          <w:rFonts w:hint="eastAsia" w:ascii="宋体" w:hAnsi="宋体" w:eastAsia="宋体" w:cs="宋体"/>
          <w:bCs/>
          <w:sz w:val="21"/>
          <w:szCs w:val="21"/>
        </w:rPr>
      </w:pPr>
    </w:p>
    <w:p w14:paraId="4DB3A969">
      <w:pPr>
        <w:spacing w:line="360" w:lineRule="exact"/>
        <w:rPr>
          <w:rFonts w:hint="eastAsia" w:ascii="宋体" w:hAnsi="宋体" w:eastAsia="宋体" w:cs="宋体"/>
          <w:bCs/>
          <w:sz w:val="21"/>
          <w:szCs w:val="21"/>
        </w:rPr>
      </w:pPr>
    </w:p>
    <w:p w14:paraId="359569AE">
      <w:pPr>
        <w:spacing w:line="360" w:lineRule="exact"/>
        <w:rPr>
          <w:rFonts w:hint="eastAsia" w:ascii="宋体" w:hAnsi="宋体" w:eastAsia="宋体" w:cs="宋体"/>
          <w:bCs/>
          <w:sz w:val="21"/>
          <w:szCs w:val="21"/>
        </w:rPr>
      </w:pPr>
    </w:p>
    <w:p w14:paraId="4AA6ECF0">
      <w:pPr>
        <w:widowControl/>
        <w:spacing w:line="360" w:lineRule="exact"/>
        <w:jc w:val="left"/>
        <w:rPr>
          <w:rFonts w:hint="eastAsia" w:ascii="宋体" w:hAnsi="宋体" w:eastAsia="宋体" w:cs="宋体"/>
          <w:bCs/>
          <w:sz w:val="21"/>
          <w:szCs w:val="21"/>
        </w:rPr>
      </w:pPr>
      <w:r>
        <w:rPr>
          <w:rFonts w:hint="eastAsia" w:ascii="宋体" w:hAnsi="宋体" w:eastAsia="宋体" w:cs="宋体"/>
          <w:bCs/>
          <w:sz w:val="21"/>
          <w:szCs w:val="21"/>
        </w:rPr>
        <w:t>附件一</w:t>
      </w:r>
    </w:p>
    <w:p w14:paraId="19D8AB3C">
      <w:pPr>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安全生产管理责任书</w:t>
      </w:r>
    </w:p>
    <w:p w14:paraId="6CA2AA1A">
      <w:pPr>
        <w:spacing w:line="360" w:lineRule="exact"/>
        <w:jc w:val="center"/>
        <w:rPr>
          <w:rFonts w:hint="eastAsia" w:ascii="宋体" w:hAnsi="宋体" w:eastAsia="宋体" w:cs="宋体"/>
          <w:b/>
          <w:sz w:val="21"/>
          <w:szCs w:val="21"/>
        </w:rPr>
      </w:pPr>
    </w:p>
    <w:p w14:paraId="60388716">
      <w:pPr>
        <w:spacing w:line="360" w:lineRule="exact"/>
        <w:rPr>
          <w:rFonts w:hint="eastAsia" w:ascii="宋体" w:hAnsi="宋体" w:eastAsia="宋体" w:cs="宋体"/>
          <w:sz w:val="21"/>
          <w:szCs w:val="21"/>
        </w:rPr>
      </w:pPr>
      <w:r>
        <w:rPr>
          <w:rFonts w:hint="eastAsia" w:ascii="宋体" w:hAnsi="宋体" w:eastAsia="宋体" w:cs="宋体"/>
          <w:sz w:val="21"/>
          <w:szCs w:val="21"/>
        </w:rPr>
        <w:t xml:space="preserve">中国电信[ </w:t>
      </w:r>
      <w:r>
        <w:rPr>
          <w:rFonts w:hint="eastAsia" w:ascii="宋体" w:hAnsi="宋体" w:eastAsia="宋体" w:cs="宋体"/>
          <w:sz w:val="21"/>
          <w:szCs w:val="21"/>
          <w:lang w:val="en-US" w:eastAsia="zh-CN"/>
        </w:rPr>
        <w:t>股份有限公司贵阳分</w:t>
      </w:r>
      <w:r>
        <w:rPr>
          <w:rFonts w:hint="eastAsia" w:ascii="宋体" w:hAnsi="宋体" w:eastAsia="宋体" w:cs="宋体"/>
          <w:sz w:val="21"/>
          <w:szCs w:val="21"/>
        </w:rPr>
        <w:t xml:space="preserve"> ]公司：</w:t>
      </w:r>
    </w:p>
    <w:p w14:paraId="22D1CA7C">
      <w:pPr>
        <w:adjustRightInd w:val="0"/>
        <w:snapToGrid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为保障安全生产，确保安全管理工作的落实，在贵公司与本单位双方签订的《 [ </w:t>
      </w:r>
      <w:r>
        <w:rPr>
          <w:rFonts w:hint="eastAsia" w:ascii="宋体" w:hAnsi="宋体" w:eastAsia="宋体" w:cs="宋体"/>
          <w:color w:val="auto"/>
          <w:kern w:val="1"/>
          <w:sz w:val="21"/>
          <w:szCs w:val="21"/>
          <w:lang w:eastAsia="zh-CN"/>
        </w:rPr>
        <w:t>2025年中国电信贵阳分公司低压动力设备维护抢修服务框架采购</w:t>
      </w:r>
      <w:r>
        <w:rPr>
          <w:rFonts w:hint="eastAsia" w:ascii="宋体" w:hAnsi="宋体" w:eastAsia="宋体" w:cs="宋体"/>
          <w:sz w:val="21"/>
          <w:szCs w:val="21"/>
        </w:rPr>
        <w:t xml:space="preserve"> ]技术服务框架协议》（以下简称“合同”）履行过程中，本单位承诺如下：</w:t>
      </w:r>
    </w:p>
    <w:p w14:paraId="630D44B0">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本单位在合同签订和履行过程中持续具备《中华人民共和国建筑法》、《中华人民共和国消防法》、《中华人民共和国安全生产法》和有关法律、行政法规和国家标准或者行业标准（“相关规定”）规定的安全生产条件和资质。</w:t>
      </w:r>
    </w:p>
    <w:p w14:paraId="553A8C74">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二、本单位参与合同履行的相关作业人员（“作业人员”）在履行合同过程中始终具备相关规定要求的从业资格和资质，从事特种作业的作业人员始终具备相关规定要求的从业资格和资质。。</w:t>
      </w:r>
    </w:p>
    <w:p w14:paraId="628961F7">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贵公司有权对本单位作业现场安全进行监督，贵公司代表有权对作业现场的安全管理进行指导和监督，本单位及作业人员必须服从贵公司代表的管理和监督检查，督促作业相关单位积极配合，并确保作业现场安全，并承担合同签订和履行过程中安全生产的全部责任。</w:t>
      </w:r>
    </w:p>
    <w:p w14:paraId="0D69F951">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本单位认真贯彻相关规定的各项要求，对作业现场的安全管理必须坚持安全第一、预防、综合治理为主的方针，做到安全作业、文明作业，定期组织作业人员召开安全生产会议和安全生产教育培训并建立档案，如实记录会议和教育培训的时间、内容、参加人员以及考核结果等情况，确保各类设备、设施安全和人员安全。</w:t>
      </w:r>
    </w:p>
    <w:p w14:paraId="502B5D44">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五、在通信机房内作业，本单位应当特别重视并遵守下列要求:</w:t>
      </w:r>
    </w:p>
    <w:p w14:paraId="282B363D">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（1）制定确保运行设备安全措施。</w:t>
      </w:r>
    </w:p>
    <w:p w14:paraId="14794CE8">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（2）设备开箱后，包装箱等易燃杂物应当立即搬离现场。</w:t>
      </w:r>
    </w:p>
    <w:p w14:paraId="54D35188">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（3）作业时，不得将导线头子遗留在设备内。每天作业结束时，应当清理作业现场。</w:t>
      </w:r>
    </w:p>
    <w:p w14:paraId="68DD14C6">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（4）作业期间确需进入通信系统，应当办理贵公司要求的手续。</w:t>
      </w:r>
    </w:p>
    <w:p w14:paraId="1D8D7941">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（5）作业期间布放线缆，需拆除竖井、巷道防火封堵物的，布放线缆完毕后，应当立即重新封堵。</w:t>
      </w:r>
    </w:p>
    <w:p w14:paraId="47DBCBAF">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（6）设备安装完毕，应当经电力维护人员检查、测试无误后，方可接通电源。</w:t>
      </w:r>
    </w:p>
    <w:p w14:paraId="559D4D5D">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六、作业现场应当符合下列要求：</w:t>
      </w:r>
    </w:p>
    <w:p w14:paraId="401E90BE">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（1）安全、整洁、美观，采取措施有效保护贵公司设施、设备。</w:t>
      </w:r>
    </w:p>
    <w:p w14:paraId="513C9C5F">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（2）材料堆放整齐有序，不得影响贵公司正常生产秩序和通信畅通。</w:t>
      </w:r>
    </w:p>
    <w:p w14:paraId="4F306D4A">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（3）垃圾及时处理，不得就近乱堆乱倒。</w:t>
      </w:r>
    </w:p>
    <w:p w14:paraId="3530CA8D">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（4）符合卫生标准。</w:t>
      </w:r>
    </w:p>
    <w:p w14:paraId="574E1EED">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（5）作业人员应当佩戴贵公司颁发的证明其身份的胸卡。</w:t>
      </w:r>
    </w:p>
    <w:p w14:paraId="1FD2636F">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（6）阻止无关人员进入作业现场。</w:t>
      </w:r>
    </w:p>
    <w:p w14:paraId="2F958264">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七、本单位应当遵守下列作业现场安全管理要求：</w:t>
      </w:r>
    </w:p>
    <w:p w14:paraId="59095E1F">
      <w:pPr>
        <w:suppressAutoHyphens/>
        <w:spacing w:line="360" w:lineRule="exact"/>
        <w:ind w:firstLine="420" w:firstLineChars="200"/>
        <w:rPr>
          <w:rFonts w:hint="eastAsia" w:ascii="宋体" w:hAnsi="宋体" w:eastAsia="宋体" w:cs="宋体"/>
          <w:color w:val="FFFF00"/>
          <w:sz w:val="21"/>
          <w:szCs w:val="21"/>
        </w:rPr>
      </w:pPr>
      <w:r>
        <w:rPr>
          <w:rFonts w:hint="eastAsia" w:ascii="宋体" w:hAnsi="宋体" w:eastAsia="宋体" w:cs="宋体"/>
          <w:sz w:val="21"/>
          <w:szCs w:val="21"/>
        </w:rPr>
        <w:t>（1）不得在作业现场溶融沥青或者焚烧油毡、油漆等易产生有毒、有害烟尘和气体的物质。</w:t>
      </w:r>
    </w:p>
    <w:p w14:paraId="6FA4C432">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（2）不得从高处向下抛撒垃圾。</w:t>
      </w:r>
    </w:p>
    <w:p w14:paraId="6800B7B3">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（3）不得将有毒有害废弃物作土方回填。</w:t>
      </w:r>
    </w:p>
    <w:p w14:paraId="6C8ADE89">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（4）禁止在作业现场吸烟或使用明火，确因作业需要进行明火作业，应当经贵公司安全保卫部门书面批准。</w:t>
      </w:r>
    </w:p>
    <w:p w14:paraId="679CA23E">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八、本单位接受贵公司有关各项安全生产、防火等规章制度的检查、督促。</w:t>
      </w:r>
    </w:p>
    <w:p w14:paraId="3397D5B1">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九、本单位加强对作业人员的管理，提高服务能力，提升作业人员的作业水平和服务质量，并确保安全管理和安全工作的落实。本单位保证对作业人员进行安全生产教育和培训，保证作业人员具备必要的安全生产知识，熟悉有关的安全生产规章制度和安全操作规程，掌握本岗位的安全操作技能，了解事故应急处理措施。未经安全生产教育和培训合格的作业人员不得上岗作业。</w:t>
      </w:r>
    </w:p>
    <w:p w14:paraId="03A8EE31">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本单位作业人员仅在贵公司允许的作业区域、场所和设备上作业，不得超范围作业。本单位工作人员未经许可，不得擅自进入与合同约定的服务工作无关的贵公司部门（包括但不限于通信要害部门）。如需进入贵公司生产机房进行作业的，本单位应当到贵公司相关部门办理出入通信要害部位介绍信，方可进入作业。</w:t>
      </w:r>
    </w:p>
    <w:p w14:paraId="43F43B97">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十一、本单位根据作业特点，制定安全生产作业方案和专项技术措施，配备专职或兼职人员负责有关安全生产、防火等工作，并积极与贵公司相关安全部门紧密联系。</w:t>
      </w:r>
    </w:p>
    <w:p w14:paraId="3D8E37B2">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十二、本单位为作业人员提供符合相关规定的劳动防护用品和作业工具，监督、教育作业人员按照使用规则佩戴、使用，并督促其遵守各项安全生产规章制度，不得违章作业、冒险作业或疲劳作业。</w:t>
      </w:r>
    </w:p>
    <w:p w14:paraId="4A674FD3">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十三、当发生安全事故时，本单位立即采取有效措施，防止事故的扩大，减少人员伤亡和财产损失，并及时向贵公司和有关部门报告，配合贵公司和有关部门的事故调查处理工作。</w:t>
      </w:r>
    </w:p>
    <w:p w14:paraId="3E5A6093">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十四、本单位作业人员进行登高作业时，应当遵守高处作业中的相关规定，并先检查登高工具和保险装备，确保登高现场环境安全，避免发生摔伤事故。</w:t>
      </w:r>
    </w:p>
    <w:p w14:paraId="6D7B2C49">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五、切实落实“六防”（即防爆炸、防盗抢、防火、防破坏、防诈骗、防窃密），不发生违反作业现场管理规定的行为，不发生违法犯罪案件。本单位就作业人员的行为向贵公司承担全部责任。如发生作业人员或他人的人身、财产事故，均由本单位负责解决并承担全部责任。</w:t>
      </w:r>
    </w:p>
    <w:p w14:paraId="1B37F9A4">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十六、本单位严格遵守国家安全生产方面的有关法律、法规，以实际行动创造安全、文明的工作环境，如本单位违反本责任书所述的任何情形，本单位承担相应责任并赔偿贵公司因此受到的损失。</w:t>
      </w:r>
    </w:p>
    <w:p w14:paraId="46B8DA09">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十七、本单位承诺依照有关法律规定参加工伤保险，为履行合同所雇用的全部人员，缴纳工伤保险费。</w:t>
      </w:r>
    </w:p>
    <w:p w14:paraId="1C3D5295">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十八、本单位在作业过程中若发生安全生产责任事故的，同意贵公司依据供应商不良行为相关管理制度对本单位进行处理。</w:t>
      </w:r>
    </w:p>
    <w:p w14:paraId="25A3C14F">
      <w:pPr>
        <w:adjustRightInd w:val="0"/>
        <w:snapToGrid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十九、根据《生产安全事故应急预案管理办法》要求，本单位承诺制定和完善应急预案演练计划，至少每半年组织一次生产安全事故应急预案演练。</w:t>
      </w:r>
    </w:p>
    <w:p w14:paraId="0DE5098A">
      <w:pPr>
        <w:adjustRightInd w:val="0"/>
        <w:snapToGrid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十、本单位承诺，采取有效管理措施合理减少从事危险作业岗位的劳务派遣、劳务分包等灵活用工方式人员，并对灵活用工人员纳入本单位统一管理，履行安全生产保证责任，做好灵活用工人员特种作业持证、安全培训、保险购买等工作。</w:t>
      </w:r>
    </w:p>
    <w:p w14:paraId="0197961E">
      <w:pPr>
        <w:adjustRightInd w:val="0"/>
        <w:snapToGrid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十一、本单位指定如下专职安全生产管理人员负责安全检查与协调等工作，并承诺安全生产管理人员具备生产经营活动相应的安全生产知识和管理能力。当专职安全生产管理人员变更时，本单位提前三日书面通知贵公司。</w:t>
      </w:r>
    </w:p>
    <w:p w14:paraId="785B76D8">
      <w:pPr>
        <w:adjustRightInd w:val="0"/>
        <w:snapToGrid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（1）姓名：[  ]</w:t>
      </w:r>
    </w:p>
    <w:p w14:paraId="5DD49B9F">
      <w:pPr>
        <w:adjustRightInd w:val="0"/>
        <w:snapToGrid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（2）联系方式：[  ]</w:t>
      </w:r>
    </w:p>
    <w:p w14:paraId="74456F72">
      <w:pPr>
        <w:adjustRightInd w:val="0"/>
        <w:snapToGrid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二十二、本责任书经本单位签署后，与合同同时生效。</w:t>
      </w:r>
    </w:p>
    <w:p w14:paraId="48C3BFBB">
      <w:pPr>
        <w:adjustRightInd w:val="0"/>
        <w:snapToGrid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w:t>
      </w:r>
    </w:p>
    <w:p w14:paraId="5854FFED">
      <w:pPr>
        <w:suppressAutoHyphens/>
        <w:spacing w:line="360" w:lineRule="exact"/>
        <w:jc w:val="left"/>
        <w:rPr>
          <w:rFonts w:hint="eastAsia" w:ascii="宋体" w:hAnsi="宋体" w:eastAsia="宋体" w:cs="宋体"/>
          <w:sz w:val="21"/>
          <w:szCs w:val="21"/>
        </w:rPr>
      </w:pPr>
      <w:r>
        <w:rPr>
          <w:rFonts w:hint="eastAsia" w:ascii="宋体" w:hAnsi="宋体" w:eastAsia="宋体" w:cs="宋体"/>
          <w:sz w:val="21"/>
          <w:szCs w:val="21"/>
        </w:rPr>
        <w:t xml:space="preserve"> </w:t>
      </w:r>
    </w:p>
    <w:p w14:paraId="07A17D1D">
      <w:pPr>
        <w:suppressAutoHyphens/>
        <w:spacing w:line="360" w:lineRule="exact"/>
        <w:jc w:val="left"/>
        <w:rPr>
          <w:rFonts w:hint="eastAsia" w:ascii="宋体" w:hAnsi="宋体" w:eastAsia="宋体" w:cs="宋体"/>
          <w:sz w:val="21"/>
          <w:szCs w:val="21"/>
        </w:rPr>
      </w:pPr>
      <w:r>
        <w:rPr>
          <w:rFonts w:hint="eastAsia" w:ascii="宋体" w:hAnsi="宋体" w:eastAsia="宋体" w:cs="宋体"/>
          <w:sz w:val="21"/>
          <w:szCs w:val="21"/>
        </w:rPr>
        <w:t>责任人（盖章）：[  ]</w:t>
      </w:r>
    </w:p>
    <w:p w14:paraId="01C63057">
      <w:pPr>
        <w:suppressAutoHyphens/>
        <w:spacing w:line="360" w:lineRule="exact"/>
        <w:jc w:val="left"/>
        <w:rPr>
          <w:rFonts w:hint="eastAsia" w:ascii="宋体" w:hAnsi="宋体" w:eastAsia="宋体" w:cs="宋体"/>
          <w:sz w:val="21"/>
          <w:szCs w:val="21"/>
        </w:rPr>
      </w:pPr>
      <w:r>
        <w:rPr>
          <w:rFonts w:hint="eastAsia" w:ascii="宋体" w:hAnsi="宋体" w:eastAsia="宋体" w:cs="宋体"/>
          <w:sz w:val="21"/>
          <w:szCs w:val="21"/>
        </w:rPr>
        <w:t>法定代表人/负责人</w:t>
      </w:r>
    </w:p>
    <w:p w14:paraId="60B9996E">
      <w:pPr>
        <w:suppressAutoHyphens/>
        <w:spacing w:line="360" w:lineRule="exact"/>
        <w:jc w:val="left"/>
        <w:rPr>
          <w:rFonts w:hint="eastAsia" w:ascii="宋体" w:hAnsi="宋体" w:eastAsia="宋体" w:cs="宋体"/>
          <w:sz w:val="21"/>
          <w:szCs w:val="21"/>
        </w:rPr>
      </w:pPr>
      <w:r>
        <w:rPr>
          <w:rFonts w:hint="eastAsia" w:ascii="宋体" w:hAnsi="宋体" w:eastAsia="宋体" w:cs="宋体"/>
          <w:sz w:val="21"/>
          <w:szCs w:val="21"/>
        </w:rPr>
        <w:t>或授权代表（签字）：</w:t>
      </w:r>
    </w:p>
    <w:p w14:paraId="5F7D0DB3">
      <w:pPr>
        <w:spacing w:line="360" w:lineRule="exact"/>
        <w:ind w:firstLine="3150" w:firstLineChars="1500"/>
        <w:jc w:val="left"/>
        <w:rPr>
          <w:rFonts w:hint="eastAsia" w:ascii="宋体" w:hAnsi="宋体" w:eastAsia="宋体" w:cs="宋体"/>
          <w:sz w:val="21"/>
          <w:szCs w:val="21"/>
        </w:rPr>
      </w:pPr>
      <w:r>
        <w:rPr>
          <w:rFonts w:hint="eastAsia" w:ascii="宋体" w:hAnsi="宋体" w:eastAsia="宋体" w:cs="宋体"/>
          <w:sz w:val="21"/>
          <w:szCs w:val="21"/>
        </w:rPr>
        <w:t xml:space="preserve"> </w:t>
      </w:r>
    </w:p>
    <w:p w14:paraId="3830682D">
      <w:pPr>
        <w:widowControl/>
        <w:autoSpaceDE w:val="0"/>
        <w:autoSpaceDN w:val="0"/>
        <w:spacing w:line="360" w:lineRule="exact"/>
        <w:ind w:firstLine="420" w:firstLineChars="200"/>
        <w:jc w:val="right"/>
        <w:textAlignment w:val="bottom"/>
        <w:rPr>
          <w:rFonts w:hint="eastAsia" w:ascii="宋体" w:hAnsi="宋体" w:eastAsia="宋体" w:cs="宋体"/>
          <w:sz w:val="21"/>
          <w:szCs w:val="21"/>
        </w:rPr>
      </w:pPr>
    </w:p>
    <w:p w14:paraId="543BE218">
      <w:pPr>
        <w:widowControl/>
        <w:autoSpaceDE w:val="0"/>
        <w:autoSpaceDN w:val="0"/>
        <w:spacing w:line="360" w:lineRule="exact"/>
        <w:textAlignment w:val="bottom"/>
        <w:rPr>
          <w:rFonts w:hint="eastAsia" w:ascii="宋体" w:hAnsi="宋体" w:eastAsia="宋体" w:cs="宋体"/>
          <w:sz w:val="21"/>
          <w:szCs w:val="21"/>
        </w:rPr>
      </w:pPr>
      <w:r>
        <w:rPr>
          <w:rFonts w:hint="eastAsia" w:ascii="宋体" w:hAnsi="宋体" w:eastAsia="宋体" w:cs="宋体"/>
          <w:sz w:val="21"/>
          <w:szCs w:val="21"/>
        </w:rPr>
        <w:br w:type="page"/>
      </w:r>
      <w:r>
        <w:rPr>
          <w:rFonts w:hint="eastAsia" w:ascii="宋体" w:hAnsi="宋体" w:eastAsia="宋体" w:cs="宋体"/>
          <w:sz w:val="21"/>
          <w:szCs w:val="21"/>
        </w:rPr>
        <w:t>附件</w:t>
      </w:r>
      <w:r>
        <w:rPr>
          <w:rFonts w:hint="eastAsia" w:ascii="宋体" w:hAnsi="宋体" w:eastAsia="宋体" w:cs="宋体"/>
          <w:bCs/>
          <w:sz w:val="21"/>
          <w:szCs w:val="21"/>
        </w:rPr>
        <w:t>二</w:t>
      </w:r>
    </w:p>
    <w:p w14:paraId="716D7616">
      <w:pPr>
        <w:spacing w:line="360" w:lineRule="exact"/>
        <w:ind w:firstLine="2319" w:firstLineChars="1100"/>
        <w:rPr>
          <w:rFonts w:hint="eastAsia" w:ascii="宋体" w:hAnsi="宋体" w:eastAsia="宋体" w:cs="宋体"/>
          <w:b/>
          <w:sz w:val="21"/>
          <w:szCs w:val="21"/>
        </w:rPr>
      </w:pPr>
      <w:r>
        <w:rPr>
          <w:rFonts w:hint="eastAsia" w:ascii="宋体" w:hAnsi="宋体" w:eastAsia="宋体" w:cs="宋体"/>
          <w:b/>
          <w:sz w:val="21"/>
          <w:szCs w:val="21"/>
        </w:rPr>
        <w:t>网络及信息安全承诺书</w:t>
      </w:r>
    </w:p>
    <w:p w14:paraId="4774193E">
      <w:pPr>
        <w:spacing w:line="360" w:lineRule="exact"/>
        <w:ind w:firstLine="2319" w:firstLineChars="1100"/>
        <w:jc w:val="center"/>
        <w:rPr>
          <w:rFonts w:hint="eastAsia" w:ascii="宋体" w:hAnsi="宋体" w:eastAsia="宋体" w:cs="宋体"/>
          <w:b/>
          <w:sz w:val="21"/>
          <w:szCs w:val="21"/>
        </w:rPr>
      </w:pPr>
    </w:p>
    <w:p w14:paraId="4A95A887">
      <w:pPr>
        <w:spacing w:line="360" w:lineRule="exact"/>
        <w:ind w:firstLine="420" w:firstLineChars="200"/>
        <w:rPr>
          <w:rFonts w:hint="eastAsia" w:ascii="宋体" w:hAnsi="宋体" w:eastAsia="宋体" w:cs="宋体"/>
          <w:i/>
          <w:sz w:val="21"/>
          <w:szCs w:val="21"/>
        </w:rPr>
      </w:pPr>
      <w:r>
        <w:rPr>
          <w:rFonts w:hint="eastAsia" w:ascii="宋体" w:hAnsi="宋体" w:eastAsia="宋体" w:cs="宋体"/>
          <w:sz w:val="21"/>
          <w:szCs w:val="21"/>
        </w:rPr>
        <w:t xml:space="preserve">中国电信[ </w:t>
      </w:r>
      <w:r>
        <w:rPr>
          <w:rFonts w:hint="eastAsia" w:ascii="宋体" w:hAnsi="宋体" w:eastAsia="宋体" w:cs="宋体"/>
          <w:sz w:val="21"/>
          <w:szCs w:val="21"/>
          <w:lang w:val="en-US" w:eastAsia="zh-CN"/>
        </w:rPr>
        <w:t>股份有限公司贵阳分</w:t>
      </w:r>
      <w:r>
        <w:rPr>
          <w:rFonts w:hint="eastAsia" w:ascii="宋体" w:hAnsi="宋体" w:eastAsia="宋体" w:cs="宋体"/>
          <w:sz w:val="21"/>
          <w:szCs w:val="21"/>
        </w:rPr>
        <w:t xml:space="preserve"> ]公司：</w:t>
      </w:r>
    </w:p>
    <w:p w14:paraId="6DF6D00A">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本单位郑重承诺遵守本承诺书，如有违反本承诺书有关条款的行为，本单位承担由此带来的一切责任。</w:t>
      </w:r>
    </w:p>
    <w:p w14:paraId="690EB6EB">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本单位承诺遵守《中华人民共和国网络安全法》《中华人民共和国数据安全法》《中华人民共和国个人信息保护法》《全国人民代表大会常务委员会关于加强网络信息保护的决定》《中华人民共和国电信条例》《中华人民共和国计算机信息系统安全保护条例》《计算机信息网络国际联网安全保护管理办法》《互联网信息服务管理办法》《非经营性互联网信息服务备案管理办法》《移动互联网应用程序信息服务管理规定》《网络信息内容生态治理规定》《电信和互联网用户个人信息保护规定》《公共互联网网络安全突发事件应急预案》《关键信息基础设施安全保护条例》《网络安全审查办法》及有关法律、法规、规章和政策文件规定（“相关规定”）。</w:t>
      </w:r>
    </w:p>
    <w:p w14:paraId="7B2C41F4">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本单位承诺向贵公司提供产品或服务符合相关规定、政府主管部门要求以及与贵公司的合同/协议（“合同”）约定，落实网络安全、数据安全和个人信息保护责任。本单位承诺具备履行合同所需的全部合法必要的资质条件。</w:t>
      </w:r>
    </w:p>
    <w:p w14:paraId="4D335567">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三、本单位承诺按照用户真实身份信息制度（“实名制”）的要求提供身份信息、使用业务，并保证所提供信息、资料的真实、完整、准确、有效。</w:t>
      </w:r>
    </w:p>
    <w:p w14:paraId="0D2F5142">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四、本单位保证不利用网络（包括但不限于固定网、移动网、互联网，下同）从事危害国家安全、泄露国家秘密等违法犯罪活动，不侵犯他人的合法权益。</w:t>
      </w:r>
    </w:p>
    <w:p w14:paraId="73109783">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本单位保证在处理个人信息前依法向个人信息主体（“个人”）履行法定告知义务并取得个人的明确同意。法律、行政法规规定处理个人信息应当取得个人单独同意或者书面同意的，本单位保证在处理个人信息前依法取得个人单独同意或书面同意。</w:t>
      </w:r>
    </w:p>
    <w:p w14:paraId="515F300E">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本单位向贵公司提供个人信息或委托贵公司处理个人信息的，本单位承诺已依法向个人履行了告知义务，并依法取得了个人同意。本单位承诺，向贵公司提供或委托贵公司处理的个人信息等数据来源合法合规，不存在违反相关规定以及合同约定的情况。</w:t>
      </w:r>
    </w:p>
    <w:p w14:paraId="544AE922">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本单位受贵公司委托处理个人信息等数据的，或本单位与贵公司共同处理个人信息等数据的，本单位承诺按照与贵公司的合同约定处理，不得超出约定的处理目的、处理方式等处理上述数据，严格遵循数据处理时限。如果合同不生效、无效、被撤销、终止，或其他贵公司认为必要的情况下，本单位承诺按照贵公司的要求对个人信息等数据（包括但不限于原始数据、备份数据、基于所提供的数据产生的衍生数据）予以返还或者删除，且未经贵公司同意不得以任何方式留存履行合同过程中所处理的任何上述数据。上述数据的返还或删除并不免除本单位其他义务。未经贵公司同意,本单位不得转委托他人处理上述数据。本单位承诺按照法律规定及贵公司要求处理个人基于其主体权利提出的请求（包括个人信息查询、更正、删除、撤回授权同意、注销账户、获取个人信息副本等）。</w:t>
      </w:r>
    </w:p>
    <w:p w14:paraId="04002C66">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对本单位在合同签订及履行过程中接触或知悉的贵公司和/或贵公司客户的数据和用户个人信息，本单位应当严格保密，不得向其他方提供、披露。本单位应当按照相关规定、政府主管部门要求和合同约定采取保密措施，防止未经授权的访问以及个人信息等数据的泄露、篡改、丢失。对于本单位在合同签订及履行过程中接触和获得的个人信息等数据，应当依法在境内存储，且不得向境外提供。</w:t>
      </w:r>
    </w:p>
    <w:p w14:paraId="1FB0DAA4">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九、本单位承诺严格按照相关规定做好本单位网络安全、数据安全和个人信息保护管理工作，健全各项网络安全、数据安全和个人信息保护管理制度和操作规程，落实各项安全保护技术措施，实施个人信息和数据分类分级管理、依法落实个人信息保护影响评估和数据安全风险评估、报告、信息共享、监测预警机制，定期对从业人员进行安全教育和培训，依法设置网络安全、数据安全和个人信息保护责任人和管理机构，按政府主管部门要求设立信息安全责任人和信息安全审查员，当信息安全责任人发生变更时及时通知贵公司。否则，导致的一切后果由本单位承担，贵公司有权立即终止合同。</w:t>
      </w:r>
    </w:p>
    <w:p w14:paraId="28AD9687">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本单位承诺配合贵公司为公安机关、国家安全机关、网信部门等政府部门依法履行职责、维护国家安全和侦查犯罪等活动提供协助，如实提供有关安全保护的信息、资料及数据文件，积极协助查处信息网络违法犯罪行为。</w:t>
      </w:r>
    </w:p>
    <w:p w14:paraId="20606169">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一、本单位承诺利用网络发送的信息以及向贵公司提供的信息真实、准确、合法。该等信息内容应当严格符合相关规定，本单位不得通过通信网络、互联网制作、复制、查阅和传播有害信息，不得散发传播违法、不健康、反动等信息，不得制作、复制、查阅和传播任何违反下列要求（即“九不准”及“六不许”）的信息。</w:t>
      </w:r>
    </w:p>
    <w:p w14:paraId="3D4A6BF7">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“九不准”，即不准制作、复制、查阅和传播含有以下内容的信息：</w:t>
      </w:r>
    </w:p>
    <w:p w14:paraId="1E86CB74">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1、反对宪法所确定的基本原则的；</w:t>
      </w:r>
    </w:p>
    <w:p w14:paraId="2A4E483C">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2、危害国家安全，泄露国家秘密，颠覆国家政权，破坏国家统一的。</w:t>
      </w:r>
    </w:p>
    <w:p w14:paraId="5BE1C85B">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3、损害国家荣誉和利益的；</w:t>
      </w:r>
    </w:p>
    <w:p w14:paraId="2A8C4BE1">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4、煽动民族仇恨、民族歧视，破坏民族团结的；</w:t>
      </w:r>
    </w:p>
    <w:p w14:paraId="6C866E43">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5、破坏国家宗教政策，宣扬邪教和封建迷信的；</w:t>
      </w:r>
    </w:p>
    <w:p w14:paraId="3C40FF73">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6、散布谣言，扰乱社会秩序，破坏社会稳定的；</w:t>
      </w:r>
    </w:p>
    <w:p w14:paraId="70F69B1C">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7、散布淫秽、色情、赌博、暴力、凶杀、恐怖或者教唆犯罪的。</w:t>
      </w:r>
    </w:p>
    <w:p w14:paraId="0570F32C">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8、侮辱或者诽谤他人，侵害他人合法权益的；</w:t>
      </w:r>
    </w:p>
    <w:p w14:paraId="682887C8">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9、含有法律、法规禁止的其他内容的。</w:t>
      </w:r>
    </w:p>
    <w:p w14:paraId="35B480F1">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“六不许”，即：</w:t>
      </w:r>
    </w:p>
    <w:p w14:paraId="0AD35192">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1、决不允许在群众中散布违背党的理论和路线方针政策的意见。</w:t>
      </w:r>
    </w:p>
    <w:p w14:paraId="5CEEE9CE">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2、决不允许公开发表同中央的决定相违背的言论。</w:t>
      </w:r>
    </w:p>
    <w:p w14:paraId="14726B0E">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3、决不允许对中央的决策部署阳奉阴违。</w:t>
      </w:r>
    </w:p>
    <w:p w14:paraId="42A064D5">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4、决不允许编造、传播政治谣言及丑化党和国家形象的言论。</w:t>
      </w:r>
    </w:p>
    <w:p w14:paraId="735C9D08">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5、决不允许以任何形式泄露党和国家的秘密。</w:t>
      </w:r>
    </w:p>
    <w:p w14:paraId="5848E212">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6、决不允许参与各种非法组织和非法活动。</w:t>
      </w:r>
    </w:p>
    <w:p w14:paraId="53AC84E9">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二、本单位承诺不利用提供给贵公司的产品或服务或通过网络从事危害中华人民共和国安全、泄露中华人民共和国国家秘密等活动，不从事任何危害网络安全、数据安全的活动，不从事侵犯他人合法权益的活动，包括但不限于：</w:t>
      </w:r>
    </w:p>
    <w:p w14:paraId="40584CED">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1、未经允许进入网络或者使用网络资源；</w:t>
      </w:r>
    </w:p>
    <w:p w14:paraId="53953031">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2、未经允许对网络功能进行删除、修改或者增加；</w:t>
      </w:r>
    </w:p>
    <w:p w14:paraId="47C0B9E7">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3、未经允许对网络中存储或者传输的数据和应用程序进行删除、修改或者增加；</w:t>
      </w:r>
    </w:p>
    <w:p w14:paraId="1B0C9531">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4、制作、传播、利用网络病毒等恶意程序或破坏性程序；</w:t>
      </w:r>
    </w:p>
    <w:p w14:paraId="54306645">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5、非法收集、使用、加工、传输或以其他方式处理个人信息等数据；</w:t>
      </w:r>
    </w:p>
    <w:p w14:paraId="6DB24EF9">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6、非法买卖、提供或者公开个人信息等数据；</w:t>
      </w:r>
    </w:p>
    <w:p w14:paraId="599FEAF2">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7、从事危害国家安全、公共利益的个人信息和数据处理活动；</w:t>
      </w:r>
    </w:p>
    <w:p w14:paraId="7A052C4C">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8、其他危害网络安全、数据安全、侵犯他人合法权益的活动。</w:t>
      </w:r>
    </w:p>
    <w:p w14:paraId="02079144">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三、本单位承诺在履行合同过程中发生重大安全事故或发生或者可能发生个人信息等数据泄露、篡改、丢失时，立即采取应急措施，保留有关原始记录，在24小时内向有关部门报告并书面通知贵公司。如发生重大安全事故或其他影响网络安全、数据安全和个人信息保护的突发事件，贵公司有权采取包括但不限于停止合同项下业务等紧急措施，以保证网络安全、数据安全和保护个人信息。</w:t>
      </w:r>
    </w:p>
    <w:p w14:paraId="7C606452">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十四、本单位承诺不进行法律、法规、政府监管规定等禁止的行为，包括但不限于：</w:t>
      </w:r>
    </w:p>
    <w:p w14:paraId="55B8FB7A">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1、所提供或接入的设备未取得入网许可，或可能影响网络安全或网络服务质量；</w:t>
      </w:r>
    </w:p>
    <w:p w14:paraId="7AA5BFC6">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2、将合同履行中获得的账号、密码私自转让、转租或以非法方式提供给第三方；</w:t>
      </w:r>
    </w:p>
    <w:p w14:paraId="2AF7416A">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3、在设备、系统、计算机软件等产品或服务中非法植入后门程序等恶意程序或破坏性程序；</w:t>
      </w:r>
    </w:p>
    <w:p w14:paraId="03D748FE">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4、利用提供产品或服务的便利条件非法获取用户个人信息等数据及重要运营数据、非法控制和操纵用户设备；</w:t>
      </w:r>
    </w:p>
    <w:p w14:paraId="18624846">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5、未经贵公司同意擅自公开所提供产品或服务的源代码；</w:t>
      </w:r>
    </w:p>
    <w:p w14:paraId="42265A04">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6、未经贵公司同意探测、发布贵公司及其关联方（“中国电信”）的网络、终端、信息系统漏洞，对中国电信运营的网络开展渗透测试；</w:t>
      </w:r>
    </w:p>
    <w:p w14:paraId="0C9FB7F2">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7、法律法规规定或合同约定的其他禁止行为。</w:t>
      </w:r>
    </w:p>
    <w:p w14:paraId="5EC8F242">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十五、本单位承诺提供给贵公司的产品或服务已关闭与合同约定无关的端口，不存在与合同约定无关的进程。</w:t>
      </w:r>
    </w:p>
    <w:p w14:paraId="575CC7BB">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十六 本单位承诺未经贵公司同意不得以任何形式对提供给贵公司的产品或服务进行任何操作。本单位承诺严格按最小化原则管理相关产品或服务的操作权限并事先征得贵公司同意。</w:t>
      </w:r>
    </w:p>
    <w:p w14:paraId="6393E7C6">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十七、本单位承诺对提供给贵公司的产品或服务在交付前完成已知病毒查杀、安全缺陷及漏洞扫描和修复，交付后对发现的安全缺陷、漏洞等风险及时采取补救措施。</w:t>
      </w:r>
    </w:p>
    <w:p w14:paraId="47E2640A">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十八、本单位承诺无正当理由不会中断所提供的产品或服务，亦不会中断提供必要的技术支持服务。</w:t>
      </w:r>
    </w:p>
    <w:p w14:paraId="0559501C">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九、就本单位向贵公司提供的产品和服务，本单位承诺向贵公司提供该等产品或服务所包含或调用的开源软件和第三方软件清单，以及合法获取开源软件、第三方软件使用权的证明，并配合贵公司开展软件安全检测和知识产权风险审核等工作。</w:t>
      </w:r>
    </w:p>
    <w:p w14:paraId="2BE52048">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二十、本单位承诺同意并配合贵公司进行网络安全审查，检查的内容包括但不限于网络安全检查项、计算环境安全检查项、开发流程检查项、提供或委托处理数据的数据处理行为检查项等方面。</w:t>
      </w:r>
    </w:p>
    <w:p w14:paraId="562C3178">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二十一、本单位承诺按要求提供网络安全审查工作需要的材料，严格履行网络安全审查中作出的承诺。</w:t>
      </w:r>
    </w:p>
    <w:p w14:paraId="191D36D7">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十二、本单位如出现任何违反上述承诺的情况，将依据合同承担责任，接受有关政府主管部门的处理（包括但不限于限期整改、公开曝光），并直接承担相应法律责任，造成财产损失的，由本单位直接赔偿。同时，贵公司有权在不通知本单位的情况下暂停履行合同直至解除合同并不承担任何责任，一切责任后果全部由本单位自行承担。给贵公司造成损失或不良影响的，本单位负责消除不良影响并赔偿贵公司相应损失。</w:t>
      </w:r>
    </w:p>
    <w:p w14:paraId="140591FB">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十三、如出现任何违反上述承诺的情况引发的投诉、举报，由本单位负责解决并承担责任。当接到通信主管部门、“12321网络不良与垃圾信息举报受理中心”、中国电信10000热线等各类渠道投诉、举报时，贵公司有权在不通知本单位的情况下立即终止合同并不承担任何责任，一切责任后果全部由本单位自行承担。给贵公司造成损失或不良影响的，本单位负责消除不良影响并赔偿贵公司相应损失。</w:t>
      </w:r>
    </w:p>
    <w:p w14:paraId="569119E0">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二十四、本单位的信息安全责任人如下：</w:t>
      </w:r>
    </w:p>
    <w:p w14:paraId="23150121">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姓名：[  ],职务：[  ],联系方式：[  ]</w:t>
      </w:r>
    </w:p>
    <w:p w14:paraId="051A01FB">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二十五、本单位承诺要求并监督参与向贵公司提供产品或服务的本单位人员（“本单位人员”）履行本《网络及信息安全承诺书》项下的义务和责任，并对本单位人员的行为承担责任。</w:t>
      </w:r>
    </w:p>
    <w:p w14:paraId="7930B77E">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二十六、本承诺书经本单位签署后，与合同同时生效。</w:t>
      </w:r>
    </w:p>
    <w:p w14:paraId="10707E0A">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w:t>
      </w:r>
    </w:p>
    <w:p w14:paraId="64E637E0">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w:t>
      </w:r>
    </w:p>
    <w:p w14:paraId="09719C58">
      <w:pPr>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承诺单位（盖章）：[  ]</w:t>
      </w:r>
    </w:p>
    <w:p w14:paraId="468204BA">
      <w:pPr>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法定代表人/负责人</w:t>
      </w:r>
    </w:p>
    <w:p w14:paraId="11E1251F">
      <w:pPr>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或授权代表（签字）：</w:t>
      </w:r>
    </w:p>
    <w:p w14:paraId="600D7A7C">
      <w:pPr>
        <w:spacing w:line="360" w:lineRule="exact"/>
        <w:jc w:val="left"/>
        <w:rPr>
          <w:rFonts w:hint="eastAsia" w:ascii="宋体" w:hAnsi="宋体" w:eastAsia="宋体" w:cs="宋体"/>
          <w:bCs/>
          <w:sz w:val="21"/>
          <w:szCs w:val="21"/>
        </w:rPr>
      </w:pPr>
      <w:r>
        <w:rPr>
          <w:rFonts w:hint="eastAsia" w:ascii="宋体" w:hAnsi="宋体" w:eastAsia="宋体" w:cs="宋体"/>
          <w:bCs/>
          <w:sz w:val="21"/>
          <w:szCs w:val="21"/>
        </w:rPr>
        <w:t>附件三</w:t>
      </w:r>
    </w:p>
    <w:p w14:paraId="115FF89F">
      <w:pPr>
        <w:spacing w:line="360" w:lineRule="exact"/>
        <w:jc w:val="center"/>
        <w:rPr>
          <w:rFonts w:hint="eastAsia" w:ascii="宋体" w:hAnsi="宋体" w:eastAsia="宋体" w:cs="宋体"/>
          <w:b/>
          <w:bCs/>
          <w:sz w:val="21"/>
          <w:szCs w:val="21"/>
        </w:rPr>
      </w:pPr>
      <w:r>
        <w:rPr>
          <w:rFonts w:hint="eastAsia" w:ascii="宋体" w:hAnsi="宋体" w:eastAsia="宋体" w:cs="宋体"/>
          <w:b/>
          <w:bCs/>
          <w:sz w:val="21"/>
          <w:szCs w:val="21"/>
        </w:rPr>
        <w:t>廉洁协议</w:t>
      </w:r>
    </w:p>
    <w:p w14:paraId="19F398CE">
      <w:pPr>
        <w:spacing w:line="360" w:lineRule="exact"/>
        <w:jc w:val="center"/>
        <w:rPr>
          <w:rFonts w:hint="eastAsia" w:ascii="宋体" w:hAnsi="宋体" w:eastAsia="宋体" w:cs="宋体"/>
          <w:b/>
          <w:bCs/>
          <w:sz w:val="21"/>
          <w:szCs w:val="21"/>
        </w:rPr>
      </w:pPr>
    </w:p>
    <w:p w14:paraId="339547E8">
      <w:pPr>
        <w:spacing w:line="360" w:lineRule="exact"/>
        <w:rPr>
          <w:rFonts w:hint="eastAsia" w:ascii="宋体" w:hAnsi="宋体" w:eastAsia="宋体" w:cs="宋体"/>
          <w:sz w:val="21"/>
          <w:szCs w:val="21"/>
          <w:lang w:eastAsia="ar-SA"/>
        </w:rPr>
      </w:pPr>
      <w:r>
        <w:rPr>
          <w:rFonts w:hint="eastAsia" w:ascii="宋体" w:hAnsi="宋体" w:eastAsia="宋体" w:cs="宋体"/>
          <w:sz w:val="21"/>
          <w:szCs w:val="21"/>
          <w:lang w:eastAsia="ar-SA"/>
        </w:rPr>
        <w:t>甲方：中国电信[ 股份有限公司贵阳</w:t>
      </w:r>
      <w:r>
        <w:rPr>
          <w:rFonts w:hint="eastAsia" w:ascii="宋体" w:hAnsi="宋体" w:eastAsia="宋体" w:cs="宋体"/>
          <w:sz w:val="21"/>
          <w:szCs w:val="21"/>
          <w:lang w:val="en-US" w:eastAsia="zh-CN"/>
        </w:rPr>
        <w:t>分</w:t>
      </w:r>
      <w:r>
        <w:rPr>
          <w:rFonts w:hint="eastAsia" w:ascii="宋体" w:hAnsi="宋体" w:eastAsia="宋体" w:cs="宋体"/>
          <w:sz w:val="21"/>
          <w:szCs w:val="21"/>
          <w:lang w:eastAsia="ar-SA"/>
        </w:rPr>
        <w:t xml:space="preserve"> ]公司          </w:t>
      </w:r>
    </w:p>
    <w:p w14:paraId="69A791E6">
      <w:pPr>
        <w:spacing w:line="360" w:lineRule="exact"/>
        <w:rPr>
          <w:rFonts w:hint="eastAsia" w:ascii="宋体" w:hAnsi="宋体" w:eastAsia="宋体" w:cs="宋体"/>
          <w:sz w:val="21"/>
          <w:szCs w:val="21"/>
          <w:lang w:eastAsia="ar-SA"/>
        </w:rPr>
      </w:pPr>
      <w:r>
        <w:rPr>
          <w:rFonts w:hint="eastAsia" w:ascii="宋体" w:hAnsi="宋体" w:eastAsia="宋体" w:cs="宋体"/>
          <w:sz w:val="21"/>
          <w:szCs w:val="21"/>
          <w:lang w:eastAsia="ar-SA"/>
        </w:rPr>
        <w:t xml:space="preserve">地址：[贵州省贵阳市云岩区新添大道南段半边街17号  ]     </w:t>
      </w:r>
    </w:p>
    <w:p w14:paraId="6FEECE9A">
      <w:pPr>
        <w:spacing w:line="360" w:lineRule="exact"/>
        <w:rPr>
          <w:rFonts w:hint="eastAsia" w:ascii="宋体" w:hAnsi="宋体" w:eastAsia="宋体" w:cs="宋体"/>
          <w:sz w:val="21"/>
          <w:szCs w:val="21"/>
        </w:rPr>
      </w:pPr>
      <w:r>
        <w:rPr>
          <w:rFonts w:hint="eastAsia" w:ascii="宋体" w:hAnsi="宋体" w:eastAsia="宋体" w:cs="宋体"/>
          <w:sz w:val="21"/>
          <w:szCs w:val="21"/>
          <w:lang w:eastAsia="ar-SA"/>
        </w:rPr>
        <w:t xml:space="preserve">法定代表人/负责人：[ </w:t>
      </w:r>
      <w:r>
        <w:rPr>
          <w:rFonts w:hint="eastAsia" w:ascii="宋体" w:hAnsi="宋体" w:eastAsia="宋体" w:cs="宋体"/>
          <w:sz w:val="21"/>
          <w:szCs w:val="21"/>
          <w:lang w:eastAsia="zh-CN"/>
        </w:rPr>
        <w:t>王林松</w:t>
      </w:r>
      <w:r>
        <w:rPr>
          <w:rFonts w:hint="eastAsia" w:ascii="宋体" w:hAnsi="宋体" w:eastAsia="宋体" w:cs="宋体"/>
          <w:sz w:val="21"/>
          <w:szCs w:val="21"/>
          <w:lang w:eastAsia="ar-SA"/>
        </w:rPr>
        <w:t xml:space="preserve"> ]</w:t>
      </w:r>
      <w:r>
        <w:rPr>
          <w:rFonts w:hint="eastAsia" w:ascii="宋体" w:hAnsi="宋体" w:eastAsia="宋体" w:cs="宋体"/>
          <w:sz w:val="21"/>
          <w:szCs w:val="21"/>
        </w:rPr>
        <w:t xml:space="preserve">           </w:t>
      </w:r>
    </w:p>
    <w:p w14:paraId="31C415E1">
      <w:pPr>
        <w:spacing w:line="360" w:lineRule="exact"/>
        <w:rPr>
          <w:rFonts w:hint="eastAsia" w:ascii="宋体" w:hAnsi="宋体" w:eastAsia="宋体" w:cs="宋体"/>
          <w:sz w:val="21"/>
          <w:szCs w:val="21"/>
        </w:rPr>
      </w:pPr>
    </w:p>
    <w:p w14:paraId="70556E7F">
      <w:pPr>
        <w:spacing w:line="360" w:lineRule="exact"/>
        <w:rPr>
          <w:rFonts w:hint="eastAsia" w:ascii="宋体" w:hAnsi="宋体" w:eastAsia="宋体" w:cs="宋体"/>
          <w:sz w:val="21"/>
          <w:szCs w:val="21"/>
        </w:rPr>
      </w:pPr>
      <w:r>
        <w:rPr>
          <w:rFonts w:hint="eastAsia" w:ascii="宋体" w:hAnsi="宋体" w:eastAsia="宋体" w:cs="宋体"/>
          <w:sz w:val="21"/>
          <w:szCs w:val="21"/>
        </w:rPr>
        <w:t xml:space="preserve">乙方：[  ]     </w:t>
      </w:r>
    </w:p>
    <w:p w14:paraId="38851C10">
      <w:pPr>
        <w:spacing w:line="360" w:lineRule="exact"/>
        <w:rPr>
          <w:rFonts w:hint="eastAsia" w:ascii="宋体" w:hAnsi="宋体" w:eastAsia="宋体" w:cs="宋体"/>
          <w:sz w:val="21"/>
          <w:szCs w:val="21"/>
        </w:rPr>
      </w:pPr>
      <w:r>
        <w:rPr>
          <w:rFonts w:hint="eastAsia" w:ascii="宋体" w:hAnsi="宋体" w:eastAsia="宋体" w:cs="宋体"/>
          <w:sz w:val="21"/>
          <w:szCs w:val="21"/>
        </w:rPr>
        <w:t xml:space="preserve">地址：[  ]     </w:t>
      </w:r>
    </w:p>
    <w:p w14:paraId="6A52049B">
      <w:pPr>
        <w:spacing w:line="360" w:lineRule="exact"/>
        <w:rPr>
          <w:rFonts w:hint="eastAsia" w:ascii="宋体" w:hAnsi="宋体" w:eastAsia="宋体" w:cs="宋体"/>
          <w:sz w:val="21"/>
          <w:szCs w:val="21"/>
        </w:rPr>
      </w:pPr>
      <w:r>
        <w:rPr>
          <w:rFonts w:hint="eastAsia" w:ascii="宋体" w:hAnsi="宋体" w:eastAsia="宋体" w:cs="宋体"/>
          <w:sz w:val="21"/>
          <w:szCs w:val="21"/>
        </w:rPr>
        <w:t xml:space="preserve">法定代表人/负责人：[  ]           </w:t>
      </w:r>
    </w:p>
    <w:p w14:paraId="53484E95">
      <w:pPr>
        <w:spacing w:line="360" w:lineRule="exact"/>
        <w:ind w:firstLine="420" w:firstLineChars="200"/>
        <w:rPr>
          <w:rFonts w:hint="eastAsia" w:ascii="宋体" w:hAnsi="宋体" w:eastAsia="宋体" w:cs="宋体"/>
          <w:sz w:val="21"/>
          <w:szCs w:val="21"/>
        </w:rPr>
      </w:pPr>
    </w:p>
    <w:p w14:paraId="6E9A7814">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为确保甲乙双方在签订和履行《[ </w:t>
      </w:r>
      <w:r>
        <w:rPr>
          <w:rFonts w:hint="eastAsia" w:ascii="宋体" w:hAnsi="宋体" w:eastAsia="宋体" w:cs="宋体"/>
          <w:color w:val="auto"/>
          <w:kern w:val="1"/>
          <w:sz w:val="21"/>
          <w:szCs w:val="21"/>
          <w:lang w:eastAsia="zh-CN"/>
        </w:rPr>
        <w:t>2025年中国电信贵阳分公司低压动力设备维护抢修服务框架采购</w:t>
      </w:r>
      <w:r>
        <w:rPr>
          <w:rFonts w:hint="eastAsia" w:ascii="宋体" w:hAnsi="宋体" w:eastAsia="宋体" w:cs="宋体"/>
          <w:color w:val="auto"/>
          <w:kern w:val="1"/>
          <w:sz w:val="21"/>
          <w:szCs w:val="21"/>
          <w:lang w:eastAsia="ar-SA"/>
        </w:rPr>
        <w:t xml:space="preserve"> </w:t>
      </w:r>
      <w:r>
        <w:rPr>
          <w:rFonts w:hint="eastAsia" w:ascii="宋体" w:hAnsi="宋体" w:eastAsia="宋体" w:cs="宋体"/>
          <w:sz w:val="21"/>
          <w:szCs w:val="21"/>
        </w:rPr>
        <w:t xml:space="preserve"> ]技术服务框架协议》（以下简称“合同”）过程中廉洁自律、诚实守信，防止违法违纪行为发生，保障双方合法权益，依据国家有关法律法规，经双方协商，达成以下协议：</w:t>
      </w:r>
    </w:p>
    <w:p w14:paraId="26865340">
      <w:pPr>
        <w:spacing w:line="36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第一条甲方承诺</w:t>
      </w:r>
    </w:p>
    <w:p w14:paraId="0EE7A8DD">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1.1严格遵守国家有关廉政规定。</w:t>
      </w:r>
    </w:p>
    <w:p w14:paraId="27D1BCBB">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1.2严格遵守中国电信集团廉洁自律有关规定。</w:t>
      </w:r>
    </w:p>
    <w:p w14:paraId="06BD92FF">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1.3甲方及其工作人员不收受或变相收受乙方提供的礼品、礼金（礼券）、有价证券等任何形式的馈赠或无偿服务；不以任何形式向乙方索要任何财物；不在乙方报销应当由甲方或甲方工作人员个人支付的费用；不参加乙方安排的旅游或消费娱乐活动；不参加乙方宴请；不要求、不接受乙方为甲方工作人员或其亲属在住房、交通、婚丧嫁娶活动、工作安排或经商办企业等方面提供方便；不要求、不接受乙方为甲方工作人员或其亲属谋取利益。</w:t>
      </w:r>
    </w:p>
    <w:p w14:paraId="05BDAAC0">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甲方工作人员应当督促并保证其亲属不收受或变相收受乙方赠送的礼品、礼金（礼券）、有价证券等任何形式的馈赠或无偿服务；不以任何形式向乙方索要任何财物；不在乙方报销应当由亲属个人支付的费用；不参加乙方安排的旅游或消费娱乐活动；不参加乙方宴请。</w:t>
      </w:r>
    </w:p>
    <w:p w14:paraId="62FFE022">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1.5合同签订及履行期间不私下约见乙方工作人员。</w:t>
      </w:r>
    </w:p>
    <w:p w14:paraId="4EE8BD4B">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1.6除甲方依据合同依法披露外，不向乙方及任何其他第三方泄露甲方的任何商业秘密或技术秘密。</w:t>
      </w:r>
    </w:p>
    <w:p w14:paraId="0B286B58">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1.7甲方工作人员不得默许或与乙方或其工作人员串通，为其谋取不正当利益。</w:t>
      </w:r>
    </w:p>
    <w:p w14:paraId="600C292C">
      <w:pPr>
        <w:spacing w:line="36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第二条乙方承诺</w:t>
      </w:r>
    </w:p>
    <w:p w14:paraId="16913665">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2.1严格遵守国家有关廉政规定。</w:t>
      </w:r>
    </w:p>
    <w:p w14:paraId="09DFB479">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2.2乙方及其工作人员不向甲方、甲方工作人员或其亲属提供礼品、礼金（礼券）、有价证券等任何形式的馈赠或无偿服务；不报销应当由甲方、甲方工作人员或其亲属个人支付的费用；不为甲方、甲方工作人员或其亲属安排旅游或消费娱乐活动；不宴请甲方、甲方工作人员或其亲属；不为甲方工作人员或其亲属在住房、交通、婚丧嫁娶活动、工作安排或经商办企业等方面提供任何形式的方便；不为甲方工作人员或其亲属谋取利益。</w:t>
      </w:r>
    </w:p>
    <w:p w14:paraId="40DC49F3">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2.3合同签订及履行期间不私下约见甲方工作人员；不到甲方工作人员家中或其他非办公场所商谈业务。</w:t>
      </w:r>
    </w:p>
    <w:p w14:paraId="519C766B">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2.4不通过中介公司或任何单位、个人向甲方工作人员打招呼，施加压力。</w:t>
      </w:r>
    </w:p>
    <w:p w14:paraId="6867500F">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2.5除甲方依据合同约定依法披露外，不向甲方、甲方工作人员或其亲属探听或要求其泄露甲方的任何商业秘密或技术秘密。</w:t>
      </w:r>
    </w:p>
    <w:p w14:paraId="28750EC3">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2.6不以任何方式与甲方工作人员串通或者贿赂甲方工作人员，为乙方或其工作人员谋取不正当利益。</w:t>
      </w:r>
    </w:p>
    <w:p w14:paraId="1D466063">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2.7除乙方及其工作人员外，乙方应当督促并保证与乙方存在关联关系的其他单位或个人不得实施本合同第二条约定的任一行为。</w:t>
      </w:r>
    </w:p>
    <w:p w14:paraId="4004AAAF">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2.8 [ </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 ]。</w:t>
      </w:r>
    </w:p>
    <w:p w14:paraId="568AD44A">
      <w:pPr>
        <w:spacing w:line="36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第三条 监督及责任</w:t>
      </w:r>
    </w:p>
    <w:p w14:paraId="1F800B82">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3.1甲乙双方自觉接受监督。</w:t>
      </w:r>
    </w:p>
    <w:p w14:paraId="3E363F7C">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3.2如发现任何违反本合同的行为，双方均可向甲方监察部门举报。甲方监察部门根据规定，视情节对相关人员予以相应组织处理或纪律处分。涉嫌犯罪的，依法移送司法机关追究刑事责任。给对方造成经济损失的，应当予以赔偿。</w:t>
      </w:r>
    </w:p>
    <w:p w14:paraId="3CABD033">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3.3甲方监察部门有权对合同签订及履行全过程进行监督，有权制止、纠正违反本合同的行为。</w:t>
      </w:r>
    </w:p>
    <w:p w14:paraId="7913FC79">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3.4如乙方违反本合同约定，甲方有权视情节采取终止合同、将乙方</w:t>
      </w:r>
      <w:r>
        <w:rPr>
          <w:rFonts w:hint="eastAsia" w:ascii="宋体" w:hAnsi="宋体" w:eastAsia="宋体" w:cs="宋体"/>
          <w:color w:val="000000"/>
          <w:sz w:val="21"/>
          <w:szCs w:val="21"/>
        </w:rPr>
        <w:t>纳入甲方违规失信合作商名单、</w:t>
      </w:r>
      <w:r>
        <w:rPr>
          <w:rFonts w:hint="eastAsia" w:ascii="宋体" w:hAnsi="宋体" w:eastAsia="宋体" w:cs="宋体"/>
          <w:sz w:val="21"/>
          <w:szCs w:val="21"/>
        </w:rPr>
        <w:t>否决乙方参加甲方其他项目的投标、参选和报价等1至3年等措施。</w:t>
      </w:r>
    </w:p>
    <w:p w14:paraId="11378B9D">
      <w:pPr>
        <w:spacing w:line="36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第四条其他</w:t>
      </w:r>
    </w:p>
    <w:p w14:paraId="2A7EFF0B">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本协议自双方签字盖章（若使用电子印章的，经双方盖章）后与合同同时生效。若甲方加盖电子印章的，以加盖甲方电子印章的本协议电子文档所载内容为准。</w:t>
      </w:r>
    </w:p>
    <w:p w14:paraId="6585E95C">
      <w:pPr>
        <w:spacing w:line="360" w:lineRule="exact"/>
        <w:ind w:firstLine="538"/>
        <w:jc w:val="left"/>
        <w:rPr>
          <w:rFonts w:hint="eastAsia" w:ascii="宋体" w:hAnsi="宋体" w:eastAsia="宋体" w:cs="宋体"/>
          <w:sz w:val="21"/>
          <w:szCs w:val="21"/>
        </w:rPr>
      </w:pPr>
    </w:p>
    <w:p w14:paraId="68D9EF76">
      <w:pPr>
        <w:spacing w:line="360" w:lineRule="exact"/>
        <w:rPr>
          <w:rFonts w:hint="eastAsia" w:ascii="宋体" w:hAnsi="宋体" w:eastAsia="宋体" w:cs="宋体"/>
          <w:sz w:val="21"/>
          <w:szCs w:val="21"/>
        </w:rPr>
      </w:pPr>
      <w:r>
        <w:rPr>
          <w:rFonts w:hint="eastAsia" w:ascii="宋体" w:hAnsi="宋体" w:eastAsia="宋体" w:cs="宋体"/>
          <w:sz w:val="21"/>
          <w:szCs w:val="21"/>
        </w:rPr>
        <w:t xml:space="preserve">甲方：中国电信[ </w:t>
      </w:r>
      <w:r>
        <w:rPr>
          <w:rFonts w:hint="eastAsia" w:ascii="宋体" w:hAnsi="宋体" w:eastAsia="宋体" w:cs="宋体"/>
          <w:sz w:val="21"/>
          <w:szCs w:val="21"/>
          <w:lang w:eastAsia="ar-SA"/>
        </w:rPr>
        <w:t>股份有限公司贵阳</w:t>
      </w:r>
      <w:r>
        <w:rPr>
          <w:rFonts w:hint="eastAsia" w:ascii="宋体" w:hAnsi="宋体" w:eastAsia="宋体" w:cs="宋体"/>
          <w:sz w:val="21"/>
          <w:szCs w:val="21"/>
          <w:lang w:val="en-US" w:eastAsia="zh-CN"/>
        </w:rPr>
        <w:t>分</w:t>
      </w:r>
      <w:r>
        <w:rPr>
          <w:rFonts w:hint="eastAsia" w:ascii="宋体" w:hAnsi="宋体" w:eastAsia="宋体" w:cs="宋体"/>
          <w:sz w:val="21"/>
          <w:szCs w:val="21"/>
        </w:rPr>
        <w:t xml:space="preserve"> ]公司</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p>
    <w:p w14:paraId="233D8F8B">
      <w:pPr>
        <w:spacing w:line="360" w:lineRule="exact"/>
        <w:rPr>
          <w:rFonts w:hint="eastAsia" w:ascii="宋体" w:hAnsi="宋体" w:eastAsia="宋体" w:cs="宋体"/>
          <w:sz w:val="21"/>
          <w:szCs w:val="21"/>
        </w:rPr>
      </w:pPr>
      <w:r>
        <w:rPr>
          <w:rFonts w:hint="eastAsia" w:ascii="宋体" w:hAnsi="宋体" w:eastAsia="宋体" w:cs="宋体"/>
          <w:sz w:val="21"/>
          <w:szCs w:val="21"/>
        </w:rPr>
        <w:t xml:space="preserve">法定代表人/负责人               </w:t>
      </w:r>
    </w:p>
    <w:p w14:paraId="62764277">
      <w:pPr>
        <w:spacing w:line="360" w:lineRule="exact"/>
        <w:rPr>
          <w:rFonts w:hint="eastAsia" w:ascii="宋体" w:hAnsi="宋体" w:eastAsia="宋体" w:cs="宋体"/>
          <w:sz w:val="21"/>
          <w:szCs w:val="21"/>
        </w:rPr>
      </w:pPr>
      <w:r>
        <w:rPr>
          <w:rFonts w:hint="eastAsia" w:ascii="宋体" w:hAnsi="宋体" w:eastAsia="宋体" w:cs="宋体"/>
          <w:sz w:val="21"/>
          <w:szCs w:val="21"/>
        </w:rPr>
        <w:t>或授权代表：</w:t>
      </w:r>
    </w:p>
    <w:p w14:paraId="4B18E4C6">
      <w:pPr>
        <w:spacing w:line="360" w:lineRule="exact"/>
        <w:rPr>
          <w:rFonts w:hint="eastAsia" w:ascii="宋体" w:hAnsi="宋体" w:eastAsia="宋体" w:cs="宋体"/>
          <w:kern w:val="0"/>
          <w:sz w:val="21"/>
          <w:szCs w:val="21"/>
        </w:rPr>
      </w:pPr>
    </w:p>
    <w:p w14:paraId="3FE0822A">
      <w:pPr>
        <w:spacing w:line="360" w:lineRule="exact"/>
        <w:rPr>
          <w:rFonts w:hint="eastAsia" w:ascii="宋体" w:hAnsi="宋体" w:eastAsia="宋体" w:cs="宋体"/>
          <w:sz w:val="21"/>
          <w:szCs w:val="21"/>
        </w:rPr>
      </w:pPr>
    </w:p>
    <w:p w14:paraId="460B101A">
      <w:pPr>
        <w:spacing w:line="360" w:lineRule="exact"/>
        <w:rPr>
          <w:rFonts w:hint="eastAsia" w:ascii="宋体" w:hAnsi="宋体" w:eastAsia="宋体" w:cs="宋体"/>
          <w:sz w:val="21"/>
          <w:szCs w:val="21"/>
        </w:rPr>
      </w:pPr>
      <w:r>
        <w:rPr>
          <w:rFonts w:hint="eastAsia" w:ascii="宋体" w:hAnsi="宋体" w:eastAsia="宋体" w:cs="宋体"/>
          <w:sz w:val="21"/>
          <w:szCs w:val="21"/>
        </w:rPr>
        <w:t xml:space="preserve">乙方：[  ]    </w:t>
      </w:r>
    </w:p>
    <w:p w14:paraId="4628F51C">
      <w:pPr>
        <w:spacing w:line="360" w:lineRule="exact"/>
        <w:rPr>
          <w:rFonts w:hint="eastAsia" w:ascii="宋体" w:hAnsi="宋体" w:eastAsia="宋体" w:cs="宋体"/>
          <w:sz w:val="21"/>
          <w:szCs w:val="21"/>
        </w:rPr>
      </w:pPr>
      <w:r>
        <w:rPr>
          <w:rFonts w:hint="eastAsia" w:ascii="宋体" w:hAnsi="宋体" w:eastAsia="宋体" w:cs="宋体"/>
          <w:sz w:val="21"/>
          <w:szCs w:val="21"/>
        </w:rPr>
        <w:t>法定代表人/负责人</w:t>
      </w:r>
    </w:p>
    <w:p w14:paraId="29DFC5A8">
      <w:pPr>
        <w:spacing w:line="360" w:lineRule="exact"/>
        <w:rPr>
          <w:rFonts w:hint="eastAsia" w:ascii="宋体" w:hAnsi="宋体" w:eastAsia="宋体" w:cs="宋体"/>
          <w:sz w:val="21"/>
          <w:szCs w:val="21"/>
        </w:rPr>
      </w:pPr>
      <w:r>
        <w:rPr>
          <w:rFonts w:hint="eastAsia" w:ascii="宋体" w:hAnsi="宋体" w:eastAsia="宋体" w:cs="宋体"/>
          <w:sz w:val="21"/>
          <w:szCs w:val="21"/>
        </w:rPr>
        <w:t>或授权代表：</w:t>
      </w:r>
    </w:p>
    <w:p w14:paraId="7E8A0690">
      <w:pPr>
        <w:tabs>
          <w:tab w:val="left" w:pos="7980"/>
        </w:tabs>
        <w:spacing w:line="360" w:lineRule="exact"/>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sz w:val="21"/>
          <w:szCs w:val="21"/>
        </w:rPr>
        <w:br w:type="page"/>
      </w:r>
      <w:r>
        <w:rPr>
          <w:rFonts w:hint="eastAsia" w:ascii="宋体" w:hAnsi="宋体" w:eastAsia="宋体" w:cs="宋体"/>
          <w:kern w:val="0"/>
          <w:sz w:val="21"/>
          <w:szCs w:val="21"/>
          <w:lang w:val="en-US" w:eastAsia="zh-CN"/>
        </w:rPr>
        <w:t>附件四：用工承诺书</w:t>
      </w:r>
    </w:p>
    <w:p w14:paraId="60E8B2C3">
      <w:pPr>
        <w:suppressAutoHyphens/>
        <w:adjustRightInd w:val="0"/>
        <w:snapToGrid w:val="0"/>
        <w:spacing w:line="360" w:lineRule="exact"/>
        <w:ind w:right="-197" w:rightChars="-94"/>
        <w:jc w:val="center"/>
        <w:rPr>
          <w:rFonts w:hint="eastAsia" w:ascii="宋体" w:hAnsi="宋体" w:eastAsia="宋体" w:cs="宋体"/>
          <w:b/>
          <w:bCs/>
          <w:color w:val="auto"/>
          <w:kern w:val="1"/>
          <w:sz w:val="21"/>
          <w:szCs w:val="21"/>
          <w:lang w:eastAsia="ar-SA"/>
        </w:rPr>
      </w:pPr>
      <w:r>
        <w:rPr>
          <w:rFonts w:hint="eastAsia" w:ascii="宋体" w:hAnsi="宋体" w:eastAsia="宋体" w:cs="宋体"/>
          <w:b/>
          <w:bCs/>
          <w:color w:val="auto"/>
          <w:kern w:val="1"/>
          <w:sz w:val="21"/>
          <w:szCs w:val="21"/>
          <w:lang w:eastAsia="ar-SA"/>
        </w:rPr>
        <w:t>用工承诺书</w:t>
      </w:r>
    </w:p>
    <w:p w14:paraId="05290F8C">
      <w:pPr>
        <w:suppressAutoHyphens/>
        <w:adjustRightInd w:val="0"/>
        <w:snapToGrid w:val="0"/>
        <w:spacing w:line="360" w:lineRule="exact"/>
        <w:ind w:right="-197" w:rightChars="-94"/>
        <w:jc w:val="center"/>
        <w:rPr>
          <w:rFonts w:hint="eastAsia" w:ascii="宋体" w:hAnsi="宋体" w:eastAsia="宋体" w:cs="宋体"/>
          <w:b/>
          <w:bCs/>
          <w:color w:val="auto"/>
          <w:kern w:val="1"/>
          <w:sz w:val="21"/>
          <w:szCs w:val="21"/>
          <w:lang w:eastAsia="ar-SA"/>
        </w:rPr>
      </w:pPr>
    </w:p>
    <w:p w14:paraId="13C18266">
      <w:pPr>
        <w:suppressAutoHyphens/>
        <w:adjustRightInd w:val="0"/>
        <w:snapToGrid w:val="0"/>
        <w:spacing w:line="360" w:lineRule="exact"/>
        <w:ind w:right="-197" w:rightChars="-94"/>
        <w:rPr>
          <w:rFonts w:hint="eastAsia" w:ascii="宋体" w:hAnsi="宋体" w:eastAsia="宋体" w:cs="宋体"/>
          <w:color w:val="auto"/>
          <w:kern w:val="0"/>
          <w:sz w:val="21"/>
          <w:szCs w:val="21"/>
          <w:lang w:eastAsia="ar-SA"/>
        </w:rPr>
      </w:pPr>
      <w:r>
        <w:rPr>
          <w:rFonts w:hint="eastAsia" w:ascii="宋体" w:hAnsi="宋体" w:eastAsia="宋体" w:cs="宋体"/>
          <w:color w:val="auto"/>
          <w:kern w:val="1"/>
          <w:sz w:val="21"/>
          <w:szCs w:val="21"/>
          <w:lang w:eastAsia="ar-SA"/>
        </w:rPr>
        <w:t xml:space="preserve">中国电信[ </w:t>
      </w:r>
      <w:r>
        <w:rPr>
          <w:rFonts w:hint="eastAsia" w:ascii="宋体" w:hAnsi="宋体" w:eastAsia="宋体" w:cs="宋体"/>
          <w:color w:val="auto"/>
          <w:kern w:val="1"/>
          <w:sz w:val="21"/>
          <w:szCs w:val="21"/>
          <w:lang w:val="en-US" w:eastAsia="zh-CN"/>
        </w:rPr>
        <w:t>股份有限公司贵阳分</w:t>
      </w:r>
      <w:r>
        <w:rPr>
          <w:rFonts w:hint="eastAsia" w:ascii="宋体" w:hAnsi="宋体" w:eastAsia="宋体" w:cs="宋体"/>
          <w:color w:val="auto"/>
          <w:kern w:val="1"/>
          <w:sz w:val="21"/>
          <w:szCs w:val="21"/>
          <w:lang w:eastAsia="ar-SA"/>
        </w:rPr>
        <w:t xml:space="preserve"> ]公司：</w:t>
      </w:r>
    </w:p>
    <w:p w14:paraId="3C855468">
      <w:pPr>
        <w:suppressAutoHyphens/>
        <w:spacing w:line="360" w:lineRule="exact"/>
        <w:ind w:right="-197" w:rightChars="-94" w:firstLine="525" w:firstLineChars="250"/>
        <w:rPr>
          <w:rFonts w:hint="eastAsia" w:ascii="宋体" w:hAnsi="宋体" w:eastAsia="宋体" w:cs="宋体"/>
          <w:color w:val="auto"/>
          <w:kern w:val="2"/>
          <w:sz w:val="21"/>
          <w:szCs w:val="21"/>
          <w:lang w:eastAsia="ar-SA"/>
        </w:rPr>
      </w:pPr>
      <w:r>
        <w:rPr>
          <w:rFonts w:hint="eastAsia" w:ascii="宋体" w:hAnsi="宋体" w:eastAsia="宋体" w:cs="宋体"/>
          <w:color w:val="auto"/>
          <w:kern w:val="1"/>
          <w:sz w:val="21"/>
          <w:szCs w:val="21"/>
          <w:lang w:eastAsia="ar-SA"/>
        </w:rPr>
        <w:t xml:space="preserve">一、我公司保证依据《[  </w:t>
      </w:r>
      <w:r>
        <w:rPr>
          <w:rFonts w:hint="eastAsia" w:ascii="宋体" w:hAnsi="宋体" w:eastAsia="宋体" w:cs="宋体"/>
          <w:color w:val="auto"/>
          <w:kern w:val="0"/>
          <w:sz w:val="21"/>
          <w:szCs w:val="21"/>
          <w:lang w:eastAsia="zh-CN"/>
        </w:rPr>
        <w:t>2025年中国电信贵阳分公司低压动力设备维护抢修服务框架采购</w:t>
      </w:r>
      <w:r>
        <w:rPr>
          <w:rFonts w:hint="eastAsia" w:ascii="宋体" w:hAnsi="宋体" w:eastAsia="宋体" w:cs="宋体"/>
          <w:color w:val="auto"/>
          <w:kern w:val="1"/>
          <w:sz w:val="21"/>
          <w:szCs w:val="21"/>
          <w:lang w:eastAsia="ar-SA"/>
        </w:rPr>
        <w:t xml:space="preserve"> </w:t>
      </w:r>
      <w:r>
        <w:rPr>
          <w:rFonts w:hint="eastAsia" w:ascii="宋体" w:hAnsi="宋体" w:eastAsia="宋体" w:cs="宋体"/>
          <w:color w:val="auto"/>
          <w:kern w:val="1"/>
          <w:sz w:val="21"/>
          <w:szCs w:val="21"/>
          <w:lang w:eastAsia="zh-CN"/>
        </w:rPr>
        <w:t>]</w:t>
      </w:r>
      <w:r>
        <w:rPr>
          <w:rFonts w:hint="eastAsia" w:ascii="宋体" w:hAnsi="宋体" w:eastAsia="宋体" w:cs="宋体"/>
          <w:color w:val="auto"/>
          <w:kern w:val="1"/>
          <w:sz w:val="21"/>
          <w:szCs w:val="21"/>
          <w:lang w:eastAsia="ar-SA"/>
        </w:rPr>
        <w:t xml:space="preserve">通信项目施工合同》（以下简称“合同”）为中国电信[ </w:t>
      </w:r>
      <w:r>
        <w:rPr>
          <w:rFonts w:hint="eastAsia" w:ascii="宋体" w:hAnsi="宋体" w:eastAsia="宋体" w:cs="宋体"/>
          <w:color w:val="auto"/>
          <w:kern w:val="1"/>
          <w:sz w:val="21"/>
          <w:szCs w:val="21"/>
          <w:lang w:val="en-US" w:eastAsia="zh-CN"/>
        </w:rPr>
        <w:t>股份有限公司贵阳分</w:t>
      </w:r>
      <w:r>
        <w:rPr>
          <w:rFonts w:hint="eastAsia" w:ascii="宋体" w:hAnsi="宋体" w:eastAsia="宋体" w:cs="宋体"/>
          <w:color w:val="auto"/>
          <w:kern w:val="1"/>
          <w:sz w:val="21"/>
          <w:szCs w:val="21"/>
          <w:lang w:eastAsia="ar-SA"/>
        </w:rPr>
        <w:t xml:space="preserve"> ]公司（以下简称“中国电信”）提供服务，对于我公司委派工作人员，我公司依法与工作人员签署了正式的劳动合同，为其办理了相关社会保险及公积金。我公司依合同委派的全部工作人员不因合同的履行或者其他任何原因而与中国电信建立任何形式的劳动关系。如果有人提出法律诉讼或行政程序，声称我公司工作人员与中国电信存在劳动关系，我公司应当负责解决，并应当赔偿中国电信就此承担的所有损失和费用，包括但不限于上述法律诉讼或行政程序中所产生的一切诉讼费用、合理的律师费用、和解金额或赔偿金额等。</w:t>
      </w:r>
    </w:p>
    <w:p w14:paraId="7A82E9B9">
      <w:pPr>
        <w:suppressAutoHyphens/>
        <w:spacing w:line="360" w:lineRule="exact"/>
        <w:ind w:right="-197" w:rightChars="-94" w:firstLine="420" w:firstLineChars="200"/>
        <w:rPr>
          <w:rFonts w:hint="eastAsia" w:ascii="宋体" w:hAnsi="宋体" w:eastAsia="宋体" w:cs="宋体"/>
          <w:color w:val="auto"/>
          <w:kern w:val="1"/>
          <w:sz w:val="21"/>
          <w:szCs w:val="21"/>
          <w:lang w:eastAsia="ar-SA"/>
        </w:rPr>
      </w:pPr>
      <w:r>
        <w:rPr>
          <w:rFonts w:hint="eastAsia" w:ascii="宋体" w:hAnsi="宋体" w:eastAsia="宋体" w:cs="宋体"/>
          <w:color w:val="auto"/>
          <w:kern w:val="1"/>
          <w:sz w:val="21"/>
          <w:szCs w:val="21"/>
          <w:lang w:eastAsia="ar-SA"/>
        </w:rPr>
        <w:t>二、我公司保证为工作人员提供符合国家规定的劳动安全卫生条件和必要的劳动保护用品，对从事有职业危害作业的工作人员，应当定期安排进行健康检查。</w:t>
      </w:r>
    </w:p>
    <w:p w14:paraId="60217C9E">
      <w:pPr>
        <w:suppressAutoHyphens/>
        <w:spacing w:line="360" w:lineRule="exact"/>
        <w:ind w:right="-197" w:rightChars="-94" w:firstLine="420" w:firstLineChars="200"/>
        <w:rPr>
          <w:rFonts w:hint="eastAsia" w:ascii="宋体" w:hAnsi="宋体" w:eastAsia="宋体" w:cs="宋体"/>
          <w:color w:val="auto"/>
          <w:kern w:val="1"/>
          <w:sz w:val="21"/>
          <w:szCs w:val="21"/>
          <w:lang w:eastAsia="ar-SA"/>
        </w:rPr>
      </w:pPr>
      <w:r>
        <w:rPr>
          <w:rFonts w:hint="eastAsia" w:ascii="宋体" w:hAnsi="宋体" w:eastAsia="宋体" w:cs="宋体"/>
          <w:color w:val="auto"/>
          <w:kern w:val="1"/>
          <w:sz w:val="21"/>
          <w:szCs w:val="21"/>
          <w:lang w:eastAsia="ar-SA"/>
        </w:rPr>
        <w:t>三、我公司工作人员在合同期间，如发生工伤事故或导致他人财物损坏等事故，由我公司自行负责处理并承担全部责任。</w:t>
      </w:r>
    </w:p>
    <w:p w14:paraId="49717207">
      <w:pPr>
        <w:suppressAutoHyphens/>
        <w:spacing w:line="360" w:lineRule="exact"/>
        <w:ind w:right="-197" w:rightChars="-94" w:firstLine="480"/>
        <w:rPr>
          <w:rFonts w:hint="eastAsia" w:ascii="宋体" w:hAnsi="宋体" w:eastAsia="宋体" w:cs="宋体"/>
          <w:color w:val="auto"/>
          <w:kern w:val="1"/>
          <w:sz w:val="21"/>
          <w:szCs w:val="21"/>
          <w:lang w:eastAsia="ar-SA"/>
        </w:rPr>
      </w:pPr>
      <w:r>
        <w:rPr>
          <w:rFonts w:hint="eastAsia" w:ascii="宋体" w:hAnsi="宋体" w:eastAsia="宋体" w:cs="宋体"/>
          <w:color w:val="auto"/>
          <w:kern w:val="1"/>
          <w:sz w:val="21"/>
          <w:szCs w:val="21"/>
          <w:lang w:eastAsia="ar-SA"/>
        </w:rPr>
        <w:t>四、我公司应当依法为工作人员发放工资、缴纳社会保险金及公积金等，否则因此而产生的任何后果及纠纷，由我公司自行负责处理，并承担相应的法律责任。因此导致中国电信损失的，我公司承诺进行赔偿。</w:t>
      </w:r>
    </w:p>
    <w:p w14:paraId="02EDAD61">
      <w:pPr>
        <w:suppressAutoHyphens/>
        <w:spacing w:line="360" w:lineRule="exact"/>
        <w:ind w:right="-197" w:rightChars="-94" w:firstLine="480"/>
        <w:rPr>
          <w:rFonts w:hint="eastAsia" w:ascii="宋体" w:hAnsi="宋体" w:eastAsia="宋体" w:cs="宋体"/>
          <w:color w:val="auto"/>
          <w:kern w:val="1"/>
          <w:sz w:val="21"/>
          <w:szCs w:val="21"/>
          <w:lang w:eastAsia="ar-SA"/>
        </w:rPr>
      </w:pPr>
      <w:r>
        <w:rPr>
          <w:rFonts w:hint="eastAsia" w:ascii="宋体" w:hAnsi="宋体" w:eastAsia="宋体" w:cs="宋体"/>
          <w:color w:val="auto"/>
          <w:kern w:val="1"/>
          <w:sz w:val="21"/>
          <w:szCs w:val="21"/>
          <w:lang w:eastAsia="ar-SA"/>
        </w:rPr>
        <w:t>五、我公司承诺严格遵守相关劳动法律和法规，对违反法律法规的行为应当及时纠正处理，以维护各方合法权益。</w:t>
      </w:r>
    </w:p>
    <w:p w14:paraId="10857393">
      <w:pPr>
        <w:suppressAutoHyphens/>
        <w:spacing w:line="360" w:lineRule="exact"/>
        <w:ind w:right="-197" w:rightChars="-94" w:firstLine="480"/>
        <w:rPr>
          <w:rFonts w:hint="eastAsia" w:ascii="宋体" w:hAnsi="宋体" w:eastAsia="宋体" w:cs="宋体"/>
          <w:color w:val="auto"/>
          <w:kern w:val="1"/>
          <w:sz w:val="21"/>
          <w:szCs w:val="21"/>
          <w:lang w:eastAsia="ar-SA"/>
        </w:rPr>
      </w:pPr>
      <w:r>
        <w:rPr>
          <w:rFonts w:hint="eastAsia" w:ascii="宋体" w:hAnsi="宋体" w:eastAsia="宋体" w:cs="宋体"/>
          <w:color w:val="auto"/>
          <w:kern w:val="1"/>
          <w:sz w:val="21"/>
          <w:szCs w:val="21"/>
          <w:lang w:eastAsia="ar-SA"/>
        </w:rPr>
        <w:t>六、</w:t>
      </w:r>
      <w:r>
        <w:rPr>
          <w:rFonts w:hint="eastAsia" w:ascii="宋体" w:hAnsi="宋体" w:eastAsia="宋体" w:cs="宋体"/>
          <w:color w:val="auto"/>
          <w:kern w:val="1"/>
          <w:sz w:val="21"/>
          <w:szCs w:val="21"/>
          <w:lang w:val="en-US" w:eastAsia="ar-SA"/>
        </w:rPr>
        <w:t>★外包人员用工要求做到六必须</w:t>
      </w:r>
    </w:p>
    <w:p w14:paraId="31C36930">
      <w:pPr>
        <w:suppressAutoHyphens/>
        <w:spacing w:line="360" w:lineRule="exact"/>
        <w:ind w:right="-197" w:rightChars="-94" w:firstLine="480"/>
        <w:rPr>
          <w:rFonts w:hint="eastAsia" w:ascii="宋体" w:hAnsi="宋体" w:eastAsia="宋体" w:cs="宋体"/>
          <w:color w:val="auto"/>
          <w:kern w:val="1"/>
          <w:sz w:val="21"/>
          <w:szCs w:val="21"/>
          <w:lang w:eastAsia="ar-SA"/>
        </w:rPr>
      </w:pPr>
      <w:r>
        <w:rPr>
          <w:rFonts w:hint="eastAsia" w:ascii="宋体" w:hAnsi="宋体" w:eastAsia="宋体" w:cs="宋体"/>
          <w:color w:val="auto"/>
          <w:kern w:val="1"/>
          <w:sz w:val="21"/>
          <w:szCs w:val="21"/>
          <w:lang w:val="en-US" w:eastAsia="ar-SA"/>
        </w:rPr>
        <w:t>（1）外包商必须与外包人员签订劳动合同、建立合法有效的劳动关系；</w:t>
      </w:r>
    </w:p>
    <w:p w14:paraId="64EF9ABC">
      <w:pPr>
        <w:suppressAutoHyphens/>
        <w:spacing w:line="360" w:lineRule="exact"/>
        <w:ind w:right="-197" w:rightChars="-94" w:firstLine="480"/>
        <w:rPr>
          <w:rFonts w:hint="eastAsia" w:ascii="宋体" w:hAnsi="宋体" w:eastAsia="宋体" w:cs="宋体"/>
          <w:color w:val="auto"/>
          <w:kern w:val="1"/>
          <w:sz w:val="21"/>
          <w:szCs w:val="21"/>
          <w:lang w:eastAsia="ar-SA"/>
        </w:rPr>
      </w:pPr>
      <w:r>
        <w:rPr>
          <w:rFonts w:hint="eastAsia" w:ascii="宋体" w:hAnsi="宋体" w:eastAsia="宋体" w:cs="宋体"/>
          <w:color w:val="auto"/>
          <w:kern w:val="1"/>
          <w:sz w:val="21"/>
          <w:szCs w:val="21"/>
          <w:lang w:val="en-US" w:eastAsia="ar-SA"/>
        </w:rPr>
        <w:t>（2）必须依法依规支付外包人员薪酬、缴交社会保险，不得欠薪欠保；</w:t>
      </w:r>
    </w:p>
    <w:p w14:paraId="4519F5DA">
      <w:pPr>
        <w:suppressAutoHyphens/>
        <w:spacing w:line="360" w:lineRule="exact"/>
        <w:ind w:right="-197" w:rightChars="-94" w:firstLine="480"/>
        <w:rPr>
          <w:rFonts w:hint="eastAsia" w:ascii="宋体" w:hAnsi="宋体" w:eastAsia="宋体" w:cs="宋体"/>
          <w:color w:val="auto"/>
          <w:kern w:val="1"/>
          <w:sz w:val="21"/>
          <w:szCs w:val="21"/>
          <w:lang w:eastAsia="ar-SA"/>
        </w:rPr>
      </w:pPr>
      <w:r>
        <w:rPr>
          <w:rFonts w:hint="eastAsia" w:ascii="宋体" w:hAnsi="宋体" w:eastAsia="宋体" w:cs="宋体"/>
          <w:color w:val="auto"/>
          <w:kern w:val="1"/>
          <w:sz w:val="21"/>
          <w:szCs w:val="21"/>
          <w:lang w:val="en-US" w:eastAsia="ar-SA"/>
        </w:rPr>
        <w:t>（3）必须依法制定用工管理制度，对外包人员管理做到有章可依；</w:t>
      </w:r>
    </w:p>
    <w:p w14:paraId="24C4A148">
      <w:pPr>
        <w:suppressAutoHyphens/>
        <w:spacing w:line="360" w:lineRule="exact"/>
        <w:ind w:right="-197" w:rightChars="-94" w:firstLine="480"/>
        <w:rPr>
          <w:rFonts w:hint="eastAsia" w:ascii="宋体" w:hAnsi="宋体" w:eastAsia="宋体" w:cs="宋体"/>
          <w:color w:val="auto"/>
          <w:kern w:val="1"/>
          <w:sz w:val="21"/>
          <w:szCs w:val="21"/>
          <w:lang w:eastAsia="ar-SA"/>
        </w:rPr>
      </w:pPr>
      <w:r>
        <w:rPr>
          <w:rFonts w:hint="eastAsia" w:ascii="宋体" w:hAnsi="宋体" w:eastAsia="宋体" w:cs="宋体"/>
          <w:color w:val="auto"/>
          <w:kern w:val="1"/>
          <w:sz w:val="21"/>
          <w:szCs w:val="21"/>
          <w:lang w:val="en-US" w:eastAsia="ar-SA"/>
        </w:rPr>
        <w:t>（4）人员素质和配置必须满足业务外包项目要求；</w:t>
      </w:r>
    </w:p>
    <w:p w14:paraId="52F9E04A">
      <w:pPr>
        <w:suppressAutoHyphens/>
        <w:spacing w:line="360" w:lineRule="exact"/>
        <w:ind w:right="-197" w:rightChars="-94" w:firstLine="480"/>
        <w:rPr>
          <w:rFonts w:hint="eastAsia" w:ascii="宋体" w:hAnsi="宋体" w:eastAsia="宋体" w:cs="宋体"/>
          <w:color w:val="auto"/>
          <w:kern w:val="1"/>
          <w:sz w:val="21"/>
          <w:szCs w:val="21"/>
          <w:lang w:eastAsia="ar-SA"/>
        </w:rPr>
      </w:pPr>
      <w:r>
        <w:rPr>
          <w:rFonts w:hint="eastAsia" w:ascii="宋体" w:hAnsi="宋体" w:eastAsia="宋体" w:cs="宋体"/>
          <w:color w:val="auto"/>
          <w:kern w:val="1"/>
          <w:sz w:val="21"/>
          <w:szCs w:val="21"/>
          <w:lang w:val="en-US" w:eastAsia="ar-SA"/>
        </w:rPr>
        <w:t>（5）对提供给电信方的外包人员个人信息必须征得外包人员本人同意；</w:t>
      </w:r>
    </w:p>
    <w:p w14:paraId="31140B24">
      <w:pPr>
        <w:suppressAutoHyphens/>
        <w:spacing w:line="360" w:lineRule="exact"/>
        <w:ind w:right="-197" w:rightChars="-94" w:firstLine="480"/>
        <w:rPr>
          <w:rFonts w:hint="eastAsia" w:ascii="宋体" w:hAnsi="宋体" w:eastAsia="宋体" w:cs="宋体"/>
          <w:color w:val="auto"/>
          <w:kern w:val="1"/>
          <w:sz w:val="21"/>
          <w:szCs w:val="21"/>
          <w:lang w:eastAsia="ar-SA"/>
        </w:rPr>
      </w:pPr>
      <w:r>
        <w:rPr>
          <w:rFonts w:hint="eastAsia" w:ascii="宋体" w:hAnsi="宋体" w:eastAsia="宋体" w:cs="宋体"/>
          <w:color w:val="auto"/>
          <w:kern w:val="1"/>
          <w:sz w:val="21"/>
          <w:szCs w:val="21"/>
          <w:lang w:val="en-US" w:eastAsia="ar-SA"/>
        </w:rPr>
        <w:t>（6）有农民工的工程施工单位必须在指定合作银行开立农民工工资支付专用账户并通过专户支付农民工工资。</w:t>
      </w:r>
    </w:p>
    <w:p w14:paraId="0517F4B2">
      <w:pPr>
        <w:suppressAutoHyphens/>
        <w:spacing w:line="360" w:lineRule="exact"/>
        <w:ind w:right="-197" w:rightChars="-94" w:firstLine="480"/>
        <w:rPr>
          <w:rFonts w:hint="eastAsia" w:ascii="宋体" w:hAnsi="宋体" w:eastAsia="宋体" w:cs="宋体"/>
          <w:color w:val="auto"/>
          <w:kern w:val="1"/>
          <w:sz w:val="21"/>
          <w:szCs w:val="21"/>
          <w:lang w:eastAsia="ar-SA"/>
        </w:rPr>
      </w:pPr>
      <w:r>
        <w:rPr>
          <w:rFonts w:hint="eastAsia" w:ascii="宋体" w:hAnsi="宋体" w:eastAsia="宋体" w:cs="宋体"/>
          <w:color w:val="auto"/>
          <w:kern w:val="1"/>
          <w:sz w:val="21"/>
          <w:szCs w:val="21"/>
          <w:lang w:val="en-US" w:eastAsia="ar-SA"/>
        </w:rPr>
        <w:t>★外包人员用工要求做到七不得</w:t>
      </w:r>
    </w:p>
    <w:p w14:paraId="5DE39A34">
      <w:pPr>
        <w:suppressAutoHyphens/>
        <w:spacing w:line="360" w:lineRule="exact"/>
        <w:ind w:right="-197" w:rightChars="-94" w:firstLine="480"/>
        <w:rPr>
          <w:rFonts w:hint="eastAsia" w:ascii="宋体" w:hAnsi="宋体" w:eastAsia="宋体" w:cs="宋体"/>
          <w:color w:val="auto"/>
          <w:kern w:val="1"/>
          <w:sz w:val="21"/>
          <w:szCs w:val="21"/>
          <w:lang w:eastAsia="ar-SA"/>
        </w:rPr>
      </w:pPr>
      <w:r>
        <w:rPr>
          <w:rFonts w:hint="eastAsia" w:ascii="宋体" w:hAnsi="宋体" w:eastAsia="宋体" w:cs="宋体"/>
          <w:color w:val="auto"/>
          <w:kern w:val="1"/>
          <w:sz w:val="21"/>
          <w:szCs w:val="21"/>
          <w:lang w:val="en-US" w:eastAsia="ar-SA"/>
        </w:rPr>
        <w:t>（1）不得以电信公司名义发布外包业务的岗位招聘信息;</w:t>
      </w:r>
    </w:p>
    <w:p w14:paraId="200A5421">
      <w:pPr>
        <w:suppressAutoHyphens/>
        <w:spacing w:line="360" w:lineRule="exact"/>
        <w:ind w:right="-197" w:rightChars="-94" w:firstLine="480"/>
        <w:rPr>
          <w:rFonts w:hint="eastAsia" w:ascii="宋体" w:hAnsi="宋体" w:eastAsia="宋体" w:cs="宋体"/>
          <w:color w:val="auto"/>
          <w:kern w:val="1"/>
          <w:sz w:val="21"/>
          <w:szCs w:val="21"/>
          <w:lang w:eastAsia="ar-SA"/>
        </w:rPr>
      </w:pPr>
      <w:r>
        <w:rPr>
          <w:rFonts w:hint="eastAsia" w:ascii="宋体" w:hAnsi="宋体" w:eastAsia="宋体" w:cs="宋体"/>
          <w:color w:val="auto"/>
          <w:kern w:val="1"/>
          <w:sz w:val="21"/>
          <w:szCs w:val="21"/>
          <w:lang w:val="en-US" w:eastAsia="ar-SA"/>
        </w:rPr>
        <w:t>（2）不得以电信公司名义直接组织外包人员选拔、竞聘活动或直接发布相关活动评审结果;</w:t>
      </w:r>
    </w:p>
    <w:p w14:paraId="076DB86A">
      <w:pPr>
        <w:suppressAutoHyphens/>
        <w:spacing w:line="360" w:lineRule="exact"/>
        <w:ind w:right="-197" w:rightChars="-94" w:firstLine="480"/>
        <w:rPr>
          <w:rFonts w:hint="eastAsia" w:ascii="宋体" w:hAnsi="宋体" w:eastAsia="宋体" w:cs="宋体"/>
          <w:color w:val="auto"/>
          <w:kern w:val="1"/>
          <w:sz w:val="21"/>
          <w:szCs w:val="21"/>
          <w:lang w:eastAsia="ar-SA"/>
        </w:rPr>
      </w:pPr>
      <w:r>
        <w:rPr>
          <w:rFonts w:hint="eastAsia" w:ascii="宋体" w:hAnsi="宋体" w:eastAsia="宋体" w:cs="宋体"/>
          <w:color w:val="auto"/>
          <w:kern w:val="1"/>
          <w:sz w:val="21"/>
          <w:szCs w:val="21"/>
          <w:lang w:val="en-US" w:eastAsia="ar-SA"/>
        </w:rPr>
        <w:t>（3）不得以电信公司名义直接对外包人员发布管理规范，或对外包人员直接适用电信公司的规章制度、劳动纪律等;</w:t>
      </w:r>
    </w:p>
    <w:p w14:paraId="390E1ACD">
      <w:pPr>
        <w:suppressAutoHyphens/>
        <w:spacing w:line="360" w:lineRule="exact"/>
        <w:ind w:right="-197" w:rightChars="-94" w:firstLine="480"/>
        <w:rPr>
          <w:rFonts w:hint="eastAsia" w:ascii="宋体" w:hAnsi="宋体" w:eastAsia="宋体" w:cs="宋体"/>
          <w:color w:val="auto"/>
          <w:kern w:val="1"/>
          <w:sz w:val="21"/>
          <w:szCs w:val="21"/>
          <w:lang w:eastAsia="ar-SA"/>
        </w:rPr>
      </w:pPr>
      <w:r>
        <w:rPr>
          <w:rFonts w:hint="eastAsia" w:ascii="宋体" w:hAnsi="宋体" w:eastAsia="宋体" w:cs="宋体"/>
          <w:color w:val="auto"/>
          <w:kern w:val="1"/>
          <w:sz w:val="21"/>
          <w:szCs w:val="21"/>
          <w:lang w:val="en-US" w:eastAsia="ar-SA"/>
        </w:rPr>
        <w:t>（4）不得以电信公司名义直接向外包人员发放薪酬、缴纳社会保险、发放办公用品、劳保用品、福利用品，为外包人员报销差旅费、培训费;</w:t>
      </w:r>
    </w:p>
    <w:p w14:paraId="13F2EA00">
      <w:pPr>
        <w:suppressAutoHyphens/>
        <w:spacing w:line="360" w:lineRule="exact"/>
        <w:ind w:right="-197" w:rightChars="-94" w:firstLine="480"/>
        <w:rPr>
          <w:rFonts w:hint="eastAsia" w:ascii="宋体" w:hAnsi="宋体" w:eastAsia="宋体" w:cs="宋体"/>
          <w:color w:val="auto"/>
          <w:kern w:val="1"/>
          <w:sz w:val="21"/>
          <w:szCs w:val="21"/>
          <w:lang w:eastAsia="ar-SA"/>
        </w:rPr>
      </w:pPr>
      <w:r>
        <w:rPr>
          <w:rFonts w:hint="eastAsia" w:ascii="宋体" w:hAnsi="宋体" w:eastAsia="宋体" w:cs="宋体"/>
          <w:color w:val="auto"/>
          <w:kern w:val="1"/>
          <w:sz w:val="21"/>
          <w:szCs w:val="21"/>
          <w:lang w:val="en-US" w:eastAsia="ar-SA"/>
        </w:rPr>
        <w:t>（5）不得以电信公司名义向外包人员出具岗位聘任、职务任命、绩效考评、工作调动、考勤休假、荣誉表彰、惩处通知和解除劳动合同等材料;</w:t>
      </w:r>
    </w:p>
    <w:p w14:paraId="43C7954E">
      <w:pPr>
        <w:suppressAutoHyphens/>
        <w:spacing w:line="360" w:lineRule="exact"/>
        <w:ind w:right="-197" w:rightChars="-94" w:firstLine="480"/>
        <w:rPr>
          <w:rFonts w:hint="eastAsia" w:ascii="宋体" w:hAnsi="宋体" w:eastAsia="宋体" w:cs="宋体"/>
          <w:color w:val="auto"/>
          <w:kern w:val="1"/>
          <w:sz w:val="21"/>
          <w:szCs w:val="21"/>
          <w:lang w:eastAsia="ar-SA"/>
        </w:rPr>
      </w:pPr>
      <w:r>
        <w:rPr>
          <w:rFonts w:hint="eastAsia" w:ascii="宋体" w:hAnsi="宋体" w:eastAsia="宋体" w:cs="宋体"/>
          <w:color w:val="auto"/>
          <w:kern w:val="1"/>
          <w:sz w:val="21"/>
          <w:szCs w:val="21"/>
          <w:lang w:val="en-US" w:eastAsia="ar-SA"/>
        </w:rPr>
        <w:t>（6）不得以电信公司名义违规授意、安排人员担任外包商法定代表人或其高管;</w:t>
      </w:r>
    </w:p>
    <w:p w14:paraId="055932F8">
      <w:pPr>
        <w:suppressAutoHyphens/>
        <w:spacing w:line="360" w:lineRule="exact"/>
        <w:ind w:right="-197" w:rightChars="-94" w:firstLine="480"/>
        <w:rPr>
          <w:rFonts w:hint="eastAsia" w:ascii="宋体" w:hAnsi="宋体" w:eastAsia="宋体" w:cs="宋体"/>
          <w:color w:val="auto"/>
          <w:kern w:val="1"/>
          <w:sz w:val="21"/>
          <w:szCs w:val="21"/>
          <w:lang w:eastAsia="ar-SA"/>
        </w:rPr>
      </w:pPr>
      <w:r>
        <w:rPr>
          <w:rFonts w:hint="eastAsia" w:ascii="宋体" w:hAnsi="宋体" w:eastAsia="宋体" w:cs="宋体"/>
          <w:color w:val="auto"/>
          <w:kern w:val="1"/>
          <w:sz w:val="21"/>
          <w:szCs w:val="21"/>
          <w:lang w:val="en-US" w:eastAsia="ar-SA"/>
        </w:rPr>
        <w:t>（7）不得以电信公司名义直接向外包人员发放“工作证”“服务证”等证件。</w:t>
      </w:r>
    </w:p>
    <w:p w14:paraId="3B78957D">
      <w:pPr>
        <w:suppressAutoHyphens/>
        <w:spacing w:line="360" w:lineRule="exact"/>
        <w:ind w:right="-197" w:rightChars="-94" w:firstLine="480"/>
        <w:rPr>
          <w:rFonts w:hint="eastAsia" w:ascii="宋体" w:hAnsi="宋体" w:eastAsia="宋体" w:cs="宋体"/>
          <w:color w:val="auto"/>
          <w:kern w:val="1"/>
          <w:sz w:val="21"/>
          <w:szCs w:val="21"/>
          <w:lang w:eastAsia="ar-SA"/>
        </w:rPr>
      </w:pPr>
    </w:p>
    <w:p w14:paraId="0E5CE086">
      <w:pPr>
        <w:suppressAutoHyphens/>
        <w:spacing w:line="360" w:lineRule="exact"/>
        <w:ind w:right="-197" w:rightChars="-94" w:firstLine="480"/>
        <w:rPr>
          <w:rFonts w:hint="eastAsia" w:ascii="宋体" w:hAnsi="宋体" w:eastAsia="宋体" w:cs="宋体"/>
          <w:color w:val="auto"/>
          <w:kern w:val="1"/>
          <w:sz w:val="21"/>
          <w:szCs w:val="21"/>
          <w:lang w:eastAsia="ar-SA"/>
        </w:rPr>
      </w:pPr>
      <w:r>
        <w:rPr>
          <w:rFonts w:hint="eastAsia" w:ascii="宋体" w:hAnsi="宋体" w:eastAsia="宋体" w:cs="宋体"/>
          <w:color w:val="auto"/>
          <w:kern w:val="1"/>
          <w:sz w:val="21"/>
          <w:szCs w:val="21"/>
          <w:lang w:val="en-US" w:eastAsia="zh-CN"/>
        </w:rPr>
        <w:t>七、</w:t>
      </w:r>
      <w:r>
        <w:rPr>
          <w:rFonts w:hint="eastAsia" w:ascii="宋体" w:hAnsi="宋体" w:eastAsia="宋体" w:cs="宋体"/>
          <w:color w:val="auto"/>
          <w:kern w:val="1"/>
          <w:sz w:val="21"/>
          <w:szCs w:val="21"/>
          <w:lang w:eastAsia="ar-SA"/>
        </w:rPr>
        <w:t>本承诺书经我公司签署后，</w:t>
      </w:r>
      <w:bookmarkStart w:id="1423" w:name="_Hlk82368629"/>
      <w:r>
        <w:rPr>
          <w:rFonts w:hint="eastAsia" w:ascii="宋体" w:hAnsi="宋体" w:eastAsia="宋体" w:cs="宋体"/>
          <w:color w:val="auto"/>
          <w:kern w:val="1"/>
          <w:sz w:val="21"/>
          <w:szCs w:val="21"/>
          <w:lang w:eastAsia="ar-SA"/>
        </w:rPr>
        <w:t>与合同同时生效</w:t>
      </w:r>
      <w:bookmarkEnd w:id="1423"/>
      <w:r>
        <w:rPr>
          <w:rFonts w:hint="eastAsia" w:ascii="宋体" w:hAnsi="宋体" w:eastAsia="宋体" w:cs="宋体"/>
          <w:color w:val="auto"/>
          <w:kern w:val="1"/>
          <w:sz w:val="21"/>
          <w:szCs w:val="21"/>
          <w:lang w:eastAsia="ar-SA"/>
        </w:rPr>
        <w:t>。</w:t>
      </w:r>
      <w:r>
        <w:rPr>
          <w:rFonts w:hint="eastAsia" w:ascii="宋体" w:hAnsi="宋体" w:eastAsia="宋体" w:cs="宋体"/>
          <w:color w:val="auto"/>
          <w:kern w:val="1"/>
          <w:sz w:val="21"/>
          <w:szCs w:val="21"/>
          <w:lang w:eastAsia="ar-SA"/>
        </w:rPr>
        <w:tab/>
      </w:r>
    </w:p>
    <w:p w14:paraId="7DD20E45">
      <w:pPr>
        <w:suppressAutoHyphens/>
        <w:spacing w:line="360" w:lineRule="exact"/>
        <w:ind w:right="-197" w:rightChars="-94" w:firstLine="480"/>
        <w:rPr>
          <w:rFonts w:hint="eastAsia" w:ascii="宋体" w:hAnsi="宋体" w:eastAsia="宋体" w:cs="宋体"/>
          <w:color w:val="auto"/>
          <w:kern w:val="1"/>
          <w:sz w:val="21"/>
          <w:szCs w:val="21"/>
          <w:lang w:eastAsia="ar-SA"/>
        </w:rPr>
      </w:pPr>
    </w:p>
    <w:p w14:paraId="5BD1F4C2">
      <w:pPr>
        <w:suppressAutoHyphens/>
        <w:spacing w:line="360" w:lineRule="exact"/>
        <w:ind w:left="4883" w:leftChars="2325" w:right="-197" w:rightChars="-94"/>
        <w:jc w:val="left"/>
        <w:rPr>
          <w:rFonts w:hint="eastAsia" w:ascii="宋体" w:hAnsi="宋体" w:eastAsia="宋体" w:cs="宋体"/>
          <w:color w:val="auto"/>
          <w:kern w:val="1"/>
          <w:sz w:val="21"/>
          <w:szCs w:val="21"/>
          <w:lang w:eastAsia="ar-SA"/>
        </w:rPr>
      </w:pPr>
      <w:r>
        <w:rPr>
          <w:rFonts w:hint="eastAsia" w:ascii="宋体" w:hAnsi="宋体" w:eastAsia="宋体" w:cs="宋体"/>
          <w:color w:val="auto"/>
          <w:kern w:val="1"/>
          <w:sz w:val="21"/>
          <w:szCs w:val="21"/>
          <w:lang w:eastAsia="ar-SA"/>
        </w:rPr>
        <w:t>承诺人：（盖章）</w:t>
      </w:r>
    </w:p>
    <w:p w14:paraId="5607EDB8">
      <w:pPr>
        <w:suppressAutoHyphens/>
        <w:spacing w:line="360" w:lineRule="exact"/>
        <w:ind w:right="-197" w:rightChars="-94" w:firstLine="4284" w:firstLineChars="2040"/>
        <w:jc w:val="left"/>
        <w:rPr>
          <w:rFonts w:hint="eastAsia" w:ascii="宋体" w:hAnsi="宋体" w:eastAsia="宋体" w:cs="宋体"/>
          <w:color w:val="auto"/>
          <w:kern w:val="1"/>
          <w:sz w:val="21"/>
          <w:szCs w:val="21"/>
          <w:lang w:eastAsia="ar-SA"/>
        </w:rPr>
      </w:pPr>
    </w:p>
    <w:p w14:paraId="0C9A9914">
      <w:pPr>
        <w:suppressAutoHyphens/>
        <w:spacing w:line="360" w:lineRule="exact"/>
        <w:ind w:right="-197" w:rightChars="-94" w:firstLine="4284" w:firstLineChars="2040"/>
        <w:jc w:val="left"/>
        <w:rPr>
          <w:rFonts w:hint="eastAsia" w:ascii="宋体" w:hAnsi="宋体" w:eastAsia="宋体" w:cs="宋体"/>
          <w:color w:val="auto"/>
          <w:kern w:val="1"/>
          <w:sz w:val="21"/>
          <w:szCs w:val="21"/>
          <w:lang w:eastAsia="ar-SA"/>
        </w:rPr>
      </w:pPr>
      <w:r>
        <w:rPr>
          <w:rFonts w:hint="eastAsia" w:ascii="宋体" w:hAnsi="宋体" w:eastAsia="宋体" w:cs="宋体"/>
          <w:color w:val="auto"/>
          <w:kern w:val="1"/>
          <w:sz w:val="21"/>
          <w:szCs w:val="21"/>
          <w:lang w:eastAsia="ar-SA"/>
        </w:rPr>
        <w:t>法定代表人/负责人</w:t>
      </w:r>
    </w:p>
    <w:p w14:paraId="613171B8">
      <w:pPr>
        <w:tabs>
          <w:tab w:val="left" w:pos="7980"/>
        </w:tabs>
        <w:spacing w:line="360" w:lineRule="exact"/>
        <w:ind w:firstLine="420" w:firstLineChars="200"/>
        <w:jc w:val="left"/>
        <w:rPr>
          <w:rFonts w:hint="eastAsia" w:ascii="宋体" w:hAnsi="宋体" w:eastAsia="宋体" w:cs="宋体"/>
          <w:color w:val="auto"/>
          <w:kern w:val="1"/>
          <w:sz w:val="21"/>
          <w:szCs w:val="21"/>
          <w:lang w:eastAsia="ar-SA"/>
        </w:rPr>
      </w:pPr>
      <w:r>
        <w:rPr>
          <w:rFonts w:hint="eastAsia" w:ascii="宋体" w:hAnsi="宋体" w:eastAsia="宋体" w:cs="宋体"/>
          <w:color w:val="auto"/>
          <w:kern w:val="1"/>
          <w:sz w:val="21"/>
          <w:szCs w:val="21"/>
          <w:lang w:eastAsia="ar-SA"/>
        </w:rPr>
        <w:t>或授权代表（签字）：</w:t>
      </w:r>
    </w:p>
    <w:p w14:paraId="1AE6A21C">
      <w:pPr>
        <w:tabs>
          <w:tab w:val="left" w:pos="7980"/>
        </w:tabs>
        <w:spacing w:line="360" w:lineRule="exact"/>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color w:val="auto"/>
          <w:kern w:val="1"/>
          <w:sz w:val="21"/>
          <w:szCs w:val="21"/>
          <w:lang w:eastAsia="ar-SA"/>
        </w:rPr>
        <w:br w:type="page"/>
      </w:r>
      <w:r>
        <w:rPr>
          <w:rFonts w:hint="eastAsia" w:ascii="宋体" w:hAnsi="宋体" w:eastAsia="宋体" w:cs="宋体"/>
          <w:kern w:val="0"/>
          <w:sz w:val="21"/>
          <w:szCs w:val="21"/>
          <w:lang w:val="en-US" w:eastAsia="zh-CN"/>
        </w:rPr>
        <w:t>附件五：报价文件</w:t>
      </w:r>
    </w:p>
    <w:p w14:paraId="202A7C61">
      <w:pPr>
        <w:tabs>
          <w:tab w:val="left" w:pos="7980"/>
        </w:tabs>
        <w:spacing w:line="360" w:lineRule="exact"/>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附件六：技术规范书</w:t>
      </w:r>
    </w:p>
    <w:p w14:paraId="197E92B4">
      <w:pPr>
        <w:tabs>
          <w:tab w:val="left" w:pos="7980"/>
        </w:tabs>
        <w:spacing w:line="360" w:lineRule="exact"/>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br w:type="page"/>
      </w:r>
      <w:r>
        <w:rPr>
          <w:rFonts w:hint="eastAsia" w:ascii="宋体" w:hAnsi="宋体" w:eastAsia="宋体" w:cs="宋体"/>
          <w:kern w:val="0"/>
          <w:sz w:val="21"/>
          <w:szCs w:val="21"/>
          <w:lang w:val="en-US" w:eastAsia="zh-CN"/>
        </w:rPr>
        <w:t>附件七：服务项目人员名单</w:t>
      </w:r>
    </w:p>
    <w:tbl>
      <w:tblPr>
        <w:tblStyle w:val="41"/>
        <w:tblW w:w="5000" w:type="pct"/>
        <w:tblInd w:w="0" w:type="dxa"/>
        <w:tblLayout w:type="fixed"/>
        <w:tblCellMar>
          <w:top w:w="0" w:type="dxa"/>
          <w:left w:w="108" w:type="dxa"/>
          <w:bottom w:w="0" w:type="dxa"/>
          <w:right w:w="108" w:type="dxa"/>
        </w:tblCellMar>
      </w:tblPr>
      <w:tblGrid>
        <w:gridCol w:w="597"/>
        <w:gridCol w:w="1057"/>
        <w:gridCol w:w="912"/>
        <w:gridCol w:w="1740"/>
        <w:gridCol w:w="800"/>
        <w:gridCol w:w="1575"/>
        <w:gridCol w:w="1243"/>
        <w:gridCol w:w="598"/>
      </w:tblGrid>
      <w:tr w14:paraId="066FA082">
        <w:tblPrEx>
          <w:tblCellMar>
            <w:top w:w="0" w:type="dxa"/>
            <w:left w:w="108" w:type="dxa"/>
            <w:bottom w:w="0" w:type="dxa"/>
            <w:right w:w="108" w:type="dxa"/>
          </w:tblCellMar>
        </w:tblPrEx>
        <w:trPr>
          <w:trHeight w:val="440" w:hRule="atLeast"/>
        </w:trPr>
        <w:tc>
          <w:tcPr>
            <w:tcW w:w="350" w:type="pct"/>
            <w:vMerge w:val="restart"/>
            <w:tcBorders>
              <w:top w:val="single" w:color="000000" w:sz="4" w:space="0"/>
              <w:left w:val="single" w:color="000000" w:sz="4" w:space="0"/>
              <w:right w:val="single" w:color="000000" w:sz="4" w:space="0"/>
            </w:tcBorders>
            <w:noWrap/>
            <w:vAlign w:val="center"/>
          </w:tcPr>
          <w:p w14:paraId="51B5C7A8">
            <w:pPr>
              <w:tabs>
                <w:tab w:val="left" w:pos="7980"/>
              </w:tabs>
              <w:suppressAutoHyphens/>
              <w:spacing w:line="360" w:lineRule="exact"/>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序号</w:t>
            </w:r>
          </w:p>
        </w:tc>
        <w:tc>
          <w:tcPr>
            <w:tcW w:w="620" w:type="pct"/>
            <w:vMerge w:val="restart"/>
            <w:tcBorders>
              <w:top w:val="single" w:color="000000" w:sz="4" w:space="0"/>
              <w:left w:val="single" w:color="000000" w:sz="4" w:space="0"/>
              <w:right w:val="single" w:color="000000" w:sz="4" w:space="0"/>
            </w:tcBorders>
            <w:noWrap/>
            <w:vAlign w:val="center"/>
          </w:tcPr>
          <w:p w14:paraId="3FD61B2B">
            <w:pPr>
              <w:tabs>
                <w:tab w:val="left" w:pos="7980"/>
              </w:tabs>
              <w:suppressAutoHyphens/>
              <w:spacing w:line="360" w:lineRule="exact"/>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类别</w:t>
            </w:r>
          </w:p>
        </w:tc>
        <w:tc>
          <w:tcPr>
            <w:tcW w:w="534" w:type="pct"/>
            <w:vMerge w:val="restart"/>
            <w:tcBorders>
              <w:top w:val="single" w:color="000000" w:sz="4" w:space="0"/>
              <w:left w:val="single" w:color="000000" w:sz="4" w:space="0"/>
              <w:right w:val="single" w:color="000000" w:sz="4" w:space="0"/>
            </w:tcBorders>
            <w:noWrap/>
            <w:vAlign w:val="center"/>
          </w:tcPr>
          <w:p w14:paraId="63A9A0BC">
            <w:pPr>
              <w:tabs>
                <w:tab w:val="left" w:pos="7980"/>
              </w:tabs>
              <w:suppressAutoHyphens/>
              <w:spacing w:line="360" w:lineRule="exact"/>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姓名</w:t>
            </w:r>
          </w:p>
        </w:tc>
        <w:tc>
          <w:tcPr>
            <w:tcW w:w="1020" w:type="pct"/>
            <w:vMerge w:val="restart"/>
            <w:tcBorders>
              <w:top w:val="single" w:color="000000" w:sz="4" w:space="0"/>
              <w:left w:val="single" w:color="000000" w:sz="4" w:space="0"/>
              <w:right w:val="single" w:color="000000" w:sz="4" w:space="0"/>
            </w:tcBorders>
            <w:noWrap/>
            <w:vAlign w:val="center"/>
          </w:tcPr>
          <w:p w14:paraId="43D6CC7D">
            <w:pPr>
              <w:tabs>
                <w:tab w:val="left" w:pos="7980"/>
              </w:tabs>
              <w:suppressAutoHyphens/>
              <w:spacing w:line="360" w:lineRule="exact"/>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角色/</w:t>
            </w:r>
            <w:r>
              <w:rPr>
                <w:rFonts w:hint="eastAsia" w:ascii="宋体" w:hAnsi="宋体" w:eastAsia="宋体" w:cs="宋体"/>
                <w:color w:val="auto"/>
                <w:kern w:val="0"/>
                <w:sz w:val="21"/>
                <w:szCs w:val="21"/>
                <w:lang w:eastAsia="zh-CN"/>
              </w:rPr>
              <w:t>职位</w:t>
            </w:r>
          </w:p>
        </w:tc>
        <w:tc>
          <w:tcPr>
            <w:tcW w:w="469" w:type="pct"/>
            <w:vMerge w:val="restart"/>
            <w:tcBorders>
              <w:top w:val="single" w:color="000000" w:sz="4" w:space="0"/>
              <w:left w:val="single" w:color="000000" w:sz="4" w:space="0"/>
              <w:right w:val="single" w:color="000000" w:sz="4" w:space="0"/>
            </w:tcBorders>
            <w:noWrap/>
            <w:vAlign w:val="center"/>
          </w:tcPr>
          <w:p w14:paraId="629670F8">
            <w:pPr>
              <w:tabs>
                <w:tab w:val="left" w:pos="7980"/>
              </w:tabs>
              <w:suppressAutoHyphens/>
              <w:spacing w:line="36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学历</w:t>
            </w: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0C2DC135">
            <w:pPr>
              <w:tabs>
                <w:tab w:val="left" w:pos="7980"/>
              </w:tabs>
              <w:suppressAutoHyphens/>
              <w:spacing w:line="36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证书</w:t>
            </w:r>
            <w:r>
              <w:rPr>
                <w:rFonts w:hint="eastAsia" w:ascii="宋体" w:hAnsi="宋体" w:eastAsia="宋体" w:cs="宋体"/>
                <w:color w:val="auto"/>
                <w:kern w:val="0"/>
                <w:sz w:val="21"/>
                <w:szCs w:val="21"/>
                <w:lang w:val="en-US" w:eastAsia="zh-CN"/>
              </w:rPr>
              <w:t>名称</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8ECC73A">
            <w:pPr>
              <w:tabs>
                <w:tab w:val="left" w:pos="7980"/>
              </w:tabs>
              <w:suppressAutoHyphens/>
              <w:spacing w:line="360" w:lineRule="exact"/>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证书编号</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7D59B9B0">
            <w:pPr>
              <w:tabs>
                <w:tab w:val="left" w:pos="7980"/>
              </w:tabs>
              <w:suppressAutoHyphens/>
              <w:spacing w:line="360" w:lineRule="exact"/>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备注</w:t>
            </w:r>
          </w:p>
        </w:tc>
      </w:tr>
      <w:tr w14:paraId="22DAEF61">
        <w:tblPrEx>
          <w:tblCellMar>
            <w:top w:w="0" w:type="dxa"/>
            <w:left w:w="108" w:type="dxa"/>
            <w:bottom w:w="0" w:type="dxa"/>
            <w:right w:w="108" w:type="dxa"/>
          </w:tblCellMar>
        </w:tblPrEx>
        <w:trPr>
          <w:trHeight w:val="440" w:hRule="atLeast"/>
        </w:trPr>
        <w:tc>
          <w:tcPr>
            <w:tcW w:w="350" w:type="pct"/>
            <w:vMerge w:val="continue"/>
            <w:tcBorders>
              <w:left w:val="single" w:color="000000" w:sz="4" w:space="0"/>
              <w:bottom w:val="single" w:color="000000" w:sz="4" w:space="0"/>
              <w:right w:val="single" w:color="000000" w:sz="4" w:space="0"/>
            </w:tcBorders>
            <w:noWrap/>
            <w:vAlign w:val="center"/>
          </w:tcPr>
          <w:p w14:paraId="22757C7A">
            <w:pPr>
              <w:tabs>
                <w:tab w:val="left" w:pos="7980"/>
              </w:tabs>
              <w:suppressAutoHyphens/>
              <w:spacing w:line="360" w:lineRule="exact"/>
              <w:jc w:val="center"/>
              <w:rPr>
                <w:rFonts w:hint="eastAsia" w:ascii="宋体" w:hAnsi="宋体" w:eastAsia="宋体" w:cs="宋体"/>
                <w:color w:val="auto"/>
                <w:kern w:val="0"/>
                <w:sz w:val="21"/>
                <w:szCs w:val="21"/>
                <w:lang w:eastAsia="zh-CN"/>
              </w:rPr>
            </w:pPr>
          </w:p>
        </w:tc>
        <w:tc>
          <w:tcPr>
            <w:tcW w:w="620" w:type="pct"/>
            <w:vMerge w:val="continue"/>
            <w:tcBorders>
              <w:left w:val="single" w:color="000000" w:sz="4" w:space="0"/>
              <w:bottom w:val="single" w:color="000000" w:sz="4" w:space="0"/>
              <w:right w:val="single" w:color="000000" w:sz="4" w:space="0"/>
            </w:tcBorders>
            <w:noWrap/>
            <w:vAlign w:val="center"/>
          </w:tcPr>
          <w:p w14:paraId="6CFF960C">
            <w:pPr>
              <w:tabs>
                <w:tab w:val="left" w:pos="7980"/>
              </w:tabs>
              <w:suppressAutoHyphens/>
              <w:spacing w:line="360" w:lineRule="exact"/>
              <w:jc w:val="center"/>
              <w:rPr>
                <w:rFonts w:hint="eastAsia" w:ascii="宋体" w:hAnsi="宋体" w:eastAsia="宋体" w:cs="宋体"/>
                <w:color w:val="auto"/>
                <w:kern w:val="0"/>
                <w:sz w:val="21"/>
                <w:szCs w:val="21"/>
                <w:lang w:val="en-US" w:eastAsia="zh-CN"/>
              </w:rPr>
            </w:pPr>
          </w:p>
        </w:tc>
        <w:tc>
          <w:tcPr>
            <w:tcW w:w="534" w:type="pct"/>
            <w:vMerge w:val="continue"/>
            <w:tcBorders>
              <w:left w:val="single" w:color="000000" w:sz="4" w:space="0"/>
              <w:bottom w:val="single" w:color="000000" w:sz="4" w:space="0"/>
              <w:right w:val="single" w:color="000000" w:sz="4" w:space="0"/>
            </w:tcBorders>
            <w:noWrap/>
            <w:vAlign w:val="center"/>
          </w:tcPr>
          <w:p w14:paraId="44A5F44F">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1020" w:type="pct"/>
            <w:vMerge w:val="continue"/>
            <w:tcBorders>
              <w:left w:val="single" w:color="000000" w:sz="4" w:space="0"/>
              <w:bottom w:val="single" w:color="000000" w:sz="4" w:space="0"/>
              <w:right w:val="single" w:color="000000" w:sz="4" w:space="0"/>
            </w:tcBorders>
            <w:noWrap/>
            <w:vAlign w:val="center"/>
          </w:tcPr>
          <w:p w14:paraId="6D2C6022">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469" w:type="pct"/>
            <w:vMerge w:val="continue"/>
            <w:tcBorders>
              <w:left w:val="single" w:color="000000" w:sz="4" w:space="0"/>
              <w:bottom w:val="single" w:color="000000" w:sz="4" w:space="0"/>
              <w:right w:val="single" w:color="000000" w:sz="4" w:space="0"/>
            </w:tcBorders>
            <w:noWrap/>
            <w:vAlign w:val="center"/>
          </w:tcPr>
          <w:p w14:paraId="213A7E75">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1653" w:type="pct"/>
            <w:gridSpan w:val="2"/>
            <w:tcBorders>
              <w:top w:val="single" w:color="000000" w:sz="4" w:space="0"/>
              <w:left w:val="single" w:color="000000" w:sz="4" w:space="0"/>
              <w:bottom w:val="single" w:color="000000" w:sz="4" w:space="0"/>
              <w:right w:val="single" w:color="000000" w:sz="4" w:space="0"/>
            </w:tcBorders>
            <w:noWrap/>
            <w:vAlign w:val="center"/>
          </w:tcPr>
          <w:p w14:paraId="1E86EE39">
            <w:pPr>
              <w:tabs>
                <w:tab w:val="left" w:pos="7980"/>
              </w:tabs>
              <w:suppressAutoHyphens/>
              <w:spacing w:line="360" w:lineRule="exact"/>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（如有）</w:t>
            </w:r>
          </w:p>
        </w:tc>
        <w:tc>
          <w:tcPr>
            <w:tcW w:w="351" w:type="pct"/>
            <w:tcBorders>
              <w:top w:val="single" w:color="000000" w:sz="4" w:space="0"/>
              <w:left w:val="single" w:color="000000" w:sz="4" w:space="0"/>
              <w:bottom w:val="single" w:color="000000" w:sz="4" w:space="0"/>
              <w:right w:val="single" w:color="000000" w:sz="4" w:space="0"/>
            </w:tcBorders>
            <w:vAlign w:val="center"/>
          </w:tcPr>
          <w:p w14:paraId="3D5D333B">
            <w:pPr>
              <w:tabs>
                <w:tab w:val="left" w:pos="7980"/>
              </w:tabs>
              <w:suppressAutoHyphens/>
              <w:spacing w:line="360" w:lineRule="exact"/>
              <w:jc w:val="left"/>
              <w:rPr>
                <w:rFonts w:hint="eastAsia" w:ascii="宋体" w:hAnsi="宋体" w:eastAsia="宋体" w:cs="宋体"/>
                <w:color w:val="auto"/>
                <w:kern w:val="0"/>
                <w:sz w:val="21"/>
                <w:szCs w:val="21"/>
                <w:lang w:eastAsia="zh-CN"/>
              </w:rPr>
            </w:pPr>
          </w:p>
        </w:tc>
      </w:tr>
      <w:tr w14:paraId="3D13815D">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171D3B28">
            <w:pPr>
              <w:tabs>
                <w:tab w:val="left" w:pos="7980"/>
              </w:tabs>
              <w:suppressAutoHyphens/>
              <w:spacing w:line="360" w:lineRule="exact"/>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1</w:t>
            </w: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413D13E6">
            <w:pPr>
              <w:tabs>
                <w:tab w:val="left" w:pos="7980"/>
              </w:tabs>
              <w:suppressAutoHyphens/>
              <w:spacing w:line="36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团队负责人</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18764B36">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3A9AD450">
            <w:pPr>
              <w:tabs>
                <w:tab w:val="left" w:pos="7980"/>
              </w:tabs>
              <w:suppressAutoHyphens/>
              <w:spacing w:line="360" w:lineRule="exact"/>
              <w:jc w:val="left"/>
              <w:rPr>
                <w:rFonts w:hint="eastAsia" w:ascii="宋体" w:hAnsi="宋体" w:eastAsia="宋体" w:cs="宋体"/>
                <w:color w:val="auto"/>
                <w:kern w:val="0"/>
                <w:sz w:val="21"/>
                <w:szCs w:val="21"/>
                <w:lang w:val="en-US" w:eastAsia="zh-CN"/>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290C6882">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B53A230">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729" w:type="pct"/>
            <w:tcBorders>
              <w:top w:val="single" w:color="000000" w:sz="4" w:space="0"/>
              <w:left w:val="single" w:color="000000" w:sz="4" w:space="0"/>
              <w:bottom w:val="single" w:color="000000" w:sz="4" w:space="0"/>
              <w:right w:val="single" w:color="000000" w:sz="4" w:space="0"/>
            </w:tcBorders>
            <w:vAlign w:val="center"/>
          </w:tcPr>
          <w:p w14:paraId="5DBA64EF">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204F36EF">
            <w:pPr>
              <w:tabs>
                <w:tab w:val="left" w:pos="7980"/>
              </w:tabs>
              <w:suppressAutoHyphens/>
              <w:spacing w:line="360" w:lineRule="exact"/>
              <w:jc w:val="left"/>
              <w:rPr>
                <w:rFonts w:hint="eastAsia" w:ascii="宋体" w:hAnsi="宋体" w:eastAsia="宋体" w:cs="宋体"/>
                <w:color w:val="auto"/>
                <w:kern w:val="0"/>
                <w:sz w:val="21"/>
                <w:szCs w:val="21"/>
                <w:lang w:eastAsia="zh-CN"/>
              </w:rPr>
            </w:pPr>
          </w:p>
        </w:tc>
      </w:tr>
      <w:tr w14:paraId="2BC5F909">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40CD94CB">
            <w:pPr>
              <w:tabs>
                <w:tab w:val="left" w:pos="7980"/>
              </w:tabs>
              <w:suppressAutoHyphens/>
              <w:spacing w:line="360" w:lineRule="exact"/>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2</w:t>
            </w:r>
          </w:p>
        </w:tc>
        <w:tc>
          <w:tcPr>
            <w:tcW w:w="620" w:type="pct"/>
            <w:vMerge w:val="restart"/>
            <w:tcBorders>
              <w:top w:val="single" w:color="000000" w:sz="4" w:space="0"/>
              <w:left w:val="single" w:color="000000" w:sz="4" w:space="0"/>
              <w:bottom w:val="single" w:color="000000" w:sz="4" w:space="0"/>
              <w:right w:val="single" w:color="000000" w:sz="4" w:space="0"/>
            </w:tcBorders>
            <w:noWrap/>
            <w:vAlign w:val="center"/>
          </w:tcPr>
          <w:p w14:paraId="59EB14FA">
            <w:pPr>
              <w:tabs>
                <w:tab w:val="left" w:pos="7980"/>
              </w:tabs>
              <w:suppressAutoHyphens/>
              <w:spacing w:line="360" w:lineRule="exact"/>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团队成员</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61736D8D">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724F56A2">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5FD9012D">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025A1F8C">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729" w:type="pct"/>
            <w:tcBorders>
              <w:top w:val="single" w:color="000000" w:sz="4" w:space="0"/>
              <w:left w:val="single" w:color="000000" w:sz="4" w:space="0"/>
              <w:bottom w:val="single" w:color="000000" w:sz="4" w:space="0"/>
              <w:right w:val="single" w:color="000000" w:sz="4" w:space="0"/>
            </w:tcBorders>
            <w:vAlign w:val="center"/>
          </w:tcPr>
          <w:p w14:paraId="5C9DC780">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4BDA0BD4">
            <w:pPr>
              <w:tabs>
                <w:tab w:val="left" w:pos="7980"/>
              </w:tabs>
              <w:suppressAutoHyphens/>
              <w:spacing w:line="360" w:lineRule="exact"/>
              <w:jc w:val="left"/>
              <w:rPr>
                <w:rFonts w:hint="eastAsia" w:ascii="宋体" w:hAnsi="宋体" w:eastAsia="宋体" w:cs="宋体"/>
                <w:color w:val="auto"/>
                <w:kern w:val="0"/>
                <w:sz w:val="21"/>
                <w:szCs w:val="21"/>
                <w:lang w:eastAsia="zh-CN"/>
              </w:rPr>
            </w:pPr>
          </w:p>
        </w:tc>
      </w:tr>
      <w:tr w14:paraId="3DB0CB71">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5D37A2B9">
            <w:pPr>
              <w:tabs>
                <w:tab w:val="left" w:pos="7980"/>
              </w:tabs>
              <w:suppressAutoHyphens/>
              <w:spacing w:line="360" w:lineRule="exact"/>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3</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6EAEF77F">
            <w:pPr>
              <w:tabs>
                <w:tab w:val="left" w:pos="7980"/>
              </w:tabs>
              <w:suppressAutoHyphens/>
              <w:spacing w:line="360" w:lineRule="exact"/>
              <w:jc w:val="center"/>
              <w:rPr>
                <w:rFonts w:hint="eastAsia" w:ascii="宋体" w:hAnsi="宋体" w:eastAsia="宋体" w:cs="宋体"/>
                <w:color w:val="auto"/>
                <w:kern w:val="0"/>
                <w:sz w:val="21"/>
                <w:szCs w:val="21"/>
                <w:lang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4D5F0F44">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3DC08657">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1E436D68">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49465C10">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729" w:type="pct"/>
            <w:tcBorders>
              <w:top w:val="single" w:color="000000" w:sz="4" w:space="0"/>
              <w:left w:val="single" w:color="000000" w:sz="4" w:space="0"/>
              <w:bottom w:val="single" w:color="000000" w:sz="4" w:space="0"/>
              <w:right w:val="single" w:color="000000" w:sz="4" w:space="0"/>
            </w:tcBorders>
            <w:vAlign w:val="center"/>
          </w:tcPr>
          <w:p w14:paraId="030DB76B">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242CF5BE">
            <w:pPr>
              <w:tabs>
                <w:tab w:val="left" w:pos="7980"/>
              </w:tabs>
              <w:suppressAutoHyphens/>
              <w:spacing w:line="360" w:lineRule="exact"/>
              <w:jc w:val="left"/>
              <w:rPr>
                <w:rFonts w:hint="eastAsia" w:ascii="宋体" w:hAnsi="宋体" w:eastAsia="宋体" w:cs="宋体"/>
                <w:color w:val="auto"/>
                <w:kern w:val="0"/>
                <w:sz w:val="21"/>
                <w:szCs w:val="21"/>
                <w:lang w:eastAsia="zh-CN"/>
              </w:rPr>
            </w:pPr>
          </w:p>
        </w:tc>
      </w:tr>
      <w:tr w14:paraId="57BB4E25">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304EFB9B">
            <w:pPr>
              <w:tabs>
                <w:tab w:val="left" w:pos="7980"/>
              </w:tabs>
              <w:suppressAutoHyphens/>
              <w:spacing w:line="36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3782B5F4">
            <w:pPr>
              <w:tabs>
                <w:tab w:val="left" w:pos="7980"/>
              </w:tabs>
              <w:suppressAutoHyphens/>
              <w:spacing w:line="360" w:lineRule="exact"/>
              <w:jc w:val="center"/>
              <w:rPr>
                <w:rFonts w:hint="eastAsia" w:ascii="宋体" w:hAnsi="宋体" w:eastAsia="宋体" w:cs="宋体"/>
                <w:color w:val="auto"/>
                <w:kern w:val="0"/>
                <w:sz w:val="21"/>
                <w:szCs w:val="21"/>
                <w:lang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5751015C">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23FA5E6D">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4F3195B3">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B7FD7E1">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1F63AA4">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4B8E1440">
            <w:pPr>
              <w:tabs>
                <w:tab w:val="left" w:pos="7980"/>
              </w:tabs>
              <w:suppressAutoHyphens/>
              <w:spacing w:line="360" w:lineRule="exact"/>
              <w:jc w:val="left"/>
              <w:rPr>
                <w:rFonts w:hint="eastAsia" w:ascii="宋体" w:hAnsi="宋体" w:eastAsia="宋体" w:cs="宋体"/>
                <w:color w:val="auto"/>
                <w:kern w:val="0"/>
                <w:sz w:val="21"/>
                <w:szCs w:val="21"/>
                <w:lang w:eastAsia="zh-CN"/>
              </w:rPr>
            </w:pPr>
          </w:p>
        </w:tc>
      </w:tr>
      <w:tr w14:paraId="6F288766">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45013F48">
            <w:pPr>
              <w:tabs>
                <w:tab w:val="left" w:pos="7980"/>
              </w:tabs>
              <w:suppressAutoHyphens/>
              <w:spacing w:line="36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61A6641E">
            <w:pPr>
              <w:tabs>
                <w:tab w:val="left" w:pos="7980"/>
              </w:tabs>
              <w:suppressAutoHyphens/>
              <w:spacing w:line="360" w:lineRule="exact"/>
              <w:jc w:val="center"/>
              <w:rPr>
                <w:rFonts w:hint="eastAsia" w:ascii="宋体" w:hAnsi="宋体" w:eastAsia="宋体" w:cs="宋体"/>
                <w:color w:val="auto"/>
                <w:kern w:val="0"/>
                <w:sz w:val="21"/>
                <w:szCs w:val="21"/>
                <w:lang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5D1F50E2">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15555FE7">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65906EDA">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BE7A562">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DEFDB1E">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35A4B0D3">
            <w:pPr>
              <w:tabs>
                <w:tab w:val="left" w:pos="7980"/>
              </w:tabs>
              <w:suppressAutoHyphens/>
              <w:spacing w:line="360" w:lineRule="exact"/>
              <w:jc w:val="left"/>
              <w:rPr>
                <w:rFonts w:hint="eastAsia" w:ascii="宋体" w:hAnsi="宋体" w:eastAsia="宋体" w:cs="宋体"/>
                <w:color w:val="auto"/>
                <w:kern w:val="0"/>
                <w:sz w:val="21"/>
                <w:szCs w:val="21"/>
                <w:lang w:eastAsia="zh-CN"/>
              </w:rPr>
            </w:pPr>
          </w:p>
        </w:tc>
      </w:tr>
      <w:tr w14:paraId="50DCEC9B">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26DFB9DC">
            <w:pPr>
              <w:tabs>
                <w:tab w:val="left" w:pos="7980"/>
              </w:tabs>
              <w:suppressAutoHyphens/>
              <w:spacing w:line="36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6F1902AE">
            <w:pPr>
              <w:tabs>
                <w:tab w:val="left" w:pos="7980"/>
              </w:tabs>
              <w:suppressAutoHyphens/>
              <w:spacing w:line="360" w:lineRule="exact"/>
              <w:jc w:val="center"/>
              <w:rPr>
                <w:rFonts w:hint="eastAsia" w:ascii="宋体" w:hAnsi="宋体" w:eastAsia="宋体" w:cs="宋体"/>
                <w:color w:val="auto"/>
                <w:kern w:val="0"/>
                <w:sz w:val="21"/>
                <w:szCs w:val="21"/>
                <w:lang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1FF3A404">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4A380969">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55552FE7">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4097E0DE">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5956720">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2605D3D7">
            <w:pPr>
              <w:tabs>
                <w:tab w:val="left" w:pos="7980"/>
              </w:tabs>
              <w:suppressAutoHyphens/>
              <w:spacing w:line="360" w:lineRule="exact"/>
              <w:jc w:val="left"/>
              <w:rPr>
                <w:rFonts w:hint="eastAsia" w:ascii="宋体" w:hAnsi="宋体" w:eastAsia="宋体" w:cs="宋体"/>
                <w:color w:val="auto"/>
                <w:kern w:val="0"/>
                <w:sz w:val="21"/>
                <w:szCs w:val="21"/>
                <w:lang w:eastAsia="zh-CN"/>
              </w:rPr>
            </w:pPr>
          </w:p>
        </w:tc>
      </w:tr>
      <w:tr w14:paraId="426BE7F9">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5B35AD2">
            <w:pPr>
              <w:tabs>
                <w:tab w:val="left" w:pos="7980"/>
              </w:tabs>
              <w:suppressAutoHyphens/>
              <w:spacing w:line="36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65A8C44A">
            <w:pPr>
              <w:tabs>
                <w:tab w:val="left" w:pos="7980"/>
              </w:tabs>
              <w:suppressAutoHyphens/>
              <w:spacing w:line="360" w:lineRule="exact"/>
              <w:jc w:val="center"/>
              <w:rPr>
                <w:rFonts w:hint="eastAsia" w:ascii="宋体" w:hAnsi="宋体" w:eastAsia="宋体" w:cs="宋体"/>
                <w:color w:val="auto"/>
                <w:kern w:val="0"/>
                <w:sz w:val="21"/>
                <w:szCs w:val="21"/>
                <w:lang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5021E81F">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4F1B0AD6">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4280F395">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000508DC">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BA71B18">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0B55384A">
            <w:pPr>
              <w:tabs>
                <w:tab w:val="left" w:pos="7980"/>
              </w:tabs>
              <w:suppressAutoHyphens/>
              <w:spacing w:line="360" w:lineRule="exact"/>
              <w:jc w:val="left"/>
              <w:rPr>
                <w:rFonts w:hint="eastAsia" w:ascii="宋体" w:hAnsi="宋体" w:eastAsia="宋体" w:cs="宋体"/>
                <w:color w:val="auto"/>
                <w:kern w:val="0"/>
                <w:sz w:val="21"/>
                <w:szCs w:val="21"/>
                <w:lang w:eastAsia="zh-CN"/>
              </w:rPr>
            </w:pPr>
          </w:p>
        </w:tc>
      </w:tr>
      <w:tr w14:paraId="1520FC6A">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6FC62027">
            <w:pPr>
              <w:tabs>
                <w:tab w:val="left" w:pos="7980"/>
              </w:tabs>
              <w:suppressAutoHyphens/>
              <w:spacing w:line="36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8</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56CB44FD">
            <w:pPr>
              <w:tabs>
                <w:tab w:val="left" w:pos="7980"/>
              </w:tabs>
              <w:suppressAutoHyphens/>
              <w:spacing w:line="360" w:lineRule="exact"/>
              <w:jc w:val="center"/>
              <w:rPr>
                <w:rFonts w:hint="eastAsia" w:ascii="宋体" w:hAnsi="宋体" w:eastAsia="宋体" w:cs="宋体"/>
                <w:color w:val="auto"/>
                <w:kern w:val="0"/>
                <w:sz w:val="21"/>
                <w:szCs w:val="21"/>
                <w:lang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6FA5B814">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A0C28E8">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0C78A829">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50BAC2BE">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EFEFE78">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5D387844">
            <w:pPr>
              <w:tabs>
                <w:tab w:val="left" w:pos="7980"/>
              </w:tabs>
              <w:suppressAutoHyphens/>
              <w:spacing w:line="360" w:lineRule="exact"/>
              <w:jc w:val="left"/>
              <w:rPr>
                <w:rFonts w:hint="eastAsia" w:ascii="宋体" w:hAnsi="宋体" w:eastAsia="宋体" w:cs="宋体"/>
                <w:color w:val="auto"/>
                <w:kern w:val="0"/>
                <w:sz w:val="21"/>
                <w:szCs w:val="21"/>
                <w:lang w:eastAsia="zh-CN"/>
              </w:rPr>
            </w:pPr>
          </w:p>
        </w:tc>
      </w:tr>
      <w:tr w14:paraId="242F03AA">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29F3FF81">
            <w:pPr>
              <w:tabs>
                <w:tab w:val="left" w:pos="7980"/>
              </w:tabs>
              <w:suppressAutoHyphens/>
              <w:spacing w:line="36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9</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10395816">
            <w:pPr>
              <w:tabs>
                <w:tab w:val="left" w:pos="7980"/>
              </w:tabs>
              <w:suppressAutoHyphens/>
              <w:spacing w:line="360" w:lineRule="exact"/>
              <w:jc w:val="center"/>
              <w:rPr>
                <w:rFonts w:hint="eastAsia" w:ascii="宋体" w:hAnsi="宋体" w:eastAsia="宋体" w:cs="宋体"/>
                <w:color w:val="auto"/>
                <w:kern w:val="0"/>
                <w:sz w:val="21"/>
                <w:szCs w:val="21"/>
                <w:lang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04ED9538">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7414E1BE">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0F77D327">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345555E8">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86E0C37">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3E54776C">
            <w:pPr>
              <w:tabs>
                <w:tab w:val="left" w:pos="7980"/>
              </w:tabs>
              <w:suppressAutoHyphens/>
              <w:spacing w:line="360" w:lineRule="exact"/>
              <w:jc w:val="left"/>
              <w:rPr>
                <w:rFonts w:hint="eastAsia" w:ascii="宋体" w:hAnsi="宋体" w:eastAsia="宋体" w:cs="宋体"/>
                <w:color w:val="auto"/>
                <w:kern w:val="0"/>
                <w:sz w:val="21"/>
                <w:szCs w:val="21"/>
                <w:lang w:eastAsia="zh-CN"/>
              </w:rPr>
            </w:pPr>
          </w:p>
        </w:tc>
      </w:tr>
      <w:tr w14:paraId="0D9A960D">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318FE745">
            <w:pPr>
              <w:tabs>
                <w:tab w:val="left" w:pos="7980"/>
              </w:tabs>
              <w:suppressAutoHyphens/>
              <w:spacing w:line="36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59043EB4">
            <w:pPr>
              <w:tabs>
                <w:tab w:val="left" w:pos="7980"/>
              </w:tabs>
              <w:suppressAutoHyphens/>
              <w:spacing w:line="360" w:lineRule="exact"/>
              <w:jc w:val="center"/>
              <w:rPr>
                <w:rFonts w:hint="eastAsia" w:ascii="宋体" w:hAnsi="宋体" w:eastAsia="宋体" w:cs="宋体"/>
                <w:color w:val="auto"/>
                <w:kern w:val="0"/>
                <w:sz w:val="21"/>
                <w:szCs w:val="21"/>
                <w:lang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33B98DB1">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6C77B64A">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260FC37B">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08F48400">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9E25B13">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1CCFA5B8">
            <w:pPr>
              <w:tabs>
                <w:tab w:val="left" w:pos="7980"/>
              </w:tabs>
              <w:suppressAutoHyphens/>
              <w:spacing w:line="360" w:lineRule="exact"/>
              <w:jc w:val="left"/>
              <w:rPr>
                <w:rFonts w:hint="eastAsia" w:ascii="宋体" w:hAnsi="宋体" w:eastAsia="宋体" w:cs="宋体"/>
                <w:color w:val="auto"/>
                <w:kern w:val="0"/>
                <w:sz w:val="21"/>
                <w:szCs w:val="21"/>
                <w:lang w:eastAsia="zh-CN"/>
              </w:rPr>
            </w:pPr>
          </w:p>
        </w:tc>
      </w:tr>
      <w:tr w14:paraId="7550CAA8">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272A2C0C">
            <w:pPr>
              <w:tabs>
                <w:tab w:val="left" w:pos="7980"/>
              </w:tabs>
              <w:suppressAutoHyphens/>
              <w:spacing w:line="36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11</w:t>
            </w:r>
          </w:p>
        </w:tc>
        <w:tc>
          <w:tcPr>
            <w:tcW w:w="620" w:type="pct"/>
            <w:vMerge w:val="restart"/>
            <w:tcBorders>
              <w:top w:val="single" w:color="000000" w:sz="4" w:space="0"/>
              <w:left w:val="single" w:color="000000" w:sz="4" w:space="0"/>
              <w:right w:val="single" w:color="000000" w:sz="4" w:space="0"/>
            </w:tcBorders>
            <w:noWrap/>
            <w:vAlign w:val="center"/>
          </w:tcPr>
          <w:p w14:paraId="731E5E68">
            <w:pPr>
              <w:tabs>
                <w:tab w:val="left" w:pos="7980"/>
              </w:tabs>
              <w:suppressAutoHyphens/>
              <w:spacing w:line="36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服务支撑人员</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2290A5E7">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351616F3">
            <w:pPr>
              <w:tabs>
                <w:tab w:val="left" w:pos="7980"/>
              </w:tabs>
              <w:suppressAutoHyphens/>
              <w:spacing w:line="360" w:lineRule="exact"/>
              <w:jc w:val="left"/>
              <w:rPr>
                <w:rFonts w:hint="eastAsia" w:ascii="宋体" w:hAnsi="宋体" w:eastAsia="宋体" w:cs="宋体"/>
                <w:color w:val="auto"/>
                <w:kern w:val="0"/>
                <w:sz w:val="21"/>
                <w:szCs w:val="21"/>
                <w:lang w:eastAsia="zh-CN"/>
              </w:rPr>
            </w:pPr>
            <w:bookmarkStart w:id="1424" w:name="OLE_LINK1"/>
            <w:r>
              <w:rPr>
                <w:rFonts w:hint="eastAsia" w:ascii="宋体" w:hAnsi="宋体" w:eastAsia="宋体" w:cs="宋体"/>
                <w:color w:val="auto"/>
                <w:kern w:val="0"/>
                <w:sz w:val="21"/>
                <w:szCs w:val="21"/>
                <w:lang w:eastAsia="zh-CN"/>
              </w:rPr>
              <w:t>项目联系人</w:t>
            </w:r>
            <w:bookmarkEnd w:id="1424"/>
            <w:r>
              <w:rPr>
                <w:rFonts w:hint="eastAsia" w:ascii="宋体" w:hAnsi="宋体" w:eastAsia="宋体" w:cs="宋体"/>
                <w:color w:val="auto"/>
                <w:kern w:val="0"/>
                <w:sz w:val="21"/>
                <w:szCs w:val="21"/>
                <w:lang w:val="en-US" w:eastAsia="zh-CN"/>
              </w:rPr>
              <w:t>/项目</w:t>
            </w:r>
            <w:r>
              <w:rPr>
                <w:rFonts w:hint="eastAsia" w:ascii="宋体" w:hAnsi="宋体" w:eastAsia="宋体" w:cs="宋体"/>
                <w:color w:val="auto"/>
                <w:kern w:val="1"/>
                <w:sz w:val="21"/>
                <w:szCs w:val="21"/>
                <w:lang w:eastAsia="ar-SA"/>
              </w:rPr>
              <w:t>现场代表</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211E6232">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2B78F71">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DD8F545">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748A5F23">
            <w:pPr>
              <w:tabs>
                <w:tab w:val="left" w:pos="7980"/>
              </w:tabs>
              <w:suppressAutoHyphens/>
              <w:spacing w:line="360" w:lineRule="exact"/>
              <w:jc w:val="left"/>
              <w:rPr>
                <w:rFonts w:hint="eastAsia" w:ascii="宋体" w:hAnsi="宋体" w:eastAsia="宋体" w:cs="宋体"/>
                <w:color w:val="auto"/>
                <w:kern w:val="0"/>
                <w:sz w:val="21"/>
                <w:szCs w:val="21"/>
                <w:lang w:eastAsia="zh-CN"/>
              </w:rPr>
            </w:pPr>
          </w:p>
        </w:tc>
      </w:tr>
      <w:tr w14:paraId="551F4950">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1941A518">
            <w:pPr>
              <w:tabs>
                <w:tab w:val="left" w:pos="7980"/>
              </w:tabs>
              <w:suppressAutoHyphens/>
              <w:spacing w:line="36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w:t>
            </w:r>
          </w:p>
        </w:tc>
        <w:tc>
          <w:tcPr>
            <w:tcW w:w="620" w:type="pct"/>
            <w:vMerge w:val="continue"/>
            <w:tcBorders>
              <w:left w:val="single" w:color="000000" w:sz="4" w:space="0"/>
              <w:right w:val="single" w:color="000000" w:sz="4" w:space="0"/>
            </w:tcBorders>
            <w:noWrap/>
            <w:vAlign w:val="center"/>
          </w:tcPr>
          <w:p w14:paraId="29933DC3">
            <w:pPr>
              <w:tabs>
                <w:tab w:val="left" w:pos="7980"/>
              </w:tabs>
              <w:suppressAutoHyphens/>
              <w:spacing w:line="360" w:lineRule="exact"/>
              <w:jc w:val="center"/>
              <w:rPr>
                <w:rFonts w:hint="eastAsia" w:ascii="宋体" w:hAnsi="宋体" w:eastAsia="宋体" w:cs="宋体"/>
                <w:color w:val="auto"/>
                <w:kern w:val="0"/>
                <w:sz w:val="21"/>
                <w:szCs w:val="21"/>
                <w:lang w:val="en-US"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08A7F60B">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16D061B4">
            <w:pPr>
              <w:tabs>
                <w:tab w:val="left" w:pos="7980"/>
              </w:tabs>
              <w:suppressAutoHyphens/>
              <w:spacing w:line="360" w:lineRule="exac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eastAsia="zh-CN"/>
              </w:rPr>
              <w:t>专职安全生产管理人员</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12E37DDB">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461E1FED">
            <w:pPr>
              <w:tabs>
                <w:tab w:val="left" w:pos="7980"/>
              </w:tabs>
              <w:suppressAutoHyphens/>
              <w:spacing w:line="360" w:lineRule="exact"/>
              <w:jc w:val="left"/>
              <w:rPr>
                <w:rFonts w:hint="eastAsia" w:ascii="宋体" w:hAnsi="宋体" w:eastAsia="宋体" w:cs="宋体"/>
                <w:color w:val="auto"/>
                <w:kern w:val="0"/>
                <w:sz w:val="21"/>
                <w:szCs w:val="21"/>
                <w:lang w:val="en-US" w:eastAsia="zh-CN" w:bidi="ar-SA"/>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7CC5D32">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72D2AC9">
            <w:pPr>
              <w:tabs>
                <w:tab w:val="left" w:pos="7980"/>
              </w:tabs>
              <w:suppressAutoHyphens/>
              <w:spacing w:line="360" w:lineRule="exact"/>
              <w:jc w:val="left"/>
              <w:rPr>
                <w:rFonts w:hint="eastAsia" w:ascii="宋体" w:hAnsi="宋体" w:eastAsia="宋体" w:cs="宋体"/>
                <w:color w:val="auto"/>
                <w:kern w:val="0"/>
                <w:sz w:val="21"/>
                <w:szCs w:val="21"/>
                <w:lang w:eastAsia="zh-CN"/>
              </w:rPr>
            </w:pPr>
          </w:p>
        </w:tc>
      </w:tr>
      <w:tr w14:paraId="7DB82763">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49184BD0">
            <w:pPr>
              <w:tabs>
                <w:tab w:val="left" w:pos="7980"/>
              </w:tabs>
              <w:suppressAutoHyphens/>
              <w:spacing w:line="36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13</w:t>
            </w:r>
          </w:p>
        </w:tc>
        <w:tc>
          <w:tcPr>
            <w:tcW w:w="620" w:type="pct"/>
            <w:vMerge w:val="continue"/>
            <w:tcBorders>
              <w:left w:val="single" w:color="000000" w:sz="4" w:space="0"/>
              <w:right w:val="single" w:color="000000" w:sz="4" w:space="0"/>
            </w:tcBorders>
            <w:noWrap/>
            <w:vAlign w:val="center"/>
          </w:tcPr>
          <w:p w14:paraId="0550972F">
            <w:pPr>
              <w:tabs>
                <w:tab w:val="left" w:pos="7980"/>
              </w:tabs>
              <w:suppressAutoHyphens/>
              <w:spacing w:line="360" w:lineRule="exact"/>
              <w:jc w:val="center"/>
              <w:rPr>
                <w:rFonts w:hint="eastAsia" w:ascii="宋体" w:hAnsi="宋体" w:eastAsia="宋体" w:cs="宋体"/>
                <w:color w:val="auto"/>
                <w:kern w:val="0"/>
                <w:sz w:val="21"/>
                <w:szCs w:val="21"/>
                <w:lang w:val="en-US"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772B35C4">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7C95BFC2">
            <w:pPr>
              <w:tabs>
                <w:tab w:val="left" w:pos="7980"/>
              </w:tabs>
              <w:suppressAutoHyphens/>
              <w:spacing w:line="360" w:lineRule="exac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eastAsia="zh-CN"/>
              </w:rPr>
              <w:t>信息安全责任人</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18063CB3">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0689216E">
            <w:pPr>
              <w:tabs>
                <w:tab w:val="left" w:pos="7980"/>
              </w:tabs>
              <w:suppressAutoHyphens/>
              <w:spacing w:line="360" w:lineRule="exact"/>
              <w:jc w:val="left"/>
              <w:rPr>
                <w:rFonts w:hint="eastAsia" w:ascii="宋体" w:hAnsi="宋体" w:eastAsia="宋体" w:cs="宋体"/>
                <w:color w:val="auto"/>
                <w:kern w:val="0"/>
                <w:sz w:val="21"/>
                <w:szCs w:val="21"/>
                <w:lang w:val="en-US" w:eastAsia="zh-CN" w:bidi="ar-SA"/>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BA12E22">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946D58A">
            <w:pPr>
              <w:tabs>
                <w:tab w:val="left" w:pos="7980"/>
              </w:tabs>
              <w:suppressAutoHyphens/>
              <w:spacing w:line="360" w:lineRule="exact"/>
              <w:jc w:val="left"/>
              <w:rPr>
                <w:rFonts w:hint="eastAsia" w:ascii="宋体" w:hAnsi="宋体" w:eastAsia="宋体" w:cs="宋体"/>
                <w:color w:val="auto"/>
                <w:kern w:val="0"/>
                <w:sz w:val="21"/>
                <w:szCs w:val="21"/>
                <w:lang w:eastAsia="zh-CN"/>
              </w:rPr>
            </w:pPr>
          </w:p>
        </w:tc>
      </w:tr>
      <w:tr w14:paraId="17875FA3">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60C926C0">
            <w:pPr>
              <w:tabs>
                <w:tab w:val="left" w:pos="7980"/>
              </w:tabs>
              <w:suppressAutoHyphens/>
              <w:spacing w:line="36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14</w:t>
            </w:r>
          </w:p>
        </w:tc>
        <w:tc>
          <w:tcPr>
            <w:tcW w:w="620" w:type="pct"/>
            <w:vMerge w:val="continue"/>
            <w:tcBorders>
              <w:left w:val="single" w:color="000000" w:sz="4" w:space="0"/>
              <w:right w:val="single" w:color="000000" w:sz="4" w:space="0"/>
            </w:tcBorders>
            <w:noWrap/>
            <w:vAlign w:val="center"/>
          </w:tcPr>
          <w:p w14:paraId="5CB6196C">
            <w:pPr>
              <w:tabs>
                <w:tab w:val="left" w:pos="7980"/>
              </w:tabs>
              <w:suppressAutoHyphens/>
              <w:spacing w:line="360" w:lineRule="exact"/>
              <w:jc w:val="center"/>
              <w:rPr>
                <w:rFonts w:hint="eastAsia" w:ascii="宋体" w:hAnsi="宋体" w:eastAsia="宋体" w:cs="宋体"/>
                <w:color w:val="auto"/>
                <w:kern w:val="0"/>
                <w:sz w:val="21"/>
                <w:szCs w:val="21"/>
                <w:lang w:val="en-US"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535A3882">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73B299BB">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3CD53D68">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8FF385C">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1755F0C">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4071CA1">
            <w:pPr>
              <w:tabs>
                <w:tab w:val="left" w:pos="7980"/>
              </w:tabs>
              <w:suppressAutoHyphens/>
              <w:spacing w:line="360" w:lineRule="exact"/>
              <w:jc w:val="left"/>
              <w:rPr>
                <w:rFonts w:hint="eastAsia" w:ascii="宋体" w:hAnsi="宋体" w:eastAsia="宋体" w:cs="宋体"/>
                <w:color w:val="auto"/>
                <w:kern w:val="0"/>
                <w:sz w:val="21"/>
                <w:szCs w:val="21"/>
                <w:lang w:eastAsia="zh-CN"/>
              </w:rPr>
            </w:pPr>
          </w:p>
        </w:tc>
      </w:tr>
      <w:tr w14:paraId="7DFC4613">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46043D68">
            <w:pPr>
              <w:tabs>
                <w:tab w:val="left" w:pos="7980"/>
              </w:tabs>
              <w:suppressAutoHyphens/>
              <w:spacing w:line="360" w:lineRule="exact"/>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w:t>
            </w:r>
          </w:p>
        </w:tc>
        <w:tc>
          <w:tcPr>
            <w:tcW w:w="620" w:type="pct"/>
            <w:vMerge w:val="continue"/>
            <w:tcBorders>
              <w:left w:val="single" w:color="000000" w:sz="4" w:space="0"/>
              <w:bottom w:val="single" w:color="000000" w:sz="4" w:space="0"/>
              <w:right w:val="single" w:color="000000" w:sz="4" w:space="0"/>
            </w:tcBorders>
            <w:noWrap/>
            <w:vAlign w:val="center"/>
          </w:tcPr>
          <w:p w14:paraId="50F349C9">
            <w:pPr>
              <w:tabs>
                <w:tab w:val="left" w:pos="7980"/>
              </w:tabs>
              <w:suppressAutoHyphens/>
              <w:spacing w:line="360" w:lineRule="exact"/>
              <w:jc w:val="center"/>
              <w:rPr>
                <w:rFonts w:hint="eastAsia" w:ascii="宋体" w:hAnsi="宋体" w:eastAsia="宋体" w:cs="宋体"/>
                <w:color w:val="auto"/>
                <w:kern w:val="0"/>
                <w:sz w:val="21"/>
                <w:szCs w:val="21"/>
                <w:lang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0B60957A">
            <w:pPr>
              <w:tabs>
                <w:tab w:val="left" w:pos="7980"/>
              </w:tabs>
              <w:suppressAutoHyphens/>
              <w:spacing w:line="360" w:lineRule="exact"/>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w:t>
            </w: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69FA2F78">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6D96CBE0">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BF7BE3C">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F17387E">
            <w:pPr>
              <w:tabs>
                <w:tab w:val="left" w:pos="7980"/>
              </w:tabs>
              <w:suppressAutoHyphens/>
              <w:spacing w:line="360" w:lineRule="exact"/>
              <w:jc w:val="left"/>
              <w:rPr>
                <w:rFonts w:hint="eastAsia" w:ascii="宋体" w:hAnsi="宋体" w:eastAsia="宋体" w:cs="宋体"/>
                <w:color w:val="auto"/>
                <w:kern w:val="0"/>
                <w:sz w:val="21"/>
                <w:szCs w:val="21"/>
                <w:lang w:eastAsia="zh-CN"/>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33075A39">
            <w:pPr>
              <w:tabs>
                <w:tab w:val="left" w:pos="7980"/>
              </w:tabs>
              <w:suppressAutoHyphens/>
              <w:spacing w:line="360" w:lineRule="exact"/>
              <w:jc w:val="left"/>
              <w:rPr>
                <w:rFonts w:hint="eastAsia" w:ascii="宋体" w:hAnsi="宋体" w:eastAsia="宋体" w:cs="宋体"/>
                <w:color w:val="auto"/>
                <w:kern w:val="0"/>
                <w:sz w:val="21"/>
                <w:szCs w:val="21"/>
                <w:lang w:eastAsia="zh-CN"/>
              </w:rPr>
            </w:pPr>
          </w:p>
        </w:tc>
      </w:tr>
      <w:tr w14:paraId="410B3FD6">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01DF0EF5">
            <w:pPr>
              <w:suppressAutoHyphens/>
              <w:jc w:val="center"/>
              <w:rPr>
                <w:rFonts w:hint="eastAsia" w:ascii="宋体" w:hAnsi="宋体" w:eastAsia="宋体" w:cs="宋体"/>
                <w:color w:val="auto"/>
                <w:kern w:val="2"/>
                <w:sz w:val="21"/>
                <w:szCs w:val="21"/>
                <w:lang w:eastAsia="zh-CN"/>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73F58E82">
            <w:pPr>
              <w:suppressAutoHyphens/>
              <w:jc w:val="center"/>
              <w:rPr>
                <w:rFonts w:hint="eastAsia" w:ascii="宋体" w:hAnsi="宋体" w:eastAsia="宋体" w:cs="宋体"/>
                <w:color w:val="auto"/>
                <w:kern w:val="2"/>
                <w:sz w:val="21"/>
                <w:szCs w:val="21"/>
                <w:lang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1884D658">
            <w:pPr>
              <w:suppressAutoHyphens/>
              <w:rPr>
                <w:rFonts w:hint="eastAsia" w:ascii="宋体" w:hAnsi="宋体" w:eastAsia="宋体" w:cs="宋体"/>
                <w:color w:val="auto"/>
                <w:kern w:val="2"/>
                <w:sz w:val="21"/>
                <w:szCs w:val="21"/>
                <w:lang w:eastAsia="zh-CN"/>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56D42D39">
            <w:pPr>
              <w:suppressAutoHyphens/>
              <w:rPr>
                <w:rFonts w:hint="eastAsia" w:ascii="宋体" w:hAnsi="宋体" w:eastAsia="宋体" w:cs="宋体"/>
                <w:color w:val="auto"/>
                <w:kern w:val="2"/>
                <w:sz w:val="21"/>
                <w:szCs w:val="21"/>
                <w:lang w:eastAsia="zh-CN"/>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7DEDA909">
            <w:pPr>
              <w:suppressAutoHyphens/>
              <w:rPr>
                <w:rFonts w:hint="eastAsia" w:ascii="宋体" w:hAnsi="宋体" w:eastAsia="宋体" w:cs="宋体"/>
                <w:color w:val="auto"/>
                <w:kern w:val="2"/>
                <w:sz w:val="21"/>
                <w:szCs w:val="21"/>
                <w:lang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0A72FA49">
            <w:pPr>
              <w:suppressAutoHyphens/>
              <w:rPr>
                <w:rFonts w:hint="eastAsia" w:ascii="宋体" w:hAnsi="宋体" w:eastAsia="宋体" w:cs="宋体"/>
                <w:color w:val="auto"/>
                <w:kern w:val="2"/>
                <w:sz w:val="21"/>
                <w:szCs w:val="21"/>
                <w:lang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495B6C8">
            <w:pPr>
              <w:suppressAutoHyphens/>
              <w:rPr>
                <w:rFonts w:hint="eastAsia" w:ascii="宋体" w:hAnsi="宋体" w:eastAsia="宋体" w:cs="宋体"/>
                <w:color w:val="auto"/>
                <w:kern w:val="2"/>
                <w:sz w:val="21"/>
                <w:szCs w:val="21"/>
                <w:lang w:eastAsia="zh-CN"/>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090606CC">
            <w:pPr>
              <w:suppressAutoHyphens/>
              <w:rPr>
                <w:rFonts w:hint="eastAsia" w:ascii="宋体" w:hAnsi="宋体" w:eastAsia="宋体" w:cs="宋体"/>
                <w:color w:val="auto"/>
                <w:kern w:val="2"/>
                <w:sz w:val="21"/>
                <w:szCs w:val="21"/>
                <w:lang w:eastAsia="zh-CN"/>
              </w:rPr>
            </w:pPr>
          </w:p>
        </w:tc>
      </w:tr>
      <w:tr w14:paraId="3370B2EF">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4C9FC33E">
            <w:pPr>
              <w:suppressAutoHyphens/>
              <w:jc w:val="center"/>
              <w:rPr>
                <w:rFonts w:hint="eastAsia" w:ascii="宋体" w:hAnsi="宋体" w:eastAsia="宋体" w:cs="宋体"/>
                <w:color w:val="auto"/>
                <w:kern w:val="2"/>
                <w:sz w:val="21"/>
                <w:szCs w:val="21"/>
                <w:lang w:eastAsia="zh-CN"/>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64A077C1">
            <w:pPr>
              <w:suppressAutoHyphens/>
              <w:jc w:val="center"/>
              <w:rPr>
                <w:rFonts w:hint="eastAsia" w:ascii="宋体" w:hAnsi="宋体" w:eastAsia="宋体" w:cs="宋体"/>
                <w:color w:val="auto"/>
                <w:kern w:val="2"/>
                <w:sz w:val="21"/>
                <w:szCs w:val="21"/>
                <w:lang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55AC6D82">
            <w:pPr>
              <w:suppressAutoHyphens/>
              <w:rPr>
                <w:rFonts w:hint="eastAsia" w:ascii="宋体" w:hAnsi="宋体" w:eastAsia="宋体" w:cs="宋体"/>
                <w:color w:val="auto"/>
                <w:kern w:val="2"/>
                <w:sz w:val="21"/>
                <w:szCs w:val="21"/>
                <w:lang w:eastAsia="zh-CN"/>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F93F149">
            <w:pPr>
              <w:suppressAutoHyphens/>
              <w:rPr>
                <w:rFonts w:hint="eastAsia" w:ascii="宋体" w:hAnsi="宋体" w:eastAsia="宋体" w:cs="宋体"/>
                <w:color w:val="auto"/>
                <w:kern w:val="2"/>
                <w:sz w:val="21"/>
                <w:szCs w:val="21"/>
                <w:lang w:eastAsia="zh-CN"/>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4A8F8E6E">
            <w:pPr>
              <w:suppressAutoHyphens/>
              <w:rPr>
                <w:rFonts w:hint="eastAsia" w:ascii="宋体" w:hAnsi="宋体" w:eastAsia="宋体" w:cs="宋体"/>
                <w:color w:val="auto"/>
                <w:kern w:val="2"/>
                <w:sz w:val="21"/>
                <w:szCs w:val="21"/>
                <w:lang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4D53AB9">
            <w:pPr>
              <w:suppressAutoHyphens/>
              <w:rPr>
                <w:rFonts w:hint="eastAsia" w:ascii="宋体" w:hAnsi="宋体" w:eastAsia="宋体" w:cs="宋体"/>
                <w:color w:val="auto"/>
                <w:kern w:val="2"/>
                <w:sz w:val="21"/>
                <w:szCs w:val="21"/>
                <w:lang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9CD2315">
            <w:pPr>
              <w:suppressAutoHyphens/>
              <w:rPr>
                <w:rFonts w:hint="eastAsia" w:ascii="宋体" w:hAnsi="宋体" w:eastAsia="宋体" w:cs="宋体"/>
                <w:color w:val="auto"/>
                <w:kern w:val="2"/>
                <w:sz w:val="21"/>
                <w:szCs w:val="21"/>
                <w:lang w:eastAsia="zh-CN"/>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20FB44C6">
            <w:pPr>
              <w:suppressAutoHyphens/>
              <w:rPr>
                <w:rFonts w:hint="eastAsia" w:ascii="宋体" w:hAnsi="宋体" w:eastAsia="宋体" w:cs="宋体"/>
                <w:color w:val="auto"/>
                <w:kern w:val="2"/>
                <w:sz w:val="21"/>
                <w:szCs w:val="21"/>
                <w:lang w:eastAsia="zh-CN"/>
              </w:rPr>
            </w:pPr>
          </w:p>
        </w:tc>
      </w:tr>
      <w:tr w14:paraId="1757BE46">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4C74956B">
            <w:pPr>
              <w:suppressAutoHyphens/>
              <w:rPr>
                <w:rFonts w:hint="eastAsia" w:ascii="宋体" w:hAnsi="宋体" w:eastAsia="宋体" w:cs="宋体"/>
                <w:color w:val="auto"/>
                <w:kern w:val="2"/>
                <w:sz w:val="21"/>
                <w:szCs w:val="21"/>
                <w:lang w:eastAsia="zh-CN"/>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139FF01C">
            <w:pPr>
              <w:suppressAutoHyphens/>
              <w:rPr>
                <w:rFonts w:hint="eastAsia" w:ascii="宋体" w:hAnsi="宋体" w:eastAsia="宋体" w:cs="宋体"/>
                <w:color w:val="auto"/>
                <w:kern w:val="2"/>
                <w:sz w:val="21"/>
                <w:szCs w:val="21"/>
                <w:lang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16172F93">
            <w:pPr>
              <w:suppressAutoHyphens/>
              <w:rPr>
                <w:rFonts w:hint="eastAsia" w:ascii="宋体" w:hAnsi="宋体" w:eastAsia="宋体" w:cs="宋体"/>
                <w:color w:val="auto"/>
                <w:kern w:val="2"/>
                <w:sz w:val="21"/>
                <w:szCs w:val="21"/>
                <w:lang w:eastAsia="zh-CN"/>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70A52437">
            <w:pPr>
              <w:suppressAutoHyphens/>
              <w:rPr>
                <w:rFonts w:hint="eastAsia" w:ascii="宋体" w:hAnsi="宋体" w:eastAsia="宋体" w:cs="宋体"/>
                <w:color w:val="auto"/>
                <w:kern w:val="2"/>
                <w:sz w:val="21"/>
                <w:szCs w:val="21"/>
                <w:lang w:eastAsia="zh-CN"/>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34698719">
            <w:pPr>
              <w:suppressAutoHyphens/>
              <w:rPr>
                <w:rFonts w:hint="eastAsia" w:ascii="宋体" w:hAnsi="宋体" w:eastAsia="宋体" w:cs="宋体"/>
                <w:color w:val="auto"/>
                <w:kern w:val="2"/>
                <w:sz w:val="21"/>
                <w:szCs w:val="21"/>
                <w:lang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9D132C3">
            <w:pPr>
              <w:suppressAutoHyphens/>
              <w:rPr>
                <w:rFonts w:hint="eastAsia" w:ascii="宋体" w:hAnsi="宋体" w:eastAsia="宋体" w:cs="宋体"/>
                <w:color w:val="auto"/>
                <w:kern w:val="2"/>
                <w:sz w:val="21"/>
                <w:szCs w:val="21"/>
                <w:lang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B58CD4D">
            <w:pPr>
              <w:suppressAutoHyphens/>
              <w:rPr>
                <w:rFonts w:hint="eastAsia" w:ascii="宋体" w:hAnsi="宋体" w:eastAsia="宋体" w:cs="宋体"/>
                <w:color w:val="auto"/>
                <w:kern w:val="2"/>
                <w:sz w:val="21"/>
                <w:szCs w:val="21"/>
                <w:lang w:eastAsia="zh-CN"/>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2A28D5D2">
            <w:pPr>
              <w:suppressAutoHyphens/>
              <w:rPr>
                <w:rFonts w:hint="eastAsia" w:ascii="宋体" w:hAnsi="宋体" w:eastAsia="宋体" w:cs="宋体"/>
                <w:color w:val="auto"/>
                <w:kern w:val="2"/>
                <w:sz w:val="21"/>
                <w:szCs w:val="21"/>
                <w:lang w:eastAsia="zh-CN"/>
              </w:rPr>
            </w:pPr>
          </w:p>
        </w:tc>
      </w:tr>
    </w:tbl>
    <w:p w14:paraId="5F18B2D7">
      <w:pPr>
        <w:suppressAutoHyphens/>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注：★人员名单需作为合同附件，名单内人员变更需经甲方书面同意。</w:t>
      </w:r>
    </w:p>
    <w:p w14:paraId="62536EEF">
      <w:pPr>
        <w:spacing w:line="360" w:lineRule="exact"/>
        <w:ind w:firstLine="420" w:firstLineChars="200"/>
        <w:rPr>
          <w:rFonts w:hint="eastAsia" w:ascii="宋体" w:hAnsi="宋体" w:eastAsia="宋体" w:cs="宋体"/>
          <w:b/>
          <w:bCs/>
          <w:sz w:val="21"/>
          <w:szCs w:val="21"/>
        </w:rPr>
      </w:pPr>
      <w:r>
        <w:rPr>
          <w:rFonts w:hint="eastAsia" w:ascii="宋体" w:hAnsi="宋体" w:eastAsia="宋体" w:cs="宋体"/>
          <w:kern w:val="0"/>
          <w:sz w:val="21"/>
          <w:szCs w:val="21"/>
          <w:lang w:val="en-US" w:eastAsia="zh-CN"/>
        </w:rPr>
        <w:br w:type="page"/>
      </w:r>
      <w:r>
        <w:rPr>
          <w:rFonts w:hint="eastAsia" w:ascii="宋体" w:hAnsi="宋体" w:eastAsia="宋体" w:cs="宋体"/>
          <w:kern w:val="0"/>
          <w:sz w:val="21"/>
          <w:szCs w:val="21"/>
          <w:lang w:val="en-US" w:eastAsia="zh-CN"/>
        </w:rPr>
        <w:t>附件八：采购应答文件正偏离信息表</w:t>
      </w:r>
    </w:p>
    <w:p w14:paraId="07C94F79">
      <w:pPr>
        <w:spacing w:line="360" w:lineRule="exact"/>
        <w:rPr>
          <w:rFonts w:hint="eastAsia" w:ascii="宋体" w:hAnsi="宋体" w:eastAsia="宋体" w:cs="宋体"/>
          <w:sz w:val="24"/>
        </w:rPr>
      </w:pPr>
    </w:p>
    <w:p w14:paraId="5D0745FB">
      <w:pPr>
        <w:suppressAutoHyphens/>
        <w:spacing w:line="360" w:lineRule="exact"/>
        <w:ind w:right="-197" w:rightChars="-94"/>
        <w:rPr>
          <w:rFonts w:hint="eastAsia" w:ascii="宋体" w:hAnsi="宋体" w:eastAsia="宋体" w:cs="宋体"/>
          <w:color w:val="auto"/>
          <w:kern w:val="1"/>
          <w:sz w:val="21"/>
          <w:szCs w:val="21"/>
          <w:lang w:eastAsia="ar-SA"/>
        </w:rPr>
      </w:pPr>
    </w:p>
    <w:p w14:paraId="0E690700">
      <w:pPr>
        <w:suppressAutoHyphens/>
        <w:spacing w:line="360" w:lineRule="exact"/>
        <w:ind w:right="-197" w:rightChars="-94"/>
        <w:rPr>
          <w:rFonts w:hint="eastAsia" w:ascii="宋体" w:hAnsi="宋体" w:eastAsia="宋体" w:cs="宋体"/>
          <w:color w:val="auto"/>
          <w:kern w:val="1"/>
          <w:sz w:val="21"/>
          <w:szCs w:val="21"/>
          <w:lang w:eastAsia="zh-CN"/>
        </w:rPr>
      </w:pPr>
    </w:p>
    <w:p w14:paraId="359322D9">
      <w:pPr>
        <w:tabs>
          <w:tab w:val="left" w:pos="7980"/>
        </w:tabs>
        <w:spacing w:line="360" w:lineRule="exact"/>
        <w:ind w:firstLine="420" w:firstLineChars="200"/>
        <w:jc w:val="left"/>
        <w:rPr>
          <w:rFonts w:hint="eastAsia" w:ascii="宋体" w:hAnsi="宋体" w:eastAsia="宋体" w:cs="宋体"/>
          <w:color w:val="auto"/>
          <w:kern w:val="0"/>
          <w:sz w:val="21"/>
          <w:szCs w:val="21"/>
          <w:lang w:val="en-US" w:eastAsia="zh-CN"/>
        </w:rPr>
      </w:pPr>
    </w:p>
    <w:p w14:paraId="7D60297C">
      <w:pPr>
        <w:rPr>
          <w:rFonts w:hint="eastAsia" w:ascii="宋体" w:hAnsi="宋体" w:eastAsia="宋体" w:cs="宋体"/>
          <w:color w:val="auto"/>
          <w:sz w:val="24"/>
        </w:rPr>
      </w:pPr>
    </w:p>
    <w:p w14:paraId="553D2DDC">
      <w:pPr>
        <w:spacing w:line="360" w:lineRule="exact"/>
        <w:rPr>
          <w:rFonts w:hint="eastAsia" w:ascii="宋体" w:hAnsi="宋体" w:eastAsia="宋体" w:cs="宋体"/>
          <w:color w:val="auto"/>
          <w:sz w:val="21"/>
          <w:szCs w:val="21"/>
          <w:lang w:val="en-US" w:eastAsia="zh-CN"/>
        </w:rPr>
      </w:pPr>
    </w:p>
    <w:p w14:paraId="5B7FFAD6">
      <w:pPr>
        <w:spacing w:line="360" w:lineRule="exact"/>
        <w:rPr>
          <w:rFonts w:hint="eastAsia" w:ascii="宋体" w:hAnsi="宋体" w:eastAsia="宋体" w:cs="宋体"/>
          <w:color w:val="auto"/>
          <w:kern w:val="1"/>
          <w:sz w:val="24"/>
          <w:lang w:val="en-US" w:eastAsia="zh-CN"/>
        </w:rPr>
      </w:pPr>
    </w:p>
    <w:p w14:paraId="59C882A4">
      <w:pPr>
        <w:pageBreakBefore w:val="0"/>
        <w:widowControl/>
        <w:kinsoku/>
        <w:overflowPunct/>
        <w:autoSpaceDE w:val="0"/>
        <w:autoSpaceDN w:val="0"/>
        <w:bidi w:val="0"/>
        <w:spacing w:line="360" w:lineRule="auto"/>
        <w:ind w:firstLine="480" w:firstLineChars="200"/>
        <w:jc w:val="both"/>
        <w:textAlignment w:val="bottom"/>
        <w:rPr>
          <w:rFonts w:hint="eastAsia" w:ascii="宋体" w:hAnsi="宋体" w:eastAsia="宋体" w:cs="宋体"/>
          <w:color w:val="auto"/>
          <w:sz w:val="24"/>
        </w:rPr>
      </w:pPr>
    </w:p>
    <w:p w14:paraId="6742F948">
      <w:pPr>
        <w:pageBreakBefore w:val="0"/>
        <w:kinsoku/>
        <w:overflowPunct/>
        <w:bidi w:val="0"/>
        <w:spacing w:line="360" w:lineRule="auto"/>
        <w:rPr>
          <w:rFonts w:hint="eastAsia" w:ascii="宋体" w:hAnsi="宋体" w:eastAsia="宋体" w:cs="宋体"/>
          <w:color w:val="auto"/>
          <w:sz w:val="24"/>
          <w:lang w:val="en-US" w:eastAsia="zh-CN"/>
        </w:rPr>
      </w:pPr>
    </w:p>
    <w:p w14:paraId="0A259A8E">
      <w:pPr>
        <w:pageBreakBefore w:val="0"/>
        <w:kinsoku/>
        <w:overflowPunct/>
        <w:bidi w:val="0"/>
        <w:spacing w:line="360" w:lineRule="auto"/>
        <w:rPr>
          <w:rFonts w:hint="eastAsia" w:ascii="宋体" w:hAnsi="宋体" w:eastAsia="宋体" w:cs="宋体"/>
          <w:color w:val="auto"/>
          <w:kern w:val="1"/>
          <w:sz w:val="24"/>
          <w:lang w:val="en-US" w:eastAsia="zh-CN"/>
        </w:rPr>
      </w:pPr>
    </w:p>
    <w:p w14:paraId="7C4A66D3">
      <w:pPr>
        <w:pageBreakBefore w:val="0"/>
        <w:kinsoku/>
        <w:overflowPunct/>
        <w:bidi w:val="0"/>
        <w:spacing w:line="360" w:lineRule="auto"/>
        <w:rPr>
          <w:rFonts w:hint="eastAsia" w:ascii="宋体" w:hAnsi="宋体" w:eastAsia="宋体" w:cs="宋体"/>
          <w:color w:val="auto"/>
          <w:sz w:val="22"/>
          <w:szCs w:val="22"/>
        </w:rPr>
      </w:pPr>
    </w:p>
    <w:p w14:paraId="2FF4EE01">
      <w:pPr>
        <w:pageBreakBefore w:val="0"/>
        <w:kinsoku/>
        <w:overflowPunct/>
        <w:bidi w:val="0"/>
        <w:spacing w:line="360" w:lineRule="auto"/>
        <w:rPr>
          <w:rFonts w:hint="eastAsia" w:ascii="宋体" w:hAnsi="宋体" w:eastAsia="宋体" w:cs="宋体"/>
          <w:b/>
          <w:bCs/>
          <w:color w:val="auto"/>
          <w:sz w:val="22"/>
          <w:szCs w:val="22"/>
        </w:rPr>
      </w:pPr>
    </w:p>
    <w:p w14:paraId="2C6C5ED5">
      <w:pPr>
        <w:pageBreakBefore w:val="0"/>
        <w:kinsoku/>
        <w:overflowPunct/>
        <w:bidi w:val="0"/>
        <w:spacing w:line="360" w:lineRule="auto"/>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br w:type="page"/>
      </w:r>
    </w:p>
    <w:p w14:paraId="4810D185">
      <w:pPr>
        <w:pStyle w:val="22"/>
        <w:pageBreakBefore w:val="0"/>
        <w:tabs>
          <w:tab w:val="left" w:pos="630"/>
        </w:tabs>
        <w:kinsoku/>
        <w:overflowPunct/>
        <w:bidi w:val="0"/>
        <w:snapToGrid w:val="0"/>
        <w:spacing w:line="360" w:lineRule="auto"/>
        <w:jc w:val="left"/>
        <w:rPr>
          <w:rFonts w:hint="eastAsia" w:ascii="宋体" w:hAnsi="宋体" w:eastAsia="宋体" w:cs="宋体"/>
          <w:color w:val="auto"/>
          <w:sz w:val="15"/>
          <w:szCs w:val="15"/>
          <w:lang w:val="en-US" w:eastAsia="zh-CN"/>
        </w:rPr>
        <w:sectPr>
          <w:headerReference r:id="rId11" w:type="default"/>
          <w:footerReference r:id="rId12" w:type="default"/>
          <w:type w:val="continuous"/>
          <w:pgSz w:w="11906" w:h="16838"/>
          <w:pgMar w:top="1440" w:right="1800" w:bottom="1440" w:left="1800" w:header="851" w:footer="992" w:gutter="0"/>
          <w:pgNumType w:fmt="decimal"/>
          <w:cols w:space="425" w:num="1"/>
          <w:docGrid w:type="lines" w:linePitch="312" w:charSpace="0"/>
        </w:sectPr>
      </w:pPr>
    </w:p>
    <w:bookmarkEnd w:id="1411"/>
    <w:bookmarkEnd w:id="1412"/>
    <w:bookmarkEnd w:id="1413"/>
    <w:bookmarkEnd w:id="1414"/>
    <w:bookmarkEnd w:id="1415"/>
    <w:bookmarkEnd w:id="1416"/>
    <w:bookmarkEnd w:id="1417"/>
    <w:bookmarkEnd w:id="1418"/>
    <w:bookmarkEnd w:id="1419"/>
    <w:bookmarkEnd w:id="1420"/>
    <w:p w14:paraId="073971D3">
      <w:pPr>
        <w:pStyle w:val="50"/>
        <w:pageBreakBefore w:val="0"/>
        <w:numPr>
          <w:ilvl w:val="0"/>
          <w:numId w:val="11"/>
        </w:numPr>
        <w:kinsoku/>
        <w:overflowPunct/>
        <w:bidi w:val="0"/>
        <w:spacing w:before="240" w:after="120" w:line="360" w:lineRule="auto"/>
        <w:ind w:left="0" w:leftChars="0" w:firstLine="0" w:firstLineChars="0"/>
        <w:rPr>
          <w:rFonts w:hint="eastAsia" w:ascii="宋体" w:hAnsi="宋体" w:eastAsia="宋体" w:cs="宋体"/>
          <w:b/>
          <w:bCs w:val="0"/>
          <w:color w:val="auto"/>
          <w:kern w:val="0"/>
          <w:sz w:val="22"/>
          <w:szCs w:val="22"/>
        </w:rPr>
      </w:pPr>
      <w:bookmarkStart w:id="1425" w:name="_Toc15329"/>
      <w:bookmarkStart w:id="1426" w:name="_Toc38008068"/>
      <w:bookmarkStart w:id="1427" w:name="_Toc475472662"/>
      <w:bookmarkStart w:id="1428" w:name="_Toc447265316"/>
      <w:bookmarkStart w:id="1429" w:name="_Toc475472669"/>
      <w:bookmarkStart w:id="1430" w:name="_Toc447265602"/>
      <w:r>
        <w:rPr>
          <w:rFonts w:hint="eastAsia" w:ascii="宋体" w:hAnsi="宋体" w:eastAsia="宋体" w:cs="宋体"/>
          <w:b/>
          <w:bCs w:val="0"/>
          <w:color w:val="auto"/>
          <w:kern w:val="0"/>
          <w:sz w:val="22"/>
          <w:szCs w:val="22"/>
        </w:rPr>
        <w:t>技术规范书</w:t>
      </w:r>
      <w:bookmarkEnd w:id="1425"/>
      <w:bookmarkEnd w:id="1426"/>
      <w:bookmarkEnd w:id="1427"/>
      <w:bookmarkStart w:id="1431" w:name="_bookmark92"/>
      <w:bookmarkEnd w:id="1431"/>
      <w:bookmarkStart w:id="1432" w:name="_PictureBullets"/>
      <w:bookmarkEnd w:id="1432"/>
      <w:bookmarkStart w:id="1433" w:name="_Toc21252"/>
      <w:bookmarkStart w:id="1434" w:name="_Toc477415382"/>
      <w:bookmarkStart w:id="1435" w:name="_Toc259533035"/>
      <w:bookmarkStart w:id="1436" w:name="_Toc38008075"/>
    </w:p>
    <w:bookmarkEnd w:id="1433"/>
    <w:bookmarkEnd w:id="1434"/>
    <w:bookmarkEnd w:id="1435"/>
    <w:p w14:paraId="03D4B435">
      <w:pPr>
        <w:keepNext/>
        <w:keepLines/>
        <w:widowControl w:val="0"/>
        <w:spacing w:before="240" w:after="120" w:line="240" w:lineRule="auto"/>
        <w:jc w:val="center"/>
        <w:outlineLvl w:val="0"/>
        <w:rPr>
          <w:rFonts w:ascii="宋体" w:hAnsi="宋体" w:eastAsia="宋体" w:cs="宋体"/>
          <w:b/>
          <w:bCs w:val="0"/>
          <w:kern w:val="0"/>
          <w:sz w:val="28"/>
          <w:szCs w:val="28"/>
          <w:lang w:val="en-US" w:eastAsia="zh-CN" w:bidi="ar-SA"/>
        </w:rPr>
      </w:pPr>
      <w:r>
        <w:rPr>
          <w:rFonts w:hint="eastAsia" w:ascii="宋体" w:hAnsi="宋体" w:eastAsia="宋体" w:cs="宋体"/>
          <w:b/>
          <w:bCs w:val="0"/>
          <w:kern w:val="0"/>
          <w:sz w:val="28"/>
          <w:szCs w:val="28"/>
          <w:lang w:val="en-US" w:eastAsia="zh-CN" w:bidi="ar-SA"/>
        </w:rPr>
        <w:t>技术规范书</w:t>
      </w:r>
    </w:p>
    <w:p w14:paraId="0C5DBA26">
      <w:pPr>
        <w:rPr>
          <w:rFonts w:ascii="Times New Roman" w:hAnsi="Times New Roman" w:eastAsia="宋体" w:cs="Times New Roman"/>
        </w:rPr>
      </w:pPr>
      <w:r>
        <w:rPr>
          <w:rFonts w:hint="eastAsia" w:ascii="Times New Roman" w:hAnsi="Times New Roman" w:eastAsia="宋体" w:cs="Times New Roman"/>
        </w:rPr>
        <w:t>设备管理</w:t>
      </w:r>
    </w:p>
    <w:p w14:paraId="66D96345">
      <w:pPr>
        <w:rPr>
          <w:rFonts w:ascii="Times New Roman" w:hAnsi="Times New Roman" w:eastAsia="宋体" w:cs="Times New Roman"/>
        </w:rPr>
      </w:pPr>
      <w:bookmarkStart w:id="1437" w:name="_Toc55636725"/>
      <w:bookmarkStart w:id="1438" w:name="_Toc347307727"/>
      <w:r>
        <w:rPr>
          <w:rFonts w:hint="eastAsia" w:ascii="Times New Roman" w:hAnsi="Times New Roman" w:eastAsia="宋体" w:cs="Times New Roman"/>
        </w:rPr>
        <w:t>第一节低压动力系统设备的分类</w:t>
      </w:r>
      <w:bookmarkEnd w:id="1437"/>
      <w:bookmarkEnd w:id="1438"/>
    </w:p>
    <w:p w14:paraId="465F1BB6">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低压动力系统设备主要包括：交流低压变配电设备、直流电源设备（含直流配电设备）、蓄电池、移动式发电机组、防雷接地设备等。</w:t>
      </w:r>
    </w:p>
    <w:p w14:paraId="05EA7422">
      <w:pPr>
        <w:rPr>
          <w:rFonts w:ascii="Times New Roman" w:hAnsi="Times New Roman" w:eastAsia="宋体" w:cs="Times New Roman"/>
        </w:rPr>
      </w:pPr>
      <w:bookmarkStart w:id="1439" w:name="_Toc347307728"/>
      <w:bookmarkStart w:id="1440" w:name="_Toc55636726"/>
      <w:r>
        <w:rPr>
          <w:rFonts w:hint="eastAsia" w:ascii="Times New Roman" w:hAnsi="Times New Roman" w:eastAsia="宋体" w:cs="Times New Roman"/>
        </w:rPr>
        <w:t>第二节设备的管理原则</w:t>
      </w:r>
      <w:bookmarkEnd w:id="1439"/>
      <w:bookmarkEnd w:id="1440"/>
    </w:p>
    <w:p w14:paraId="6C6F6EA8">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所有低压动力系统设备在规定使用期限内都要经常保持完好。其标准是：</w:t>
      </w:r>
    </w:p>
    <w:p w14:paraId="68214D0E">
      <w:pPr>
        <w:ind w:left="420" w:leftChars="200"/>
        <w:rPr>
          <w:rFonts w:ascii="Times New Roman" w:hAnsi="Times New Roman" w:eastAsia="宋体" w:cs="Times New Roman"/>
        </w:rPr>
      </w:pPr>
      <w:r>
        <w:rPr>
          <w:rFonts w:hint="eastAsia" w:ascii="Times New Roman" w:hAnsi="Times New Roman" w:eastAsia="宋体" w:cs="Times New Roman"/>
        </w:rPr>
        <w:t>1．各项性能良好，满足使用要求。</w:t>
      </w:r>
    </w:p>
    <w:p w14:paraId="5471EF37">
      <w:pPr>
        <w:ind w:left="420" w:leftChars="200"/>
        <w:rPr>
          <w:rFonts w:ascii="Times New Roman" w:hAnsi="Times New Roman" w:eastAsia="宋体" w:cs="Times New Roman"/>
        </w:rPr>
      </w:pPr>
      <w:r>
        <w:rPr>
          <w:rFonts w:hint="eastAsia" w:ascii="Times New Roman" w:hAnsi="Times New Roman" w:eastAsia="宋体" w:cs="Times New Roman"/>
        </w:rPr>
        <w:t>2．电气指标符合标准。</w:t>
      </w:r>
    </w:p>
    <w:p w14:paraId="4D4C85EA">
      <w:pPr>
        <w:ind w:left="420" w:leftChars="200"/>
        <w:rPr>
          <w:rFonts w:ascii="Times New Roman" w:hAnsi="Times New Roman" w:eastAsia="宋体" w:cs="Times New Roman"/>
        </w:rPr>
      </w:pPr>
      <w:r>
        <w:rPr>
          <w:rFonts w:hint="eastAsia" w:ascii="Times New Roman" w:hAnsi="Times New Roman" w:eastAsia="宋体" w:cs="Times New Roman"/>
        </w:rPr>
        <w:t>3．运行稳定、安全、可靠。</w:t>
      </w:r>
    </w:p>
    <w:p w14:paraId="31D7F020">
      <w:pPr>
        <w:ind w:left="420" w:leftChars="200"/>
        <w:rPr>
          <w:rFonts w:ascii="Times New Roman" w:hAnsi="Times New Roman" w:eastAsia="宋体" w:cs="Times New Roman"/>
        </w:rPr>
      </w:pPr>
      <w:r>
        <w:rPr>
          <w:rFonts w:hint="eastAsia" w:ascii="Times New Roman" w:hAnsi="Times New Roman" w:eastAsia="宋体" w:cs="Times New Roman"/>
        </w:rPr>
        <w:t>4．技术资料、原始记录齐全。</w:t>
      </w:r>
    </w:p>
    <w:p w14:paraId="669AA13F">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新装或大修、改造后的设备，均应通过工程验收，验收合格办理交接手续后，方可投入试运行。试运行合格后方可正式投产使用。不合格的设备不允许投产使用。</w:t>
      </w:r>
    </w:p>
    <w:p w14:paraId="468C1BB1">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在用、备用或停用的设备，均应保持机件、部件和技术资料完整，不准任意挪用和更改设备的结构、电路或拆用部件。</w:t>
      </w:r>
    </w:p>
    <w:p w14:paraId="3D502893">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设备的结构、性能需要更改时，应经技术论证，提出可行性方案报上级技术主管部门审批后方能进行。技术资料应及时更新。</w:t>
      </w:r>
    </w:p>
    <w:p w14:paraId="499DD51F">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设备的改扩建、更新、大修整治工程项目中对在网动力设备进行割接前，动力维护部门应审核割接方案和应急措施，维护人员在割接过程中随工监护。</w:t>
      </w:r>
    </w:p>
    <w:p w14:paraId="0FFEA9BC">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设备要建立技术档案。维护主管部门要经常检查设备的使用和维护情况。</w:t>
      </w:r>
    </w:p>
    <w:p w14:paraId="1AF56BB2">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动力维护部门必须配置必要的仪器仪表，主要配置内容见附录。</w:t>
      </w:r>
    </w:p>
    <w:p w14:paraId="17B11790">
      <w:pPr>
        <w:rPr>
          <w:rFonts w:ascii="Times New Roman" w:hAnsi="Times New Roman" w:eastAsia="宋体" w:cs="Times New Roman"/>
        </w:rPr>
      </w:pPr>
      <w:bookmarkStart w:id="1441" w:name="_Toc347307729"/>
      <w:bookmarkStart w:id="1442" w:name="_Toc55636727"/>
      <w:r>
        <w:rPr>
          <w:rFonts w:hint="eastAsia" w:ascii="Times New Roman" w:hAnsi="Times New Roman" w:eastAsia="宋体" w:cs="Times New Roman"/>
        </w:rPr>
        <w:t>第三节设备的更新周期</w:t>
      </w:r>
      <w:bookmarkEnd w:id="1441"/>
      <w:bookmarkEnd w:id="1442"/>
    </w:p>
    <w:p w14:paraId="5AA62630">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设备因超出有效使用年限或其它原因，经维修达不到运行质量要求时可提出更新计划。</w:t>
      </w:r>
    </w:p>
    <w:p w14:paraId="32699C20">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正常使用及维护条件下，设备有效使用年限：</w:t>
      </w:r>
    </w:p>
    <w:p w14:paraId="42311032">
      <w:pPr>
        <w:ind w:left="420" w:leftChars="200"/>
        <w:rPr>
          <w:rFonts w:ascii="Times New Roman" w:hAnsi="Times New Roman" w:eastAsia="宋体" w:cs="Times New Roman"/>
        </w:rPr>
      </w:pPr>
      <w:r>
        <w:rPr>
          <w:rFonts w:hint="eastAsia" w:ascii="Times New Roman" w:hAnsi="Times New Roman" w:eastAsia="宋体" w:cs="Times New Roman"/>
        </w:rPr>
        <w:t>1．全浮充供电方式的防酸隔爆式铅酸蓄电池，使用10年或容量不低于80%额定容量的；</w:t>
      </w:r>
    </w:p>
    <w:p w14:paraId="6F12E522">
      <w:pPr>
        <w:ind w:left="420" w:leftChars="200"/>
        <w:rPr>
          <w:rFonts w:ascii="Times New Roman" w:hAnsi="Times New Roman" w:eastAsia="宋体" w:cs="Times New Roman"/>
        </w:rPr>
      </w:pPr>
      <w:r>
        <w:rPr>
          <w:rFonts w:hint="eastAsia" w:ascii="Times New Roman" w:hAnsi="Times New Roman" w:eastAsia="宋体" w:cs="Times New Roman"/>
        </w:rPr>
        <w:t>2.直流供电系统全浮充供电方式的2V阀控式密封蓄电池，使用8年或容量不低于80%额定容量，6V以上电池使用5年或容量不低于80%额定容量；UPS供电系统中全浮充供电方式的阀控式密封蓄电池，使用5年或容量不低于80%额定容量；</w:t>
      </w:r>
    </w:p>
    <w:p w14:paraId="48DC64DC">
      <w:pPr>
        <w:ind w:left="420" w:leftChars="200"/>
        <w:rPr>
          <w:rFonts w:ascii="Times New Roman" w:hAnsi="Times New Roman" w:eastAsia="宋体" w:cs="Times New Roman"/>
        </w:rPr>
      </w:pPr>
      <w:r>
        <w:rPr>
          <w:rFonts w:hint="eastAsia" w:ascii="Times New Roman" w:hAnsi="Times New Roman" w:eastAsia="宋体" w:cs="Times New Roman"/>
        </w:rPr>
        <w:t>3．高频开关整流变换设备（含-48V、240V）：10年；</w:t>
      </w:r>
    </w:p>
    <w:p w14:paraId="61D0277B">
      <w:pPr>
        <w:ind w:left="420" w:leftChars="200"/>
        <w:rPr>
          <w:rFonts w:ascii="Times New Roman" w:hAnsi="Times New Roman" w:eastAsia="宋体" w:cs="Times New Roman"/>
        </w:rPr>
      </w:pPr>
      <w:r>
        <w:rPr>
          <w:rFonts w:hint="eastAsia" w:ascii="Times New Roman" w:hAnsi="Times New Roman" w:eastAsia="宋体" w:cs="Times New Roman"/>
        </w:rPr>
        <w:t>4．交、直流配电设备：10年；</w:t>
      </w:r>
    </w:p>
    <w:p w14:paraId="24A14298">
      <w:pPr>
        <w:ind w:left="420" w:leftChars="200"/>
        <w:rPr>
          <w:rFonts w:ascii="Times New Roman" w:hAnsi="Times New Roman" w:eastAsia="宋体" w:cs="Times New Roman"/>
        </w:rPr>
      </w:pPr>
      <w:r>
        <w:rPr>
          <w:rFonts w:hint="eastAsia" w:ascii="Times New Roman" w:hAnsi="Times New Roman" w:eastAsia="宋体" w:cs="Times New Roman"/>
        </w:rPr>
        <w:t>对于存在设计等先天缺陷、正常使用故障率高等原因造成运行成本过高的设备，经维护主管部门审批，可提前报废。</w:t>
      </w:r>
    </w:p>
    <w:p w14:paraId="094AD7B7">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对于已超过有效使用年限的蓄电池应退出机房。</w:t>
      </w:r>
    </w:p>
    <w:p w14:paraId="6D1FF889">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对于已超过有效使用年限的设备，经过检测评估，性能仍然良好者并满足运行质量要求，具有使用价值的，经过主管部门的批准，可继续使用。性能指标达不到要求的设备，应报废和退网。</w:t>
      </w:r>
    </w:p>
    <w:p w14:paraId="0F2829B1">
      <w:pPr>
        <w:rPr>
          <w:rFonts w:ascii="Times New Roman" w:hAnsi="Times New Roman" w:eastAsia="宋体" w:cs="Times New Roman"/>
        </w:rPr>
      </w:pPr>
      <w:bookmarkStart w:id="1443" w:name="_Toc347307730"/>
      <w:bookmarkStart w:id="1444" w:name="_Toc6180"/>
      <w:bookmarkStart w:id="1445" w:name="_Toc55636728"/>
    </w:p>
    <w:p w14:paraId="50C3D48E">
      <w:pPr>
        <w:rPr>
          <w:rFonts w:ascii="Times New Roman" w:hAnsi="Times New Roman" w:eastAsia="宋体" w:cs="Times New Roman"/>
        </w:rPr>
      </w:pPr>
      <w:r>
        <w:rPr>
          <w:rFonts w:hint="eastAsia" w:ascii="Times New Roman" w:hAnsi="Times New Roman" w:eastAsia="宋体" w:cs="Times New Roman"/>
        </w:rPr>
        <w:t xml:space="preserve"> 维护等级指标和质量标准</w:t>
      </w:r>
      <w:bookmarkEnd w:id="1443"/>
      <w:bookmarkEnd w:id="1444"/>
    </w:p>
    <w:p w14:paraId="5C4D7A0E">
      <w:pPr>
        <w:rPr>
          <w:rFonts w:ascii="Times New Roman" w:hAnsi="Times New Roman" w:eastAsia="宋体" w:cs="Times New Roman"/>
        </w:rPr>
      </w:pPr>
      <w:bookmarkStart w:id="1446" w:name="_Toc347307731"/>
      <w:r>
        <w:rPr>
          <w:rFonts w:hint="eastAsia" w:ascii="Times New Roman" w:hAnsi="Times New Roman" w:eastAsia="宋体" w:cs="Times New Roman"/>
        </w:rPr>
        <w:t>第一节质量标准</w:t>
      </w:r>
      <w:bookmarkEnd w:id="1446"/>
    </w:p>
    <w:p w14:paraId="2AA64EED">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直流电源供电的质量指标</w:t>
      </w:r>
    </w:p>
    <w:p w14:paraId="4F702EEA">
      <w:pPr>
        <w:ind w:left="420" w:leftChars="200"/>
        <w:rPr>
          <w:rFonts w:ascii="Times New Roman" w:hAnsi="Times New Roman" w:eastAsia="宋体" w:cs="Times New Roman"/>
        </w:rPr>
      </w:pPr>
      <w:r>
        <w:rPr>
          <w:rFonts w:hint="eastAsia" w:ascii="Times New Roman" w:hAnsi="Times New Roman" w:eastAsia="宋体" w:cs="Times New Roman"/>
        </w:rPr>
        <w:t>1． 直流电源电压变动范围和全程最大允许压降的指标：</w:t>
      </w:r>
    </w:p>
    <w:tbl>
      <w:tblPr>
        <w:tblStyle w:val="41"/>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3269"/>
        <w:gridCol w:w="2788"/>
      </w:tblGrid>
      <w:tr w14:paraId="45E5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766" w:type="dxa"/>
            <w:vMerge w:val="restart"/>
            <w:vAlign w:val="center"/>
          </w:tcPr>
          <w:p w14:paraId="2588844F">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标准电压</w:t>
            </w:r>
          </w:p>
          <w:p w14:paraId="2E7148F8">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（V）</w:t>
            </w:r>
          </w:p>
        </w:tc>
        <w:tc>
          <w:tcPr>
            <w:tcW w:w="3613" w:type="dxa"/>
            <w:vMerge w:val="restart"/>
            <w:vAlign w:val="center"/>
          </w:tcPr>
          <w:p w14:paraId="6ECF775E">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电信设备受电端子上电压变动范围</w:t>
            </w:r>
          </w:p>
          <w:p w14:paraId="6B0692CE">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(V)</w:t>
            </w:r>
          </w:p>
        </w:tc>
        <w:tc>
          <w:tcPr>
            <w:tcW w:w="3077" w:type="dxa"/>
            <w:vMerge w:val="restart"/>
            <w:vAlign w:val="center"/>
          </w:tcPr>
          <w:p w14:paraId="2B385611">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供电回路全程最大允许压降</w:t>
            </w:r>
          </w:p>
          <w:p w14:paraId="4D889E69">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（V）</w:t>
            </w:r>
          </w:p>
        </w:tc>
      </w:tr>
      <w:tr w14:paraId="4433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66" w:type="dxa"/>
            <w:vMerge w:val="continue"/>
            <w:vAlign w:val="center"/>
          </w:tcPr>
          <w:p w14:paraId="67AAA271">
            <w:pPr>
              <w:widowControl w:val="0"/>
              <w:spacing w:line="360" w:lineRule="exact"/>
              <w:jc w:val="center"/>
              <w:rPr>
                <w:rFonts w:ascii="宋体" w:hAnsi="宋体" w:eastAsia="宋体" w:cs="Times New Roman"/>
                <w:kern w:val="2"/>
                <w:sz w:val="21"/>
                <w:szCs w:val="24"/>
                <w:lang w:val="en-US" w:eastAsia="zh-CN" w:bidi="ar-SA"/>
              </w:rPr>
            </w:pPr>
          </w:p>
        </w:tc>
        <w:tc>
          <w:tcPr>
            <w:tcW w:w="3613" w:type="dxa"/>
            <w:vMerge w:val="continue"/>
            <w:vAlign w:val="center"/>
          </w:tcPr>
          <w:p w14:paraId="1DD51A26">
            <w:pPr>
              <w:widowControl w:val="0"/>
              <w:spacing w:line="360" w:lineRule="exact"/>
              <w:jc w:val="center"/>
              <w:rPr>
                <w:rFonts w:ascii="宋体" w:hAnsi="宋体" w:eastAsia="宋体" w:cs="Times New Roman"/>
                <w:kern w:val="2"/>
                <w:sz w:val="21"/>
                <w:szCs w:val="24"/>
                <w:lang w:val="en-US" w:eastAsia="zh-CN" w:bidi="ar-SA"/>
              </w:rPr>
            </w:pPr>
          </w:p>
        </w:tc>
        <w:tc>
          <w:tcPr>
            <w:tcW w:w="3077" w:type="dxa"/>
            <w:vMerge w:val="continue"/>
            <w:vAlign w:val="center"/>
          </w:tcPr>
          <w:p w14:paraId="19DA498B">
            <w:pPr>
              <w:widowControl w:val="0"/>
              <w:spacing w:line="360" w:lineRule="exact"/>
              <w:jc w:val="center"/>
              <w:rPr>
                <w:rFonts w:ascii="宋体" w:hAnsi="宋体" w:eastAsia="宋体" w:cs="Times New Roman"/>
                <w:kern w:val="2"/>
                <w:sz w:val="21"/>
                <w:szCs w:val="24"/>
                <w:lang w:val="en-US" w:eastAsia="zh-CN" w:bidi="ar-SA"/>
              </w:rPr>
            </w:pPr>
          </w:p>
        </w:tc>
      </w:tr>
      <w:tr w14:paraId="3E9C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6" w:type="dxa"/>
            <w:vAlign w:val="center"/>
          </w:tcPr>
          <w:p w14:paraId="4D666A56">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-48</w:t>
            </w:r>
          </w:p>
        </w:tc>
        <w:tc>
          <w:tcPr>
            <w:tcW w:w="3613" w:type="dxa"/>
            <w:vAlign w:val="center"/>
          </w:tcPr>
          <w:p w14:paraId="60F55DF7">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-40 ～ -57</w:t>
            </w:r>
          </w:p>
        </w:tc>
        <w:tc>
          <w:tcPr>
            <w:tcW w:w="3077" w:type="dxa"/>
            <w:vAlign w:val="center"/>
          </w:tcPr>
          <w:p w14:paraId="14CCE29F">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3</w:t>
            </w:r>
          </w:p>
        </w:tc>
      </w:tr>
      <w:tr w14:paraId="2F69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6" w:type="dxa"/>
            <w:vAlign w:val="center"/>
          </w:tcPr>
          <w:p w14:paraId="37C5E100">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240</w:t>
            </w:r>
          </w:p>
        </w:tc>
        <w:tc>
          <w:tcPr>
            <w:tcW w:w="3613" w:type="dxa"/>
            <w:vAlign w:val="center"/>
          </w:tcPr>
          <w:p w14:paraId="27FB5FF7">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192 ～ 288</w:t>
            </w:r>
          </w:p>
        </w:tc>
        <w:tc>
          <w:tcPr>
            <w:tcW w:w="3077" w:type="dxa"/>
            <w:vAlign w:val="center"/>
          </w:tcPr>
          <w:p w14:paraId="35CCB0BA">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12</w:t>
            </w:r>
          </w:p>
        </w:tc>
      </w:tr>
    </w:tbl>
    <w:p w14:paraId="336E8F5D">
      <w:pPr>
        <w:ind w:left="420" w:leftChars="200"/>
        <w:rPr>
          <w:rFonts w:ascii="Times New Roman" w:hAnsi="Times New Roman" w:eastAsia="宋体" w:cs="Times New Roman"/>
        </w:rPr>
      </w:pPr>
      <w:r>
        <w:rPr>
          <w:rFonts w:hint="eastAsia" w:ascii="Times New Roman" w:hAnsi="Times New Roman" w:eastAsia="宋体" w:cs="Times New Roman"/>
        </w:rPr>
        <w:t>2． 直流供电回路接头压降（直流配电屏以外的接头）应符合下列要求，或温升不超过允许值。</w:t>
      </w:r>
    </w:p>
    <w:p w14:paraId="64F0B424">
      <w:pPr>
        <w:ind w:left="840" w:leftChars="400"/>
        <w:rPr>
          <w:rFonts w:ascii="Times New Roman" w:hAnsi="Times New Roman" w:eastAsia="宋体" w:cs="Times New Roman"/>
        </w:rPr>
      </w:pPr>
      <w:r>
        <w:rPr>
          <w:rFonts w:hint="eastAsia" w:ascii="Times New Roman" w:hAnsi="Times New Roman" w:eastAsia="宋体" w:cs="Times New Roman"/>
        </w:rPr>
        <w:t>1）．1000A以下，每百安培≤5mV。</w:t>
      </w:r>
    </w:p>
    <w:p w14:paraId="77837327">
      <w:pPr>
        <w:ind w:left="840" w:leftChars="400"/>
        <w:rPr>
          <w:rFonts w:ascii="Times New Roman" w:hAnsi="Times New Roman" w:eastAsia="宋体" w:cs="Times New Roman"/>
        </w:rPr>
      </w:pPr>
      <w:r>
        <w:rPr>
          <w:rFonts w:hint="eastAsia" w:ascii="Times New Roman" w:hAnsi="Times New Roman" w:eastAsia="宋体" w:cs="Times New Roman"/>
        </w:rPr>
        <w:t>2）．1000A以上，每百安培≤3mV。</w:t>
      </w:r>
    </w:p>
    <w:p w14:paraId="6476DF46">
      <w:pPr>
        <w:numPr>
          <w:ilvl w:val="0"/>
          <w:numId w:val="12"/>
        </w:numPr>
        <w:spacing w:line="360" w:lineRule="exact"/>
        <w:ind w:left="0" w:firstLine="420"/>
        <w:rPr>
          <w:rFonts w:ascii="宋体-18030" w:hAnsi="宋体-18030" w:eastAsia="宋体-18030" w:cs="宋体-18030"/>
          <w:sz w:val="24"/>
        </w:rPr>
      </w:pPr>
      <w:r>
        <w:rPr>
          <w:rFonts w:hint="eastAsia" w:ascii="Times New Roman" w:hAnsi="宋体-18030" w:eastAsia="宋体" w:cs="宋体-18030"/>
        </w:rPr>
        <w:t>交流电源供电的质量指标</w:t>
      </w:r>
    </w:p>
    <w:p w14:paraId="4A0E9AD7">
      <w:pPr>
        <w:ind w:left="420" w:leftChars="200"/>
        <w:rPr>
          <w:rFonts w:ascii="Times New Roman" w:hAnsi="Times New Roman" w:eastAsia="宋体" w:cs="Times New Roman"/>
        </w:rPr>
      </w:pPr>
      <w:r>
        <w:rPr>
          <w:rFonts w:hint="eastAsia" w:ascii="Times New Roman" w:hAnsi="Times New Roman" w:eastAsia="宋体" w:cs="Times New Roman"/>
        </w:rPr>
        <w:t>1． 由市电供电时，交流电源供电应符合下表要求：</w:t>
      </w:r>
    </w:p>
    <w:tbl>
      <w:tblPr>
        <w:tblStyle w:val="41"/>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1612"/>
        <w:gridCol w:w="1250"/>
        <w:gridCol w:w="1469"/>
        <w:gridCol w:w="976"/>
        <w:gridCol w:w="1051"/>
      </w:tblGrid>
      <w:tr w14:paraId="4390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43" w:type="dxa"/>
            <w:vMerge w:val="restart"/>
            <w:vAlign w:val="center"/>
          </w:tcPr>
          <w:p w14:paraId="39E8FD23">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标准电压</w:t>
            </w:r>
          </w:p>
          <w:p w14:paraId="334FAE39">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（V）</w:t>
            </w:r>
          </w:p>
        </w:tc>
        <w:tc>
          <w:tcPr>
            <w:tcW w:w="1811" w:type="dxa"/>
            <w:vMerge w:val="restart"/>
            <w:vAlign w:val="center"/>
          </w:tcPr>
          <w:p w14:paraId="6B08D0FA">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受电端子上电</w:t>
            </w:r>
          </w:p>
          <w:p w14:paraId="1E264C34">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压变动范围</w:t>
            </w:r>
          </w:p>
          <w:p w14:paraId="20C34038">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(V)</w:t>
            </w:r>
          </w:p>
        </w:tc>
        <w:tc>
          <w:tcPr>
            <w:tcW w:w="1343" w:type="dxa"/>
            <w:vMerge w:val="restart"/>
            <w:vAlign w:val="center"/>
          </w:tcPr>
          <w:p w14:paraId="6EE61559">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频率标称值（Hz）</w:t>
            </w:r>
          </w:p>
        </w:tc>
        <w:tc>
          <w:tcPr>
            <w:tcW w:w="1612" w:type="dxa"/>
            <w:vMerge w:val="restart"/>
            <w:vAlign w:val="center"/>
          </w:tcPr>
          <w:p w14:paraId="1864B334">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频率变动范围（Hz）</w:t>
            </w:r>
          </w:p>
        </w:tc>
        <w:tc>
          <w:tcPr>
            <w:tcW w:w="2103" w:type="dxa"/>
            <w:gridSpan w:val="2"/>
            <w:vAlign w:val="center"/>
          </w:tcPr>
          <w:p w14:paraId="63967D00">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功率因数</w:t>
            </w:r>
          </w:p>
        </w:tc>
      </w:tr>
      <w:tr w14:paraId="442E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3" w:type="dxa"/>
            <w:vMerge w:val="continue"/>
            <w:vAlign w:val="center"/>
          </w:tcPr>
          <w:p w14:paraId="5120A007">
            <w:pPr>
              <w:widowControl w:val="0"/>
              <w:spacing w:line="360" w:lineRule="exact"/>
              <w:jc w:val="center"/>
              <w:rPr>
                <w:rFonts w:ascii="宋体" w:hAnsi="宋体" w:eastAsia="宋体" w:cs="Times New Roman"/>
                <w:kern w:val="2"/>
                <w:sz w:val="21"/>
                <w:szCs w:val="24"/>
                <w:lang w:val="en-US" w:eastAsia="zh-CN" w:bidi="ar-SA"/>
              </w:rPr>
            </w:pPr>
          </w:p>
        </w:tc>
        <w:tc>
          <w:tcPr>
            <w:tcW w:w="1811" w:type="dxa"/>
            <w:vMerge w:val="continue"/>
            <w:vAlign w:val="center"/>
          </w:tcPr>
          <w:p w14:paraId="6B441348">
            <w:pPr>
              <w:widowControl w:val="0"/>
              <w:spacing w:line="360" w:lineRule="exact"/>
              <w:jc w:val="center"/>
              <w:rPr>
                <w:rFonts w:ascii="宋体" w:hAnsi="宋体" w:eastAsia="宋体" w:cs="Times New Roman"/>
                <w:kern w:val="2"/>
                <w:sz w:val="21"/>
                <w:szCs w:val="24"/>
                <w:lang w:val="en-US" w:eastAsia="zh-CN" w:bidi="ar-SA"/>
              </w:rPr>
            </w:pPr>
          </w:p>
        </w:tc>
        <w:tc>
          <w:tcPr>
            <w:tcW w:w="1343" w:type="dxa"/>
            <w:vMerge w:val="continue"/>
            <w:vAlign w:val="center"/>
          </w:tcPr>
          <w:p w14:paraId="24A45301">
            <w:pPr>
              <w:widowControl w:val="0"/>
              <w:spacing w:line="360" w:lineRule="exact"/>
              <w:jc w:val="center"/>
              <w:rPr>
                <w:rFonts w:ascii="宋体" w:hAnsi="宋体" w:eastAsia="宋体" w:cs="Times New Roman"/>
                <w:kern w:val="2"/>
                <w:sz w:val="21"/>
                <w:szCs w:val="24"/>
                <w:lang w:val="en-US" w:eastAsia="zh-CN" w:bidi="ar-SA"/>
              </w:rPr>
            </w:pPr>
          </w:p>
        </w:tc>
        <w:tc>
          <w:tcPr>
            <w:tcW w:w="1612" w:type="dxa"/>
            <w:vMerge w:val="continue"/>
            <w:vAlign w:val="center"/>
          </w:tcPr>
          <w:p w14:paraId="70055E23">
            <w:pPr>
              <w:widowControl w:val="0"/>
              <w:spacing w:line="360" w:lineRule="exact"/>
              <w:jc w:val="center"/>
              <w:rPr>
                <w:rFonts w:ascii="宋体" w:hAnsi="宋体" w:eastAsia="宋体" w:cs="Times New Roman"/>
                <w:kern w:val="2"/>
                <w:sz w:val="21"/>
                <w:szCs w:val="24"/>
                <w:lang w:val="en-US" w:eastAsia="zh-CN" w:bidi="ar-SA"/>
              </w:rPr>
            </w:pPr>
          </w:p>
        </w:tc>
        <w:tc>
          <w:tcPr>
            <w:tcW w:w="1006" w:type="dxa"/>
            <w:vAlign w:val="center"/>
          </w:tcPr>
          <w:p w14:paraId="49852EE0">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100kVA</w:t>
            </w:r>
          </w:p>
          <w:p w14:paraId="1F32D685">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以下</w:t>
            </w:r>
          </w:p>
        </w:tc>
        <w:tc>
          <w:tcPr>
            <w:tcW w:w="1097" w:type="dxa"/>
            <w:vAlign w:val="center"/>
          </w:tcPr>
          <w:p w14:paraId="626963BC">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100kVA</w:t>
            </w:r>
          </w:p>
          <w:p w14:paraId="2E6A245B">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以上</w:t>
            </w:r>
          </w:p>
        </w:tc>
      </w:tr>
      <w:tr w14:paraId="21CC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3" w:type="dxa"/>
          </w:tcPr>
          <w:p w14:paraId="5E2A8EC2">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220</w:t>
            </w:r>
          </w:p>
        </w:tc>
        <w:tc>
          <w:tcPr>
            <w:tcW w:w="1811" w:type="dxa"/>
          </w:tcPr>
          <w:p w14:paraId="27196CA0">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187～242</w:t>
            </w:r>
          </w:p>
        </w:tc>
        <w:tc>
          <w:tcPr>
            <w:tcW w:w="1343" w:type="dxa"/>
          </w:tcPr>
          <w:p w14:paraId="653CF798">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50</w:t>
            </w:r>
          </w:p>
        </w:tc>
        <w:tc>
          <w:tcPr>
            <w:tcW w:w="1612" w:type="dxa"/>
          </w:tcPr>
          <w:p w14:paraId="6A85B6A3">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w:t>
            </w:r>
          </w:p>
        </w:tc>
        <w:tc>
          <w:tcPr>
            <w:tcW w:w="1006" w:type="dxa"/>
          </w:tcPr>
          <w:p w14:paraId="70B17CBC">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≥0.85</w:t>
            </w:r>
          </w:p>
        </w:tc>
        <w:tc>
          <w:tcPr>
            <w:tcW w:w="1097" w:type="dxa"/>
          </w:tcPr>
          <w:p w14:paraId="35B47C2D">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≥0.90</w:t>
            </w:r>
          </w:p>
        </w:tc>
      </w:tr>
      <w:tr w14:paraId="4A9C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3" w:type="dxa"/>
          </w:tcPr>
          <w:p w14:paraId="398BFE4A">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380</w:t>
            </w:r>
          </w:p>
        </w:tc>
        <w:tc>
          <w:tcPr>
            <w:tcW w:w="1811" w:type="dxa"/>
          </w:tcPr>
          <w:p w14:paraId="7132E420">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323～418</w:t>
            </w:r>
          </w:p>
        </w:tc>
        <w:tc>
          <w:tcPr>
            <w:tcW w:w="1343" w:type="dxa"/>
          </w:tcPr>
          <w:p w14:paraId="72300AA7">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50</w:t>
            </w:r>
          </w:p>
        </w:tc>
        <w:tc>
          <w:tcPr>
            <w:tcW w:w="1612" w:type="dxa"/>
          </w:tcPr>
          <w:p w14:paraId="7E832502">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w:t>
            </w:r>
          </w:p>
        </w:tc>
        <w:tc>
          <w:tcPr>
            <w:tcW w:w="1006" w:type="dxa"/>
          </w:tcPr>
          <w:p w14:paraId="329C1CA6">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≥0.85</w:t>
            </w:r>
          </w:p>
        </w:tc>
        <w:tc>
          <w:tcPr>
            <w:tcW w:w="1097" w:type="dxa"/>
          </w:tcPr>
          <w:p w14:paraId="4DD28052">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≥0.90</w:t>
            </w:r>
          </w:p>
        </w:tc>
      </w:tr>
    </w:tbl>
    <w:p w14:paraId="179F6352">
      <w:pPr>
        <w:ind w:left="420" w:leftChars="200"/>
        <w:rPr>
          <w:rFonts w:ascii="Times New Roman" w:hAnsi="Times New Roman" w:eastAsia="宋体" w:cs="Times New Roman"/>
        </w:rPr>
      </w:pPr>
      <w:r>
        <w:rPr>
          <w:rFonts w:hint="eastAsia" w:ascii="Times New Roman" w:hAnsi="Times New Roman" w:eastAsia="宋体" w:cs="Times New Roman"/>
        </w:rPr>
        <w:t>2. 由油机供电时，交流电源供电应符合下表要求：</w:t>
      </w:r>
    </w:p>
    <w:tbl>
      <w:tblPr>
        <w:tblStyle w:val="41"/>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1534"/>
        <w:gridCol w:w="1551"/>
        <w:gridCol w:w="1551"/>
        <w:gridCol w:w="1500"/>
      </w:tblGrid>
      <w:tr w14:paraId="6238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1691" w:type="dxa"/>
            <w:tcBorders>
              <w:bottom w:val="single" w:color="auto" w:sz="4" w:space="0"/>
            </w:tcBorders>
            <w:vAlign w:val="center"/>
          </w:tcPr>
          <w:p w14:paraId="6CCB88D5">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标称电压</w:t>
            </w:r>
          </w:p>
          <w:p w14:paraId="2C483C2E">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（V）</w:t>
            </w:r>
          </w:p>
        </w:tc>
        <w:tc>
          <w:tcPr>
            <w:tcW w:w="1691" w:type="dxa"/>
            <w:tcBorders>
              <w:bottom w:val="single" w:color="auto" w:sz="4" w:space="0"/>
            </w:tcBorders>
            <w:vAlign w:val="center"/>
          </w:tcPr>
          <w:p w14:paraId="1F84064F">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受电端子上</w:t>
            </w:r>
          </w:p>
          <w:p w14:paraId="1264BD57">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电压变动范围</w:t>
            </w:r>
          </w:p>
          <w:p w14:paraId="3570019E">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(V)</w:t>
            </w:r>
          </w:p>
        </w:tc>
        <w:tc>
          <w:tcPr>
            <w:tcW w:w="1691" w:type="dxa"/>
            <w:tcBorders>
              <w:bottom w:val="single" w:color="auto" w:sz="4" w:space="0"/>
            </w:tcBorders>
            <w:vAlign w:val="center"/>
          </w:tcPr>
          <w:p w14:paraId="5356102D">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频率标称值</w:t>
            </w:r>
          </w:p>
          <w:p w14:paraId="64283F9D">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（Hz）</w:t>
            </w:r>
          </w:p>
        </w:tc>
        <w:tc>
          <w:tcPr>
            <w:tcW w:w="1691" w:type="dxa"/>
            <w:tcBorders>
              <w:bottom w:val="single" w:color="auto" w:sz="4" w:space="0"/>
            </w:tcBorders>
            <w:vAlign w:val="center"/>
          </w:tcPr>
          <w:p w14:paraId="678FB3B5">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频率变动范围</w:t>
            </w:r>
          </w:p>
          <w:p w14:paraId="226FA4BE">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（Hz）</w:t>
            </w:r>
          </w:p>
        </w:tc>
        <w:tc>
          <w:tcPr>
            <w:tcW w:w="1692" w:type="dxa"/>
            <w:tcBorders>
              <w:bottom w:val="single" w:color="auto" w:sz="4" w:space="0"/>
            </w:tcBorders>
            <w:vAlign w:val="center"/>
          </w:tcPr>
          <w:p w14:paraId="171DF0AF">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功率因数</w:t>
            </w:r>
          </w:p>
        </w:tc>
      </w:tr>
      <w:tr w14:paraId="1347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91" w:type="dxa"/>
          </w:tcPr>
          <w:p w14:paraId="1F8D7628">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220</w:t>
            </w:r>
          </w:p>
        </w:tc>
        <w:tc>
          <w:tcPr>
            <w:tcW w:w="1691" w:type="dxa"/>
          </w:tcPr>
          <w:p w14:paraId="2F2A79A8">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209～231</w:t>
            </w:r>
          </w:p>
        </w:tc>
        <w:tc>
          <w:tcPr>
            <w:tcW w:w="1691" w:type="dxa"/>
          </w:tcPr>
          <w:p w14:paraId="7528FA8A">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50</w:t>
            </w:r>
          </w:p>
        </w:tc>
        <w:tc>
          <w:tcPr>
            <w:tcW w:w="1691" w:type="dxa"/>
          </w:tcPr>
          <w:p w14:paraId="17951182">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w:t>
            </w:r>
          </w:p>
        </w:tc>
        <w:tc>
          <w:tcPr>
            <w:tcW w:w="1692" w:type="dxa"/>
          </w:tcPr>
          <w:p w14:paraId="6B1B9254">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0.8</w:t>
            </w:r>
          </w:p>
        </w:tc>
      </w:tr>
      <w:tr w14:paraId="0FCC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91" w:type="dxa"/>
          </w:tcPr>
          <w:p w14:paraId="5C58FDD6">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380</w:t>
            </w:r>
          </w:p>
        </w:tc>
        <w:tc>
          <w:tcPr>
            <w:tcW w:w="1691" w:type="dxa"/>
          </w:tcPr>
          <w:p w14:paraId="5FCB11DC">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361～399</w:t>
            </w:r>
          </w:p>
        </w:tc>
        <w:tc>
          <w:tcPr>
            <w:tcW w:w="1691" w:type="dxa"/>
          </w:tcPr>
          <w:p w14:paraId="78E1CA5A">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50</w:t>
            </w:r>
          </w:p>
        </w:tc>
        <w:tc>
          <w:tcPr>
            <w:tcW w:w="1691" w:type="dxa"/>
          </w:tcPr>
          <w:p w14:paraId="1A2CBD52">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w:t>
            </w:r>
          </w:p>
        </w:tc>
        <w:tc>
          <w:tcPr>
            <w:tcW w:w="1692" w:type="dxa"/>
          </w:tcPr>
          <w:p w14:paraId="71DF6805">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0.8</w:t>
            </w:r>
          </w:p>
        </w:tc>
      </w:tr>
    </w:tbl>
    <w:p w14:paraId="3979DE33">
      <w:pPr>
        <w:ind w:left="420" w:leftChars="200"/>
        <w:rPr>
          <w:rFonts w:ascii="Times New Roman" w:hAnsi="Times New Roman" w:eastAsia="宋体" w:cs="Times New Roman"/>
        </w:rPr>
      </w:pPr>
      <w:r>
        <w:rPr>
          <w:rFonts w:hint="eastAsia" w:ascii="Times New Roman" w:hAnsi="Times New Roman" w:eastAsia="宋体" w:cs="Times New Roman"/>
        </w:rPr>
        <w:t>3. 三相供电电压不平衡度不大于4%。电压波形正弦畸变率不大于5%。</w:t>
      </w:r>
    </w:p>
    <w:p w14:paraId="2526500D">
      <w:pPr>
        <w:numPr>
          <w:ilvl w:val="0"/>
          <w:numId w:val="12"/>
        </w:numPr>
        <w:spacing w:line="360" w:lineRule="exact"/>
        <w:ind w:left="0" w:firstLine="420"/>
        <w:rPr>
          <w:rFonts w:hint="eastAsia" w:ascii="Times New Roman" w:hAnsi="宋体-18030" w:eastAsia="宋体" w:cs="宋体-18030"/>
        </w:rPr>
      </w:pPr>
      <w:r>
        <w:rPr>
          <w:rFonts w:hint="eastAsia" w:ascii="Times New Roman" w:hAnsi="宋体-18030" w:eastAsia="宋体" w:cs="宋体-18030"/>
        </w:rPr>
        <w:t>电气设备通过额定电流时，各电器元件和部件的温升不得超过下表的规定：</w:t>
      </w:r>
    </w:p>
    <w:tbl>
      <w:tblPr>
        <w:tblStyle w:val="41"/>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8"/>
        <w:gridCol w:w="2569"/>
        <w:gridCol w:w="2533"/>
      </w:tblGrid>
      <w:tr w14:paraId="221BC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6480" w:type="dxa"/>
            <w:gridSpan w:val="2"/>
            <w:vAlign w:val="center"/>
          </w:tcPr>
          <w:p w14:paraId="153483F6">
            <w:pPr>
              <w:widowControl w:val="0"/>
              <w:spacing w:line="360" w:lineRule="exact"/>
              <w:jc w:val="center"/>
              <w:rPr>
                <w:rFonts w:ascii="宋体" w:hAnsi="宋体" w:eastAsia="宋体" w:cs="Times New Roman"/>
                <w:b/>
                <w:bCs/>
                <w:kern w:val="2"/>
                <w:sz w:val="21"/>
                <w:szCs w:val="24"/>
                <w:lang w:val="en-US" w:eastAsia="zh-CN" w:bidi="ar-SA"/>
              </w:rPr>
            </w:pPr>
            <w:r>
              <w:rPr>
                <w:rFonts w:hint="eastAsia" w:ascii="宋体" w:hAnsi="宋体" w:eastAsia="宋体" w:cs="Times New Roman"/>
                <w:b/>
                <w:bCs/>
                <w:kern w:val="2"/>
                <w:sz w:val="21"/>
                <w:szCs w:val="24"/>
                <w:lang w:val="en-US" w:eastAsia="zh-CN" w:bidi="ar-SA"/>
              </w:rPr>
              <w:t>部件</w:t>
            </w:r>
          </w:p>
        </w:tc>
        <w:tc>
          <w:tcPr>
            <w:tcW w:w="3060" w:type="dxa"/>
            <w:vAlign w:val="center"/>
          </w:tcPr>
          <w:p w14:paraId="52A27B5E">
            <w:pPr>
              <w:widowControl w:val="0"/>
              <w:spacing w:line="360" w:lineRule="exact"/>
              <w:jc w:val="center"/>
              <w:rPr>
                <w:rFonts w:ascii="宋体" w:hAnsi="宋体" w:eastAsia="宋体" w:cs="Times New Roman"/>
                <w:b/>
                <w:bCs/>
                <w:kern w:val="2"/>
                <w:sz w:val="21"/>
                <w:szCs w:val="24"/>
                <w:lang w:val="en-US" w:eastAsia="zh-CN" w:bidi="ar-SA"/>
              </w:rPr>
            </w:pPr>
            <w:r>
              <w:rPr>
                <w:rFonts w:hint="eastAsia" w:ascii="宋体" w:hAnsi="宋体" w:eastAsia="宋体" w:cs="Times New Roman"/>
                <w:b/>
                <w:bCs/>
                <w:kern w:val="2"/>
                <w:sz w:val="21"/>
                <w:szCs w:val="24"/>
                <w:lang w:val="en-US" w:eastAsia="zh-CN" w:bidi="ar-SA"/>
              </w:rPr>
              <w:t>温升（℃）</w:t>
            </w:r>
          </w:p>
        </w:tc>
      </w:tr>
      <w:tr w14:paraId="1B38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240" w:type="dxa"/>
            <w:vAlign w:val="center"/>
          </w:tcPr>
          <w:p w14:paraId="4BE1ABA7">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铜母线的接头</w:t>
            </w:r>
          </w:p>
        </w:tc>
        <w:tc>
          <w:tcPr>
            <w:tcW w:w="3240" w:type="dxa"/>
            <w:vAlign w:val="center"/>
          </w:tcPr>
          <w:p w14:paraId="7A60E8F8">
            <w:pPr>
              <w:widowControl w:val="0"/>
              <w:spacing w:line="360" w:lineRule="exact"/>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接触处无被覆层</w:t>
            </w:r>
          </w:p>
          <w:p w14:paraId="25666D4F">
            <w:pPr>
              <w:widowControl w:val="0"/>
              <w:spacing w:line="360" w:lineRule="exact"/>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接触处搪锡</w:t>
            </w:r>
          </w:p>
          <w:p w14:paraId="36A51329">
            <w:pPr>
              <w:widowControl w:val="0"/>
              <w:spacing w:line="360" w:lineRule="exact"/>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接触处镀银或镀镍</w:t>
            </w:r>
          </w:p>
        </w:tc>
        <w:tc>
          <w:tcPr>
            <w:tcW w:w="3060" w:type="dxa"/>
          </w:tcPr>
          <w:p w14:paraId="6FC0EDCE">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50</w:t>
            </w:r>
          </w:p>
          <w:p w14:paraId="6F9201AF">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50</w:t>
            </w:r>
          </w:p>
          <w:p w14:paraId="7D993917">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60</w:t>
            </w:r>
          </w:p>
        </w:tc>
      </w:tr>
      <w:tr w14:paraId="5440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3240" w:type="dxa"/>
            <w:vAlign w:val="center"/>
          </w:tcPr>
          <w:p w14:paraId="23D1291A">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铝母线的接头</w:t>
            </w:r>
          </w:p>
        </w:tc>
        <w:tc>
          <w:tcPr>
            <w:tcW w:w="3240" w:type="dxa"/>
            <w:vAlign w:val="center"/>
          </w:tcPr>
          <w:p w14:paraId="3CA638D5">
            <w:pPr>
              <w:widowControl w:val="0"/>
              <w:spacing w:line="360" w:lineRule="exact"/>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接触处超声波搪锡</w:t>
            </w:r>
          </w:p>
        </w:tc>
        <w:tc>
          <w:tcPr>
            <w:tcW w:w="3060" w:type="dxa"/>
          </w:tcPr>
          <w:p w14:paraId="1DBA0319">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50</w:t>
            </w:r>
          </w:p>
        </w:tc>
      </w:tr>
      <w:tr w14:paraId="700E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6480" w:type="dxa"/>
            <w:gridSpan w:val="2"/>
            <w:vAlign w:val="center"/>
          </w:tcPr>
          <w:p w14:paraId="468C6715">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其它金属母线接头</w:t>
            </w:r>
          </w:p>
        </w:tc>
        <w:tc>
          <w:tcPr>
            <w:tcW w:w="3060" w:type="dxa"/>
            <w:vAlign w:val="center"/>
          </w:tcPr>
          <w:p w14:paraId="670D60CD">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55</w:t>
            </w:r>
          </w:p>
        </w:tc>
      </w:tr>
      <w:tr w14:paraId="4BA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3240" w:type="dxa"/>
            <w:vAlign w:val="center"/>
          </w:tcPr>
          <w:p w14:paraId="1A00961E">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熔断器触头</w:t>
            </w:r>
          </w:p>
        </w:tc>
        <w:tc>
          <w:tcPr>
            <w:tcW w:w="3240" w:type="dxa"/>
            <w:vAlign w:val="center"/>
          </w:tcPr>
          <w:p w14:paraId="12C79799">
            <w:pPr>
              <w:widowControl w:val="0"/>
              <w:spacing w:line="360" w:lineRule="exact"/>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接触处镀锡</w:t>
            </w:r>
          </w:p>
          <w:p w14:paraId="79CC7852">
            <w:pPr>
              <w:widowControl w:val="0"/>
              <w:spacing w:line="360" w:lineRule="exact"/>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接触处镀银或镀镍</w:t>
            </w:r>
          </w:p>
        </w:tc>
        <w:tc>
          <w:tcPr>
            <w:tcW w:w="3060" w:type="dxa"/>
          </w:tcPr>
          <w:p w14:paraId="58591BE9">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50</w:t>
            </w:r>
          </w:p>
          <w:p w14:paraId="603D080D">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60</w:t>
            </w:r>
          </w:p>
        </w:tc>
      </w:tr>
      <w:tr w14:paraId="5FB8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480" w:type="dxa"/>
            <w:gridSpan w:val="2"/>
            <w:vAlign w:val="center"/>
          </w:tcPr>
          <w:p w14:paraId="47112F32">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刀开关触头（紫铜或其合金制品）</w:t>
            </w:r>
          </w:p>
        </w:tc>
        <w:tc>
          <w:tcPr>
            <w:tcW w:w="3060" w:type="dxa"/>
            <w:vAlign w:val="center"/>
          </w:tcPr>
          <w:p w14:paraId="517713E9">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50</w:t>
            </w:r>
          </w:p>
        </w:tc>
      </w:tr>
      <w:tr w14:paraId="5C096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3240" w:type="dxa"/>
            <w:vAlign w:val="center"/>
          </w:tcPr>
          <w:p w14:paraId="449FFE5E">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可能会触及的壳体</w:t>
            </w:r>
          </w:p>
        </w:tc>
        <w:tc>
          <w:tcPr>
            <w:tcW w:w="3240" w:type="dxa"/>
            <w:vAlign w:val="center"/>
          </w:tcPr>
          <w:p w14:paraId="1B5A49E6">
            <w:pPr>
              <w:widowControl w:val="0"/>
              <w:spacing w:line="360" w:lineRule="exact"/>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金属表面</w:t>
            </w:r>
          </w:p>
          <w:p w14:paraId="1F6CC351">
            <w:pPr>
              <w:widowControl w:val="0"/>
              <w:spacing w:line="360" w:lineRule="exact"/>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绝缘表面</w:t>
            </w:r>
          </w:p>
          <w:p w14:paraId="21AEB93F">
            <w:pPr>
              <w:widowControl w:val="0"/>
              <w:spacing w:line="360" w:lineRule="exact"/>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塑料绝缘导线表面</w:t>
            </w:r>
          </w:p>
        </w:tc>
        <w:tc>
          <w:tcPr>
            <w:tcW w:w="3060" w:type="dxa"/>
          </w:tcPr>
          <w:p w14:paraId="5CB52F62">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30</w:t>
            </w:r>
          </w:p>
          <w:p w14:paraId="102E7122">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40</w:t>
            </w:r>
          </w:p>
          <w:p w14:paraId="5CCE6C01">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20</w:t>
            </w:r>
          </w:p>
        </w:tc>
      </w:tr>
    </w:tbl>
    <w:p w14:paraId="507F2535">
      <w:pPr>
        <w:ind w:firstLine="420"/>
        <w:rPr>
          <w:rFonts w:ascii="Times New Roman" w:hAnsi="Times New Roman" w:eastAsia="宋体" w:cs="Times New Roman"/>
        </w:rPr>
      </w:pPr>
      <w:r>
        <w:rPr>
          <w:rFonts w:hint="eastAsia" w:ascii="Times New Roman" w:hAnsi="Times New Roman" w:eastAsia="宋体" w:cs="Times New Roman"/>
        </w:rPr>
        <w:t>注：衡量温升的基准温度是室内温度，如室温超过28℃，按28℃计算。</w:t>
      </w:r>
    </w:p>
    <w:p w14:paraId="431E3034">
      <w:pPr>
        <w:numPr>
          <w:ilvl w:val="0"/>
          <w:numId w:val="12"/>
        </w:numPr>
        <w:spacing w:line="360" w:lineRule="exact"/>
        <w:ind w:left="0" w:firstLine="420"/>
        <w:rPr>
          <w:rFonts w:hint="eastAsia" w:ascii="Times New Roman" w:hAnsi="宋体-18030" w:eastAsia="宋体" w:cs="宋体-18030"/>
        </w:rPr>
      </w:pPr>
      <w:r>
        <w:rPr>
          <w:rFonts w:hint="eastAsia" w:ascii="Times New Roman" w:hAnsi="宋体-18030" w:eastAsia="宋体" w:cs="宋体-18030"/>
        </w:rPr>
        <w:t>电源设备安全运行最大负载率</w:t>
      </w:r>
    </w:p>
    <w:p w14:paraId="20DAAE80">
      <w:pPr>
        <w:autoSpaceDE w:val="0"/>
        <w:autoSpaceDN w:val="0"/>
        <w:adjustRightInd w:val="0"/>
        <w:spacing w:line="360" w:lineRule="atLeast"/>
        <w:ind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 直流电源系统：</w:t>
      </w:r>
    </w:p>
    <w:p w14:paraId="57FAC866">
      <w:pPr>
        <w:autoSpaceDE w:val="0"/>
        <w:autoSpaceDN w:val="0"/>
        <w:adjustRightInd w:val="0"/>
        <w:spacing w:line="360" w:lineRule="atLeast"/>
        <w:ind w:left="62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在蓄电池后备时间满足要求的前提下，长期带载容量≤最大可输出电流（系统总容量）-冗余模块额定输出电流-蓄电池充电电流；</w:t>
      </w:r>
    </w:p>
    <w:p w14:paraId="466E1970">
      <w:pPr>
        <w:autoSpaceDE w:val="0"/>
        <w:autoSpaceDN w:val="0"/>
        <w:adjustRightInd w:val="0"/>
        <w:spacing w:line="360" w:lineRule="atLeast"/>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2. 蓄电池：</w:t>
      </w:r>
    </w:p>
    <w:p w14:paraId="1D3BA559">
      <w:pPr>
        <w:autoSpaceDE w:val="0"/>
        <w:autoSpaceDN w:val="0"/>
        <w:adjustRightInd w:val="0"/>
        <w:spacing w:line="360" w:lineRule="atLeast"/>
        <w:ind w:left="620"/>
        <w:jc w:val="left"/>
        <w:rPr>
          <w:rFonts w:ascii="Times New Roman" w:hAnsi="Times New Roman" w:eastAsia="宋体" w:cs="Times New Roman"/>
          <w:szCs w:val="21"/>
        </w:rPr>
      </w:pPr>
      <w:r>
        <w:rPr>
          <w:rFonts w:hint="eastAsia" w:ascii="Times New Roman" w:hAnsi="Times New Roman" w:eastAsia="宋体" w:cs="Times New Roman"/>
          <w:szCs w:val="21"/>
        </w:rPr>
        <w:t>随着使用时间增长，蓄电池最大通流电流将降低。</w:t>
      </w:r>
    </w:p>
    <w:bookmarkEnd w:id="1445"/>
    <w:p w14:paraId="0CA1663F">
      <w:pPr>
        <w:rPr>
          <w:rFonts w:ascii="Times New Roman" w:hAnsi="Times New Roman" w:eastAsia="宋体" w:cs="Times New Roman"/>
        </w:rPr>
      </w:pPr>
      <w:bookmarkStart w:id="1447" w:name="_Toc347307732"/>
      <w:bookmarkStart w:id="1448" w:name="_Toc55636738"/>
      <w:r>
        <w:rPr>
          <w:rFonts w:hint="eastAsia" w:ascii="Times New Roman" w:hAnsi="Times New Roman" w:eastAsia="宋体" w:cs="Times New Roman"/>
        </w:rPr>
        <w:t>第二节维护等级指标</w:t>
      </w:r>
      <w:bookmarkEnd w:id="1447"/>
    </w:p>
    <w:p w14:paraId="0AAD19EF">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各类通信局站防护等级、接地电阻值及防护要求应符合下面要求：</w:t>
      </w:r>
    </w:p>
    <w:tbl>
      <w:tblPr>
        <w:tblStyle w:val="41"/>
        <w:tblW w:w="4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4"/>
        <w:gridCol w:w="1045"/>
        <w:gridCol w:w="2617"/>
        <w:gridCol w:w="2650"/>
      </w:tblGrid>
      <w:tr w14:paraId="7631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1960" w:type="dxa"/>
            <w:vAlign w:val="center"/>
          </w:tcPr>
          <w:p w14:paraId="51872BAA">
            <w:pPr>
              <w:widowControl w:val="0"/>
              <w:spacing w:line="360" w:lineRule="exact"/>
              <w:jc w:val="center"/>
              <w:rPr>
                <w:rFonts w:ascii="宋体" w:hAnsi="宋体" w:eastAsia="宋体" w:cs="Times New Roman"/>
                <w:b/>
                <w:bCs/>
                <w:kern w:val="2"/>
                <w:sz w:val="21"/>
                <w:szCs w:val="24"/>
                <w:highlight w:val="none"/>
                <w:lang w:val="en-US" w:eastAsia="zh-CN" w:bidi="ar-SA"/>
              </w:rPr>
            </w:pPr>
            <w:r>
              <w:rPr>
                <w:rFonts w:hint="eastAsia" w:ascii="宋体" w:hAnsi="宋体" w:eastAsia="宋体" w:cs="Times New Roman"/>
                <w:b/>
                <w:bCs/>
                <w:kern w:val="2"/>
                <w:sz w:val="21"/>
                <w:szCs w:val="24"/>
                <w:highlight w:val="none"/>
                <w:lang w:val="en-US" w:eastAsia="zh-CN" w:bidi="ar-SA"/>
              </w:rPr>
              <w:t>通信局站名称</w:t>
            </w:r>
          </w:p>
        </w:tc>
        <w:tc>
          <w:tcPr>
            <w:tcW w:w="1123" w:type="dxa"/>
            <w:vAlign w:val="center"/>
          </w:tcPr>
          <w:p w14:paraId="4CB1EBDA">
            <w:pPr>
              <w:widowControl w:val="0"/>
              <w:spacing w:line="360" w:lineRule="exact"/>
              <w:jc w:val="center"/>
              <w:rPr>
                <w:rFonts w:ascii="宋体" w:hAnsi="宋体" w:eastAsia="宋体" w:cs="Times New Roman"/>
                <w:b/>
                <w:bCs/>
                <w:kern w:val="2"/>
                <w:sz w:val="21"/>
                <w:szCs w:val="24"/>
                <w:highlight w:val="none"/>
                <w:lang w:val="en-US" w:eastAsia="zh-CN" w:bidi="ar-SA"/>
              </w:rPr>
            </w:pPr>
            <w:r>
              <w:rPr>
                <w:rFonts w:hint="eastAsia" w:ascii="宋体" w:hAnsi="宋体" w:eastAsia="宋体" w:cs="Times New Roman"/>
                <w:b/>
                <w:bCs/>
                <w:kern w:val="2"/>
                <w:sz w:val="21"/>
                <w:szCs w:val="24"/>
                <w:highlight w:val="none"/>
                <w:lang w:val="en-US" w:eastAsia="zh-CN" w:bidi="ar-SA"/>
              </w:rPr>
              <w:t>雷暴日数</w:t>
            </w:r>
          </w:p>
        </w:tc>
        <w:tc>
          <w:tcPr>
            <w:tcW w:w="2886" w:type="dxa"/>
            <w:vAlign w:val="center"/>
          </w:tcPr>
          <w:p w14:paraId="654CED67">
            <w:pPr>
              <w:widowControl w:val="0"/>
              <w:spacing w:line="360" w:lineRule="exact"/>
              <w:jc w:val="center"/>
              <w:rPr>
                <w:rFonts w:ascii="宋体" w:hAnsi="宋体" w:eastAsia="宋体" w:cs="Times New Roman"/>
                <w:b/>
                <w:bCs/>
                <w:kern w:val="2"/>
                <w:sz w:val="21"/>
                <w:szCs w:val="24"/>
                <w:highlight w:val="none"/>
                <w:lang w:val="en-US" w:eastAsia="zh-CN" w:bidi="ar-SA"/>
              </w:rPr>
            </w:pPr>
            <w:r>
              <w:rPr>
                <w:rFonts w:hint="eastAsia" w:ascii="宋体" w:hAnsi="宋体" w:eastAsia="宋体" w:cs="Times New Roman"/>
                <w:b/>
                <w:bCs/>
                <w:kern w:val="2"/>
                <w:sz w:val="21"/>
                <w:szCs w:val="24"/>
                <w:highlight w:val="none"/>
                <w:lang w:val="en-US" w:eastAsia="zh-CN" w:bidi="ar-SA"/>
              </w:rPr>
              <w:t>接地电阻（参考值）</w:t>
            </w:r>
          </w:p>
        </w:tc>
        <w:tc>
          <w:tcPr>
            <w:tcW w:w="2956" w:type="dxa"/>
            <w:vAlign w:val="center"/>
          </w:tcPr>
          <w:p w14:paraId="2A44B0C1">
            <w:pPr>
              <w:widowControl w:val="0"/>
              <w:spacing w:line="360" w:lineRule="exact"/>
              <w:jc w:val="center"/>
              <w:rPr>
                <w:rFonts w:ascii="宋体" w:hAnsi="宋体" w:eastAsia="宋体" w:cs="Times New Roman"/>
                <w:b/>
                <w:bCs/>
                <w:kern w:val="2"/>
                <w:sz w:val="21"/>
                <w:szCs w:val="24"/>
                <w:highlight w:val="none"/>
                <w:lang w:val="en-US" w:eastAsia="zh-CN" w:bidi="ar-SA"/>
              </w:rPr>
            </w:pPr>
            <w:r>
              <w:rPr>
                <w:rFonts w:hint="eastAsia" w:ascii="宋体" w:hAnsi="宋体" w:eastAsia="宋体" w:cs="Times New Roman"/>
                <w:b/>
                <w:bCs/>
                <w:kern w:val="2"/>
                <w:sz w:val="21"/>
                <w:szCs w:val="24"/>
                <w:highlight w:val="none"/>
                <w:lang w:val="en-US" w:eastAsia="zh-CN" w:bidi="ar-SA"/>
              </w:rPr>
              <w:t>防护要求</w:t>
            </w:r>
          </w:p>
        </w:tc>
      </w:tr>
      <w:tr w14:paraId="0B63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jc w:val="center"/>
        </w:trPr>
        <w:tc>
          <w:tcPr>
            <w:tcW w:w="1960" w:type="dxa"/>
            <w:vMerge w:val="restart"/>
            <w:vAlign w:val="center"/>
          </w:tcPr>
          <w:p w14:paraId="4207F38B">
            <w:pPr>
              <w:widowControl w:val="0"/>
              <w:spacing w:line="360" w:lineRule="exact"/>
              <w:jc w:val="both"/>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国际长途局、汇接局、长途局、关口局、大型综合枢纽局</w:t>
            </w:r>
          </w:p>
        </w:tc>
        <w:tc>
          <w:tcPr>
            <w:tcW w:w="1123" w:type="dxa"/>
            <w:vAlign w:val="center"/>
          </w:tcPr>
          <w:p w14:paraId="6FEBE266">
            <w:pPr>
              <w:widowControl w:val="0"/>
              <w:spacing w:line="360" w:lineRule="exact"/>
              <w:jc w:val="center"/>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≥40</w:t>
            </w:r>
          </w:p>
        </w:tc>
        <w:tc>
          <w:tcPr>
            <w:tcW w:w="2886" w:type="dxa"/>
            <w:vAlign w:val="center"/>
          </w:tcPr>
          <w:p w14:paraId="64F0485C">
            <w:pPr>
              <w:widowControl w:val="0"/>
              <w:spacing w:line="360" w:lineRule="exact"/>
              <w:jc w:val="center"/>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≤1Ω</w:t>
            </w:r>
          </w:p>
        </w:tc>
        <w:tc>
          <w:tcPr>
            <w:tcW w:w="2956" w:type="dxa"/>
            <w:vAlign w:val="center"/>
          </w:tcPr>
          <w:p w14:paraId="227488EC">
            <w:pPr>
              <w:widowControl w:val="0"/>
              <w:spacing w:line="360" w:lineRule="exact"/>
              <w:jc w:val="both"/>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1、三级电源防雷、市电油机切换控制板有专门的避雷器保护；</w:t>
            </w:r>
          </w:p>
          <w:p w14:paraId="58DE0D6E">
            <w:pPr>
              <w:widowControl w:val="0"/>
              <w:spacing w:line="360" w:lineRule="exact"/>
              <w:jc w:val="both"/>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2、楼顶或者铁塔有非常完善的防直击雷装置；</w:t>
            </w:r>
          </w:p>
          <w:p w14:paraId="5D53FCE2">
            <w:pPr>
              <w:widowControl w:val="0"/>
              <w:spacing w:line="360" w:lineRule="exact"/>
              <w:jc w:val="both"/>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3、交换、数据、计算机网络有完善的防雷装置；</w:t>
            </w:r>
          </w:p>
          <w:p w14:paraId="6C602527">
            <w:pPr>
              <w:widowControl w:val="0"/>
              <w:spacing w:line="360" w:lineRule="exact"/>
              <w:jc w:val="both"/>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4、市电进局采用套上20米以上铁管的地下电力电缆。</w:t>
            </w:r>
          </w:p>
        </w:tc>
      </w:tr>
      <w:tr w14:paraId="2E15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0" w:type="dxa"/>
            <w:vMerge w:val="continue"/>
            <w:vAlign w:val="center"/>
          </w:tcPr>
          <w:p w14:paraId="490C87CB">
            <w:pPr>
              <w:widowControl w:val="0"/>
              <w:spacing w:line="360" w:lineRule="exact"/>
              <w:jc w:val="both"/>
              <w:rPr>
                <w:rFonts w:ascii="宋体" w:hAnsi="宋体" w:eastAsia="宋体" w:cs="Times New Roman"/>
                <w:kern w:val="2"/>
                <w:sz w:val="21"/>
                <w:szCs w:val="24"/>
                <w:highlight w:val="none"/>
                <w:lang w:val="en-US" w:eastAsia="zh-CN" w:bidi="ar-SA"/>
              </w:rPr>
            </w:pPr>
          </w:p>
        </w:tc>
        <w:tc>
          <w:tcPr>
            <w:tcW w:w="1123" w:type="dxa"/>
            <w:vAlign w:val="center"/>
          </w:tcPr>
          <w:p w14:paraId="716C94DA">
            <w:pPr>
              <w:widowControl w:val="0"/>
              <w:spacing w:line="360" w:lineRule="exact"/>
              <w:jc w:val="center"/>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&lt;40</w:t>
            </w:r>
          </w:p>
        </w:tc>
        <w:tc>
          <w:tcPr>
            <w:tcW w:w="2886" w:type="dxa"/>
            <w:vAlign w:val="center"/>
          </w:tcPr>
          <w:p w14:paraId="0981699A">
            <w:pPr>
              <w:widowControl w:val="0"/>
              <w:spacing w:line="360" w:lineRule="exact"/>
              <w:jc w:val="center"/>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≤1Ω</w:t>
            </w:r>
          </w:p>
        </w:tc>
        <w:tc>
          <w:tcPr>
            <w:tcW w:w="2956" w:type="dxa"/>
          </w:tcPr>
          <w:p w14:paraId="2E5573C6">
            <w:pPr>
              <w:widowControl w:val="0"/>
              <w:spacing w:line="360" w:lineRule="exact"/>
              <w:jc w:val="both"/>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至少一级电源防雷。</w:t>
            </w:r>
          </w:p>
        </w:tc>
      </w:tr>
      <w:tr w14:paraId="20AD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60" w:type="dxa"/>
            <w:vMerge w:val="restart"/>
            <w:vAlign w:val="center"/>
          </w:tcPr>
          <w:p w14:paraId="2EB1FEBB">
            <w:pPr>
              <w:widowControl w:val="0"/>
              <w:spacing w:line="360" w:lineRule="exact"/>
              <w:jc w:val="both"/>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支局、模块局、卫星地球站、微波枢纽站、有重要客户和大客户的接入网</w:t>
            </w:r>
          </w:p>
        </w:tc>
        <w:tc>
          <w:tcPr>
            <w:tcW w:w="1123" w:type="dxa"/>
            <w:vAlign w:val="center"/>
          </w:tcPr>
          <w:p w14:paraId="74F747DE">
            <w:pPr>
              <w:widowControl w:val="0"/>
              <w:spacing w:line="360" w:lineRule="exact"/>
              <w:jc w:val="center"/>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≥40</w:t>
            </w:r>
          </w:p>
        </w:tc>
        <w:tc>
          <w:tcPr>
            <w:tcW w:w="2886" w:type="dxa"/>
            <w:vAlign w:val="center"/>
          </w:tcPr>
          <w:p w14:paraId="555E8786">
            <w:pPr>
              <w:widowControl w:val="0"/>
              <w:spacing w:line="360" w:lineRule="exact"/>
              <w:jc w:val="center"/>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≤3Ω</w:t>
            </w:r>
          </w:p>
        </w:tc>
        <w:tc>
          <w:tcPr>
            <w:tcW w:w="2956" w:type="dxa"/>
          </w:tcPr>
          <w:p w14:paraId="23A01E48">
            <w:pPr>
              <w:widowControl w:val="0"/>
              <w:spacing w:line="360" w:lineRule="exact"/>
              <w:jc w:val="both"/>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1、三级电源防雷；</w:t>
            </w:r>
          </w:p>
          <w:p w14:paraId="1F03E93B">
            <w:pPr>
              <w:widowControl w:val="0"/>
              <w:spacing w:line="360" w:lineRule="exact"/>
              <w:jc w:val="both"/>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2、楼顶或者铁塔有较完善的防直击雷装置。</w:t>
            </w:r>
          </w:p>
        </w:tc>
      </w:tr>
      <w:tr w14:paraId="32BFA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960" w:type="dxa"/>
            <w:vMerge w:val="continue"/>
            <w:vAlign w:val="center"/>
          </w:tcPr>
          <w:p w14:paraId="79C05B53">
            <w:pPr>
              <w:widowControl w:val="0"/>
              <w:spacing w:line="360" w:lineRule="exact"/>
              <w:jc w:val="both"/>
              <w:rPr>
                <w:rFonts w:ascii="宋体" w:hAnsi="宋体" w:eastAsia="宋体" w:cs="Times New Roman"/>
                <w:kern w:val="2"/>
                <w:sz w:val="21"/>
                <w:szCs w:val="24"/>
                <w:highlight w:val="none"/>
                <w:lang w:val="en-US" w:eastAsia="zh-CN" w:bidi="ar-SA"/>
              </w:rPr>
            </w:pPr>
          </w:p>
        </w:tc>
        <w:tc>
          <w:tcPr>
            <w:tcW w:w="1123" w:type="dxa"/>
            <w:vAlign w:val="center"/>
          </w:tcPr>
          <w:p w14:paraId="44CE0268">
            <w:pPr>
              <w:widowControl w:val="0"/>
              <w:spacing w:line="360" w:lineRule="exact"/>
              <w:jc w:val="center"/>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&lt;40</w:t>
            </w:r>
          </w:p>
        </w:tc>
        <w:tc>
          <w:tcPr>
            <w:tcW w:w="2886" w:type="dxa"/>
            <w:vAlign w:val="center"/>
          </w:tcPr>
          <w:p w14:paraId="3341C13C">
            <w:pPr>
              <w:widowControl w:val="0"/>
              <w:spacing w:line="360" w:lineRule="exact"/>
              <w:jc w:val="center"/>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≤3Ω</w:t>
            </w:r>
          </w:p>
        </w:tc>
        <w:tc>
          <w:tcPr>
            <w:tcW w:w="2956" w:type="dxa"/>
            <w:vAlign w:val="center"/>
          </w:tcPr>
          <w:p w14:paraId="06D1E4EB">
            <w:pPr>
              <w:widowControl w:val="0"/>
              <w:spacing w:line="360" w:lineRule="exact"/>
              <w:jc w:val="both"/>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至少一级电源防雷。</w:t>
            </w:r>
          </w:p>
        </w:tc>
      </w:tr>
      <w:tr w14:paraId="59EB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960" w:type="dxa"/>
            <w:vMerge w:val="restart"/>
            <w:vAlign w:val="center"/>
          </w:tcPr>
          <w:p w14:paraId="2E7B5268">
            <w:pPr>
              <w:widowControl w:val="0"/>
              <w:spacing w:line="360" w:lineRule="exact"/>
              <w:jc w:val="both"/>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雷害严重地区农村接入网、无线基站</w:t>
            </w:r>
          </w:p>
        </w:tc>
        <w:tc>
          <w:tcPr>
            <w:tcW w:w="1123" w:type="dxa"/>
            <w:vAlign w:val="center"/>
          </w:tcPr>
          <w:p w14:paraId="7C892DD2">
            <w:pPr>
              <w:widowControl w:val="0"/>
              <w:spacing w:line="360" w:lineRule="exact"/>
              <w:jc w:val="center"/>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≥40</w:t>
            </w:r>
          </w:p>
        </w:tc>
        <w:tc>
          <w:tcPr>
            <w:tcW w:w="2886" w:type="dxa"/>
            <w:vAlign w:val="center"/>
          </w:tcPr>
          <w:p w14:paraId="4ABE7C9A">
            <w:pPr>
              <w:widowControl w:val="0"/>
              <w:spacing w:line="360" w:lineRule="exact"/>
              <w:jc w:val="center"/>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≤5Ω</w:t>
            </w:r>
          </w:p>
        </w:tc>
        <w:tc>
          <w:tcPr>
            <w:tcW w:w="2956" w:type="dxa"/>
            <w:vAlign w:val="center"/>
          </w:tcPr>
          <w:p w14:paraId="4F2F058F">
            <w:pPr>
              <w:widowControl w:val="0"/>
              <w:spacing w:line="360" w:lineRule="exact"/>
              <w:jc w:val="both"/>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二级或三级电源防雷。</w:t>
            </w:r>
          </w:p>
        </w:tc>
      </w:tr>
      <w:tr w14:paraId="6DE2C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0" w:type="dxa"/>
            <w:vMerge w:val="continue"/>
            <w:vAlign w:val="center"/>
          </w:tcPr>
          <w:p w14:paraId="0BB45BD7">
            <w:pPr>
              <w:widowControl w:val="0"/>
              <w:spacing w:line="360" w:lineRule="exact"/>
              <w:jc w:val="both"/>
              <w:rPr>
                <w:rFonts w:ascii="宋体" w:hAnsi="宋体" w:eastAsia="宋体" w:cs="Times New Roman"/>
                <w:kern w:val="2"/>
                <w:sz w:val="21"/>
                <w:szCs w:val="24"/>
                <w:highlight w:val="none"/>
                <w:lang w:val="en-US" w:eastAsia="zh-CN" w:bidi="ar-SA"/>
              </w:rPr>
            </w:pPr>
          </w:p>
        </w:tc>
        <w:tc>
          <w:tcPr>
            <w:tcW w:w="1123" w:type="dxa"/>
            <w:vAlign w:val="center"/>
          </w:tcPr>
          <w:p w14:paraId="3D6A1517">
            <w:pPr>
              <w:widowControl w:val="0"/>
              <w:spacing w:line="360" w:lineRule="exact"/>
              <w:jc w:val="center"/>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&lt;40</w:t>
            </w:r>
          </w:p>
        </w:tc>
        <w:tc>
          <w:tcPr>
            <w:tcW w:w="2886" w:type="dxa"/>
            <w:vAlign w:val="center"/>
          </w:tcPr>
          <w:p w14:paraId="7B516A26">
            <w:pPr>
              <w:widowControl w:val="0"/>
              <w:spacing w:line="360" w:lineRule="exact"/>
              <w:jc w:val="center"/>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≤5Ω</w:t>
            </w:r>
          </w:p>
        </w:tc>
        <w:tc>
          <w:tcPr>
            <w:tcW w:w="2956" w:type="dxa"/>
            <w:vAlign w:val="center"/>
          </w:tcPr>
          <w:p w14:paraId="65E28CCC">
            <w:pPr>
              <w:widowControl w:val="0"/>
              <w:spacing w:line="360" w:lineRule="exact"/>
              <w:jc w:val="both"/>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至少一级电源防雷。</w:t>
            </w:r>
          </w:p>
        </w:tc>
      </w:tr>
      <w:tr w14:paraId="1792C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60" w:type="dxa"/>
            <w:vAlign w:val="center"/>
          </w:tcPr>
          <w:p w14:paraId="712088B5">
            <w:pPr>
              <w:widowControl w:val="0"/>
              <w:spacing w:line="360" w:lineRule="exact"/>
              <w:jc w:val="both"/>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高山微波站、光纤中继站</w:t>
            </w:r>
          </w:p>
        </w:tc>
        <w:tc>
          <w:tcPr>
            <w:tcW w:w="1123" w:type="dxa"/>
            <w:vAlign w:val="center"/>
          </w:tcPr>
          <w:p w14:paraId="11C0086A">
            <w:pPr>
              <w:widowControl w:val="0"/>
              <w:spacing w:line="360" w:lineRule="exact"/>
              <w:jc w:val="center"/>
              <w:rPr>
                <w:rFonts w:ascii="宋体" w:hAnsi="宋体" w:eastAsia="宋体" w:cs="Times New Roman"/>
                <w:kern w:val="2"/>
                <w:sz w:val="21"/>
                <w:szCs w:val="24"/>
                <w:highlight w:val="none"/>
                <w:lang w:val="en-US" w:eastAsia="zh-CN" w:bidi="ar-SA"/>
              </w:rPr>
            </w:pPr>
          </w:p>
        </w:tc>
        <w:tc>
          <w:tcPr>
            <w:tcW w:w="2886" w:type="dxa"/>
          </w:tcPr>
          <w:p w14:paraId="1EC09C1D">
            <w:pPr>
              <w:widowControl w:val="0"/>
              <w:spacing w:line="360" w:lineRule="exact"/>
              <w:jc w:val="center"/>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≤5Ω（地质恶劣时可放大到10Ω）</w:t>
            </w:r>
          </w:p>
        </w:tc>
        <w:tc>
          <w:tcPr>
            <w:tcW w:w="2956" w:type="dxa"/>
            <w:vAlign w:val="center"/>
          </w:tcPr>
          <w:p w14:paraId="49CBF104">
            <w:pPr>
              <w:widowControl w:val="0"/>
              <w:spacing w:line="360" w:lineRule="exact"/>
              <w:jc w:val="both"/>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二级或三级电源防雷。</w:t>
            </w:r>
          </w:p>
        </w:tc>
      </w:tr>
      <w:tr w14:paraId="55D9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60" w:type="dxa"/>
            <w:vAlign w:val="center"/>
          </w:tcPr>
          <w:p w14:paraId="3FCAC363">
            <w:pPr>
              <w:widowControl w:val="0"/>
              <w:spacing w:line="360" w:lineRule="exact"/>
              <w:jc w:val="both"/>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雷害一般地区（包括市区）接入网</w:t>
            </w:r>
          </w:p>
        </w:tc>
        <w:tc>
          <w:tcPr>
            <w:tcW w:w="1123" w:type="dxa"/>
            <w:vAlign w:val="center"/>
          </w:tcPr>
          <w:p w14:paraId="159253D6">
            <w:pPr>
              <w:widowControl w:val="0"/>
              <w:spacing w:line="360" w:lineRule="exact"/>
              <w:jc w:val="center"/>
              <w:rPr>
                <w:rFonts w:ascii="宋体" w:hAnsi="宋体" w:eastAsia="宋体" w:cs="Times New Roman"/>
                <w:kern w:val="2"/>
                <w:sz w:val="21"/>
                <w:szCs w:val="24"/>
                <w:highlight w:val="none"/>
                <w:lang w:val="en-US" w:eastAsia="zh-CN" w:bidi="ar-SA"/>
              </w:rPr>
            </w:pPr>
          </w:p>
        </w:tc>
        <w:tc>
          <w:tcPr>
            <w:tcW w:w="2886" w:type="dxa"/>
            <w:vAlign w:val="center"/>
          </w:tcPr>
          <w:p w14:paraId="005F928F">
            <w:pPr>
              <w:widowControl w:val="0"/>
              <w:spacing w:line="360" w:lineRule="exact"/>
              <w:jc w:val="center"/>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≤10Ω</w:t>
            </w:r>
          </w:p>
        </w:tc>
        <w:tc>
          <w:tcPr>
            <w:tcW w:w="2956" w:type="dxa"/>
            <w:vAlign w:val="center"/>
          </w:tcPr>
          <w:p w14:paraId="3BCA7292">
            <w:pPr>
              <w:widowControl w:val="0"/>
              <w:spacing w:line="360" w:lineRule="exact"/>
              <w:jc w:val="both"/>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一级或二级电源防雷。</w:t>
            </w:r>
          </w:p>
        </w:tc>
      </w:tr>
      <w:tr w14:paraId="00A7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jc w:val="center"/>
        </w:trPr>
        <w:tc>
          <w:tcPr>
            <w:tcW w:w="1960" w:type="dxa"/>
            <w:vAlign w:val="center"/>
          </w:tcPr>
          <w:p w14:paraId="0DB2300F">
            <w:pPr>
              <w:widowControl w:val="0"/>
              <w:spacing w:line="360" w:lineRule="exact"/>
              <w:jc w:val="both"/>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电力电缆与架空电力线接口处防雷接地</w:t>
            </w:r>
          </w:p>
        </w:tc>
        <w:tc>
          <w:tcPr>
            <w:tcW w:w="1123" w:type="dxa"/>
            <w:vAlign w:val="center"/>
          </w:tcPr>
          <w:p w14:paraId="7337A523">
            <w:pPr>
              <w:widowControl w:val="0"/>
              <w:spacing w:line="360" w:lineRule="exact"/>
              <w:jc w:val="center"/>
              <w:rPr>
                <w:rFonts w:ascii="宋体" w:hAnsi="宋体" w:eastAsia="宋体" w:cs="Times New Roman"/>
                <w:kern w:val="2"/>
                <w:sz w:val="21"/>
                <w:szCs w:val="24"/>
                <w:highlight w:val="none"/>
                <w:lang w:val="en-US" w:eastAsia="zh-CN" w:bidi="ar-SA"/>
              </w:rPr>
            </w:pPr>
          </w:p>
        </w:tc>
        <w:tc>
          <w:tcPr>
            <w:tcW w:w="2886" w:type="dxa"/>
          </w:tcPr>
          <w:p w14:paraId="77744D62">
            <w:pPr>
              <w:widowControl w:val="0"/>
              <w:spacing w:line="360" w:lineRule="exact"/>
              <w:jc w:val="center"/>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1.电阻率小于100Ω.m时，小于10Ω；</w:t>
            </w:r>
          </w:p>
          <w:p w14:paraId="29216185">
            <w:pPr>
              <w:widowControl w:val="0"/>
              <w:spacing w:line="360" w:lineRule="exact"/>
              <w:jc w:val="center"/>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2.电阻率101Ω.m～500Ω.m时，小于15Ω；</w:t>
            </w:r>
          </w:p>
          <w:p w14:paraId="14DC2CCB">
            <w:pPr>
              <w:widowControl w:val="0"/>
              <w:spacing w:line="360" w:lineRule="exact"/>
              <w:jc w:val="center"/>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3.电阻率501Ω.m～1000Ω.m时，小于20Ω。</w:t>
            </w:r>
          </w:p>
        </w:tc>
        <w:tc>
          <w:tcPr>
            <w:tcW w:w="2956" w:type="dxa"/>
          </w:tcPr>
          <w:p w14:paraId="5981B9DA">
            <w:pPr>
              <w:widowControl w:val="0"/>
              <w:spacing w:line="360" w:lineRule="exact"/>
              <w:jc w:val="both"/>
              <w:rPr>
                <w:rFonts w:ascii="宋体" w:hAnsi="宋体" w:eastAsia="宋体" w:cs="Times New Roman"/>
                <w:kern w:val="2"/>
                <w:sz w:val="21"/>
                <w:szCs w:val="24"/>
                <w:highlight w:val="none"/>
                <w:lang w:val="en-US" w:eastAsia="zh-CN" w:bidi="ar-SA"/>
              </w:rPr>
            </w:pPr>
          </w:p>
        </w:tc>
      </w:tr>
    </w:tbl>
    <w:p w14:paraId="7F6D0F87">
      <w:pPr>
        <w:ind w:left="420"/>
        <w:rPr>
          <w:rFonts w:ascii="Times New Roman" w:hAnsi="Times New Roman" w:eastAsia="宋体" w:cs="Times New Roman"/>
          <w:highlight w:val="none"/>
        </w:rPr>
      </w:pPr>
      <w:r>
        <w:rPr>
          <w:rFonts w:hint="eastAsia" w:ascii="Times New Roman" w:hAnsi="Times New Roman" w:eastAsia="宋体" w:cs="Times New Roman"/>
          <w:highlight w:val="none"/>
        </w:rPr>
        <w:t>注：对于接地电阻值，可以作为接地情况是否良好的参考数值，定期（每年）测量一次，比较阻值变化情况来判断接地情况是否良好。</w:t>
      </w:r>
    </w:p>
    <w:p w14:paraId="25EEF6FC">
      <w:pPr>
        <w:numPr>
          <w:ilvl w:val="0"/>
          <w:numId w:val="12"/>
        </w:numPr>
        <w:spacing w:line="360" w:lineRule="exact"/>
        <w:ind w:left="0" w:firstLine="420"/>
        <w:rPr>
          <w:rFonts w:ascii="宋体-18030" w:hAnsi="宋体-18030" w:eastAsia="宋体-18030" w:cs="宋体-18030"/>
          <w:sz w:val="24"/>
          <w:highlight w:val="none"/>
        </w:rPr>
      </w:pPr>
      <w:r>
        <w:rPr>
          <w:rFonts w:hint="eastAsia" w:ascii="Times New Roman" w:hAnsi="宋体-18030" w:eastAsia="宋体" w:cs="宋体-18030"/>
          <w:highlight w:val="none"/>
        </w:rPr>
        <w:t>机房环境的分类和指标</w:t>
      </w:r>
    </w:p>
    <w:p w14:paraId="70056CEA">
      <w:pPr>
        <w:widowControl w:val="0"/>
        <w:tabs>
          <w:tab w:val="left" w:pos="567"/>
          <w:tab w:val="right" w:leader="dot" w:pos="8505"/>
          <w:tab w:val="right" w:leader="dot" w:pos="9628"/>
        </w:tabs>
        <w:spacing w:line="360" w:lineRule="auto"/>
        <w:jc w:val="both"/>
        <w:rPr>
          <w:rFonts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机房环境的分类主要以机房内的环境温湿度作表征，其分类和指标如下表</w:t>
      </w:r>
    </w:p>
    <w:tbl>
      <w:tblPr>
        <w:tblStyle w:val="41"/>
        <w:tblW w:w="4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3698"/>
        <w:gridCol w:w="1417"/>
        <w:gridCol w:w="1514"/>
      </w:tblGrid>
      <w:tr w14:paraId="615F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Pr>
          <w:p w14:paraId="4485BD1B">
            <w:pPr>
              <w:widowControl w:val="0"/>
              <w:spacing w:line="360" w:lineRule="exact"/>
              <w:jc w:val="center"/>
              <w:rPr>
                <w:rFonts w:ascii="宋体" w:hAnsi="宋体" w:eastAsia="宋体" w:cs="Times New Roman"/>
                <w:b/>
                <w:bCs/>
                <w:kern w:val="2"/>
                <w:sz w:val="21"/>
                <w:szCs w:val="24"/>
                <w:highlight w:val="none"/>
                <w:lang w:val="en-US" w:eastAsia="zh-CN" w:bidi="ar-SA"/>
              </w:rPr>
            </w:pPr>
            <w:r>
              <w:rPr>
                <w:rFonts w:hint="eastAsia" w:ascii="宋体" w:hAnsi="宋体" w:eastAsia="宋体" w:cs="Times New Roman"/>
                <w:b/>
                <w:bCs/>
                <w:kern w:val="2"/>
                <w:sz w:val="21"/>
                <w:szCs w:val="24"/>
                <w:highlight w:val="none"/>
                <w:lang w:val="en-US" w:eastAsia="zh-CN" w:bidi="ar-SA"/>
              </w:rPr>
              <w:t>环境分类</w:t>
            </w:r>
          </w:p>
        </w:tc>
        <w:tc>
          <w:tcPr>
            <w:tcW w:w="3819" w:type="dxa"/>
          </w:tcPr>
          <w:p w14:paraId="30A6E2EA">
            <w:pPr>
              <w:widowControl w:val="0"/>
              <w:spacing w:line="360" w:lineRule="exact"/>
              <w:jc w:val="center"/>
              <w:rPr>
                <w:rFonts w:ascii="宋体" w:hAnsi="宋体" w:eastAsia="宋体" w:cs="Times New Roman"/>
                <w:b/>
                <w:bCs/>
                <w:kern w:val="2"/>
                <w:sz w:val="21"/>
                <w:szCs w:val="24"/>
                <w:highlight w:val="none"/>
                <w:lang w:val="en-US" w:eastAsia="zh-CN" w:bidi="ar-SA"/>
              </w:rPr>
            </w:pPr>
            <w:r>
              <w:rPr>
                <w:rFonts w:hint="eastAsia" w:ascii="宋体" w:hAnsi="宋体" w:eastAsia="宋体" w:cs="Times New Roman"/>
                <w:b/>
                <w:bCs/>
                <w:kern w:val="2"/>
                <w:sz w:val="21"/>
                <w:szCs w:val="24"/>
                <w:highlight w:val="none"/>
                <w:lang w:val="en-US" w:eastAsia="zh-CN" w:bidi="ar-SA"/>
              </w:rPr>
              <w:t>适用局站主要局站类型</w:t>
            </w:r>
          </w:p>
        </w:tc>
        <w:tc>
          <w:tcPr>
            <w:tcW w:w="1440" w:type="dxa"/>
          </w:tcPr>
          <w:p w14:paraId="529DC72E">
            <w:pPr>
              <w:widowControl w:val="0"/>
              <w:spacing w:line="360" w:lineRule="exact"/>
              <w:jc w:val="center"/>
              <w:rPr>
                <w:rFonts w:ascii="宋体" w:hAnsi="宋体" w:eastAsia="宋体" w:cs="Times New Roman"/>
                <w:b/>
                <w:bCs/>
                <w:kern w:val="2"/>
                <w:sz w:val="21"/>
                <w:szCs w:val="24"/>
                <w:highlight w:val="none"/>
                <w:lang w:val="en-US" w:eastAsia="zh-CN" w:bidi="ar-SA"/>
              </w:rPr>
            </w:pPr>
            <w:r>
              <w:rPr>
                <w:rFonts w:hint="eastAsia" w:ascii="宋体" w:hAnsi="宋体" w:eastAsia="宋体" w:cs="Times New Roman"/>
                <w:b/>
                <w:bCs/>
                <w:kern w:val="2"/>
                <w:sz w:val="21"/>
                <w:szCs w:val="24"/>
                <w:highlight w:val="none"/>
                <w:lang w:val="en-US" w:eastAsia="zh-CN" w:bidi="ar-SA"/>
              </w:rPr>
              <w:t>温度</w:t>
            </w:r>
          </w:p>
        </w:tc>
        <w:tc>
          <w:tcPr>
            <w:tcW w:w="1545" w:type="dxa"/>
          </w:tcPr>
          <w:p w14:paraId="0C5AF9EB">
            <w:pPr>
              <w:widowControl w:val="0"/>
              <w:spacing w:line="360" w:lineRule="exact"/>
              <w:jc w:val="center"/>
              <w:rPr>
                <w:rFonts w:ascii="宋体" w:hAnsi="宋体" w:eastAsia="宋体" w:cs="Times New Roman"/>
                <w:b/>
                <w:bCs/>
                <w:kern w:val="2"/>
                <w:sz w:val="21"/>
                <w:szCs w:val="24"/>
                <w:highlight w:val="none"/>
                <w:lang w:val="en-US" w:eastAsia="zh-CN" w:bidi="ar-SA"/>
              </w:rPr>
            </w:pPr>
            <w:r>
              <w:rPr>
                <w:rFonts w:hint="eastAsia" w:ascii="宋体" w:hAnsi="宋体" w:eastAsia="宋体" w:cs="Times New Roman"/>
                <w:b/>
                <w:bCs/>
                <w:kern w:val="2"/>
                <w:sz w:val="21"/>
                <w:szCs w:val="24"/>
                <w:highlight w:val="none"/>
                <w:lang w:val="en-US" w:eastAsia="zh-CN" w:bidi="ar-SA"/>
              </w:rPr>
              <w:t>湿度</w:t>
            </w:r>
          </w:p>
        </w:tc>
      </w:tr>
      <w:tr w14:paraId="0CD2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vAlign w:val="center"/>
          </w:tcPr>
          <w:p w14:paraId="03EE041E">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一类环境</w:t>
            </w:r>
          </w:p>
        </w:tc>
        <w:tc>
          <w:tcPr>
            <w:tcW w:w="3819" w:type="dxa"/>
          </w:tcPr>
          <w:p w14:paraId="3F69F58E">
            <w:pPr>
              <w:widowControl w:val="0"/>
              <w:spacing w:line="360" w:lineRule="exact"/>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A、B类机房:如集团级、省级枢纽机房、地市级枢纽机房及对应动力机房。</w:t>
            </w:r>
          </w:p>
        </w:tc>
        <w:tc>
          <w:tcPr>
            <w:tcW w:w="1440" w:type="dxa"/>
            <w:vAlign w:val="center"/>
          </w:tcPr>
          <w:p w14:paraId="6F63F6A3">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10℃～26℃</w:t>
            </w:r>
          </w:p>
        </w:tc>
        <w:tc>
          <w:tcPr>
            <w:tcW w:w="1545" w:type="dxa"/>
            <w:vAlign w:val="center"/>
          </w:tcPr>
          <w:p w14:paraId="6DD02791">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40%～70%</w:t>
            </w:r>
          </w:p>
        </w:tc>
      </w:tr>
      <w:tr w14:paraId="2C9A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vAlign w:val="center"/>
          </w:tcPr>
          <w:p w14:paraId="1DDEE806">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二类环境</w:t>
            </w:r>
          </w:p>
        </w:tc>
        <w:tc>
          <w:tcPr>
            <w:tcW w:w="3819" w:type="dxa"/>
          </w:tcPr>
          <w:p w14:paraId="11BAC90B">
            <w:pPr>
              <w:widowControl w:val="0"/>
              <w:spacing w:line="360" w:lineRule="exact"/>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C类机房：如县级、本地市内区域级机房及对应动力机房。</w:t>
            </w:r>
          </w:p>
        </w:tc>
        <w:tc>
          <w:tcPr>
            <w:tcW w:w="1440" w:type="dxa"/>
            <w:vAlign w:val="center"/>
          </w:tcPr>
          <w:p w14:paraId="68703D87">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10℃～28℃</w:t>
            </w:r>
          </w:p>
        </w:tc>
        <w:tc>
          <w:tcPr>
            <w:tcW w:w="1545" w:type="dxa"/>
            <w:vAlign w:val="center"/>
          </w:tcPr>
          <w:p w14:paraId="22E33B3A">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30%～80%</w:t>
            </w:r>
          </w:p>
        </w:tc>
      </w:tr>
      <w:tr w14:paraId="44A50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vAlign w:val="center"/>
          </w:tcPr>
          <w:p w14:paraId="07B410FB">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三类环境</w:t>
            </w:r>
          </w:p>
        </w:tc>
        <w:tc>
          <w:tcPr>
            <w:tcW w:w="3819" w:type="dxa"/>
          </w:tcPr>
          <w:p w14:paraId="4D7EA201">
            <w:pPr>
              <w:widowControl w:val="0"/>
              <w:spacing w:line="360" w:lineRule="exact"/>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D类机房：如接入级机房。</w:t>
            </w:r>
          </w:p>
        </w:tc>
        <w:tc>
          <w:tcPr>
            <w:tcW w:w="1440" w:type="dxa"/>
            <w:vAlign w:val="center"/>
          </w:tcPr>
          <w:p w14:paraId="63373B65">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5℃～35℃</w:t>
            </w:r>
          </w:p>
        </w:tc>
        <w:tc>
          <w:tcPr>
            <w:tcW w:w="1545" w:type="dxa"/>
            <w:vAlign w:val="center"/>
          </w:tcPr>
          <w:p w14:paraId="37FB796E">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15%～95%</w:t>
            </w:r>
          </w:p>
        </w:tc>
      </w:tr>
      <w:tr w14:paraId="06AC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2" w:type="dxa"/>
            <w:gridSpan w:val="4"/>
            <w:vAlign w:val="center"/>
          </w:tcPr>
          <w:p w14:paraId="1A1B02D3">
            <w:pPr>
              <w:widowControl w:val="0"/>
              <w:spacing w:line="360" w:lineRule="exact"/>
              <w:jc w:val="left"/>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注：冷通道封闭的机房除外</w:t>
            </w:r>
          </w:p>
        </w:tc>
      </w:tr>
    </w:tbl>
    <w:p w14:paraId="0ECF90C8">
      <w:pPr>
        <w:rPr>
          <w:rFonts w:ascii="Times New Roman" w:hAnsi="Times New Roman" w:eastAsia="宋体" w:cs="Times New Roman"/>
        </w:rPr>
      </w:pPr>
      <w:bookmarkStart w:id="1449" w:name="_Toc8958"/>
      <w:bookmarkStart w:id="1450" w:name="_Toc347307733"/>
    </w:p>
    <w:p w14:paraId="6C3D426E">
      <w:pPr>
        <w:rPr>
          <w:rFonts w:ascii="Times New Roman" w:hAnsi="Times New Roman" w:eastAsia="宋体" w:cs="Times New Roman"/>
        </w:rPr>
      </w:pPr>
    </w:p>
    <w:p w14:paraId="43D2C4D0">
      <w:pPr>
        <w:rPr>
          <w:rFonts w:ascii="Times New Roman" w:hAnsi="Times New Roman" w:eastAsia="宋体" w:cs="Times New Roman"/>
        </w:rPr>
      </w:pPr>
      <w:r>
        <w:rPr>
          <w:rFonts w:hint="eastAsia" w:ascii="Times New Roman" w:hAnsi="Times New Roman" w:eastAsia="宋体" w:cs="Times New Roman"/>
        </w:rPr>
        <w:t xml:space="preserve"> 蓄电池的维护</w:t>
      </w:r>
      <w:bookmarkEnd w:id="1449"/>
      <w:bookmarkEnd w:id="1450"/>
    </w:p>
    <w:p w14:paraId="07C4D0D3">
      <w:pPr>
        <w:rPr>
          <w:rFonts w:ascii="Times New Roman" w:hAnsi="Times New Roman" w:eastAsia="宋体" w:cs="Times New Roman"/>
        </w:rPr>
      </w:pPr>
      <w:bookmarkStart w:id="1451" w:name="_Toc347307734"/>
      <w:r>
        <w:rPr>
          <w:rFonts w:hint="eastAsia" w:ascii="Times New Roman" w:hAnsi="Times New Roman" w:eastAsia="宋体" w:cs="Times New Roman"/>
        </w:rPr>
        <w:t>第一节阀控式密封蓄电池的维护</w:t>
      </w:r>
      <w:bookmarkEnd w:id="1451"/>
    </w:p>
    <w:p w14:paraId="6AF2D799">
      <w:pPr>
        <w:numPr>
          <w:ilvl w:val="0"/>
          <w:numId w:val="12"/>
        </w:numPr>
        <w:spacing w:line="360" w:lineRule="atLeast"/>
        <w:ind w:left="0" w:firstLine="420"/>
        <w:rPr>
          <w:rFonts w:ascii="Times New Roman" w:hAnsi="Times New Roman" w:eastAsia="宋体" w:cs="Times New Roman"/>
        </w:rPr>
      </w:pPr>
      <w:r>
        <w:rPr>
          <w:rFonts w:hint="eastAsia" w:ascii="Times New Roman" w:hAnsi="Times New Roman" w:eastAsia="宋体" w:cs="Times New Roman"/>
        </w:rPr>
        <w:t>阀控式密封蓄电池运行环境的要求</w:t>
      </w:r>
    </w:p>
    <w:p w14:paraId="0873755B">
      <w:pPr>
        <w:spacing w:line="360" w:lineRule="atLeast"/>
        <w:ind w:firstLine="420" w:firstLineChars="200"/>
        <w:rPr>
          <w:rFonts w:ascii="Times New Roman" w:hAnsi="Times New Roman" w:eastAsia="宋体" w:cs="Times New Roman"/>
        </w:rPr>
      </w:pPr>
      <w:r>
        <w:rPr>
          <w:rFonts w:hint="eastAsia" w:ascii="Times New Roman" w:hAnsi="Times New Roman" w:eastAsia="宋体" w:cs="Times New Roman"/>
        </w:rPr>
        <w:t>阀控式密封蓄电池（包括UPS蓄电池,以下简称密封蓄电池）可不专设电池室，但运行环境应满足以下要求：</w:t>
      </w:r>
    </w:p>
    <w:p w14:paraId="605A8500">
      <w:pPr>
        <w:spacing w:line="360" w:lineRule="atLeast"/>
        <w:ind w:firstLine="420" w:firstLineChars="200"/>
        <w:rPr>
          <w:rFonts w:ascii="Times New Roman" w:hAnsi="Times New Roman" w:eastAsia="宋体" w:cs="Times New Roman"/>
        </w:rPr>
      </w:pPr>
      <w:r>
        <w:rPr>
          <w:rFonts w:hint="eastAsia" w:ascii="Times New Roman" w:hAnsi="Times New Roman" w:eastAsia="宋体" w:cs="Times New Roman"/>
        </w:rPr>
        <w:t>1. 安装密封蓄电池的机房应配有通风换气装置，温度不宜超过28℃，建议环境温度应保持在10℃～25℃之间；</w:t>
      </w:r>
    </w:p>
    <w:p w14:paraId="6B16CFCA">
      <w:pPr>
        <w:spacing w:line="360" w:lineRule="atLeast"/>
        <w:ind w:left="420" w:leftChars="200"/>
        <w:rPr>
          <w:rFonts w:ascii="Times New Roman" w:hAnsi="Times New Roman" w:eastAsia="宋体" w:cs="Times New Roman"/>
        </w:rPr>
      </w:pPr>
      <w:r>
        <w:rPr>
          <w:rFonts w:hint="eastAsia" w:ascii="Times New Roman" w:hAnsi="Times New Roman" w:eastAsia="宋体" w:cs="Times New Roman"/>
        </w:rPr>
        <w:t>2. 避免阳光对电池直射，朝阳窗户应作遮阳处理；</w:t>
      </w:r>
    </w:p>
    <w:p w14:paraId="2E1FA655">
      <w:pPr>
        <w:spacing w:line="360" w:lineRule="atLeast"/>
        <w:ind w:left="420" w:leftChars="200"/>
        <w:rPr>
          <w:rFonts w:ascii="Times New Roman" w:hAnsi="Times New Roman" w:eastAsia="宋体" w:cs="Times New Roman"/>
        </w:rPr>
      </w:pPr>
      <w:r>
        <w:rPr>
          <w:rFonts w:hint="eastAsia" w:ascii="Times New Roman" w:hAnsi="Times New Roman" w:eastAsia="宋体" w:cs="Times New Roman"/>
        </w:rPr>
        <w:t>3. 确保电池组之间预留足够的维护空间；</w:t>
      </w:r>
    </w:p>
    <w:p w14:paraId="2D17088D">
      <w:pPr>
        <w:spacing w:line="360" w:lineRule="atLeast"/>
        <w:ind w:left="420" w:leftChars="200"/>
        <w:rPr>
          <w:rFonts w:ascii="Times New Roman" w:hAnsi="Times New Roman" w:eastAsia="宋体" w:cs="Times New Roman"/>
        </w:rPr>
      </w:pPr>
      <w:r>
        <w:rPr>
          <w:rFonts w:hint="eastAsia" w:ascii="Times New Roman" w:hAnsi="Times New Roman" w:eastAsia="宋体" w:cs="Times New Roman"/>
        </w:rPr>
        <w:t>4. UPS等使用的高电压电池组的维护通道应铺设绝缘胶垫。</w:t>
      </w:r>
    </w:p>
    <w:p w14:paraId="4EF94F8E">
      <w:pPr>
        <w:numPr>
          <w:ilvl w:val="0"/>
          <w:numId w:val="12"/>
        </w:numPr>
        <w:spacing w:line="360" w:lineRule="atLeast"/>
        <w:ind w:left="0" w:firstLine="420"/>
        <w:rPr>
          <w:rFonts w:ascii="Times New Roman" w:hAnsi="Times New Roman" w:eastAsia="宋体" w:cs="Times New Roman"/>
        </w:rPr>
      </w:pPr>
      <w:r>
        <w:rPr>
          <w:rFonts w:hint="eastAsia" w:ascii="Times New Roman" w:hAnsi="Times New Roman" w:eastAsia="宋体" w:cs="Times New Roman"/>
        </w:rPr>
        <w:t>密封蓄电池的一般维护：</w:t>
      </w:r>
    </w:p>
    <w:p w14:paraId="15E578F7">
      <w:pPr>
        <w:numPr>
          <w:ilvl w:val="1"/>
          <w:numId w:val="13"/>
        </w:numPr>
        <w:autoSpaceDE w:val="0"/>
        <w:autoSpaceDN w:val="0"/>
        <w:adjustRightInd w:val="0"/>
        <w:spacing w:line="360" w:lineRule="atLeast"/>
        <w:ind w:left="780" w:hanging="360"/>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阀控蓄电池和防酸式电池禁止混合使用在一个供电系统中；</w:t>
      </w:r>
    </w:p>
    <w:p w14:paraId="309CE916">
      <w:pPr>
        <w:numPr>
          <w:ilvl w:val="1"/>
          <w:numId w:val="13"/>
        </w:numPr>
        <w:autoSpaceDE w:val="0"/>
        <w:autoSpaceDN w:val="0"/>
        <w:adjustRightInd w:val="0"/>
        <w:spacing w:line="360" w:lineRule="atLeast"/>
        <w:ind w:left="780" w:hanging="360"/>
        <w:rPr>
          <w:rFonts w:ascii="Times New Roman" w:hAnsi="Times New Roman" w:eastAsia="宋体" w:cs="宋体"/>
          <w:color w:val="000000"/>
          <w:kern w:val="0"/>
          <w:szCs w:val="21"/>
        </w:rPr>
      </w:pPr>
      <w:r>
        <w:rPr>
          <w:rFonts w:hint="eastAsia" w:ascii="Times New Roman" w:hAnsi="Times New Roman" w:eastAsia="宋体" w:cs="Times New Roman"/>
        </w:rPr>
        <w:t>密封蓄电池和防酸式电池不宜安放在同一房间内。</w:t>
      </w:r>
    </w:p>
    <w:p w14:paraId="20248FF0">
      <w:pPr>
        <w:numPr>
          <w:ilvl w:val="1"/>
          <w:numId w:val="13"/>
        </w:numPr>
        <w:autoSpaceDE w:val="0"/>
        <w:autoSpaceDN w:val="0"/>
        <w:adjustRightInd w:val="0"/>
        <w:spacing w:line="360" w:lineRule="atLeast"/>
        <w:ind w:left="780" w:hanging="360"/>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不同厂家、不同容量、不同型号的蓄电池组严禁并联在同一直流供电系统中使用；</w:t>
      </w:r>
    </w:p>
    <w:p w14:paraId="4ABB0F1D">
      <w:pPr>
        <w:numPr>
          <w:ilvl w:val="1"/>
          <w:numId w:val="13"/>
        </w:numPr>
        <w:autoSpaceDE w:val="0"/>
        <w:autoSpaceDN w:val="0"/>
        <w:adjustRightInd w:val="0"/>
        <w:spacing w:line="360" w:lineRule="atLeast"/>
        <w:ind w:left="780" w:hanging="360"/>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新旧程度不同的电池不应大量在同一直流供电系统中混用；</w:t>
      </w:r>
    </w:p>
    <w:p w14:paraId="3ECF0317">
      <w:pPr>
        <w:numPr>
          <w:ilvl w:val="1"/>
          <w:numId w:val="13"/>
        </w:numPr>
        <w:autoSpaceDE w:val="0"/>
        <w:autoSpaceDN w:val="0"/>
        <w:adjustRightInd w:val="0"/>
        <w:spacing w:line="360" w:lineRule="atLeast"/>
        <w:ind w:left="780" w:hanging="360"/>
        <w:rPr>
          <w:rFonts w:ascii="Times New Roman" w:hAnsi="Times New Roman" w:eastAsia="宋体" w:cs="Times New Roman"/>
        </w:rPr>
      </w:pPr>
      <w:r>
        <w:rPr>
          <w:rFonts w:hint="eastAsia" w:ascii="Times New Roman" w:hAnsi="Times New Roman" w:eastAsia="宋体" w:cs="宋体"/>
          <w:color w:val="000000"/>
          <w:kern w:val="0"/>
          <w:szCs w:val="21"/>
        </w:rPr>
        <w:t>如具备动力及环境集中监控系统，应通过动力及环境集中监控系统对电池组的总电压、电流、标示电池的单体电压、温度进行监测，并定期对蓄电池组进行检测。通过电池监测装置了解电池充放电曲线及性能，发现故障及时处理。</w:t>
      </w:r>
    </w:p>
    <w:p w14:paraId="393EF622">
      <w:pPr>
        <w:numPr>
          <w:ilvl w:val="1"/>
          <w:numId w:val="13"/>
        </w:numPr>
        <w:autoSpaceDE w:val="0"/>
        <w:autoSpaceDN w:val="0"/>
        <w:adjustRightInd w:val="0"/>
        <w:spacing w:line="360" w:lineRule="atLeast"/>
        <w:ind w:left="780" w:hanging="360"/>
        <w:rPr>
          <w:rFonts w:ascii="Times New Roman" w:hAnsi="Times New Roman" w:eastAsia="宋体" w:cs="Times New Roman"/>
        </w:rPr>
      </w:pPr>
      <w:r>
        <w:rPr>
          <w:rFonts w:hint="eastAsia" w:ascii="Times New Roman" w:hAnsi="Times New Roman" w:eastAsia="宋体" w:cs="宋体"/>
          <w:color w:val="000000"/>
          <w:kern w:val="0"/>
          <w:szCs w:val="21"/>
        </w:rPr>
        <w:t>需经常检查下列项目，发现问题及时处理：</w:t>
      </w:r>
    </w:p>
    <w:p w14:paraId="164F882D">
      <w:pPr>
        <w:spacing w:line="360" w:lineRule="atLeast"/>
        <w:ind w:left="840" w:leftChars="400"/>
        <w:rPr>
          <w:rFonts w:ascii="Times New Roman" w:hAnsi="Times New Roman" w:eastAsia="宋体" w:cs="Times New Roman"/>
        </w:rPr>
      </w:pPr>
      <w:r>
        <w:rPr>
          <w:rFonts w:hint="eastAsia" w:ascii="Times New Roman" w:hAnsi="Times New Roman" w:eastAsia="宋体" w:cs="Times New Roman"/>
        </w:rPr>
        <w:t>1). 物理性检查项目</w:t>
      </w:r>
    </w:p>
    <w:p w14:paraId="11A44CE7">
      <w:pPr>
        <w:spacing w:line="360" w:lineRule="atLeast"/>
        <w:ind w:left="1260" w:leftChars="600"/>
        <w:rPr>
          <w:rFonts w:ascii="Times New Roman" w:hAnsi="Times New Roman" w:eastAsia="宋体" w:cs="Times New Roman"/>
        </w:rPr>
      </w:pPr>
      <w:r>
        <w:rPr>
          <w:rFonts w:hint="eastAsia" w:ascii="Times New Roman" w:hAnsi="Times New Roman" w:eastAsia="宋体" w:cs="Times New Roman"/>
        </w:rPr>
        <w:t>(1) 极柱、连接条是否清洁；有否损伤、变形或腐蚀现象；</w:t>
      </w:r>
    </w:p>
    <w:p w14:paraId="6E929B9F">
      <w:pPr>
        <w:spacing w:line="360" w:lineRule="atLeast"/>
        <w:ind w:left="1260" w:leftChars="600"/>
        <w:rPr>
          <w:rFonts w:ascii="Times New Roman" w:hAnsi="Times New Roman" w:eastAsia="宋体" w:cs="Times New Roman"/>
        </w:rPr>
      </w:pPr>
      <w:r>
        <w:rPr>
          <w:rFonts w:hint="eastAsia" w:ascii="Times New Roman" w:hAnsi="Times New Roman" w:eastAsia="宋体" w:cs="Times New Roman"/>
        </w:rPr>
        <w:t>(2) 连接处有无松动；</w:t>
      </w:r>
    </w:p>
    <w:p w14:paraId="6A301E27">
      <w:pPr>
        <w:spacing w:line="360" w:lineRule="atLeast"/>
        <w:ind w:left="1260" w:leftChars="600"/>
        <w:rPr>
          <w:rFonts w:ascii="Times New Roman" w:hAnsi="Times New Roman" w:eastAsia="宋体" w:cs="Times New Roman"/>
        </w:rPr>
      </w:pPr>
      <w:r>
        <w:rPr>
          <w:rFonts w:hint="eastAsia" w:ascii="Times New Roman" w:hAnsi="Times New Roman" w:eastAsia="宋体" w:cs="Times New Roman"/>
        </w:rPr>
        <w:t>(3) 电池极柱处有否</w:t>
      </w:r>
      <w:r>
        <w:rPr>
          <w:rFonts w:hint="eastAsia" w:ascii="Times New Roman" w:hAnsi="Times New Roman" w:eastAsia="宋体" w:cs="Times New Roman"/>
          <w:bCs/>
        </w:rPr>
        <w:t>爬酸、漏液；</w:t>
      </w:r>
      <w:r>
        <w:rPr>
          <w:rFonts w:hint="eastAsia" w:ascii="Times New Roman" w:hAnsi="Times New Roman" w:eastAsia="宋体" w:cs="Times New Roman"/>
        </w:rPr>
        <w:t>安全阀周围是否有酸雾酸液逸出；</w:t>
      </w:r>
    </w:p>
    <w:p w14:paraId="37553AE2">
      <w:pPr>
        <w:spacing w:line="360" w:lineRule="atLeast"/>
        <w:ind w:left="1260" w:leftChars="600"/>
        <w:rPr>
          <w:rFonts w:ascii="Times New Roman" w:hAnsi="Times New Roman" w:eastAsia="宋体" w:cs="Times New Roman"/>
        </w:rPr>
      </w:pPr>
      <w:r>
        <w:rPr>
          <w:rFonts w:hint="eastAsia" w:ascii="Times New Roman" w:hAnsi="Times New Roman" w:eastAsia="宋体" w:cs="Times New Roman"/>
        </w:rPr>
        <w:t>(4) 电池壳体有无损伤、渗漏和变形；</w:t>
      </w:r>
    </w:p>
    <w:p w14:paraId="641AB67E">
      <w:pPr>
        <w:spacing w:line="360" w:lineRule="atLeast"/>
        <w:ind w:left="1260" w:leftChars="600"/>
        <w:rPr>
          <w:rFonts w:ascii="Times New Roman" w:hAnsi="Times New Roman" w:eastAsia="宋体" w:cs="Times New Roman"/>
        </w:rPr>
      </w:pPr>
      <w:r>
        <w:rPr>
          <w:rFonts w:hint="eastAsia" w:ascii="Times New Roman" w:hAnsi="Times New Roman" w:eastAsia="宋体" w:cs="Times New Roman"/>
        </w:rPr>
        <w:t>(5) 电池及连接处温升有否异常。</w:t>
      </w:r>
    </w:p>
    <w:p w14:paraId="34CF0FED">
      <w:pPr>
        <w:spacing w:line="360" w:lineRule="atLeast"/>
        <w:ind w:left="840" w:leftChars="400"/>
        <w:rPr>
          <w:rFonts w:ascii="Times New Roman" w:hAnsi="Times New Roman" w:eastAsia="宋体" w:cs="Times New Roman"/>
        </w:rPr>
      </w:pPr>
      <w:r>
        <w:rPr>
          <w:rFonts w:hint="eastAsia" w:ascii="Times New Roman" w:hAnsi="Times New Roman" w:eastAsia="宋体" w:cs="Times New Roman"/>
        </w:rPr>
        <w:t>2). 相关参数设置的检查和调整</w:t>
      </w:r>
    </w:p>
    <w:p w14:paraId="401047ED">
      <w:pPr>
        <w:ind w:left="1676" w:leftChars="598" w:hanging="420" w:hangingChars="200"/>
        <w:rPr>
          <w:rFonts w:ascii="Times New Roman" w:hAnsi="Times New Roman" w:eastAsia="宋体" w:cs="Times New Roman"/>
        </w:rPr>
      </w:pPr>
      <w:r>
        <w:rPr>
          <w:rFonts w:hint="eastAsia" w:ascii="Times New Roman" w:hAnsi="Times New Roman" w:eastAsia="宋体" w:cs="Times New Roman"/>
        </w:rPr>
        <w:t>(1) 据厂家提供的技术参数和现场环境条件，检查电池组及单体均、浮充电压是否满足要求，浮充电流是否稳定在正常范围。</w:t>
      </w:r>
    </w:p>
    <w:p w14:paraId="222295BA">
      <w:pPr>
        <w:ind w:left="1260" w:leftChars="600"/>
        <w:rPr>
          <w:rFonts w:ascii="Times New Roman" w:hAnsi="Times New Roman" w:eastAsia="宋体" w:cs="Times New Roman"/>
          <w:bCs/>
        </w:rPr>
      </w:pPr>
      <w:r>
        <w:rPr>
          <w:rFonts w:hint="eastAsia" w:ascii="Times New Roman" w:hAnsi="Times New Roman" w:eastAsia="宋体" w:cs="Times New Roman"/>
          <w:bCs/>
        </w:rPr>
        <w:t>(2) 检测电池组的充电限流值设置是否正确。</w:t>
      </w:r>
    </w:p>
    <w:p w14:paraId="6014755E">
      <w:pPr>
        <w:ind w:left="1260" w:leftChars="600"/>
        <w:rPr>
          <w:rFonts w:ascii="Times New Roman" w:hAnsi="Times New Roman" w:eastAsia="宋体" w:cs="Times New Roman"/>
          <w:bCs/>
        </w:rPr>
      </w:pPr>
      <w:r>
        <w:rPr>
          <w:rFonts w:hint="eastAsia" w:ascii="Times New Roman" w:hAnsi="Times New Roman" w:eastAsia="宋体" w:cs="Times New Roman"/>
          <w:bCs/>
        </w:rPr>
        <w:t>(3) 检测电池组的告警电压（低压告警、高压告警）设置是否正确。</w:t>
      </w:r>
    </w:p>
    <w:p w14:paraId="08759DEF">
      <w:pPr>
        <w:ind w:left="1676" w:leftChars="598" w:hanging="420" w:hangingChars="200"/>
        <w:rPr>
          <w:rFonts w:ascii="Times New Roman" w:hAnsi="Times New Roman" w:eastAsia="宋体" w:cs="Times New Roman"/>
          <w:bCs/>
        </w:rPr>
      </w:pPr>
      <w:r>
        <w:rPr>
          <w:rFonts w:hint="eastAsia" w:ascii="Times New Roman" w:hAnsi="Times New Roman" w:eastAsia="宋体" w:cs="Times New Roman"/>
          <w:bCs/>
        </w:rPr>
        <w:t>(4) 如直流系统中设有电池组脱离负载装置，应检测电池组脱离电压设置是否准确。</w:t>
      </w:r>
    </w:p>
    <w:p w14:paraId="4BD1A026">
      <w:pPr>
        <w:spacing w:line="360" w:lineRule="atLeast"/>
        <w:ind w:left="840" w:leftChars="400"/>
        <w:rPr>
          <w:rFonts w:ascii="Times New Roman" w:hAnsi="Times New Roman" w:eastAsia="宋体" w:cs="Times New Roman"/>
        </w:rPr>
      </w:pPr>
      <w:r>
        <w:rPr>
          <w:rFonts w:hint="eastAsia" w:ascii="Times New Roman" w:hAnsi="Times New Roman" w:eastAsia="宋体" w:cs="Times New Roman"/>
        </w:rPr>
        <w:t>3）安装有蓄电池恒温柜的蓄电池组应检查恒温柜是否工作正常。</w:t>
      </w:r>
    </w:p>
    <w:p w14:paraId="1450E71F">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密封蓄电池的充放电</w:t>
      </w:r>
    </w:p>
    <w:p w14:paraId="3279C5F7">
      <w:pPr>
        <w:ind w:firstLine="420"/>
        <w:rPr>
          <w:rFonts w:ascii="Times New Roman" w:hAnsi="Times New Roman" w:eastAsia="宋体" w:cs="Times New Roman"/>
        </w:rPr>
      </w:pPr>
      <w:r>
        <w:rPr>
          <w:rFonts w:hint="eastAsia" w:ascii="Times New Roman" w:hAnsi="Times New Roman" w:eastAsia="宋体" w:cs="Times New Roman"/>
        </w:rPr>
        <w:t>1. 密封蓄电池在使用前不需进行初充电，但应进行补充充电。补充充电方式及充电电压应按产品技术说明书规定进行。一般情况下应采取恒压限流充电方式，补充充电电流不得大于0.2C</w:t>
      </w:r>
      <w:r>
        <w:rPr>
          <w:rFonts w:hint="eastAsia" w:ascii="Times New Roman" w:hAnsi="Times New Roman" w:eastAsia="宋体" w:cs="Times New Roman"/>
          <w:vertAlign w:val="subscript"/>
        </w:rPr>
        <w:t>10</w:t>
      </w:r>
      <w:r>
        <w:rPr>
          <w:rFonts w:hint="eastAsia" w:ascii="Times New Roman" w:hAnsi="Times New Roman" w:eastAsia="宋体" w:cs="Times New Roman"/>
        </w:rPr>
        <w:t>充电的电压和充电时间如下表：</w:t>
      </w:r>
    </w:p>
    <w:p w14:paraId="37217FC6">
      <w:pPr>
        <w:jc w:val="center"/>
        <w:rPr>
          <w:rFonts w:ascii="宋体-18030" w:hAnsi="宋体-18030" w:eastAsia="宋体-18030" w:cs="宋体-18030"/>
          <w:b/>
          <w:bCs/>
          <w:sz w:val="24"/>
        </w:rPr>
      </w:pPr>
      <w:r>
        <w:rPr>
          <w:rFonts w:hint="eastAsia" w:ascii="Times New Roman" w:hAnsi="Times New Roman" w:eastAsia="宋体" w:cs="Times New Roman"/>
          <w:b/>
          <w:bCs/>
        </w:rPr>
        <w:t>充电时间—电压对照表</w:t>
      </w:r>
    </w:p>
    <w:tbl>
      <w:tblPr>
        <w:tblStyle w:val="41"/>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3"/>
        <w:gridCol w:w="3240"/>
        <w:gridCol w:w="2549"/>
      </w:tblGrid>
      <w:tr w14:paraId="59C7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3" w:type="dxa"/>
            <w:vAlign w:val="center"/>
          </w:tcPr>
          <w:p w14:paraId="7D002CA9">
            <w:pPr>
              <w:widowControl w:val="0"/>
              <w:spacing w:line="360" w:lineRule="exact"/>
              <w:jc w:val="center"/>
              <w:rPr>
                <w:rFonts w:ascii="黑体" w:hAnsi="宋体" w:eastAsia="黑体" w:cs="Times New Roman"/>
                <w:kern w:val="2"/>
                <w:sz w:val="21"/>
                <w:szCs w:val="24"/>
                <w:lang w:val="en-US" w:eastAsia="zh-CN" w:bidi="ar-SA"/>
              </w:rPr>
            </w:pPr>
            <w:r>
              <w:rPr>
                <w:rFonts w:hint="eastAsia" w:ascii="黑体" w:hAnsi="宋体" w:eastAsia="黑体" w:cs="Times New Roman"/>
                <w:kern w:val="2"/>
                <w:sz w:val="21"/>
                <w:szCs w:val="24"/>
                <w:lang w:val="en-US" w:eastAsia="zh-CN" w:bidi="ar-SA"/>
              </w:rPr>
              <w:t>单体电池额定电压 （V）</w:t>
            </w:r>
          </w:p>
        </w:tc>
        <w:tc>
          <w:tcPr>
            <w:tcW w:w="3240" w:type="dxa"/>
            <w:vAlign w:val="center"/>
          </w:tcPr>
          <w:p w14:paraId="067A24F3">
            <w:pPr>
              <w:widowControl w:val="0"/>
              <w:spacing w:line="360" w:lineRule="exact"/>
              <w:jc w:val="center"/>
              <w:rPr>
                <w:rFonts w:ascii="黑体" w:hAnsi="宋体" w:eastAsia="黑体" w:cs="Times New Roman"/>
                <w:kern w:val="2"/>
                <w:sz w:val="21"/>
                <w:szCs w:val="24"/>
                <w:lang w:val="en-US" w:eastAsia="zh-CN" w:bidi="ar-SA"/>
              </w:rPr>
            </w:pPr>
            <w:r>
              <w:rPr>
                <w:rFonts w:hint="eastAsia" w:ascii="黑体" w:hAnsi="宋体" w:eastAsia="黑体" w:cs="Times New Roman"/>
                <w:kern w:val="2"/>
                <w:sz w:val="21"/>
                <w:szCs w:val="24"/>
                <w:lang w:val="en-US" w:eastAsia="zh-CN" w:bidi="ar-SA"/>
              </w:rPr>
              <w:t>单体电池充电电压（V）</w:t>
            </w:r>
          </w:p>
        </w:tc>
        <w:tc>
          <w:tcPr>
            <w:tcW w:w="2549" w:type="dxa"/>
            <w:vAlign w:val="center"/>
          </w:tcPr>
          <w:p w14:paraId="74811964">
            <w:pPr>
              <w:widowControl w:val="0"/>
              <w:spacing w:line="360" w:lineRule="exact"/>
              <w:jc w:val="center"/>
              <w:rPr>
                <w:rFonts w:ascii="黑体" w:hAnsi="宋体" w:eastAsia="黑体" w:cs="Times New Roman"/>
                <w:kern w:val="2"/>
                <w:sz w:val="21"/>
                <w:szCs w:val="24"/>
                <w:lang w:val="en-US" w:eastAsia="zh-CN" w:bidi="ar-SA"/>
              </w:rPr>
            </w:pPr>
            <w:r>
              <w:rPr>
                <w:rFonts w:hint="eastAsia" w:ascii="黑体" w:hAnsi="宋体" w:eastAsia="黑体" w:cs="Times New Roman"/>
                <w:kern w:val="2"/>
                <w:sz w:val="21"/>
                <w:szCs w:val="24"/>
                <w:lang w:val="en-US" w:eastAsia="zh-CN" w:bidi="ar-SA"/>
              </w:rPr>
              <w:t>最长补充充电时间（h）</w:t>
            </w:r>
          </w:p>
        </w:tc>
      </w:tr>
      <w:tr w14:paraId="79C4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2523" w:type="dxa"/>
            <w:vAlign w:val="center"/>
          </w:tcPr>
          <w:p w14:paraId="46231CFE">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w:t>
            </w:r>
          </w:p>
        </w:tc>
        <w:tc>
          <w:tcPr>
            <w:tcW w:w="3240" w:type="dxa"/>
            <w:vAlign w:val="center"/>
          </w:tcPr>
          <w:p w14:paraId="339713E6">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2.30～2.35（含2.35）</w:t>
            </w:r>
          </w:p>
        </w:tc>
        <w:tc>
          <w:tcPr>
            <w:tcW w:w="2549" w:type="dxa"/>
            <w:vAlign w:val="center"/>
          </w:tcPr>
          <w:p w14:paraId="2F29E84E">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24</w:t>
            </w:r>
          </w:p>
        </w:tc>
      </w:tr>
      <w:tr w14:paraId="516B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523" w:type="dxa"/>
            <w:vAlign w:val="center"/>
          </w:tcPr>
          <w:p w14:paraId="356EF5B0">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w:t>
            </w:r>
          </w:p>
        </w:tc>
        <w:tc>
          <w:tcPr>
            <w:tcW w:w="3240" w:type="dxa"/>
            <w:vAlign w:val="center"/>
          </w:tcPr>
          <w:p w14:paraId="0B10482A">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2.35～2.40</w:t>
            </w:r>
          </w:p>
        </w:tc>
        <w:tc>
          <w:tcPr>
            <w:tcW w:w="2549" w:type="dxa"/>
            <w:vAlign w:val="center"/>
          </w:tcPr>
          <w:p w14:paraId="3F60C8FF">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12</w:t>
            </w:r>
          </w:p>
        </w:tc>
      </w:tr>
      <w:tr w14:paraId="69D0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523" w:type="dxa"/>
            <w:vAlign w:val="center"/>
          </w:tcPr>
          <w:p w14:paraId="1EAFFA80">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6</w:t>
            </w:r>
          </w:p>
        </w:tc>
        <w:tc>
          <w:tcPr>
            <w:tcW w:w="3240" w:type="dxa"/>
            <w:vAlign w:val="center"/>
          </w:tcPr>
          <w:p w14:paraId="5A7CE617">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6.90～7.05（含7.05）</w:t>
            </w:r>
          </w:p>
        </w:tc>
        <w:tc>
          <w:tcPr>
            <w:tcW w:w="2549" w:type="dxa"/>
            <w:vAlign w:val="center"/>
          </w:tcPr>
          <w:p w14:paraId="1470C8B0">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24</w:t>
            </w:r>
          </w:p>
        </w:tc>
      </w:tr>
      <w:tr w14:paraId="3660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523" w:type="dxa"/>
            <w:vAlign w:val="center"/>
          </w:tcPr>
          <w:p w14:paraId="03E9FA90">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6</w:t>
            </w:r>
          </w:p>
        </w:tc>
        <w:tc>
          <w:tcPr>
            <w:tcW w:w="3240" w:type="dxa"/>
            <w:vAlign w:val="center"/>
          </w:tcPr>
          <w:p w14:paraId="10B3C8D9">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7.05～7.20</w:t>
            </w:r>
          </w:p>
        </w:tc>
        <w:tc>
          <w:tcPr>
            <w:tcW w:w="2549" w:type="dxa"/>
            <w:vAlign w:val="center"/>
          </w:tcPr>
          <w:p w14:paraId="2B0D2C84">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12</w:t>
            </w:r>
          </w:p>
        </w:tc>
      </w:tr>
      <w:tr w14:paraId="66CD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523" w:type="dxa"/>
            <w:vAlign w:val="center"/>
          </w:tcPr>
          <w:p w14:paraId="026D68D3">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12</w:t>
            </w:r>
          </w:p>
        </w:tc>
        <w:tc>
          <w:tcPr>
            <w:tcW w:w="3240" w:type="dxa"/>
            <w:vAlign w:val="center"/>
          </w:tcPr>
          <w:p w14:paraId="2BF747DA">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13.80～14.10（含14.10）</w:t>
            </w:r>
          </w:p>
        </w:tc>
        <w:tc>
          <w:tcPr>
            <w:tcW w:w="2549" w:type="dxa"/>
            <w:vAlign w:val="center"/>
          </w:tcPr>
          <w:p w14:paraId="715A5285">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24</w:t>
            </w:r>
          </w:p>
        </w:tc>
      </w:tr>
      <w:tr w14:paraId="022D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523" w:type="dxa"/>
            <w:vAlign w:val="center"/>
          </w:tcPr>
          <w:p w14:paraId="66410A7A">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12</w:t>
            </w:r>
          </w:p>
        </w:tc>
        <w:tc>
          <w:tcPr>
            <w:tcW w:w="3240" w:type="dxa"/>
            <w:vAlign w:val="center"/>
          </w:tcPr>
          <w:p w14:paraId="6BA44EBC">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14.10～14.40</w:t>
            </w:r>
          </w:p>
        </w:tc>
        <w:tc>
          <w:tcPr>
            <w:tcW w:w="2549" w:type="dxa"/>
            <w:vAlign w:val="center"/>
          </w:tcPr>
          <w:p w14:paraId="6E5E8B7B">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12</w:t>
            </w:r>
          </w:p>
        </w:tc>
      </w:tr>
    </w:tbl>
    <w:p w14:paraId="70B515D5">
      <w:pPr>
        <w:ind w:left="420" w:leftChars="200"/>
        <w:rPr>
          <w:rFonts w:ascii="Times New Roman" w:hAnsi="Times New Roman" w:eastAsia="宋体" w:cs="Times New Roman"/>
        </w:rPr>
      </w:pPr>
      <w:r>
        <w:rPr>
          <w:rFonts w:hint="eastAsia" w:ascii="Times New Roman" w:hAnsi="Times New Roman" w:eastAsia="宋体" w:cs="Times New Roman"/>
        </w:rPr>
        <w:t>2. 密封蓄电池的均衡充电：</w:t>
      </w:r>
    </w:p>
    <w:p w14:paraId="25401204">
      <w:pPr>
        <w:ind w:firstLine="420" w:firstLineChars="200"/>
        <w:rPr>
          <w:rFonts w:ascii="Times New Roman" w:hAnsi="Times New Roman" w:eastAsia="宋体" w:cs="Times New Roman"/>
        </w:rPr>
      </w:pPr>
      <w:r>
        <w:rPr>
          <w:rFonts w:hint="eastAsia" w:ascii="Times New Roman" w:hAnsi="Times New Roman" w:eastAsia="宋体" w:cs="Times New Roman"/>
        </w:rPr>
        <w:t>一般情况下，密封蓄电池组遇有下列情况之一时，应进行均充（有特殊技术要求的，以其产品技术说明书为准），充电电流不得大于0.2C</w:t>
      </w:r>
      <w:r>
        <w:rPr>
          <w:rFonts w:hint="eastAsia" w:ascii="Times New Roman" w:hAnsi="Times New Roman" w:eastAsia="宋体" w:cs="Times New Roman"/>
          <w:vertAlign w:val="subscript"/>
        </w:rPr>
        <w:t>10</w:t>
      </w:r>
      <w:r>
        <w:rPr>
          <w:rFonts w:hint="eastAsia" w:ascii="Times New Roman" w:hAnsi="Times New Roman" w:eastAsia="宋体" w:cs="Times New Roman"/>
        </w:rPr>
        <w:t>，充电方式参照充电时间—电压对照表。</w:t>
      </w:r>
    </w:p>
    <w:p w14:paraId="2C847086">
      <w:pPr>
        <w:ind w:left="840" w:leftChars="400"/>
        <w:rPr>
          <w:rFonts w:ascii="Times New Roman" w:hAnsi="Times New Roman" w:eastAsia="宋体" w:cs="Times New Roman"/>
        </w:rPr>
      </w:pPr>
      <w:r>
        <w:rPr>
          <w:rFonts w:hint="eastAsia" w:ascii="Times New Roman" w:hAnsi="Times New Roman" w:eastAsia="宋体" w:cs="Times New Roman"/>
        </w:rPr>
        <w:t>1). ★浮充电压有两只以上低于2.18V／只。</w:t>
      </w:r>
    </w:p>
    <w:p w14:paraId="244470EB">
      <w:pPr>
        <w:ind w:left="840" w:leftChars="400"/>
        <w:rPr>
          <w:rFonts w:ascii="Times New Roman" w:hAnsi="Times New Roman" w:eastAsia="宋体" w:cs="Times New Roman"/>
        </w:rPr>
      </w:pPr>
      <w:r>
        <w:rPr>
          <w:rFonts w:hint="eastAsia" w:ascii="Times New Roman" w:hAnsi="Times New Roman" w:eastAsia="宋体" w:cs="Times New Roman"/>
        </w:rPr>
        <w:t>2). ★搁置不用时间超过三个月。</w:t>
      </w:r>
    </w:p>
    <w:p w14:paraId="043DE9C7">
      <w:pPr>
        <w:ind w:left="840" w:leftChars="400"/>
        <w:rPr>
          <w:rFonts w:ascii="Times New Roman" w:hAnsi="Times New Roman" w:eastAsia="宋体" w:cs="Times New Roman"/>
        </w:rPr>
      </w:pPr>
      <w:r>
        <w:rPr>
          <w:rFonts w:hint="eastAsia" w:ascii="Times New Roman" w:hAnsi="Times New Roman" w:eastAsia="宋体" w:cs="Times New Roman"/>
        </w:rPr>
        <w:t>3). ★全浮充运行达6个月。</w:t>
      </w:r>
    </w:p>
    <w:p w14:paraId="141147C3">
      <w:pPr>
        <w:ind w:left="840" w:leftChars="400"/>
        <w:rPr>
          <w:rFonts w:ascii="Times New Roman" w:hAnsi="Times New Roman" w:eastAsia="宋体" w:cs="Times New Roman"/>
        </w:rPr>
      </w:pPr>
      <w:r>
        <w:rPr>
          <w:rFonts w:hint="eastAsia" w:ascii="Times New Roman" w:hAnsi="Times New Roman" w:eastAsia="宋体" w:cs="Times New Roman"/>
        </w:rPr>
        <w:t>4).★ 放电深度超过额定容量的20%。</w:t>
      </w:r>
    </w:p>
    <w:p w14:paraId="4D2EF5F1">
      <w:pPr>
        <w:ind w:left="420" w:leftChars="200"/>
        <w:rPr>
          <w:rFonts w:ascii="Times New Roman" w:hAnsi="Times New Roman" w:eastAsia="宋体" w:cs="Times New Roman"/>
        </w:rPr>
      </w:pPr>
      <w:r>
        <w:rPr>
          <w:rFonts w:hint="eastAsia" w:ascii="Times New Roman" w:hAnsi="Times New Roman" w:eastAsia="宋体" w:cs="Times New Roman"/>
        </w:rPr>
        <w:t>3. 密封蓄电池充电终止的判据：</w:t>
      </w:r>
    </w:p>
    <w:p w14:paraId="452D8301">
      <w:pPr>
        <w:ind w:left="840" w:leftChars="400"/>
        <w:rPr>
          <w:rFonts w:ascii="Times New Roman" w:hAnsi="Times New Roman" w:eastAsia="宋体" w:cs="Times New Roman"/>
        </w:rPr>
      </w:pPr>
      <w:r>
        <w:rPr>
          <w:rFonts w:hint="eastAsia" w:ascii="Times New Roman" w:hAnsi="Times New Roman" w:eastAsia="宋体" w:cs="Times New Roman"/>
        </w:rPr>
        <w:t>1). 充电量不小于放出电量的1.2倍。</w:t>
      </w:r>
    </w:p>
    <w:p w14:paraId="7729C894">
      <w:pPr>
        <w:ind w:left="840" w:leftChars="400"/>
        <w:rPr>
          <w:rFonts w:ascii="Times New Roman" w:hAnsi="Times New Roman" w:eastAsia="宋体" w:cs="Times New Roman"/>
          <w:bCs/>
        </w:rPr>
      </w:pPr>
      <w:r>
        <w:rPr>
          <w:rFonts w:hint="eastAsia" w:ascii="Times New Roman" w:hAnsi="Times New Roman" w:eastAsia="宋体" w:cs="Times New Roman"/>
          <w:bCs/>
        </w:rPr>
        <w:t>2). 充电后期充电电流小于0.005</w:t>
      </w:r>
      <w:r>
        <w:rPr>
          <w:rFonts w:hint="eastAsia" w:ascii="Times New Roman" w:hAnsi="Times New Roman" w:eastAsia="宋体" w:cs="Times New Roman"/>
        </w:rPr>
        <w:t>Ｃ</w:t>
      </w:r>
      <w:r>
        <w:rPr>
          <w:rFonts w:hint="eastAsia" w:ascii="Times New Roman" w:hAnsi="Times New Roman" w:eastAsia="宋体" w:cs="Times New Roman"/>
          <w:b/>
          <w:vertAlign w:val="subscript"/>
        </w:rPr>
        <w:t>１０</w:t>
      </w:r>
      <w:r>
        <w:rPr>
          <w:rFonts w:hint="eastAsia" w:ascii="Times New Roman" w:hAnsi="Times New Roman" w:eastAsia="宋体" w:cs="Times New Roman"/>
          <w:bCs/>
        </w:rPr>
        <w:t>Ａ（</w:t>
      </w:r>
      <w:r>
        <w:rPr>
          <w:rFonts w:hint="eastAsia" w:ascii="Times New Roman" w:hAnsi="Times New Roman" w:eastAsia="宋体" w:cs="Times New Roman"/>
        </w:rPr>
        <w:t>Ｃ</w:t>
      </w:r>
      <w:r>
        <w:rPr>
          <w:rFonts w:hint="eastAsia" w:ascii="Times New Roman" w:hAnsi="Times New Roman" w:eastAsia="宋体" w:cs="Times New Roman"/>
          <w:vertAlign w:val="subscript"/>
        </w:rPr>
        <w:t>１０</w:t>
      </w:r>
      <w:r>
        <w:rPr>
          <w:rFonts w:hint="eastAsia" w:ascii="Times New Roman" w:hAnsi="Times New Roman" w:eastAsia="宋体" w:cs="Times New Roman"/>
          <w:bCs/>
        </w:rPr>
        <w:t>＝电池的额定容量）。</w:t>
      </w:r>
    </w:p>
    <w:p w14:paraId="55129CF2">
      <w:pPr>
        <w:ind w:left="840" w:leftChars="400"/>
        <w:rPr>
          <w:rFonts w:ascii="Times New Roman" w:hAnsi="Times New Roman" w:eastAsia="宋体" w:cs="Times New Roman"/>
        </w:rPr>
      </w:pPr>
      <w:r>
        <w:rPr>
          <w:rFonts w:hint="eastAsia" w:ascii="Times New Roman" w:hAnsi="Times New Roman" w:eastAsia="宋体" w:cs="Times New Roman"/>
        </w:rPr>
        <w:t>3). 充电后期，充电电流连续３小时不变化。</w:t>
      </w:r>
    </w:p>
    <w:p w14:paraId="24FB34A3">
      <w:pPr>
        <w:ind w:left="420" w:leftChars="200"/>
        <w:rPr>
          <w:rFonts w:ascii="Times New Roman" w:hAnsi="Times New Roman" w:eastAsia="宋体" w:cs="Times New Roman"/>
        </w:rPr>
      </w:pPr>
      <w:r>
        <w:rPr>
          <w:rFonts w:hint="eastAsia" w:ascii="Times New Roman" w:hAnsi="Times New Roman" w:eastAsia="宋体" w:cs="Times New Roman"/>
        </w:rPr>
        <w:t>达到上述三个条件之一，可视为充电终止。</w:t>
      </w:r>
    </w:p>
    <w:p w14:paraId="1BE7334B">
      <w:pPr>
        <w:ind w:left="420" w:leftChars="200"/>
        <w:rPr>
          <w:rFonts w:ascii="Times New Roman" w:hAnsi="Times New Roman" w:eastAsia="宋体" w:cs="Times New Roman"/>
        </w:rPr>
      </w:pPr>
      <w:r>
        <w:rPr>
          <w:rFonts w:hint="eastAsia" w:ascii="Times New Roman" w:hAnsi="Times New Roman" w:eastAsia="宋体" w:cs="Times New Roman"/>
        </w:rPr>
        <w:t>4. 蓄电池的放电：</w:t>
      </w:r>
    </w:p>
    <w:p w14:paraId="3B1B3A9D">
      <w:pPr>
        <w:ind w:left="359" w:leftChars="171" w:firstLine="420"/>
        <w:rPr>
          <w:rFonts w:ascii="Times New Roman" w:hAnsi="Times New Roman" w:eastAsia="宋体" w:cs="Times New Roman"/>
        </w:rPr>
      </w:pPr>
      <w:r>
        <w:rPr>
          <w:rFonts w:hint="eastAsia" w:ascii="Times New Roman" w:hAnsi="Times New Roman" w:eastAsia="宋体" w:cs="Times New Roman"/>
        </w:rPr>
        <w:t>1). 每年应做一次核对性放电试验（对于UPS使用的密封蓄电池，宜每季一次），放出额定容量的30%～40%。</w:t>
      </w:r>
    </w:p>
    <w:p w14:paraId="20AA9DBF">
      <w:pPr>
        <w:ind w:left="420" w:leftChars="200" w:firstLine="420"/>
        <w:rPr>
          <w:rFonts w:ascii="Times New Roman" w:hAnsi="Times New Roman" w:eastAsia="宋体" w:cs="Times New Roman"/>
        </w:rPr>
      </w:pPr>
      <w:r>
        <w:rPr>
          <w:rFonts w:hint="eastAsia" w:ascii="Times New Roman" w:hAnsi="Times New Roman" w:eastAsia="宋体" w:cs="Times New Roman"/>
        </w:rPr>
        <w:t>2). 对于2V单体的电池，每三年应做一次容量试验，使用六年后应每年一次。对于UPS使用的6V及12V单体的电池应每年一次。</w:t>
      </w:r>
    </w:p>
    <w:p w14:paraId="0E03343A">
      <w:pPr>
        <w:ind w:left="840" w:leftChars="400"/>
        <w:rPr>
          <w:rFonts w:ascii="Times New Roman" w:hAnsi="Times New Roman" w:eastAsia="宋体" w:cs="Times New Roman"/>
        </w:rPr>
      </w:pPr>
      <w:r>
        <w:rPr>
          <w:rFonts w:hint="eastAsia" w:ascii="Times New Roman" w:hAnsi="Times New Roman" w:eastAsia="宋体" w:cs="Times New Roman"/>
        </w:rPr>
        <w:t>3). 48V系统的蓄电池组，放电电流不得大于0.25 C</w:t>
      </w:r>
      <w:r>
        <w:rPr>
          <w:rFonts w:hint="eastAsia" w:ascii="Times New Roman" w:hAnsi="Times New Roman" w:eastAsia="宋体" w:cs="Times New Roman"/>
          <w:vertAlign w:val="subscript"/>
        </w:rPr>
        <w:t>10</w:t>
      </w:r>
      <w:r>
        <w:rPr>
          <w:rFonts w:hint="eastAsia" w:ascii="Times New Roman" w:hAnsi="Times New Roman" w:eastAsia="宋体" w:cs="Times New Roman"/>
        </w:rPr>
        <w:t>。</w:t>
      </w:r>
    </w:p>
    <w:p w14:paraId="3E34A3C6">
      <w:pPr>
        <w:ind w:left="420" w:leftChars="200" w:firstLine="420"/>
        <w:rPr>
          <w:rFonts w:ascii="Times New Roman" w:hAnsi="Times New Roman" w:eastAsia="宋体" w:cs="Times New Roman"/>
        </w:rPr>
      </w:pPr>
      <w:r>
        <w:rPr>
          <w:rFonts w:hint="eastAsia" w:ascii="Times New Roman" w:hAnsi="Times New Roman" w:eastAsia="宋体" w:cs="Times New Roman"/>
        </w:rPr>
        <w:t>4). 蓄电池放电期间，应定时测量单体端电压、单组放电电流。有条件的，应采用专业蓄电池容量测试设备进行放电、记录、分析，以提高测试精度和工作效率。</w:t>
      </w:r>
    </w:p>
    <w:p w14:paraId="7D9BF6AB">
      <w:pPr>
        <w:ind w:left="420" w:leftChars="200"/>
        <w:rPr>
          <w:rFonts w:ascii="Times New Roman" w:hAnsi="Times New Roman" w:eastAsia="宋体" w:cs="Times New Roman"/>
        </w:rPr>
      </w:pPr>
      <w:r>
        <w:rPr>
          <w:rFonts w:hint="eastAsia" w:ascii="Times New Roman" w:hAnsi="Times New Roman" w:eastAsia="宋体" w:cs="Times New Roman"/>
        </w:rPr>
        <w:t>5. 密封蓄电池放电终止的判据：</w:t>
      </w:r>
    </w:p>
    <w:p w14:paraId="250780CA">
      <w:pPr>
        <w:ind w:left="840" w:leftChars="400"/>
        <w:rPr>
          <w:rFonts w:ascii="Times New Roman" w:hAnsi="Times New Roman" w:eastAsia="宋体" w:cs="Times New Roman"/>
        </w:rPr>
      </w:pPr>
      <w:r>
        <w:rPr>
          <w:rFonts w:hint="eastAsia" w:ascii="Times New Roman" w:hAnsi="Times New Roman" w:eastAsia="宋体" w:cs="Times New Roman"/>
        </w:rPr>
        <w:t>1). 对于核对性放电试验，放出额定容量的30%～40%。</w:t>
      </w:r>
    </w:p>
    <w:p w14:paraId="29401231">
      <w:pPr>
        <w:ind w:left="840" w:leftChars="400"/>
        <w:rPr>
          <w:rFonts w:ascii="Times New Roman" w:hAnsi="Times New Roman" w:eastAsia="宋体" w:cs="Times New Roman"/>
        </w:rPr>
      </w:pPr>
      <w:r>
        <w:rPr>
          <w:rFonts w:hint="eastAsia" w:ascii="Times New Roman" w:hAnsi="Times New Roman" w:eastAsia="宋体" w:cs="Times New Roman"/>
        </w:rPr>
        <w:t>2). 对于容量试验，放出额定容量的80%。</w:t>
      </w:r>
    </w:p>
    <w:p w14:paraId="5CE390E5">
      <w:pPr>
        <w:ind w:left="420" w:leftChars="200" w:firstLine="420"/>
        <w:rPr>
          <w:rFonts w:ascii="Times New Roman" w:hAnsi="Times New Roman" w:eastAsia="宋体" w:cs="Times New Roman"/>
        </w:rPr>
      </w:pPr>
      <w:r>
        <w:rPr>
          <w:rFonts w:hint="eastAsia" w:ascii="Times New Roman" w:hAnsi="Times New Roman" w:eastAsia="宋体" w:cs="Times New Roman"/>
        </w:rPr>
        <w:t>3). 电池组中任意单体达到放电终止电压。对于放电电流不大于0.25C</w:t>
      </w:r>
      <w:r>
        <w:rPr>
          <w:rFonts w:hint="eastAsia" w:ascii="Times New Roman" w:hAnsi="Times New Roman" w:eastAsia="宋体" w:cs="Times New Roman"/>
          <w:vertAlign w:val="subscript"/>
        </w:rPr>
        <w:t>10</w:t>
      </w:r>
      <w:r>
        <w:rPr>
          <w:rFonts w:hint="eastAsia" w:ascii="Times New Roman" w:hAnsi="Times New Roman" w:eastAsia="宋体" w:cs="Times New Roman"/>
        </w:rPr>
        <w:t>，放电终止电压可取1.8V/2V单体；对于放电电流大于0.25C</w:t>
      </w:r>
      <w:r>
        <w:rPr>
          <w:rFonts w:hint="eastAsia" w:ascii="Times New Roman" w:hAnsi="Times New Roman" w:eastAsia="宋体" w:cs="Times New Roman"/>
          <w:vertAlign w:val="subscript"/>
        </w:rPr>
        <w:t>10</w:t>
      </w:r>
      <w:r>
        <w:rPr>
          <w:rFonts w:hint="eastAsia" w:ascii="Times New Roman" w:hAnsi="Times New Roman" w:eastAsia="宋体" w:cs="Times New Roman"/>
        </w:rPr>
        <w:t>，放电终止电压可取1.75V/2V单体。</w:t>
      </w:r>
    </w:p>
    <w:p w14:paraId="5C1654B0">
      <w:pPr>
        <w:ind w:left="420" w:leftChars="200"/>
        <w:rPr>
          <w:rFonts w:ascii="Times New Roman" w:hAnsi="Times New Roman" w:eastAsia="宋体" w:cs="Times New Roman"/>
        </w:rPr>
      </w:pPr>
      <w:r>
        <w:rPr>
          <w:rFonts w:hint="eastAsia" w:ascii="Times New Roman" w:hAnsi="Times New Roman" w:eastAsia="宋体" w:cs="Times New Roman"/>
        </w:rPr>
        <w:t xml:space="preserve">    达到上述三个条件之一，可视为放电终止。</w:t>
      </w:r>
    </w:p>
    <w:p w14:paraId="4204CA15">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密封蓄电池的浮充运行</w:t>
      </w:r>
    </w:p>
    <w:p w14:paraId="2B9354F6">
      <w:pPr>
        <w:ind w:left="420" w:leftChars="200"/>
        <w:rPr>
          <w:rFonts w:ascii="Times New Roman" w:hAnsi="Times New Roman" w:eastAsia="宋体" w:cs="Times New Roman"/>
        </w:rPr>
      </w:pPr>
      <w:r>
        <w:rPr>
          <w:rFonts w:hint="eastAsia" w:ascii="Times New Roman" w:hAnsi="Times New Roman" w:eastAsia="宋体" w:cs="Times New Roman"/>
        </w:rPr>
        <w:t>1. 全浮充制供电方式：</w:t>
      </w:r>
    </w:p>
    <w:p w14:paraId="6057309F">
      <w:pPr>
        <w:ind w:left="840" w:leftChars="400"/>
        <w:rPr>
          <w:rFonts w:ascii="Times New Roman" w:hAnsi="Times New Roman" w:eastAsia="宋体" w:cs="Times New Roman"/>
        </w:rPr>
      </w:pPr>
      <w:r>
        <w:rPr>
          <w:rFonts w:hint="eastAsia" w:ascii="Times New Roman" w:hAnsi="Times New Roman" w:eastAsia="宋体" w:cs="Times New Roman"/>
        </w:rPr>
        <w:t>1). 蓄电池平时均处于浮充状态。</w:t>
      </w:r>
    </w:p>
    <w:p w14:paraId="698136CF">
      <w:pPr>
        <w:ind w:left="420" w:leftChars="200" w:firstLine="420"/>
        <w:rPr>
          <w:rFonts w:ascii="Times New Roman" w:hAnsi="Times New Roman" w:eastAsia="宋体" w:cs="Times New Roman"/>
        </w:rPr>
      </w:pPr>
      <w:r>
        <w:rPr>
          <w:rFonts w:hint="eastAsia" w:ascii="Times New Roman" w:hAnsi="Times New Roman" w:eastAsia="宋体" w:cs="Times New Roman"/>
        </w:rPr>
        <w:t>2). 蓄电池的浮充电压：按照产品技术说明书要求设定，并注意温度补偿。一般情况下，浮充电压为2.23V ～2.25V(25℃，每2V单体)，温度补偿为Ｕ＝U</w:t>
      </w:r>
      <w:r>
        <w:rPr>
          <w:rFonts w:hint="eastAsia" w:ascii="Times New Roman" w:hAnsi="Times New Roman" w:eastAsia="宋体" w:cs="Times New Roman"/>
          <w:vertAlign w:val="subscript"/>
        </w:rPr>
        <w:t>（25℃）</w:t>
      </w:r>
      <w:r>
        <w:rPr>
          <w:rFonts w:hint="eastAsia" w:ascii="Times New Roman" w:hAnsi="Times New Roman" w:eastAsia="宋体" w:cs="Times New Roman"/>
        </w:rPr>
        <w:t>＋（２５－ｔ）×0.003 (t=环境温度)。</w:t>
      </w:r>
    </w:p>
    <w:p w14:paraId="68B20A99">
      <w:pPr>
        <w:ind w:left="420" w:leftChars="200" w:firstLine="420"/>
        <w:rPr>
          <w:rFonts w:ascii="Times New Roman" w:hAnsi="Times New Roman" w:eastAsia="宋体" w:cs="Times New Roman"/>
        </w:rPr>
      </w:pPr>
      <w:r>
        <w:rPr>
          <w:rFonts w:hint="eastAsia" w:ascii="Times New Roman" w:hAnsi="Times New Roman" w:eastAsia="宋体" w:cs="Times New Roman"/>
        </w:rPr>
        <w:t>3). 浮充时全组各电池端电压的最大差值不大于下表规定值。</w:t>
      </w:r>
    </w:p>
    <w:tbl>
      <w:tblPr>
        <w:tblStyle w:val="41"/>
        <w:tblW w:w="45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24"/>
        <w:gridCol w:w="3846"/>
      </w:tblGrid>
      <w:tr w14:paraId="78D1E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4222" w:type="dxa"/>
            <w:shd w:val="clear" w:color="auto" w:fill="auto"/>
            <w:vAlign w:val="center"/>
          </w:tcPr>
          <w:p w14:paraId="57ECD431">
            <w:pPr>
              <w:jc w:val="center"/>
              <w:rPr>
                <w:rFonts w:ascii="黑体" w:hAnsi="Times New Roman" w:eastAsia="黑体" w:cs="Times New Roman"/>
                <w:szCs w:val="21"/>
              </w:rPr>
            </w:pPr>
            <w:r>
              <w:rPr>
                <w:rFonts w:hint="eastAsia" w:ascii="黑体" w:hAnsi="Times New Roman" w:eastAsia="黑体" w:cs="Times New Roman"/>
                <w:szCs w:val="21"/>
              </w:rPr>
              <w:t>单体电池电压(V)</w:t>
            </w:r>
          </w:p>
        </w:tc>
        <w:tc>
          <w:tcPr>
            <w:tcW w:w="4234" w:type="dxa"/>
            <w:shd w:val="clear" w:color="auto" w:fill="auto"/>
            <w:vAlign w:val="center"/>
          </w:tcPr>
          <w:p w14:paraId="35EA70C0">
            <w:pPr>
              <w:jc w:val="center"/>
              <w:rPr>
                <w:rFonts w:ascii="黑体" w:hAnsi="Times New Roman" w:eastAsia="黑体" w:cs="Times New Roman"/>
                <w:szCs w:val="21"/>
              </w:rPr>
            </w:pPr>
            <w:r>
              <w:rPr>
                <w:rFonts w:hint="eastAsia" w:ascii="黑体" w:hAnsi="Times New Roman" w:eastAsia="黑体" w:cs="Times New Roman"/>
                <w:szCs w:val="21"/>
              </w:rPr>
              <w:t>压差(mV)</w:t>
            </w:r>
          </w:p>
        </w:tc>
      </w:tr>
      <w:tr w14:paraId="703FA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22" w:type="dxa"/>
            <w:shd w:val="clear" w:color="auto" w:fill="auto"/>
            <w:vAlign w:val="center"/>
          </w:tcPr>
          <w:p w14:paraId="3CEF03C3">
            <w:pPr>
              <w:jc w:val="center"/>
              <w:rPr>
                <w:rFonts w:ascii="Times New Roman" w:hAnsi="Times New Roman" w:eastAsia="宋体" w:cs="Times New Roman"/>
                <w:szCs w:val="21"/>
              </w:rPr>
            </w:pPr>
            <w:r>
              <w:rPr>
                <w:rFonts w:hint="eastAsia" w:ascii="Times New Roman" w:hAnsi="Times New Roman" w:eastAsia="宋体" w:cs="Times New Roman"/>
                <w:szCs w:val="21"/>
              </w:rPr>
              <w:t>2</w:t>
            </w:r>
          </w:p>
        </w:tc>
        <w:tc>
          <w:tcPr>
            <w:tcW w:w="4234" w:type="dxa"/>
            <w:shd w:val="clear" w:color="auto" w:fill="auto"/>
            <w:vAlign w:val="center"/>
          </w:tcPr>
          <w:p w14:paraId="28EFA948">
            <w:pPr>
              <w:jc w:val="center"/>
              <w:rPr>
                <w:rFonts w:ascii="Times New Roman" w:hAnsi="Times New Roman" w:eastAsia="宋体" w:cs="Times New Roman"/>
                <w:szCs w:val="21"/>
              </w:rPr>
            </w:pPr>
            <w:r>
              <w:rPr>
                <w:rFonts w:hint="eastAsia" w:ascii="Times New Roman" w:hAnsi="Times New Roman" w:eastAsia="宋体" w:cs="Times New Roman"/>
                <w:szCs w:val="21"/>
              </w:rPr>
              <w:t>90</w:t>
            </w:r>
          </w:p>
        </w:tc>
      </w:tr>
      <w:tr w14:paraId="4E6E2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22" w:type="dxa"/>
            <w:shd w:val="clear" w:color="auto" w:fill="auto"/>
            <w:vAlign w:val="center"/>
          </w:tcPr>
          <w:p w14:paraId="1A58EA95">
            <w:pPr>
              <w:jc w:val="center"/>
              <w:rPr>
                <w:rFonts w:ascii="Times New Roman" w:hAnsi="Times New Roman" w:eastAsia="宋体" w:cs="Times New Roman"/>
                <w:szCs w:val="21"/>
              </w:rPr>
            </w:pPr>
            <w:r>
              <w:rPr>
                <w:rFonts w:hint="eastAsia" w:ascii="Times New Roman" w:hAnsi="Times New Roman" w:eastAsia="宋体" w:cs="Times New Roman"/>
                <w:szCs w:val="21"/>
              </w:rPr>
              <w:t>6</w:t>
            </w:r>
          </w:p>
        </w:tc>
        <w:tc>
          <w:tcPr>
            <w:tcW w:w="4234" w:type="dxa"/>
            <w:shd w:val="clear" w:color="auto" w:fill="auto"/>
            <w:vAlign w:val="center"/>
          </w:tcPr>
          <w:p w14:paraId="07861AAB">
            <w:pPr>
              <w:jc w:val="center"/>
              <w:rPr>
                <w:rFonts w:ascii="Times New Roman" w:hAnsi="Times New Roman" w:eastAsia="宋体" w:cs="Times New Roman"/>
                <w:szCs w:val="21"/>
              </w:rPr>
            </w:pPr>
            <w:r>
              <w:rPr>
                <w:rFonts w:hint="eastAsia" w:ascii="Times New Roman" w:hAnsi="Times New Roman" w:eastAsia="宋体" w:cs="Times New Roman"/>
                <w:szCs w:val="21"/>
              </w:rPr>
              <w:t>240</w:t>
            </w:r>
          </w:p>
        </w:tc>
      </w:tr>
      <w:tr w14:paraId="2B0DB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22" w:type="dxa"/>
            <w:shd w:val="clear" w:color="auto" w:fill="auto"/>
            <w:vAlign w:val="center"/>
          </w:tcPr>
          <w:p w14:paraId="5C72BE6B">
            <w:pPr>
              <w:jc w:val="center"/>
              <w:rPr>
                <w:rFonts w:ascii="Times New Roman" w:hAnsi="Times New Roman" w:eastAsia="宋体" w:cs="Times New Roman"/>
                <w:szCs w:val="21"/>
              </w:rPr>
            </w:pPr>
            <w:r>
              <w:rPr>
                <w:rFonts w:hint="eastAsia" w:ascii="Times New Roman" w:hAnsi="Times New Roman" w:eastAsia="宋体" w:cs="Times New Roman"/>
                <w:szCs w:val="21"/>
              </w:rPr>
              <w:t>12</w:t>
            </w:r>
          </w:p>
        </w:tc>
        <w:tc>
          <w:tcPr>
            <w:tcW w:w="4234" w:type="dxa"/>
            <w:shd w:val="clear" w:color="auto" w:fill="auto"/>
            <w:vAlign w:val="center"/>
          </w:tcPr>
          <w:p w14:paraId="7C5E11C8">
            <w:pPr>
              <w:jc w:val="center"/>
              <w:rPr>
                <w:rFonts w:ascii="Times New Roman" w:hAnsi="Times New Roman" w:eastAsia="宋体" w:cs="Times New Roman"/>
                <w:szCs w:val="21"/>
              </w:rPr>
            </w:pPr>
            <w:r>
              <w:rPr>
                <w:rFonts w:hint="eastAsia" w:ascii="Times New Roman" w:hAnsi="Times New Roman" w:eastAsia="宋体" w:cs="Times New Roman"/>
                <w:szCs w:val="21"/>
              </w:rPr>
              <w:t>480</w:t>
            </w:r>
          </w:p>
        </w:tc>
      </w:tr>
      <w:tr w14:paraId="5756B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56" w:type="dxa"/>
            <w:gridSpan w:val="2"/>
            <w:shd w:val="clear" w:color="auto" w:fill="auto"/>
            <w:vAlign w:val="center"/>
          </w:tcPr>
          <w:p w14:paraId="4B5BFBF4">
            <w:pPr>
              <w:jc w:val="left"/>
              <w:rPr>
                <w:rFonts w:ascii="Times New Roman" w:hAnsi="Times New Roman" w:eastAsia="宋体" w:cs="Times New Roman"/>
                <w:szCs w:val="21"/>
              </w:rPr>
            </w:pPr>
            <w:r>
              <w:rPr>
                <w:rFonts w:hint="eastAsia" w:ascii="Times New Roman" w:hAnsi="Times New Roman" w:eastAsia="宋体" w:cs="Times New Roman"/>
                <w:szCs w:val="21"/>
              </w:rPr>
              <w:t>注：</w:t>
            </w:r>
            <w:r>
              <w:rPr>
                <w:rFonts w:hint="eastAsia" w:ascii="Times New Roman" w:hAnsi="Times New Roman" w:eastAsia="宋体" w:cs="Times New Roman"/>
              </w:rPr>
              <w:t>产品技术说明书有特殊说明的除外</w:t>
            </w:r>
          </w:p>
        </w:tc>
      </w:tr>
    </w:tbl>
    <w:p w14:paraId="3232FFAB">
      <w:pPr>
        <w:ind w:left="420" w:leftChars="200" w:firstLine="420"/>
        <w:rPr>
          <w:rFonts w:ascii="Times New Roman" w:hAnsi="Times New Roman" w:eastAsia="宋体" w:cs="Times New Roman"/>
        </w:rPr>
      </w:pPr>
      <w:r>
        <w:rPr>
          <w:rFonts w:hint="eastAsia" w:ascii="Times New Roman" w:hAnsi="Times New Roman" w:eastAsia="宋体" w:cs="Times New Roman"/>
        </w:rPr>
        <w:t>4). 定期测量一次电池单体的端电压。</w:t>
      </w:r>
    </w:p>
    <w:p w14:paraId="1135847C">
      <w:pPr>
        <w:ind w:left="420" w:leftChars="200"/>
        <w:rPr>
          <w:rFonts w:ascii="Times New Roman" w:hAnsi="Times New Roman" w:eastAsia="宋体" w:cs="Times New Roman"/>
        </w:rPr>
      </w:pPr>
      <w:r>
        <w:rPr>
          <w:rFonts w:hint="eastAsia" w:ascii="Times New Roman" w:hAnsi="Times New Roman" w:eastAsia="宋体" w:cs="Times New Roman"/>
        </w:rPr>
        <w:t>2. ★阀控式密封蓄电池维护周期表：</w:t>
      </w:r>
    </w:p>
    <w:tbl>
      <w:tblPr>
        <w:tblStyle w:val="41"/>
        <w:tblW w:w="4500" w:type="pct"/>
        <w:jc w:val="center"/>
        <w:tblLayout w:type="fixed"/>
        <w:tblCellMar>
          <w:top w:w="0" w:type="dxa"/>
          <w:left w:w="108" w:type="dxa"/>
          <w:bottom w:w="0" w:type="dxa"/>
          <w:right w:w="108" w:type="dxa"/>
        </w:tblCellMar>
      </w:tblPr>
      <w:tblGrid>
        <w:gridCol w:w="465"/>
        <w:gridCol w:w="3287"/>
        <w:gridCol w:w="979"/>
        <w:gridCol w:w="979"/>
        <w:gridCol w:w="979"/>
        <w:gridCol w:w="980"/>
      </w:tblGrid>
      <w:tr w14:paraId="2D31C5D3">
        <w:trPr>
          <w:trHeight w:val="270" w:hRule="atLeast"/>
          <w:jc w:val="center"/>
        </w:trPr>
        <w:tc>
          <w:tcPr>
            <w:tcW w:w="49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4DA4772">
            <w:pPr>
              <w:widowControl/>
              <w:jc w:val="center"/>
              <w:rPr>
                <w:rFonts w:ascii="黑体" w:hAnsi="Times New Roman" w:eastAsia="黑体" w:cs="宋体"/>
                <w:color w:val="000000"/>
                <w:kern w:val="0"/>
                <w:szCs w:val="21"/>
              </w:rPr>
            </w:pPr>
            <w:r>
              <w:rPr>
                <w:rFonts w:hint="eastAsia" w:ascii="黑体" w:hAnsi="Times New Roman" w:eastAsia="黑体" w:cs="宋体"/>
                <w:color w:val="000000"/>
                <w:kern w:val="0"/>
                <w:szCs w:val="21"/>
              </w:rPr>
              <w:t>序号</w:t>
            </w:r>
          </w:p>
        </w:tc>
        <w:tc>
          <w:tcPr>
            <w:tcW w:w="36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6B3342">
            <w:pPr>
              <w:widowControl/>
              <w:jc w:val="center"/>
              <w:rPr>
                <w:rFonts w:ascii="黑体" w:hAnsi="Times New Roman" w:eastAsia="黑体" w:cs="宋体"/>
                <w:color w:val="000000"/>
                <w:kern w:val="0"/>
                <w:szCs w:val="21"/>
              </w:rPr>
            </w:pPr>
            <w:r>
              <w:rPr>
                <w:rFonts w:hint="eastAsia" w:ascii="黑体" w:hAnsi="Times New Roman" w:eastAsia="黑体" w:cs="宋体"/>
                <w:color w:val="000000"/>
                <w:kern w:val="0"/>
                <w:szCs w:val="21"/>
              </w:rPr>
              <w:t>维护项目</w:t>
            </w:r>
          </w:p>
        </w:tc>
        <w:tc>
          <w:tcPr>
            <w:tcW w:w="4281" w:type="dxa"/>
            <w:gridSpan w:val="4"/>
            <w:tcBorders>
              <w:top w:val="single" w:color="auto" w:sz="4" w:space="0"/>
              <w:left w:val="nil"/>
              <w:bottom w:val="single" w:color="auto" w:sz="4" w:space="0"/>
              <w:right w:val="single" w:color="auto" w:sz="4" w:space="0"/>
            </w:tcBorders>
            <w:shd w:val="clear" w:color="auto" w:fill="auto"/>
            <w:noWrap/>
            <w:vAlign w:val="center"/>
          </w:tcPr>
          <w:p w14:paraId="3E5A9CA9">
            <w:pPr>
              <w:widowControl/>
              <w:jc w:val="center"/>
              <w:rPr>
                <w:rFonts w:ascii="黑体" w:hAnsi="Times New Roman" w:eastAsia="黑体" w:cs="宋体"/>
                <w:color w:val="000000"/>
                <w:kern w:val="0"/>
                <w:szCs w:val="21"/>
              </w:rPr>
            </w:pPr>
            <w:r>
              <w:rPr>
                <w:rFonts w:hint="eastAsia" w:ascii="黑体" w:hAnsi="Times New Roman" w:eastAsia="黑体" w:cs="宋体"/>
                <w:color w:val="000000"/>
                <w:kern w:val="0"/>
                <w:szCs w:val="21"/>
              </w:rPr>
              <w:t>维护周期</w:t>
            </w:r>
          </w:p>
        </w:tc>
      </w:tr>
      <w:tr w14:paraId="618926B9">
        <w:tblPrEx>
          <w:tblCellMar>
            <w:top w:w="0" w:type="dxa"/>
            <w:left w:w="108" w:type="dxa"/>
            <w:bottom w:w="0" w:type="dxa"/>
            <w:right w:w="108" w:type="dxa"/>
          </w:tblCellMar>
        </w:tblPrEx>
        <w:trPr>
          <w:trHeight w:val="270" w:hRule="atLeast"/>
          <w:jc w:val="center"/>
        </w:trPr>
        <w:tc>
          <w:tcPr>
            <w:tcW w:w="490" w:type="dxa"/>
            <w:vMerge w:val="continue"/>
            <w:tcBorders>
              <w:top w:val="single" w:color="auto" w:sz="4" w:space="0"/>
              <w:left w:val="single" w:color="auto" w:sz="4" w:space="0"/>
              <w:bottom w:val="single" w:color="auto" w:sz="4" w:space="0"/>
              <w:right w:val="single" w:color="auto" w:sz="4" w:space="0"/>
            </w:tcBorders>
            <w:vAlign w:val="center"/>
          </w:tcPr>
          <w:p w14:paraId="4DE4AB75">
            <w:pPr>
              <w:widowControl/>
              <w:jc w:val="left"/>
              <w:rPr>
                <w:rFonts w:ascii="黑体" w:hAnsi="Times New Roman" w:eastAsia="黑体" w:cs="宋体"/>
                <w:color w:val="000000"/>
                <w:kern w:val="0"/>
                <w:szCs w:val="21"/>
              </w:rPr>
            </w:pPr>
          </w:p>
        </w:tc>
        <w:tc>
          <w:tcPr>
            <w:tcW w:w="3685" w:type="dxa"/>
            <w:vMerge w:val="continue"/>
            <w:tcBorders>
              <w:top w:val="single" w:color="auto" w:sz="4" w:space="0"/>
              <w:left w:val="single" w:color="auto" w:sz="4" w:space="0"/>
              <w:bottom w:val="single" w:color="auto" w:sz="4" w:space="0"/>
              <w:right w:val="single" w:color="auto" w:sz="4" w:space="0"/>
            </w:tcBorders>
            <w:vAlign w:val="center"/>
          </w:tcPr>
          <w:p w14:paraId="7E7A7408">
            <w:pPr>
              <w:widowControl/>
              <w:jc w:val="left"/>
              <w:rPr>
                <w:rFonts w:ascii="黑体" w:hAnsi="Times New Roman" w:eastAsia="黑体" w:cs="宋体"/>
                <w:color w:val="000000"/>
                <w:kern w:val="0"/>
                <w:szCs w:val="21"/>
              </w:rPr>
            </w:pPr>
          </w:p>
        </w:tc>
        <w:tc>
          <w:tcPr>
            <w:tcW w:w="1070" w:type="dxa"/>
            <w:tcBorders>
              <w:top w:val="nil"/>
              <w:left w:val="nil"/>
              <w:bottom w:val="single" w:color="auto" w:sz="4" w:space="0"/>
              <w:right w:val="single" w:color="auto" w:sz="4" w:space="0"/>
            </w:tcBorders>
            <w:shd w:val="clear" w:color="auto" w:fill="auto"/>
            <w:noWrap/>
            <w:vAlign w:val="center"/>
          </w:tcPr>
          <w:p w14:paraId="76CDD3A2">
            <w:pPr>
              <w:widowControl/>
              <w:jc w:val="center"/>
              <w:rPr>
                <w:rFonts w:ascii="黑体" w:hAnsi="Times New Roman" w:eastAsia="黑体" w:cs="宋体"/>
                <w:color w:val="000000"/>
                <w:kern w:val="0"/>
                <w:szCs w:val="21"/>
              </w:rPr>
            </w:pPr>
            <w:r>
              <w:rPr>
                <w:rFonts w:hint="eastAsia" w:ascii="黑体" w:hAnsi="Times New Roman" w:eastAsia="黑体" w:cs="宋体"/>
                <w:color w:val="000000"/>
                <w:kern w:val="0"/>
                <w:szCs w:val="21"/>
              </w:rPr>
              <w:t>A类机房</w:t>
            </w:r>
          </w:p>
        </w:tc>
        <w:tc>
          <w:tcPr>
            <w:tcW w:w="1070" w:type="dxa"/>
            <w:tcBorders>
              <w:top w:val="nil"/>
              <w:left w:val="nil"/>
              <w:bottom w:val="single" w:color="auto" w:sz="4" w:space="0"/>
              <w:right w:val="single" w:color="auto" w:sz="4" w:space="0"/>
            </w:tcBorders>
            <w:shd w:val="clear" w:color="auto" w:fill="auto"/>
            <w:vAlign w:val="center"/>
          </w:tcPr>
          <w:p w14:paraId="6B6BB458">
            <w:pPr>
              <w:widowControl/>
              <w:jc w:val="center"/>
              <w:rPr>
                <w:rFonts w:ascii="黑体" w:hAnsi="Times New Roman" w:eastAsia="黑体" w:cs="宋体"/>
                <w:color w:val="000000"/>
                <w:kern w:val="0"/>
                <w:szCs w:val="21"/>
              </w:rPr>
            </w:pPr>
            <w:r>
              <w:rPr>
                <w:rFonts w:hint="eastAsia" w:ascii="黑体" w:hAnsi="Times New Roman" w:eastAsia="黑体" w:cs="宋体"/>
                <w:color w:val="000000"/>
                <w:kern w:val="0"/>
                <w:szCs w:val="21"/>
              </w:rPr>
              <w:t>B类机房</w:t>
            </w:r>
          </w:p>
        </w:tc>
        <w:tc>
          <w:tcPr>
            <w:tcW w:w="1070" w:type="dxa"/>
            <w:tcBorders>
              <w:top w:val="nil"/>
              <w:left w:val="nil"/>
              <w:bottom w:val="single" w:color="auto" w:sz="4" w:space="0"/>
              <w:right w:val="single" w:color="auto" w:sz="4" w:space="0"/>
            </w:tcBorders>
            <w:shd w:val="clear" w:color="auto" w:fill="auto"/>
            <w:noWrap/>
            <w:vAlign w:val="center"/>
          </w:tcPr>
          <w:p w14:paraId="35F535D9">
            <w:pPr>
              <w:widowControl/>
              <w:jc w:val="center"/>
              <w:rPr>
                <w:rFonts w:ascii="黑体" w:hAnsi="Times New Roman" w:eastAsia="黑体" w:cs="宋体"/>
                <w:color w:val="000000"/>
                <w:kern w:val="0"/>
                <w:szCs w:val="21"/>
              </w:rPr>
            </w:pPr>
            <w:r>
              <w:rPr>
                <w:rFonts w:hint="eastAsia" w:ascii="黑体" w:hAnsi="Times New Roman" w:eastAsia="黑体" w:cs="宋体"/>
                <w:color w:val="000000"/>
                <w:kern w:val="0"/>
                <w:szCs w:val="21"/>
              </w:rPr>
              <w:t>C类机房</w:t>
            </w:r>
          </w:p>
        </w:tc>
        <w:tc>
          <w:tcPr>
            <w:tcW w:w="1071" w:type="dxa"/>
            <w:tcBorders>
              <w:top w:val="nil"/>
              <w:left w:val="nil"/>
              <w:bottom w:val="single" w:color="auto" w:sz="4" w:space="0"/>
              <w:right w:val="single" w:color="auto" w:sz="4" w:space="0"/>
            </w:tcBorders>
            <w:shd w:val="clear" w:color="auto" w:fill="auto"/>
            <w:noWrap/>
            <w:vAlign w:val="center"/>
          </w:tcPr>
          <w:p w14:paraId="4782DBE3">
            <w:pPr>
              <w:widowControl/>
              <w:jc w:val="center"/>
              <w:rPr>
                <w:rFonts w:ascii="黑体" w:hAnsi="Times New Roman" w:eastAsia="黑体" w:cs="宋体"/>
                <w:color w:val="000000"/>
                <w:kern w:val="0"/>
                <w:szCs w:val="21"/>
              </w:rPr>
            </w:pPr>
            <w:r>
              <w:rPr>
                <w:rFonts w:hint="eastAsia" w:ascii="黑体" w:hAnsi="Times New Roman" w:eastAsia="黑体" w:cs="宋体"/>
                <w:color w:val="000000"/>
                <w:kern w:val="0"/>
                <w:szCs w:val="21"/>
              </w:rPr>
              <w:t>D类机房</w:t>
            </w:r>
          </w:p>
        </w:tc>
      </w:tr>
      <w:tr w14:paraId="494A7EA9">
        <w:tblPrEx>
          <w:tblCellMar>
            <w:top w:w="0" w:type="dxa"/>
            <w:left w:w="108" w:type="dxa"/>
            <w:bottom w:w="0" w:type="dxa"/>
            <w:right w:w="108" w:type="dxa"/>
          </w:tblCellMar>
        </w:tblPrEx>
        <w:trPr>
          <w:trHeight w:val="270" w:hRule="atLeast"/>
          <w:jc w:val="center"/>
        </w:trPr>
        <w:tc>
          <w:tcPr>
            <w:tcW w:w="490" w:type="dxa"/>
            <w:tcBorders>
              <w:top w:val="nil"/>
              <w:left w:val="single" w:color="auto" w:sz="4" w:space="0"/>
              <w:bottom w:val="single" w:color="auto" w:sz="4" w:space="0"/>
              <w:right w:val="single" w:color="auto" w:sz="4" w:space="0"/>
            </w:tcBorders>
            <w:shd w:val="clear" w:color="auto" w:fill="auto"/>
            <w:noWrap/>
            <w:vAlign w:val="center"/>
          </w:tcPr>
          <w:p w14:paraId="1AADBF0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p>
        </w:tc>
        <w:tc>
          <w:tcPr>
            <w:tcW w:w="3685" w:type="dxa"/>
            <w:tcBorders>
              <w:top w:val="nil"/>
              <w:left w:val="nil"/>
              <w:bottom w:val="single" w:color="auto" w:sz="4" w:space="0"/>
              <w:right w:val="single" w:color="auto" w:sz="4" w:space="0"/>
            </w:tcBorders>
            <w:shd w:val="clear" w:color="auto" w:fill="auto"/>
            <w:vAlign w:val="center"/>
          </w:tcPr>
          <w:p w14:paraId="1B123A0C">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保持电池房清洁卫生。</w:t>
            </w:r>
          </w:p>
        </w:tc>
        <w:tc>
          <w:tcPr>
            <w:tcW w:w="1070" w:type="dxa"/>
            <w:tcBorders>
              <w:top w:val="nil"/>
              <w:left w:val="nil"/>
              <w:bottom w:val="single" w:color="auto" w:sz="4" w:space="0"/>
              <w:right w:val="single" w:color="auto" w:sz="4" w:space="0"/>
            </w:tcBorders>
            <w:shd w:val="clear" w:color="auto" w:fill="auto"/>
            <w:noWrap/>
            <w:vAlign w:val="center"/>
          </w:tcPr>
          <w:p w14:paraId="2FB7937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月</w:t>
            </w:r>
          </w:p>
        </w:tc>
        <w:tc>
          <w:tcPr>
            <w:tcW w:w="1070" w:type="dxa"/>
            <w:tcBorders>
              <w:top w:val="nil"/>
              <w:left w:val="nil"/>
              <w:bottom w:val="single" w:color="auto" w:sz="4" w:space="0"/>
              <w:right w:val="single" w:color="auto" w:sz="4" w:space="0"/>
            </w:tcBorders>
            <w:shd w:val="clear" w:color="auto" w:fill="auto"/>
            <w:vAlign w:val="center"/>
          </w:tcPr>
          <w:p w14:paraId="7FCA5B9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月</w:t>
            </w:r>
          </w:p>
        </w:tc>
        <w:tc>
          <w:tcPr>
            <w:tcW w:w="1070" w:type="dxa"/>
            <w:tcBorders>
              <w:top w:val="nil"/>
              <w:left w:val="nil"/>
              <w:bottom w:val="single" w:color="auto" w:sz="4" w:space="0"/>
              <w:right w:val="single" w:color="auto" w:sz="4" w:space="0"/>
            </w:tcBorders>
            <w:shd w:val="clear" w:color="auto" w:fill="auto"/>
            <w:noWrap/>
            <w:vAlign w:val="center"/>
          </w:tcPr>
          <w:p w14:paraId="0587489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月</w:t>
            </w:r>
          </w:p>
        </w:tc>
        <w:tc>
          <w:tcPr>
            <w:tcW w:w="1071" w:type="dxa"/>
            <w:tcBorders>
              <w:top w:val="nil"/>
              <w:left w:val="nil"/>
              <w:bottom w:val="single" w:color="auto" w:sz="4" w:space="0"/>
              <w:right w:val="single" w:color="auto" w:sz="4" w:space="0"/>
            </w:tcBorders>
            <w:shd w:val="clear" w:color="auto" w:fill="auto"/>
            <w:noWrap/>
            <w:vAlign w:val="center"/>
          </w:tcPr>
          <w:p w14:paraId="17B6663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季</w:t>
            </w:r>
          </w:p>
        </w:tc>
      </w:tr>
      <w:tr w14:paraId="16143115">
        <w:tblPrEx>
          <w:tblCellMar>
            <w:top w:w="0" w:type="dxa"/>
            <w:left w:w="108" w:type="dxa"/>
            <w:bottom w:w="0" w:type="dxa"/>
            <w:right w:w="108" w:type="dxa"/>
          </w:tblCellMar>
        </w:tblPrEx>
        <w:trPr>
          <w:trHeight w:val="270" w:hRule="atLeast"/>
          <w:jc w:val="center"/>
        </w:trPr>
        <w:tc>
          <w:tcPr>
            <w:tcW w:w="490" w:type="dxa"/>
            <w:tcBorders>
              <w:top w:val="nil"/>
              <w:left w:val="single" w:color="auto" w:sz="4" w:space="0"/>
              <w:bottom w:val="single" w:color="auto" w:sz="4" w:space="0"/>
              <w:right w:val="single" w:color="auto" w:sz="4" w:space="0"/>
            </w:tcBorders>
            <w:shd w:val="clear" w:color="auto" w:fill="auto"/>
            <w:noWrap/>
            <w:vAlign w:val="center"/>
          </w:tcPr>
          <w:p w14:paraId="5FF5EF7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p>
        </w:tc>
        <w:tc>
          <w:tcPr>
            <w:tcW w:w="3685" w:type="dxa"/>
            <w:tcBorders>
              <w:top w:val="nil"/>
              <w:left w:val="nil"/>
              <w:bottom w:val="single" w:color="auto" w:sz="4" w:space="0"/>
              <w:right w:val="single" w:color="auto" w:sz="4" w:space="0"/>
            </w:tcBorders>
            <w:shd w:val="clear" w:color="auto" w:fill="auto"/>
            <w:vAlign w:val="center"/>
          </w:tcPr>
          <w:p w14:paraId="299DA226">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测量和记录电池房内的环境温度。</w:t>
            </w:r>
          </w:p>
        </w:tc>
        <w:tc>
          <w:tcPr>
            <w:tcW w:w="1070" w:type="dxa"/>
            <w:tcBorders>
              <w:top w:val="nil"/>
              <w:left w:val="nil"/>
              <w:bottom w:val="single" w:color="auto" w:sz="4" w:space="0"/>
              <w:right w:val="single" w:color="auto" w:sz="4" w:space="0"/>
            </w:tcBorders>
            <w:shd w:val="clear" w:color="auto" w:fill="auto"/>
            <w:noWrap/>
            <w:vAlign w:val="center"/>
          </w:tcPr>
          <w:p w14:paraId="183AB3D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月</w:t>
            </w:r>
          </w:p>
        </w:tc>
        <w:tc>
          <w:tcPr>
            <w:tcW w:w="1070" w:type="dxa"/>
            <w:tcBorders>
              <w:top w:val="nil"/>
              <w:left w:val="nil"/>
              <w:bottom w:val="single" w:color="auto" w:sz="4" w:space="0"/>
              <w:right w:val="single" w:color="auto" w:sz="4" w:space="0"/>
            </w:tcBorders>
            <w:shd w:val="clear" w:color="auto" w:fill="auto"/>
            <w:vAlign w:val="center"/>
          </w:tcPr>
          <w:p w14:paraId="3137FEF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月</w:t>
            </w:r>
          </w:p>
        </w:tc>
        <w:tc>
          <w:tcPr>
            <w:tcW w:w="1070" w:type="dxa"/>
            <w:tcBorders>
              <w:top w:val="nil"/>
              <w:left w:val="nil"/>
              <w:bottom w:val="single" w:color="auto" w:sz="4" w:space="0"/>
              <w:right w:val="single" w:color="auto" w:sz="4" w:space="0"/>
            </w:tcBorders>
            <w:shd w:val="clear" w:color="auto" w:fill="auto"/>
            <w:noWrap/>
            <w:vAlign w:val="center"/>
          </w:tcPr>
          <w:p w14:paraId="668F0BAA">
            <w:pPr>
              <w:jc w:val="center"/>
              <w:rPr>
                <w:rFonts w:ascii="Times New Roman" w:hAnsi="Times New Roman" w:eastAsia="宋体" w:cs="Times New Roman"/>
              </w:rPr>
            </w:pPr>
            <w:r>
              <w:rPr>
                <w:rFonts w:hint="eastAsia" w:ascii="Times New Roman" w:hAnsi="Times New Roman" w:eastAsia="宋体" w:cs="宋体"/>
                <w:color w:val="000000"/>
                <w:kern w:val="0"/>
                <w:szCs w:val="21"/>
              </w:rPr>
              <w:t>月</w:t>
            </w:r>
          </w:p>
        </w:tc>
        <w:tc>
          <w:tcPr>
            <w:tcW w:w="1071" w:type="dxa"/>
            <w:tcBorders>
              <w:top w:val="nil"/>
              <w:left w:val="nil"/>
              <w:bottom w:val="single" w:color="auto" w:sz="4" w:space="0"/>
              <w:right w:val="single" w:color="auto" w:sz="4" w:space="0"/>
            </w:tcBorders>
            <w:shd w:val="clear" w:color="auto" w:fill="auto"/>
            <w:noWrap/>
            <w:vAlign w:val="center"/>
          </w:tcPr>
          <w:p w14:paraId="48FB8E5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季</w:t>
            </w:r>
          </w:p>
        </w:tc>
      </w:tr>
      <w:tr w14:paraId="2F278D84">
        <w:tblPrEx>
          <w:tblCellMar>
            <w:top w:w="0" w:type="dxa"/>
            <w:left w:w="108" w:type="dxa"/>
            <w:bottom w:w="0" w:type="dxa"/>
            <w:right w:w="108" w:type="dxa"/>
          </w:tblCellMar>
        </w:tblPrEx>
        <w:trPr>
          <w:trHeight w:val="510" w:hRule="atLeast"/>
          <w:jc w:val="center"/>
        </w:trPr>
        <w:tc>
          <w:tcPr>
            <w:tcW w:w="490" w:type="dxa"/>
            <w:tcBorders>
              <w:top w:val="nil"/>
              <w:left w:val="single" w:color="auto" w:sz="4" w:space="0"/>
              <w:bottom w:val="single" w:color="auto" w:sz="4" w:space="0"/>
              <w:right w:val="single" w:color="auto" w:sz="4" w:space="0"/>
            </w:tcBorders>
            <w:shd w:val="clear" w:color="auto" w:fill="auto"/>
            <w:noWrap/>
            <w:vAlign w:val="center"/>
          </w:tcPr>
          <w:p w14:paraId="23B2CD4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p>
        </w:tc>
        <w:tc>
          <w:tcPr>
            <w:tcW w:w="3685" w:type="dxa"/>
            <w:tcBorders>
              <w:top w:val="nil"/>
              <w:left w:val="nil"/>
              <w:bottom w:val="single" w:color="auto" w:sz="4" w:space="0"/>
              <w:right w:val="single" w:color="auto" w:sz="4" w:space="0"/>
            </w:tcBorders>
            <w:shd w:val="clear" w:color="auto" w:fill="auto"/>
            <w:vAlign w:val="center"/>
          </w:tcPr>
          <w:p w14:paraId="54B7DDE0">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检测蓄电池的清洁度、端子的损伤及发热痕迹、外壳及盖的损坏或过热痕迹。</w:t>
            </w:r>
          </w:p>
        </w:tc>
        <w:tc>
          <w:tcPr>
            <w:tcW w:w="1070" w:type="dxa"/>
            <w:tcBorders>
              <w:top w:val="nil"/>
              <w:left w:val="nil"/>
              <w:bottom w:val="single" w:color="auto" w:sz="4" w:space="0"/>
              <w:right w:val="single" w:color="auto" w:sz="4" w:space="0"/>
            </w:tcBorders>
            <w:shd w:val="clear" w:color="auto" w:fill="auto"/>
            <w:noWrap/>
            <w:vAlign w:val="center"/>
          </w:tcPr>
          <w:p w14:paraId="0C2C843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月</w:t>
            </w:r>
          </w:p>
        </w:tc>
        <w:tc>
          <w:tcPr>
            <w:tcW w:w="1070" w:type="dxa"/>
            <w:tcBorders>
              <w:top w:val="nil"/>
              <w:left w:val="nil"/>
              <w:bottom w:val="single" w:color="auto" w:sz="4" w:space="0"/>
              <w:right w:val="single" w:color="auto" w:sz="4" w:space="0"/>
            </w:tcBorders>
            <w:shd w:val="clear" w:color="auto" w:fill="auto"/>
            <w:vAlign w:val="center"/>
          </w:tcPr>
          <w:p w14:paraId="05CFB32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月</w:t>
            </w:r>
          </w:p>
        </w:tc>
        <w:tc>
          <w:tcPr>
            <w:tcW w:w="1070" w:type="dxa"/>
            <w:tcBorders>
              <w:top w:val="nil"/>
              <w:left w:val="nil"/>
              <w:bottom w:val="single" w:color="auto" w:sz="4" w:space="0"/>
              <w:right w:val="single" w:color="auto" w:sz="4" w:space="0"/>
            </w:tcBorders>
            <w:shd w:val="clear" w:color="auto" w:fill="auto"/>
            <w:noWrap/>
            <w:vAlign w:val="center"/>
          </w:tcPr>
          <w:p w14:paraId="11787A40">
            <w:pPr>
              <w:jc w:val="center"/>
              <w:rPr>
                <w:rFonts w:ascii="Times New Roman" w:hAnsi="Times New Roman" w:eastAsia="宋体" w:cs="Times New Roman"/>
              </w:rPr>
            </w:pPr>
            <w:r>
              <w:rPr>
                <w:rFonts w:hint="eastAsia" w:ascii="Times New Roman" w:hAnsi="Times New Roman" w:eastAsia="宋体" w:cs="宋体"/>
                <w:color w:val="000000"/>
                <w:kern w:val="0"/>
                <w:szCs w:val="21"/>
              </w:rPr>
              <w:t>月</w:t>
            </w:r>
          </w:p>
        </w:tc>
        <w:tc>
          <w:tcPr>
            <w:tcW w:w="1071" w:type="dxa"/>
            <w:tcBorders>
              <w:top w:val="nil"/>
              <w:left w:val="nil"/>
              <w:bottom w:val="single" w:color="auto" w:sz="4" w:space="0"/>
              <w:right w:val="single" w:color="auto" w:sz="4" w:space="0"/>
            </w:tcBorders>
            <w:shd w:val="clear" w:color="auto" w:fill="auto"/>
            <w:noWrap/>
            <w:vAlign w:val="center"/>
          </w:tcPr>
          <w:p w14:paraId="0A6B97B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季</w:t>
            </w:r>
          </w:p>
        </w:tc>
      </w:tr>
      <w:tr w14:paraId="45B5BD2A">
        <w:tblPrEx>
          <w:tblCellMar>
            <w:top w:w="0" w:type="dxa"/>
            <w:left w:w="108" w:type="dxa"/>
            <w:bottom w:w="0" w:type="dxa"/>
            <w:right w:w="108" w:type="dxa"/>
          </w:tblCellMar>
        </w:tblPrEx>
        <w:trPr>
          <w:trHeight w:val="270" w:hRule="atLeast"/>
          <w:jc w:val="center"/>
        </w:trPr>
        <w:tc>
          <w:tcPr>
            <w:tcW w:w="490" w:type="dxa"/>
            <w:tcBorders>
              <w:top w:val="nil"/>
              <w:left w:val="single" w:color="auto" w:sz="4" w:space="0"/>
              <w:bottom w:val="single" w:color="auto" w:sz="4" w:space="0"/>
              <w:right w:val="single" w:color="auto" w:sz="4" w:space="0"/>
            </w:tcBorders>
            <w:shd w:val="clear" w:color="auto" w:fill="auto"/>
            <w:noWrap/>
            <w:vAlign w:val="center"/>
          </w:tcPr>
          <w:p w14:paraId="5F463D9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w:t>
            </w:r>
          </w:p>
        </w:tc>
        <w:tc>
          <w:tcPr>
            <w:tcW w:w="3685" w:type="dxa"/>
            <w:tcBorders>
              <w:top w:val="nil"/>
              <w:left w:val="nil"/>
              <w:bottom w:val="single" w:color="auto" w:sz="4" w:space="0"/>
              <w:right w:val="single" w:color="auto" w:sz="4" w:space="0"/>
            </w:tcBorders>
            <w:shd w:val="clear" w:color="auto" w:fill="auto"/>
            <w:vAlign w:val="center"/>
          </w:tcPr>
          <w:p w14:paraId="1CB9F1CB">
            <w:pPr>
              <w:widowControl/>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测量和记录电池系统的总电压、浮充电流。</w:t>
            </w:r>
          </w:p>
        </w:tc>
        <w:tc>
          <w:tcPr>
            <w:tcW w:w="1070" w:type="dxa"/>
            <w:tcBorders>
              <w:top w:val="nil"/>
              <w:left w:val="nil"/>
              <w:bottom w:val="single" w:color="auto" w:sz="4" w:space="0"/>
              <w:right w:val="single" w:color="auto" w:sz="4" w:space="0"/>
            </w:tcBorders>
            <w:shd w:val="clear" w:color="auto" w:fill="auto"/>
            <w:noWrap/>
            <w:vAlign w:val="center"/>
          </w:tcPr>
          <w:p w14:paraId="3976119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月</w:t>
            </w:r>
          </w:p>
        </w:tc>
        <w:tc>
          <w:tcPr>
            <w:tcW w:w="1070" w:type="dxa"/>
            <w:tcBorders>
              <w:top w:val="nil"/>
              <w:left w:val="nil"/>
              <w:bottom w:val="single" w:color="auto" w:sz="4" w:space="0"/>
              <w:right w:val="single" w:color="auto" w:sz="4" w:space="0"/>
            </w:tcBorders>
            <w:shd w:val="clear" w:color="auto" w:fill="auto"/>
            <w:vAlign w:val="center"/>
          </w:tcPr>
          <w:p w14:paraId="42C7A72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月</w:t>
            </w:r>
          </w:p>
        </w:tc>
        <w:tc>
          <w:tcPr>
            <w:tcW w:w="1070" w:type="dxa"/>
            <w:tcBorders>
              <w:top w:val="nil"/>
              <w:left w:val="nil"/>
              <w:bottom w:val="single" w:color="auto" w:sz="4" w:space="0"/>
              <w:right w:val="single" w:color="auto" w:sz="4" w:space="0"/>
            </w:tcBorders>
            <w:shd w:val="clear" w:color="auto" w:fill="auto"/>
            <w:noWrap/>
            <w:vAlign w:val="center"/>
          </w:tcPr>
          <w:p w14:paraId="7D0DE0B8">
            <w:pPr>
              <w:jc w:val="center"/>
              <w:rPr>
                <w:rFonts w:ascii="Times New Roman" w:hAnsi="Times New Roman" w:eastAsia="宋体" w:cs="Times New Roman"/>
              </w:rPr>
            </w:pPr>
            <w:r>
              <w:rPr>
                <w:rFonts w:hint="eastAsia" w:ascii="Times New Roman" w:hAnsi="Times New Roman" w:eastAsia="宋体" w:cs="宋体"/>
                <w:color w:val="000000"/>
                <w:kern w:val="0"/>
                <w:szCs w:val="21"/>
              </w:rPr>
              <w:t>月</w:t>
            </w:r>
          </w:p>
        </w:tc>
        <w:tc>
          <w:tcPr>
            <w:tcW w:w="1071" w:type="dxa"/>
            <w:tcBorders>
              <w:top w:val="nil"/>
              <w:left w:val="nil"/>
              <w:bottom w:val="single" w:color="auto" w:sz="4" w:space="0"/>
              <w:right w:val="single" w:color="auto" w:sz="4" w:space="0"/>
            </w:tcBorders>
            <w:shd w:val="clear" w:color="auto" w:fill="auto"/>
            <w:noWrap/>
            <w:vAlign w:val="center"/>
          </w:tcPr>
          <w:p w14:paraId="406DCFD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季</w:t>
            </w:r>
          </w:p>
        </w:tc>
      </w:tr>
      <w:tr w14:paraId="7039BB3B">
        <w:tblPrEx>
          <w:tblCellMar>
            <w:top w:w="0" w:type="dxa"/>
            <w:left w:w="108" w:type="dxa"/>
            <w:bottom w:w="0" w:type="dxa"/>
            <w:right w:w="108" w:type="dxa"/>
          </w:tblCellMar>
        </w:tblPrEx>
        <w:trPr>
          <w:trHeight w:val="270" w:hRule="atLeast"/>
          <w:jc w:val="center"/>
        </w:trPr>
        <w:tc>
          <w:tcPr>
            <w:tcW w:w="490" w:type="dxa"/>
            <w:tcBorders>
              <w:top w:val="nil"/>
              <w:left w:val="single" w:color="auto" w:sz="4" w:space="0"/>
              <w:bottom w:val="single" w:color="auto" w:sz="4" w:space="0"/>
              <w:right w:val="single" w:color="auto" w:sz="4" w:space="0"/>
            </w:tcBorders>
            <w:shd w:val="clear" w:color="auto" w:fill="auto"/>
            <w:noWrap/>
            <w:vAlign w:val="center"/>
          </w:tcPr>
          <w:p w14:paraId="3330CDA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5</w:t>
            </w:r>
          </w:p>
        </w:tc>
        <w:tc>
          <w:tcPr>
            <w:tcW w:w="3685" w:type="dxa"/>
            <w:tcBorders>
              <w:top w:val="nil"/>
              <w:left w:val="nil"/>
              <w:bottom w:val="single" w:color="auto" w:sz="4" w:space="0"/>
              <w:right w:val="single" w:color="auto" w:sz="4" w:space="0"/>
            </w:tcBorders>
            <w:shd w:val="clear" w:color="auto" w:fill="auto"/>
            <w:vAlign w:val="center"/>
          </w:tcPr>
          <w:p w14:paraId="6D045CA5">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测量单体端电压。</w:t>
            </w:r>
          </w:p>
        </w:tc>
        <w:tc>
          <w:tcPr>
            <w:tcW w:w="1070" w:type="dxa"/>
            <w:tcBorders>
              <w:top w:val="nil"/>
              <w:left w:val="nil"/>
              <w:bottom w:val="single" w:color="auto" w:sz="4" w:space="0"/>
              <w:right w:val="single" w:color="auto" w:sz="4" w:space="0"/>
            </w:tcBorders>
            <w:shd w:val="clear" w:color="auto" w:fill="auto"/>
            <w:noWrap/>
            <w:vAlign w:val="center"/>
          </w:tcPr>
          <w:p w14:paraId="0DACBFF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季</w:t>
            </w:r>
          </w:p>
        </w:tc>
        <w:tc>
          <w:tcPr>
            <w:tcW w:w="1070" w:type="dxa"/>
            <w:tcBorders>
              <w:top w:val="nil"/>
              <w:left w:val="nil"/>
              <w:bottom w:val="single" w:color="auto" w:sz="4" w:space="0"/>
              <w:right w:val="single" w:color="auto" w:sz="4" w:space="0"/>
            </w:tcBorders>
            <w:shd w:val="clear" w:color="auto" w:fill="auto"/>
            <w:vAlign w:val="center"/>
          </w:tcPr>
          <w:p w14:paraId="64869A0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季</w:t>
            </w:r>
          </w:p>
        </w:tc>
        <w:tc>
          <w:tcPr>
            <w:tcW w:w="1070" w:type="dxa"/>
            <w:tcBorders>
              <w:top w:val="nil"/>
              <w:left w:val="nil"/>
              <w:bottom w:val="single" w:color="auto" w:sz="4" w:space="0"/>
              <w:right w:val="single" w:color="auto" w:sz="4" w:space="0"/>
            </w:tcBorders>
            <w:shd w:val="clear" w:color="auto" w:fill="auto"/>
            <w:noWrap/>
            <w:vAlign w:val="center"/>
          </w:tcPr>
          <w:p w14:paraId="351F8413">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季</w:t>
            </w:r>
          </w:p>
        </w:tc>
        <w:tc>
          <w:tcPr>
            <w:tcW w:w="1071" w:type="dxa"/>
            <w:tcBorders>
              <w:top w:val="nil"/>
              <w:left w:val="nil"/>
              <w:bottom w:val="single" w:color="auto" w:sz="4" w:space="0"/>
              <w:right w:val="single" w:color="auto" w:sz="4" w:space="0"/>
            </w:tcBorders>
            <w:shd w:val="clear" w:color="auto" w:fill="auto"/>
            <w:noWrap/>
            <w:vAlign w:val="center"/>
          </w:tcPr>
          <w:p w14:paraId="24CE734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季</w:t>
            </w:r>
          </w:p>
        </w:tc>
      </w:tr>
      <w:tr w14:paraId="349C7724">
        <w:tblPrEx>
          <w:tblCellMar>
            <w:top w:w="0" w:type="dxa"/>
            <w:left w:w="108" w:type="dxa"/>
            <w:bottom w:w="0" w:type="dxa"/>
            <w:right w:w="108" w:type="dxa"/>
          </w:tblCellMar>
        </w:tblPrEx>
        <w:trPr>
          <w:trHeight w:val="450" w:hRule="atLeast"/>
          <w:jc w:val="center"/>
        </w:trPr>
        <w:tc>
          <w:tcPr>
            <w:tcW w:w="490" w:type="dxa"/>
            <w:tcBorders>
              <w:top w:val="nil"/>
              <w:left w:val="single" w:color="auto" w:sz="4" w:space="0"/>
              <w:bottom w:val="single" w:color="auto" w:sz="4" w:space="0"/>
              <w:right w:val="single" w:color="auto" w:sz="4" w:space="0"/>
            </w:tcBorders>
            <w:shd w:val="clear" w:color="auto" w:fill="auto"/>
            <w:noWrap/>
            <w:vAlign w:val="center"/>
          </w:tcPr>
          <w:p w14:paraId="5D96DAC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6</w:t>
            </w:r>
          </w:p>
        </w:tc>
        <w:tc>
          <w:tcPr>
            <w:tcW w:w="3685" w:type="dxa"/>
            <w:tcBorders>
              <w:top w:val="nil"/>
              <w:left w:val="nil"/>
              <w:bottom w:val="single" w:color="auto" w:sz="4" w:space="0"/>
              <w:right w:val="single" w:color="auto" w:sz="4" w:space="0"/>
            </w:tcBorders>
            <w:shd w:val="clear" w:color="auto" w:fill="auto"/>
            <w:vAlign w:val="center"/>
          </w:tcPr>
          <w:p w14:paraId="55AA7A3C">
            <w:pPr>
              <w:widowControl/>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检查是否达到充电条件，如达到的话，应进行均充充电。</w:t>
            </w:r>
          </w:p>
        </w:tc>
        <w:tc>
          <w:tcPr>
            <w:tcW w:w="1070" w:type="dxa"/>
            <w:tcBorders>
              <w:top w:val="nil"/>
              <w:left w:val="nil"/>
              <w:bottom w:val="single" w:color="auto" w:sz="4" w:space="0"/>
              <w:right w:val="single" w:color="auto" w:sz="4" w:space="0"/>
            </w:tcBorders>
            <w:shd w:val="clear" w:color="auto" w:fill="auto"/>
            <w:noWrap/>
            <w:vAlign w:val="center"/>
          </w:tcPr>
          <w:p w14:paraId="2DF84A4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季</w:t>
            </w:r>
          </w:p>
        </w:tc>
        <w:tc>
          <w:tcPr>
            <w:tcW w:w="1070" w:type="dxa"/>
            <w:tcBorders>
              <w:top w:val="nil"/>
              <w:left w:val="nil"/>
              <w:bottom w:val="single" w:color="auto" w:sz="4" w:space="0"/>
              <w:right w:val="single" w:color="auto" w:sz="4" w:space="0"/>
            </w:tcBorders>
            <w:shd w:val="clear" w:color="auto" w:fill="auto"/>
            <w:vAlign w:val="center"/>
          </w:tcPr>
          <w:p w14:paraId="7B3884B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季</w:t>
            </w:r>
          </w:p>
        </w:tc>
        <w:tc>
          <w:tcPr>
            <w:tcW w:w="1070" w:type="dxa"/>
            <w:tcBorders>
              <w:top w:val="nil"/>
              <w:left w:val="nil"/>
              <w:bottom w:val="single" w:color="auto" w:sz="4" w:space="0"/>
              <w:right w:val="single" w:color="auto" w:sz="4" w:space="0"/>
            </w:tcBorders>
            <w:shd w:val="clear" w:color="auto" w:fill="auto"/>
            <w:noWrap/>
            <w:vAlign w:val="center"/>
          </w:tcPr>
          <w:p w14:paraId="62BE6E4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季</w:t>
            </w:r>
          </w:p>
        </w:tc>
        <w:tc>
          <w:tcPr>
            <w:tcW w:w="1071" w:type="dxa"/>
            <w:tcBorders>
              <w:top w:val="nil"/>
              <w:left w:val="nil"/>
              <w:bottom w:val="single" w:color="auto" w:sz="4" w:space="0"/>
              <w:right w:val="single" w:color="auto" w:sz="4" w:space="0"/>
            </w:tcBorders>
            <w:shd w:val="clear" w:color="auto" w:fill="auto"/>
            <w:noWrap/>
            <w:vAlign w:val="center"/>
          </w:tcPr>
          <w:p w14:paraId="5B83D5E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季</w:t>
            </w:r>
          </w:p>
        </w:tc>
      </w:tr>
      <w:tr w14:paraId="2EA52E62">
        <w:tblPrEx>
          <w:tblCellMar>
            <w:top w:w="0" w:type="dxa"/>
            <w:left w:w="108" w:type="dxa"/>
            <w:bottom w:w="0" w:type="dxa"/>
            <w:right w:w="108" w:type="dxa"/>
          </w:tblCellMar>
        </w:tblPrEx>
        <w:trPr>
          <w:trHeight w:val="510" w:hRule="atLeast"/>
          <w:jc w:val="center"/>
        </w:trPr>
        <w:tc>
          <w:tcPr>
            <w:tcW w:w="490" w:type="dxa"/>
            <w:tcBorders>
              <w:top w:val="nil"/>
              <w:left w:val="single" w:color="auto" w:sz="4" w:space="0"/>
              <w:bottom w:val="single" w:color="auto" w:sz="4" w:space="0"/>
              <w:right w:val="single" w:color="auto" w:sz="4" w:space="0"/>
            </w:tcBorders>
            <w:shd w:val="clear" w:color="auto" w:fill="auto"/>
            <w:noWrap/>
            <w:vAlign w:val="center"/>
          </w:tcPr>
          <w:p w14:paraId="43E5814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7</w:t>
            </w:r>
          </w:p>
        </w:tc>
        <w:tc>
          <w:tcPr>
            <w:tcW w:w="3685" w:type="dxa"/>
            <w:tcBorders>
              <w:top w:val="nil"/>
              <w:left w:val="nil"/>
              <w:bottom w:val="single" w:color="auto" w:sz="4" w:space="0"/>
              <w:right w:val="single" w:color="auto" w:sz="4" w:space="0"/>
            </w:tcBorders>
            <w:shd w:val="clear" w:color="auto" w:fill="auto"/>
            <w:vAlign w:val="center"/>
          </w:tcPr>
          <w:p w14:paraId="49F2911F">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单体电池内阻或电导测试</w:t>
            </w:r>
          </w:p>
        </w:tc>
        <w:tc>
          <w:tcPr>
            <w:tcW w:w="1070" w:type="dxa"/>
            <w:tcBorders>
              <w:top w:val="nil"/>
              <w:left w:val="nil"/>
              <w:bottom w:val="single" w:color="auto" w:sz="4" w:space="0"/>
              <w:right w:val="single" w:color="auto" w:sz="4" w:space="0"/>
            </w:tcBorders>
            <w:shd w:val="clear" w:color="auto" w:fill="auto"/>
            <w:noWrap/>
            <w:vAlign w:val="center"/>
          </w:tcPr>
          <w:p w14:paraId="594C9CF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季</w:t>
            </w:r>
          </w:p>
        </w:tc>
        <w:tc>
          <w:tcPr>
            <w:tcW w:w="1070" w:type="dxa"/>
            <w:tcBorders>
              <w:top w:val="nil"/>
              <w:left w:val="nil"/>
              <w:bottom w:val="single" w:color="auto" w:sz="4" w:space="0"/>
              <w:right w:val="single" w:color="auto" w:sz="4" w:space="0"/>
            </w:tcBorders>
            <w:shd w:val="clear" w:color="auto" w:fill="auto"/>
            <w:vAlign w:val="center"/>
          </w:tcPr>
          <w:p w14:paraId="689336B0">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季</w:t>
            </w:r>
          </w:p>
        </w:tc>
        <w:tc>
          <w:tcPr>
            <w:tcW w:w="1070" w:type="dxa"/>
            <w:tcBorders>
              <w:top w:val="nil"/>
              <w:left w:val="nil"/>
              <w:bottom w:val="single" w:color="auto" w:sz="4" w:space="0"/>
              <w:right w:val="single" w:color="auto" w:sz="4" w:space="0"/>
            </w:tcBorders>
            <w:shd w:val="clear" w:color="auto" w:fill="auto"/>
            <w:noWrap/>
            <w:vAlign w:val="center"/>
          </w:tcPr>
          <w:p w14:paraId="4E1557A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半年</w:t>
            </w:r>
          </w:p>
        </w:tc>
        <w:tc>
          <w:tcPr>
            <w:tcW w:w="1071" w:type="dxa"/>
            <w:tcBorders>
              <w:top w:val="nil"/>
              <w:left w:val="nil"/>
              <w:bottom w:val="single" w:color="auto" w:sz="4" w:space="0"/>
              <w:right w:val="single" w:color="auto" w:sz="4" w:space="0"/>
            </w:tcBorders>
            <w:shd w:val="clear" w:color="auto" w:fill="auto"/>
            <w:noWrap/>
            <w:vAlign w:val="center"/>
          </w:tcPr>
          <w:p w14:paraId="1C5590E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年</w:t>
            </w:r>
          </w:p>
        </w:tc>
      </w:tr>
      <w:tr w14:paraId="1FD0A6E6">
        <w:tblPrEx>
          <w:tblCellMar>
            <w:top w:w="0" w:type="dxa"/>
            <w:left w:w="108" w:type="dxa"/>
            <w:bottom w:w="0" w:type="dxa"/>
            <w:right w:w="108" w:type="dxa"/>
          </w:tblCellMar>
        </w:tblPrEx>
        <w:trPr>
          <w:trHeight w:val="270" w:hRule="atLeast"/>
          <w:jc w:val="center"/>
        </w:trPr>
        <w:tc>
          <w:tcPr>
            <w:tcW w:w="490" w:type="dxa"/>
            <w:tcBorders>
              <w:top w:val="nil"/>
              <w:left w:val="single" w:color="auto" w:sz="4" w:space="0"/>
              <w:bottom w:val="single" w:color="auto" w:sz="4" w:space="0"/>
              <w:right w:val="single" w:color="auto" w:sz="4" w:space="0"/>
            </w:tcBorders>
            <w:shd w:val="clear" w:color="auto" w:fill="auto"/>
            <w:noWrap/>
            <w:vAlign w:val="center"/>
          </w:tcPr>
          <w:p w14:paraId="2F40231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8</w:t>
            </w:r>
          </w:p>
        </w:tc>
        <w:tc>
          <w:tcPr>
            <w:tcW w:w="3685" w:type="dxa"/>
            <w:tcBorders>
              <w:top w:val="nil"/>
              <w:left w:val="nil"/>
              <w:bottom w:val="single" w:color="auto" w:sz="4" w:space="0"/>
              <w:right w:val="single" w:color="auto" w:sz="4" w:space="0"/>
            </w:tcBorders>
            <w:shd w:val="clear" w:color="auto" w:fill="auto"/>
            <w:vAlign w:val="center"/>
          </w:tcPr>
          <w:p w14:paraId="18144418">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核对性放电测试。</w:t>
            </w:r>
          </w:p>
        </w:tc>
        <w:tc>
          <w:tcPr>
            <w:tcW w:w="1070" w:type="dxa"/>
            <w:tcBorders>
              <w:top w:val="nil"/>
              <w:left w:val="nil"/>
              <w:bottom w:val="single" w:color="auto" w:sz="4" w:space="0"/>
              <w:right w:val="single" w:color="auto" w:sz="4" w:space="0"/>
            </w:tcBorders>
            <w:shd w:val="clear" w:color="auto" w:fill="auto"/>
            <w:noWrap/>
          </w:tcPr>
          <w:p w14:paraId="210CF27C">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年</w:t>
            </w:r>
          </w:p>
        </w:tc>
        <w:tc>
          <w:tcPr>
            <w:tcW w:w="1070" w:type="dxa"/>
            <w:tcBorders>
              <w:top w:val="nil"/>
              <w:left w:val="nil"/>
              <w:bottom w:val="single" w:color="auto" w:sz="4" w:space="0"/>
              <w:right w:val="single" w:color="auto" w:sz="4" w:space="0"/>
            </w:tcBorders>
            <w:shd w:val="clear" w:color="auto" w:fill="auto"/>
          </w:tcPr>
          <w:p w14:paraId="6CB8144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年</w:t>
            </w:r>
          </w:p>
        </w:tc>
        <w:tc>
          <w:tcPr>
            <w:tcW w:w="1070" w:type="dxa"/>
            <w:tcBorders>
              <w:top w:val="nil"/>
              <w:left w:val="nil"/>
              <w:bottom w:val="single" w:color="auto" w:sz="4" w:space="0"/>
              <w:right w:val="single" w:color="auto" w:sz="4" w:space="0"/>
            </w:tcBorders>
            <w:shd w:val="clear" w:color="auto" w:fill="auto"/>
            <w:noWrap/>
          </w:tcPr>
          <w:p w14:paraId="0CAAA5B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年</w:t>
            </w:r>
          </w:p>
        </w:tc>
        <w:tc>
          <w:tcPr>
            <w:tcW w:w="1071" w:type="dxa"/>
            <w:tcBorders>
              <w:top w:val="nil"/>
              <w:left w:val="nil"/>
              <w:bottom w:val="single" w:color="auto" w:sz="4" w:space="0"/>
              <w:right w:val="single" w:color="auto" w:sz="4" w:space="0"/>
            </w:tcBorders>
            <w:shd w:val="clear" w:color="auto" w:fill="auto"/>
            <w:noWrap/>
          </w:tcPr>
          <w:p w14:paraId="1FE52E2B">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年</w:t>
            </w:r>
          </w:p>
        </w:tc>
      </w:tr>
      <w:tr w14:paraId="4AE4879B">
        <w:tblPrEx>
          <w:tblCellMar>
            <w:top w:w="0" w:type="dxa"/>
            <w:left w:w="108" w:type="dxa"/>
            <w:bottom w:w="0" w:type="dxa"/>
            <w:right w:w="108" w:type="dxa"/>
          </w:tblCellMar>
        </w:tblPrEx>
        <w:trPr>
          <w:trHeight w:val="675" w:hRule="atLeast"/>
          <w:jc w:val="center"/>
        </w:trPr>
        <w:tc>
          <w:tcPr>
            <w:tcW w:w="490" w:type="dxa"/>
            <w:tcBorders>
              <w:top w:val="nil"/>
              <w:left w:val="single" w:color="auto" w:sz="4" w:space="0"/>
              <w:bottom w:val="single" w:color="auto" w:sz="4" w:space="0"/>
              <w:right w:val="single" w:color="auto" w:sz="4" w:space="0"/>
            </w:tcBorders>
            <w:shd w:val="clear" w:color="auto" w:fill="auto"/>
            <w:noWrap/>
            <w:vAlign w:val="center"/>
          </w:tcPr>
          <w:p w14:paraId="503F596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9</w:t>
            </w:r>
          </w:p>
        </w:tc>
        <w:tc>
          <w:tcPr>
            <w:tcW w:w="3685" w:type="dxa"/>
            <w:tcBorders>
              <w:top w:val="nil"/>
              <w:left w:val="nil"/>
              <w:bottom w:val="single" w:color="auto" w:sz="4" w:space="0"/>
              <w:right w:val="single" w:color="auto" w:sz="4" w:space="0"/>
            </w:tcBorders>
            <w:shd w:val="clear" w:color="auto" w:fill="auto"/>
            <w:vAlign w:val="center"/>
          </w:tcPr>
          <w:p w14:paraId="2553292A">
            <w:pPr>
              <w:widowControl/>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检查引线及端子的接触情况，检查馈电母线、电缆及软连接头等各连接部位的连接是否可靠，并测量压降。</w:t>
            </w:r>
          </w:p>
        </w:tc>
        <w:tc>
          <w:tcPr>
            <w:tcW w:w="1070" w:type="dxa"/>
            <w:tcBorders>
              <w:top w:val="nil"/>
              <w:left w:val="nil"/>
              <w:bottom w:val="single" w:color="auto" w:sz="4" w:space="0"/>
              <w:right w:val="single" w:color="auto" w:sz="4" w:space="0"/>
            </w:tcBorders>
            <w:shd w:val="clear" w:color="auto" w:fill="auto"/>
            <w:noWrap/>
            <w:vAlign w:val="center"/>
          </w:tcPr>
          <w:p w14:paraId="58D5378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年</w:t>
            </w:r>
          </w:p>
        </w:tc>
        <w:tc>
          <w:tcPr>
            <w:tcW w:w="1070" w:type="dxa"/>
            <w:tcBorders>
              <w:top w:val="nil"/>
              <w:left w:val="nil"/>
              <w:bottom w:val="single" w:color="auto" w:sz="4" w:space="0"/>
              <w:right w:val="single" w:color="auto" w:sz="4" w:space="0"/>
            </w:tcBorders>
            <w:shd w:val="clear" w:color="auto" w:fill="auto"/>
            <w:vAlign w:val="center"/>
          </w:tcPr>
          <w:p w14:paraId="5675F779">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年</w:t>
            </w:r>
          </w:p>
        </w:tc>
        <w:tc>
          <w:tcPr>
            <w:tcW w:w="1070" w:type="dxa"/>
            <w:tcBorders>
              <w:top w:val="nil"/>
              <w:left w:val="nil"/>
              <w:bottom w:val="single" w:color="auto" w:sz="4" w:space="0"/>
              <w:right w:val="single" w:color="auto" w:sz="4" w:space="0"/>
            </w:tcBorders>
            <w:shd w:val="clear" w:color="auto" w:fill="auto"/>
            <w:noWrap/>
            <w:vAlign w:val="center"/>
          </w:tcPr>
          <w:p w14:paraId="700DDB47">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年</w:t>
            </w:r>
          </w:p>
        </w:tc>
        <w:tc>
          <w:tcPr>
            <w:tcW w:w="1071" w:type="dxa"/>
            <w:tcBorders>
              <w:top w:val="nil"/>
              <w:left w:val="nil"/>
              <w:bottom w:val="single" w:color="auto" w:sz="4" w:space="0"/>
              <w:right w:val="single" w:color="auto" w:sz="4" w:space="0"/>
            </w:tcBorders>
            <w:shd w:val="clear" w:color="auto" w:fill="auto"/>
            <w:noWrap/>
            <w:vAlign w:val="center"/>
          </w:tcPr>
          <w:p w14:paraId="1B7EDCCD">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年</w:t>
            </w:r>
          </w:p>
        </w:tc>
      </w:tr>
      <w:tr w14:paraId="16A58C36">
        <w:tblPrEx>
          <w:tblCellMar>
            <w:top w:w="0" w:type="dxa"/>
            <w:left w:w="108" w:type="dxa"/>
            <w:bottom w:w="0" w:type="dxa"/>
            <w:right w:w="108" w:type="dxa"/>
          </w:tblCellMar>
        </w:tblPrEx>
        <w:trPr>
          <w:trHeight w:val="270"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FF972">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10</w:t>
            </w:r>
          </w:p>
        </w:tc>
        <w:tc>
          <w:tcPr>
            <w:tcW w:w="3685" w:type="dxa"/>
            <w:tcBorders>
              <w:top w:val="single" w:color="auto" w:sz="4" w:space="0"/>
              <w:left w:val="nil"/>
              <w:bottom w:val="single" w:color="auto" w:sz="4" w:space="0"/>
              <w:right w:val="single" w:color="auto" w:sz="4" w:space="0"/>
            </w:tcBorders>
            <w:shd w:val="clear" w:color="auto" w:fill="auto"/>
            <w:vAlign w:val="center"/>
          </w:tcPr>
          <w:p w14:paraId="0C5DD3B0">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测量蓄电池到负载端的全程压降</w:t>
            </w:r>
          </w:p>
        </w:tc>
        <w:tc>
          <w:tcPr>
            <w:tcW w:w="1070" w:type="dxa"/>
            <w:tcBorders>
              <w:top w:val="single" w:color="auto" w:sz="4" w:space="0"/>
              <w:left w:val="nil"/>
              <w:bottom w:val="single" w:color="auto" w:sz="4" w:space="0"/>
              <w:right w:val="single" w:color="auto" w:sz="4" w:space="0"/>
            </w:tcBorders>
            <w:shd w:val="clear" w:color="auto" w:fill="auto"/>
            <w:noWrap/>
          </w:tcPr>
          <w:p w14:paraId="25942775">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年</w:t>
            </w:r>
          </w:p>
        </w:tc>
        <w:tc>
          <w:tcPr>
            <w:tcW w:w="1070" w:type="dxa"/>
            <w:tcBorders>
              <w:top w:val="single" w:color="auto" w:sz="4" w:space="0"/>
              <w:left w:val="nil"/>
              <w:bottom w:val="single" w:color="auto" w:sz="4" w:space="0"/>
              <w:right w:val="single" w:color="auto" w:sz="4" w:space="0"/>
            </w:tcBorders>
            <w:shd w:val="clear" w:color="auto" w:fill="auto"/>
          </w:tcPr>
          <w:p w14:paraId="646DB95E">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年</w:t>
            </w:r>
          </w:p>
        </w:tc>
        <w:tc>
          <w:tcPr>
            <w:tcW w:w="1070" w:type="dxa"/>
            <w:tcBorders>
              <w:top w:val="single" w:color="auto" w:sz="4" w:space="0"/>
              <w:left w:val="nil"/>
              <w:bottom w:val="single" w:color="auto" w:sz="4" w:space="0"/>
              <w:right w:val="single" w:color="auto" w:sz="4" w:space="0"/>
            </w:tcBorders>
            <w:shd w:val="clear" w:color="auto" w:fill="auto"/>
            <w:noWrap/>
          </w:tcPr>
          <w:p w14:paraId="39517BD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年</w:t>
            </w:r>
          </w:p>
        </w:tc>
        <w:tc>
          <w:tcPr>
            <w:tcW w:w="1071" w:type="dxa"/>
            <w:tcBorders>
              <w:top w:val="single" w:color="auto" w:sz="4" w:space="0"/>
              <w:left w:val="nil"/>
              <w:bottom w:val="single" w:color="auto" w:sz="4" w:space="0"/>
              <w:right w:val="single" w:color="auto" w:sz="4" w:space="0"/>
            </w:tcBorders>
            <w:shd w:val="clear" w:color="auto" w:fill="auto"/>
            <w:noWrap/>
          </w:tcPr>
          <w:p w14:paraId="01C65F26">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年</w:t>
            </w:r>
          </w:p>
        </w:tc>
      </w:tr>
      <w:tr w14:paraId="7C85468B">
        <w:tblPrEx>
          <w:tblCellMar>
            <w:top w:w="0" w:type="dxa"/>
            <w:left w:w="108" w:type="dxa"/>
            <w:bottom w:w="0" w:type="dxa"/>
            <w:right w:w="108" w:type="dxa"/>
          </w:tblCellMar>
        </w:tblPrEx>
        <w:trPr>
          <w:trHeight w:val="270"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011AD8">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11</w:t>
            </w:r>
          </w:p>
        </w:tc>
        <w:tc>
          <w:tcPr>
            <w:tcW w:w="3685" w:type="dxa"/>
            <w:tcBorders>
              <w:top w:val="single" w:color="auto" w:sz="4" w:space="0"/>
              <w:left w:val="nil"/>
              <w:bottom w:val="single" w:color="auto" w:sz="4" w:space="0"/>
              <w:right w:val="single" w:color="auto" w:sz="4" w:space="0"/>
            </w:tcBorders>
            <w:shd w:val="clear" w:color="auto" w:fill="auto"/>
            <w:vAlign w:val="center"/>
          </w:tcPr>
          <w:p w14:paraId="0EEC0524">
            <w:pPr>
              <w:widowControl/>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容量测试</w:t>
            </w:r>
          </w:p>
        </w:tc>
        <w:tc>
          <w:tcPr>
            <w:tcW w:w="1070" w:type="dxa"/>
            <w:tcBorders>
              <w:top w:val="single" w:color="auto" w:sz="4" w:space="0"/>
              <w:left w:val="nil"/>
              <w:bottom w:val="single" w:color="auto" w:sz="4" w:space="0"/>
              <w:right w:val="single" w:color="auto" w:sz="4" w:space="0"/>
            </w:tcBorders>
            <w:shd w:val="clear" w:color="auto" w:fill="auto"/>
            <w:noWrap/>
            <w:vAlign w:val="center"/>
          </w:tcPr>
          <w:p w14:paraId="28EB5A2A">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3年</w:t>
            </w:r>
          </w:p>
        </w:tc>
        <w:tc>
          <w:tcPr>
            <w:tcW w:w="1070" w:type="dxa"/>
            <w:tcBorders>
              <w:top w:val="single" w:color="auto" w:sz="4" w:space="0"/>
              <w:left w:val="nil"/>
              <w:bottom w:val="single" w:color="auto" w:sz="4" w:space="0"/>
              <w:right w:val="single" w:color="auto" w:sz="4" w:space="0"/>
            </w:tcBorders>
            <w:shd w:val="clear" w:color="auto" w:fill="auto"/>
            <w:vAlign w:val="center"/>
          </w:tcPr>
          <w:p w14:paraId="063045E1">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3年</w:t>
            </w:r>
          </w:p>
        </w:tc>
        <w:tc>
          <w:tcPr>
            <w:tcW w:w="1070" w:type="dxa"/>
            <w:tcBorders>
              <w:top w:val="single" w:color="auto" w:sz="4" w:space="0"/>
              <w:left w:val="nil"/>
              <w:bottom w:val="single" w:color="auto" w:sz="4" w:space="0"/>
              <w:right w:val="single" w:color="auto" w:sz="4" w:space="0"/>
            </w:tcBorders>
            <w:shd w:val="clear" w:color="auto" w:fill="auto"/>
            <w:noWrap/>
            <w:vAlign w:val="center"/>
          </w:tcPr>
          <w:p w14:paraId="4BE572EF">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3年</w:t>
            </w:r>
          </w:p>
        </w:tc>
        <w:tc>
          <w:tcPr>
            <w:tcW w:w="1071" w:type="dxa"/>
            <w:tcBorders>
              <w:top w:val="single" w:color="auto" w:sz="4" w:space="0"/>
              <w:left w:val="nil"/>
              <w:bottom w:val="single" w:color="auto" w:sz="4" w:space="0"/>
              <w:right w:val="single" w:color="auto" w:sz="4" w:space="0"/>
            </w:tcBorders>
            <w:shd w:val="clear" w:color="auto" w:fill="auto"/>
            <w:noWrap/>
            <w:vAlign w:val="center"/>
          </w:tcPr>
          <w:p w14:paraId="3CB158C4">
            <w:pPr>
              <w:widowControl/>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必要时</w:t>
            </w:r>
          </w:p>
        </w:tc>
      </w:tr>
    </w:tbl>
    <w:p w14:paraId="1EBA3F3A">
      <w:pPr>
        <w:rPr>
          <w:rFonts w:ascii="Times New Roman" w:hAnsi="Times New Roman" w:eastAsia="宋体" w:cs="Times New Roman"/>
        </w:rPr>
      </w:pPr>
      <w:bookmarkStart w:id="1452" w:name="_Toc347307735"/>
      <w:r>
        <w:rPr>
          <w:rFonts w:hint="eastAsia" w:ascii="Times New Roman" w:hAnsi="Times New Roman" w:eastAsia="宋体" w:cs="Times New Roman"/>
        </w:rPr>
        <w:t>第二节防酸隔爆铅酸蓄电池的维护</w:t>
      </w:r>
      <w:bookmarkEnd w:id="1452"/>
    </w:p>
    <w:p w14:paraId="3BDD5D75">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防酸隔爆铅酸蓄电池（以下简称防酸式电池）技术落后，且使用年限普遍较长，应抓紧防酸式电池更新换代的退网工作。对于暂未退网的防酸式电池，应做好其维护工作，保证通信畅通。</w:t>
      </w:r>
    </w:p>
    <w:p w14:paraId="07B7C54E">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蓄电池室的要求</w:t>
      </w:r>
    </w:p>
    <w:p w14:paraId="55A70F8C">
      <w:pPr>
        <w:ind w:left="420" w:leftChars="200"/>
        <w:rPr>
          <w:rFonts w:ascii="Times New Roman" w:hAnsi="Times New Roman" w:eastAsia="宋体" w:cs="Times New Roman"/>
        </w:rPr>
      </w:pPr>
      <w:r>
        <w:rPr>
          <w:rFonts w:hint="eastAsia" w:ascii="Times New Roman" w:hAnsi="Times New Roman" w:eastAsia="宋体" w:cs="Times New Roman"/>
        </w:rPr>
        <w:t>1. 防酸式电池应专室安装及存放，室内通风良好，应有通风换气装置。</w:t>
      </w:r>
    </w:p>
    <w:p w14:paraId="4AD105AE">
      <w:pPr>
        <w:ind w:firstLine="420" w:firstLineChars="200"/>
        <w:rPr>
          <w:rFonts w:ascii="Times New Roman" w:hAnsi="Times New Roman" w:eastAsia="宋体" w:cs="Times New Roman"/>
        </w:rPr>
      </w:pPr>
      <w:r>
        <w:rPr>
          <w:rFonts w:hint="eastAsia" w:ascii="Times New Roman" w:hAnsi="Times New Roman" w:eastAsia="宋体" w:cs="Times New Roman"/>
        </w:rPr>
        <w:t>2. 室内应有足够的照明。照明应采用密封防爆灯具，开关设在室外。室内地面、墙壁、天花板、门窗、通风设备等均应做防酸处理。</w:t>
      </w:r>
    </w:p>
    <w:p w14:paraId="111A3192">
      <w:pPr>
        <w:ind w:left="420" w:leftChars="200"/>
        <w:rPr>
          <w:rFonts w:ascii="Times New Roman" w:hAnsi="Times New Roman" w:eastAsia="宋体" w:cs="Times New Roman"/>
        </w:rPr>
      </w:pPr>
      <w:r>
        <w:rPr>
          <w:rFonts w:hint="eastAsia" w:ascii="Times New Roman" w:hAnsi="Times New Roman" w:eastAsia="宋体" w:cs="Times New Roman"/>
        </w:rPr>
        <w:t>3. 临街窗户应有安全保护设施。</w:t>
      </w:r>
    </w:p>
    <w:p w14:paraId="3F0B200F">
      <w:pPr>
        <w:ind w:left="420" w:leftChars="200"/>
        <w:rPr>
          <w:rFonts w:ascii="Times New Roman" w:hAnsi="Times New Roman" w:eastAsia="宋体" w:cs="Times New Roman"/>
        </w:rPr>
      </w:pPr>
      <w:r>
        <w:rPr>
          <w:rFonts w:hint="eastAsia" w:ascii="Times New Roman" w:hAnsi="Times New Roman" w:eastAsia="宋体" w:cs="Times New Roman"/>
        </w:rPr>
        <w:t>4. 室内应有上、下水设施和贮酸间。</w:t>
      </w:r>
    </w:p>
    <w:p w14:paraId="442FC16E">
      <w:pPr>
        <w:ind w:left="420" w:leftChars="200"/>
        <w:rPr>
          <w:rFonts w:ascii="Times New Roman" w:hAnsi="Times New Roman" w:eastAsia="宋体" w:cs="Times New Roman"/>
        </w:rPr>
      </w:pPr>
      <w:r>
        <w:rPr>
          <w:rFonts w:hint="eastAsia" w:ascii="Times New Roman" w:hAnsi="Times New Roman" w:eastAsia="宋体" w:cs="Times New Roman"/>
        </w:rPr>
        <w:t>5. 防酸式电池的室内温度应保持在5℃～35℃。电池应避免受到阳光直射。</w:t>
      </w:r>
    </w:p>
    <w:p w14:paraId="7C74A31F">
      <w:pPr>
        <w:ind w:left="420" w:leftChars="200"/>
        <w:rPr>
          <w:rFonts w:ascii="Times New Roman" w:hAnsi="Times New Roman" w:eastAsia="宋体" w:cs="Times New Roman"/>
        </w:rPr>
      </w:pPr>
      <w:r>
        <w:rPr>
          <w:rFonts w:hint="eastAsia" w:ascii="Times New Roman" w:hAnsi="Times New Roman" w:eastAsia="宋体" w:cs="Times New Roman"/>
        </w:rPr>
        <w:t>6. 电池组之间应预留足够的维护空间。</w:t>
      </w:r>
    </w:p>
    <w:p w14:paraId="15AB3FDF">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防酸式电池的一般维护</w:t>
      </w:r>
    </w:p>
    <w:p w14:paraId="5C3E5B03">
      <w:pPr>
        <w:ind w:left="420" w:leftChars="200"/>
        <w:rPr>
          <w:rFonts w:ascii="Times New Roman" w:hAnsi="Times New Roman" w:eastAsia="宋体" w:cs="Times New Roman"/>
        </w:rPr>
      </w:pPr>
      <w:r>
        <w:rPr>
          <w:rFonts w:hint="eastAsia" w:ascii="Times New Roman" w:hAnsi="Times New Roman" w:eastAsia="宋体" w:cs="Times New Roman"/>
        </w:rPr>
        <w:t>1. 每组至少选2只标示电池，作为了解全组工作情况的参考。</w:t>
      </w:r>
    </w:p>
    <w:p w14:paraId="74CFCEBD">
      <w:pPr>
        <w:ind w:left="420" w:leftChars="200"/>
        <w:rPr>
          <w:rFonts w:ascii="Times New Roman" w:hAnsi="Times New Roman" w:eastAsia="宋体" w:cs="Times New Roman"/>
        </w:rPr>
      </w:pPr>
      <w:r>
        <w:rPr>
          <w:rFonts w:hint="eastAsia" w:ascii="Times New Roman" w:hAnsi="Times New Roman" w:eastAsia="宋体" w:cs="Times New Roman"/>
        </w:rPr>
        <w:t>2. 防酸式电池需经常检查的项目如下：</w:t>
      </w:r>
    </w:p>
    <w:p w14:paraId="00FF613E">
      <w:pPr>
        <w:ind w:left="840" w:leftChars="400"/>
        <w:rPr>
          <w:rFonts w:ascii="Times New Roman" w:hAnsi="Times New Roman" w:eastAsia="宋体" w:cs="Times New Roman"/>
        </w:rPr>
      </w:pPr>
      <w:r>
        <w:rPr>
          <w:rFonts w:hint="eastAsia" w:ascii="Times New Roman" w:hAnsi="Times New Roman" w:eastAsia="宋体" w:cs="Times New Roman"/>
        </w:rPr>
        <w:t>1). 端电压、电解液的密度和温度。</w:t>
      </w:r>
    </w:p>
    <w:p w14:paraId="7CB999FF">
      <w:pPr>
        <w:ind w:left="840" w:leftChars="400"/>
        <w:rPr>
          <w:rFonts w:ascii="Times New Roman" w:hAnsi="Times New Roman" w:eastAsia="宋体" w:cs="Times New Roman"/>
        </w:rPr>
      </w:pPr>
      <w:r>
        <w:rPr>
          <w:rFonts w:hint="eastAsia" w:ascii="Times New Roman" w:hAnsi="Times New Roman" w:eastAsia="宋体" w:cs="Times New Roman"/>
        </w:rPr>
        <w:t>2). 极板有无弯曲、断裂、短路、损坏、脱粉、硫化。</w:t>
      </w:r>
    </w:p>
    <w:p w14:paraId="31F89B94">
      <w:pPr>
        <w:ind w:left="840" w:leftChars="400"/>
        <w:rPr>
          <w:rFonts w:ascii="Times New Roman" w:hAnsi="Times New Roman" w:eastAsia="宋体" w:cs="Times New Roman"/>
        </w:rPr>
      </w:pPr>
      <w:r>
        <w:rPr>
          <w:rFonts w:hint="eastAsia" w:ascii="Times New Roman" w:hAnsi="Times New Roman" w:eastAsia="宋体" w:cs="Times New Roman"/>
        </w:rPr>
        <w:t>3). 电池槽有无渗漏，液面是否在规定的高度。</w:t>
      </w:r>
    </w:p>
    <w:p w14:paraId="327A55E8">
      <w:pPr>
        <w:ind w:left="840" w:leftChars="400"/>
        <w:rPr>
          <w:rFonts w:ascii="Times New Roman" w:hAnsi="Times New Roman" w:eastAsia="宋体" w:cs="Times New Roman"/>
        </w:rPr>
      </w:pPr>
      <w:r>
        <w:rPr>
          <w:rFonts w:hint="eastAsia" w:ascii="Times New Roman" w:hAnsi="Times New Roman" w:eastAsia="宋体" w:cs="Times New Roman"/>
        </w:rPr>
        <w:t>4). 连接处有无松动、腐蚀现象。</w:t>
      </w:r>
    </w:p>
    <w:p w14:paraId="0DE1E60D">
      <w:pPr>
        <w:ind w:left="840" w:leftChars="400"/>
        <w:rPr>
          <w:rFonts w:ascii="Times New Roman" w:hAnsi="Times New Roman" w:eastAsia="宋体" w:cs="Times New Roman"/>
        </w:rPr>
      </w:pPr>
      <w:r>
        <w:rPr>
          <w:rFonts w:hint="eastAsia" w:ascii="Times New Roman" w:hAnsi="Times New Roman" w:eastAsia="宋体" w:cs="Times New Roman"/>
        </w:rPr>
        <w:t>5). 电池架及防震架防酸漆有无脱落。</w:t>
      </w:r>
    </w:p>
    <w:p w14:paraId="21A7681D">
      <w:pPr>
        <w:ind w:left="840" w:leftChars="400"/>
        <w:rPr>
          <w:rFonts w:ascii="Times New Roman" w:hAnsi="Times New Roman" w:eastAsia="宋体" w:cs="Times New Roman"/>
        </w:rPr>
      </w:pPr>
      <w:r>
        <w:rPr>
          <w:rFonts w:hint="eastAsia" w:ascii="Times New Roman" w:hAnsi="Times New Roman" w:eastAsia="宋体" w:cs="Times New Roman"/>
        </w:rPr>
        <w:t>如具备动力及环境集中监控系统，应通过动力及环境集中监控系统对电池组的总电压、电流、标示电池的单体电压、温度进行监测，并定期对蓄电池组进行检测。通过电池监测装置了解电池充放电曲线及性能，发现故障及时处理。</w:t>
      </w:r>
    </w:p>
    <w:p w14:paraId="2185A13C">
      <w:pPr>
        <w:ind w:firstLine="420" w:firstLineChars="200"/>
        <w:rPr>
          <w:rFonts w:ascii="Times New Roman" w:hAnsi="Times New Roman" w:eastAsia="宋体" w:cs="Times New Roman"/>
        </w:rPr>
      </w:pPr>
      <w:r>
        <w:rPr>
          <w:rFonts w:hint="eastAsia" w:ascii="Times New Roman" w:hAnsi="Times New Roman" w:eastAsia="宋体" w:cs="Times New Roman"/>
        </w:rPr>
        <w:t>3. 防酸式电池的液面应高出极板上缘10mm～20mm，有液面上、下限刻度的应保持在上、下限之间，当低于上述要求时应及时补加蒸馏水，并进行充电。</w:t>
      </w:r>
    </w:p>
    <w:p w14:paraId="321D8CB0">
      <w:pPr>
        <w:ind w:firstLine="420" w:firstLineChars="200"/>
        <w:rPr>
          <w:rFonts w:ascii="Times New Roman" w:hAnsi="Times New Roman" w:eastAsia="宋体" w:cs="Times New Roman"/>
        </w:rPr>
      </w:pPr>
      <w:r>
        <w:rPr>
          <w:rFonts w:hint="eastAsia" w:ascii="Times New Roman" w:hAnsi="Times New Roman" w:eastAsia="宋体" w:cs="Times New Roman"/>
        </w:rPr>
        <w:t>4. 防酸隔爆帽一年至少清洗一次，保持透气良好，有破裂的应及时更换。防酸隔爆帽和胶塞必须拧紧，避免漏气。</w:t>
      </w:r>
    </w:p>
    <w:p w14:paraId="05CD2DE2">
      <w:pPr>
        <w:ind w:left="420" w:leftChars="200"/>
        <w:rPr>
          <w:rFonts w:ascii="Times New Roman" w:hAnsi="Times New Roman" w:eastAsia="宋体" w:cs="Times New Roman"/>
        </w:rPr>
      </w:pPr>
      <w:r>
        <w:rPr>
          <w:rFonts w:hint="eastAsia" w:ascii="Times New Roman" w:hAnsi="Times New Roman" w:eastAsia="宋体" w:cs="Times New Roman"/>
        </w:rPr>
        <w:t>5. 电解液应符合规定要求，使用的硫酸和蒸馏水必须经过化验检查，其标准见附录。</w:t>
      </w:r>
    </w:p>
    <w:p w14:paraId="7ED28D59">
      <w:pPr>
        <w:ind w:firstLine="420" w:firstLineChars="200"/>
        <w:rPr>
          <w:rFonts w:ascii="Times New Roman" w:hAnsi="Times New Roman" w:eastAsia="宋体" w:cs="Times New Roman"/>
        </w:rPr>
      </w:pPr>
      <w:r>
        <w:rPr>
          <w:rFonts w:hint="eastAsia" w:ascii="Times New Roman" w:hAnsi="Times New Roman" w:eastAsia="宋体" w:cs="Times New Roman"/>
        </w:rPr>
        <w:t>6. 调配电解液时应将硫酸徐徐注入蒸馏水内，同时用玻璃棒搅拌。严禁将水注入浓硫酸内。</w:t>
      </w:r>
    </w:p>
    <w:p w14:paraId="148EA134">
      <w:pPr>
        <w:ind w:left="420" w:leftChars="200"/>
        <w:rPr>
          <w:rFonts w:ascii="Times New Roman" w:hAnsi="Times New Roman" w:eastAsia="宋体" w:cs="Times New Roman"/>
        </w:rPr>
      </w:pPr>
      <w:r>
        <w:rPr>
          <w:rFonts w:hint="eastAsia" w:ascii="Times New Roman" w:hAnsi="Times New Roman" w:eastAsia="宋体" w:cs="Times New Roman"/>
        </w:rPr>
        <w:t>7. 各类电解液密度的范围：</w:t>
      </w:r>
    </w:p>
    <w:p w14:paraId="4A3495C4">
      <w:pPr>
        <w:ind w:left="840" w:leftChars="400"/>
        <w:rPr>
          <w:rFonts w:ascii="Times New Roman" w:hAnsi="Times New Roman" w:eastAsia="宋体" w:cs="Times New Roman"/>
        </w:rPr>
      </w:pPr>
      <w:r>
        <w:rPr>
          <w:rFonts w:hint="eastAsia" w:ascii="Times New Roman" w:hAnsi="Times New Roman" w:eastAsia="宋体" w:cs="Times New Roman"/>
        </w:rPr>
        <w:t>防酸式电池：1.210g／cm</w:t>
      </w:r>
      <w:r>
        <w:rPr>
          <w:rFonts w:hint="eastAsia" w:ascii="Times New Roman" w:hAnsi="Times New Roman" w:eastAsia="宋体" w:cs="Times New Roman"/>
          <w:vertAlign w:val="superscript"/>
        </w:rPr>
        <w:t>３</w:t>
      </w:r>
      <w:r>
        <w:rPr>
          <w:rFonts w:hint="eastAsia" w:ascii="Times New Roman" w:hAnsi="Times New Roman" w:eastAsia="宋体" w:cs="Times New Roman"/>
        </w:rPr>
        <w:t>～1.220g／cm</w:t>
      </w:r>
      <w:r>
        <w:rPr>
          <w:rFonts w:hint="eastAsia" w:ascii="Times New Roman" w:hAnsi="Times New Roman" w:eastAsia="宋体" w:cs="Times New Roman"/>
          <w:vertAlign w:val="superscript"/>
        </w:rPr>
        <w:t>３</w:t>
      </w:r>
      <w:r>
        <w:rPr>
          <w:rFonts w:hint="eastAsia" w:ascii="Times New Roman" w:hAnsi="Times New Roman" w:eastAsia="宋体" w:cs="Times New Roman"/>
        </w:rPr>
        <w:t>（25℃）</w:t>
      </w:r>
    </w:p>
    <w:p w14:paraId="3EE5C269">
      <w:pPr>
        <w:ind w:left="840" w:leftChars="400"/>
        <w:rPr>
          <w:rFonts w:ascii="Times New Roman" w:hAnsi="Times New Roman" w:eastAsia="宋体" w:cs="Times New Roman"/>
        </w:rPr>
      </w:pPr>
      <w:r>
        <w:rPr>
          <w:rFonts w:hint="eastAsia" w:ascii="Times New Roman" w:hAnsi="Times New Roman" w:eastAsia="宋体" w:cs="Times New Roman"/>
        </w:rPr>
        <w:t>启动型铅酸蓄电池：1.280g／cm</w:t>
      </w:r>
      <w:r>
        <w:rPr>
          <w:rFonts w:hint="eastAsia" w:ascii="Times New Roman" w:hAnsi="Times New Roman" w:eastAsia="宋体" w:cs="Times New Roman"/>
          <w:vertAlign w:val="superscript"/>
        </w:rPr>
        <w:t>３</w:t>
      </w:r>
      <w:r>
        <w:rPr>
          <w:rFonts w:hint="eastAsia" w:ascii="Times New Roman" w:hAnsi="Times New Roman" w:eastAsia="宋体" w:cs="Times New Roman"/>
        </w:rPr>
        <w:t>～1.300g／cm</w:t>
      </w:r>
      <w:r>
        <w:rPr>
          <w:rFonts w:hint="eastAsia" w:ascii="Times New Roman" w:hAnsi="Times New Roman" w:eastAsia="宋体" w:cs="Times New Roman"/>
          <w:vertAlign w:val="superscript"/>
        </w:rPr>
        <w:t>３</w:t>
      </w:r>
      <w:r>
        <w:rPr>
          <w:rFonts w:hint="eastAsia" w:ascii="Times New Roman" w:hAnsi="Times New Roman" w:eastAsia="宋体" w:cs="Times New Roman"/>
        </w:rPr>
        <w:t>（25℃）。</w:t>
      </w:r>
    </w:p>
    <w:p w14:paraId="26424849">
      <w:pPr>
        <w:widowControl w:val="0"/>
        <w:tabs>
          <w:tab w:val="left" w:pos="567"/>
          <w:tab w:val="right" w:leader="dot" w:pos="8505"/>
          <w:tab w:val="right" w:leader="dot" w:pos="9628"/>
        </w:tabs>
        <w:spacing w:line="360" w:lineRule="auto"/>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不同密度的电解液，硫酸与蒸馏水的配合比例见附录。</w:t>
      </w:r>
    </w:p>
    <w:p w14:paraId="1F0FCB07">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防酸式电池的充放电</w:t>
      </w:r>
    </w:p>
    <w:p w14:paraId="38E74E67">
      <w:pPr>
        <w:ind w:firstLine="420"/>
        <w:rPr>
          <w:rFonts w:ascii="Times New Roman" w:hAnsi="Times New Roman" w:eastAsia="宋体" w:cs="Times New Roman"/>
        </w:rPr>
      </w:pPr>
      <w:r>
        <w:rPr>
          <w:rFonts w:hint="eastAsia" w:ascii="Times New Roman" w:hAnsi="Times New Roman" w:eastAsia="宋体" w:cs="Times New Roman"/>
        </w:rPr>
        <w:t>1. 防酸式电池在使用前必须进行初充电，初充电应采用两充一放，宜采用低压恒压充电方法。</w:t>
      </w:r>
    </w:p>
    <w:p w14:paraId="40061FDA">
      <w:pPr>
        <w:ind w:left="420" w:leftChars="200"/>
        <w:rPr>
          <w:rFonts w:ascii="Times New Roman" w:hAnsi="Times New Roman" w:eastAsia="宋体" w:cs="Times New Roman"/>
        </w:rPr>
      </w:pPr>
      <w:r>
        <w:rPr>
          <w:rFonts w:hint="eastAsia" w:ascii="Times New Roman" w:hAnsi="Times New Roman" w:eastAsia="宋体" w:cs="Times New Roman"/>
        </w:rPr>
        <w:t>1). 初充电程序如下：</w:t>
      </w:r>
    </w:p>
    <w:p w14:paraId="70A719D7">
      <w:pPr>
        <w:ind w:left="420" w:leftChars="200" w:firstLine="420"/>
        <w:rPr>
          <w:rFonts w:ascii="Times New Roman" w:hAnsi="Times New Roman" w:eastAsia="宋体" w:cs="Times New Roman"/>
        </w:rPr>
      </w:pPr>
      <w:r>
        <w:rPr>
          <w:rFonts w:hint="eastAsia" w:ascii="Times New Roman" w:hAnsi="Times New Roman" w:eastAsia="宋体" w:cs="Times New Roman"/>
        </w:rPr>
        <w:t>(1) 灌注的电解液密度应低于规定值0.01g／cm</w:t>
      </w:r>
      <w:r>
        <w:rPr>
          <w:rFonts w:hint="eastAsia" w:ascii="Times New Roman" w:hAnsi="Times New Roman" w:eastAsia="宋体" w:cs="Times New Roman"/>
          <w:vertAlign w:val="superscript"/>
        </w:rPr>
        <w:t>３</w:t>
      </w:r>
      <w:r>
        <w:rPr>
          <w:rFonts w:hint="eastAsia" w:ascii="Times New Roman" w:hAnsi="Times New Roman" w:eastAsia="宋体" w:cs="Times New Roman"/>
        </w:rPr>
        <w:t>～0.015g／cm</w:t>
      </w:r>
      <w:r>
        <w:rPr>
          <w:rFonts w:hint="eastAsia" w:ascii="Times New Roman" w:hAnsi="Times New Roman" w:eastAsia="宋体" w:cs="Times New Roman"/>
          <w:vertAlign w:val="superscript"/>
        </w:rPr>
        <w:t>３</w:t>
      </w:r>
      <w:r>
        <w:rPr>
          <w:rFonts w:hint="eastAsia" w:ascii="Times New Roman" w:hAnsi="Times New Roman" w:eastAsia="宋体" w:cs="Times New Roman"/>
        </w:rPr>
        <w:t>。</w:t>
      </w:r>
    </w:p>
    <w:p w14:paraId="02A50F96">
      <w:pPr>
        <w:ind w:left="420" w:leftChars="200" w:firstLine="420"/>
        <w:rPr>
          <w:rFonts w:ascii="Times New Roman" w:hAnsi="Times New Roman" w:eastAsia="宋体" w:cs="Times New Roman"/>
        </w:rPr>
      </w:pPr>
      <w:r>
        <w:rPr>
          <w:rFonts w:hint="eastAsia" w:ascii="Times New Roman" w:hAnsi="Times New Roman" w:eastAsia="宋体" w:cs="Times New Roman"/>
        </w:rPr>
        <w:t>(2) 灌注的电解液其温度应低于35℃，液面符合规定要求。</w:t>
      </w:r>
    </w:p>
    <w:p w14:paraId="5A0595FA">
      <w:pPr>
        <w:ind w:left="420" w:leftChars="200" w:firstLine="420"/>
        <w:rPr>
          <w:rFonts w:ascii="Times New Roman" w:hAnsi="Times New Roman" w:eastAsia="宋体" w:cs="Times New Roman"/>
        </w:rPr>
      </w:pPr>
      <w:r>
        <w:rPr>
          <w:rFonts w:hint="eastAsia" w:ascii="Times New Roman" w:hAnsi="Times New Roman" w:eastAsia="宋体" w:cs="Times New Roman"/>
        </w:rPr>
        <w:t>(3) 静置，使硫酸渗透到极板有效物质内部，当电解液温度下降到35℃以下时进行充电。时间不应超过24h。</w:t>
      </w:r>
    </w:p>
    <w:p w14:paraId="1E703AE7">
      <w:pPr>
        <w:ind w:left="420" w:leftChars="200" w:firstLine="420"/>
        <w:rPr>
          <w:rFonts w:ascii="Times New Roman" w:hAnsi="Times New Roman" w:eastAsia="宋体" w:cs="Times New Roman"/>
        </w:rPr>
      </w:pPr>
      <w:r>
        <w:rPr>
          <w:rFonts w:hint="eastAsia" w:ascii="Times New Roman" w:hAnsi="Times New Roman" w:eastAsia="宋体" w:cs="Times New Roman"/>
        </w:rPr>
        <w:t>(4) 初始可采用恒流充电，充电电流宜不大于0.2 C</w:t>
      </w:r>
      <w:r>
        <w:rPr>
          <w:rFonts w:hint="eastAsia" w:ascii="Times New Roman" w:hAnsi="Times New Roman" w:eastAsia="宋体" w:cs="Times New Roman"/>
          <w:vertAlign w:val="subscript"/>
        </w:rPr>
        <w:t>10</w:t>
      </w:r>
      <w:r>
        <w:rPr>
          <w:rFonts w:hint="eastAsia" w:ascii="Times New Roman" w:hAnsi="Times New Roman" w:eastAsia="宋体" w:cs="Times New Roman"/>
        </w:rPr>
        <w:t>，当充电电压达到2.35V～2.40V／只时，转入恒压充电，直至终止。</w:t>
      </w:r>
    </w:p>
    <w:p w14:paraId="314F8EAC">
      <w:pPr>
        <w:ind w:left="420" w:leftChars="200" w:firstLine="420"/>
        <w:rPr>
          <w:rFonts w:ascii="Times New Roman" w:hAnsi="Times New Roman" w:eastAsia="宋体" w:cs="Times New Roman"/>
        </w:rPr>
      </w:pPr>
      <w:r>
        <w:rPr>
          <w:rFonts w:hint="eastAsia" w:ascii="Times New Roman" w:hAnsi="Times New Roman" w:eastAsia="宋体" w:cs="Times New Roman"/>
        </w:rPr>
        <w:t>(5) 全部初充电时间为96h～120h，充入的电量约为额定容量的两倍。</w:t>
      </w:r>
    </w:p>
    <w:p w14:paraId="41085925">
      <w:pPr>
        <w:ind w:left="420" w:leftChars="200" w:firstLine="420"/>
        <w:rPr>
          <w:rFonts w:ascii="Times New Roman" w:hAnsi="Times New Roman" w:eastAsia="宋体" w:cs="Times New Roman"/>
        </w:rPr>
      </w:pPr>
      <w:r>
        <w:rPr>
          <w:rFonts w:hint="eastAsia" w:ascii="Times New Roman" w:hAnsi="Times New Roman" w:eastAsia="宋体" w:cs="Times New Roman"/>
        </w:rPr>
        <w:t>(6）每小时记录电流和总电压一次。每2h记录标示电池端电压、密度、温度一次。 每4h记录全组各电池端压、密度、温度一次。充电终止前要全面测量一次。</w:t>
      </w:r>
    </w:p>
    <w:p w14:paraId="488678D3">
      <w:pPr>
        <w:ind w:left="420" w:leftChars="200" w:firstLine="420"/>
        <w:rPr>
          <w:rFonts w:ascii="Times New Roman" w:hAnsi="Times New Roman" w:eastAsia="宋体" w:cs="Times New Roman"/>
        </w:rPr>
      </w:pPr>
      <w:r>
        <w:rPr>
          <w:rFonts w:hint="eastAsia" w:ascii="Times New Roman" w:hAnsi="Times New Roman" w:eastAsia="宋体" w:cs="Times New Roman"/>
        </w:rPr>
        <w:t>(7) 充电终止时各电池端压差值应不大于0.10V，密度差值应不大于0.015 g／cm</w:t>
      </w:r>
      <w:r>
        <w:rPr>
          <w:rFonts w:hint="eastAsia" w:ascii="Times New Roman" w:hAnsi="Times New Roman" w:eastAsia="宋体" w:cs="Times New Roman"/>
          <w:position w:val="6"/>
        </w:rPr>
        <w:t>3</w:t>
      </w:r>
      <w:r>
        <w:rPr>
          <w:rFonts w:hint="eastAsia" w:ascii="Times New Roman" w:hAnsi="Times New Roman" w:eastAsia="宋体" w:cs="Times New Roman"/>
        </w:rPr>
        <w:t>。</w:t>
      </w:r>
    </w:p>
    <w:p w14:paraId="0785009F">
      <w:pPr>
        <w:ind w:firstLine="420"/>
        <w:rPr>
          <w:rFonts w:ascii="Times New Roman" w:hAnsi="Times New Roman" w:eastAsia="宋体" w:cs="Times New Roman"/>
        </w:rPr>
      </w:pPr>
      <w:r>
        <w:rPr>
          <w:rFonts w:hint="eastAsia" w:ascii="Times New Roman" w:hAnsi="Times New Roman" w:eastAsia="宋体" w:cs="Times New Roman"/>
        </w:rPr>
        <w:t>2). 充电过程中应保持电解液温度不超过40℃，当电解液温度达到40℃时，应采取降温措施。</w:t>
      </w:r>
    </w:p>
    <w:p w14:paraId="75D35266">
      <w:pPr>
        <w:ind w:firstLine="420"/>
        <w:rPr>
          <w:rFonts w:ascii="Times New Roman" w:hAnsi="Times New Roman" w:eastAsia="宋体" w:cs="Times New Roman"/>
        </w:rPr>
      </w:pPr>
      <w:r>
        <w:rPr>
          <w:rFonts w:hint="eastAsia" w:ascii="Times New Roman" w:hAnsi="Times New Roman" w:eastAsia="宋体" w:cs="Times New Roman"/>
        </w:rPr>
        <w:t>3). 初充电后，应作一次容量试验，第一次放电应能放出额定容量的80%。</w:t>
      </w:r>
    </w:p>
    <w:p w14:paraId="493B34B2">
      <w:pPr>
        <w:ind w:left="420" w:leftChars="200"/>
        <w:rPr>
          <w:rFonts w:ascii="Times New Roman" w:hAnsi="Times New Roman" w:eastAsia="宋体" w:cs="Times New Roman"/>
        </w:rPr>
      </w:pPr>
      <w:r>
        <w:rPr>
          <w:rFonts w:hint="eastAsia" w:ascii="Times New Roman" w:hAnsi="Times New Roman" w:eastAsia="宋体" w:cs="Times New Roman"/>
        </w:rPr>
        <w:t>2. 防酸式电池的充电：</w:t>
      </w:r>
    </w:p>
    <w:p w14:paraId="2DEFCB08">
      <w:pPr>
        <w:ind w:left="420" w:leftChars="200"/>
        <w:rPr>
          <w:rFonts w:ascii="Times New Roman" w:hAnsi="Times New Roman" w:eastAsia="宋体" w:cs="Times New Roman"/>
        </w:rPr>
      </w:pPr>
      <w:r>
        <w:rPr>
          <w:rFonts w:hint="eastAsia" w:ascii="Times New Roman" w:hAnsi="Times New Roman" w:eastAsia="宋体" w:cs="Times New Roman"/>
        </w:rPr>
        <w:t>1). 防酸式电池组遇有下列情况之一时应进行充电：</w:t>
      </w:r>
    </w:p>
    <w:p w14:paraId="67C8807C">
      <w:pPr>
        <w:ind w:left="840" w:leftChars="400"/>
        <w:rPr>
          <w:rFonts w:ascii="Times New Roman" w:hAnsi="Times New Roman" w:eastAsia="宋体" w:cs="Times New Roman"/>
        </w:rPr>
      </w:pPr>
      <w:r>
        <w:rPr>
          <w:rFonts w:hint="eastAsia" w:ascii="Times New Roman" w:hAnsi="Times New Roman" w:eastAsia="宋体" w:cs="Times New Roman"/>
        </w:rPr>
        <w:t>(1)出现两只以上落后电池。</w:t>
      </w:r>
    </w:p>
    <w:p w14:paraId="5A3D1497">
      <w:pPr>
        <w:ind w:left="840" w:leftChars="400"/>
        <w:rPr>
          <w:rFonts w:ascii="Times New Roman" w:hAnsi="Times New Roman" w:eastAsia="宋体" w:cs="Times New Roman"/>
        </w:rPr>
      </w:pPr>
      <w:r>
        <w:rPr>
          <w:rFonts w:hint="eastAsia" w:ascii="Times New Roman" w:hAnsi="Times New Roman" w:eastAsia="宋体" w:cs="Times New Roman"/>
        </w:rPr>
        <w:t>(2)放出20%以上额定容量。</w:t>
      </w:r>
    </w:p>
    <w:p w14:paraId="05BAD0FB">
      <w:pPr>
        <w:ind w:left="840" w:leftChars="400"/>
        <w:rPr>
          <w:rFonts w:ascii="Times New Roman" w:hAnsi="Times New Roman" w:eastAsia="宋体" w:cs="Times New Roman"/>
        </w:rPr>
      </w:pPr>
      <w:r>
        <w:rPr>
          <w:rFonts w:hint="eastAsia" w:ascii="Times New Roman" w:hAnsi="Times New Roman" w:eastAsia="宋体" w:cs="Times New Roman"/>
        </w:rPr>
        <w:t>(3)搁置不用时间超过一个月。</w:t>
      </w:r>
    </w:p>
    <w:p w14:paraId="737ED50B">
      <w:pPr>
        <w:ind w:left="840" w:leftChars="400"/>
        <w:rPr>
          <w:rFonts w:ascii="Times New Roman" w:hAnsi="Times New Roman" w:eastAsia="宋体" w:cs="Times New Roman"/>
        </w:rPr>
      </w:pPr>
      <w:r>
        <w:rPr>
          <w:rFonts w:hint="eastAsia" w:ascii="Times New Roman" w:hAnsi="Times New Roman" w:eastAsia="宋体" w:cs="Times New Roman"/>
        </w:rPr>
        <w:t>(4)全浮充运行达三个月。</w:t>
      </w:r>
    </w:p>
    <w:p w14:paraId="18AC418A">
      <w:pPr>
        <w:ind w:left="840" w:leftChars="400"/>
        <w:rPr>
          <w:rFonts w:ascii="Times New Roman" w:hAnsi="Times New Roman" w:eastAsia="宋体" w:cs="Times New Roman"/>
        </w:rPr>
      </w:pPr>
      <w:r>
        <w:rPr>
          <w:rFonts w:hint="eastAsia" w:ascii="Times New Roman" w:hAnsi="Times New Roman" w:eastAsia="宋体" w:cs="Times New Roman"/>
        </w:rPr>
        <w:t>(5)补充蒸馏水后。</w:t>
      </w:r>
    </w:p>
    <w:p w14:paraId="40D909CC">
      <w:pPr>
        <w:ind w:left="420" w:leftChars="200"/>
        <w:rPr>
          <w:rFonts w:ascii="Times New Roman" w:hAnsi="Times New Roman" w:eastAsia="宋体" w:cs="Times New Roman"/>
        </w:rPr>
      </w:pPr>
      <w:r>
        <w:rPr>
          <w:rFonts w:hint="eastAsia" w:ascii="Times New Roman" w:hAnsi="Times New Roman" w:eastAsia="宋体" w:cs="Times New Roman"/>
        </w:rPr>
        <w:t>3. 防酸式电池充电终止的判据：</w:t>
      </w:r>
    </w:p>
    <w:p w14:paraId="55CC4E65">
      <w:pPr>
        <w:ind w:left="420" w:leftChars="200"/>
        <w:rPr>
          <w:rFonts w:ascii="Times New Roman" w:hAnsi="Times New Roman" w:eastAsia="宋体" w:cs="Times New Roman"/>
        </w:rPr>
      </w:pPr>
      <w:r>
        <w:rPr>
          <w:rFonts w:hint="eastAsia" w:ascii="Times New Roman" w:hAnsi="Times New Roman" w:eastAsia="宋体" w:cs="Times New Roman"/>
        </w:rPr>
        <w:t>1). 充电量不小于放出电量的1.2倍。</w:t>
      </w:r>
    </w:p>
    <w:p w14:paraId="3C2E63BA">
      <w:pPr>
        <w:ind w:firstLine="420" w:firstLineChars="200"/>
        <w:rPr>
          <w:rFonts w:ascii="Times New Roman" w:hAnsi="Times New Roman" w:eastAsia="宋体" w:cs="Times New Roman"/>
        </w:rPr>
      </w:pPr>
      <w:r>
        <w:rPr>
          <w:rFonts w:hint="eastAsia" w:ascii="Times New Roman" w:hAnsi="Times New Roman" w:eastAsia="宋体" w:cs="Times New Roman"/>
        </w:rPr>
        <w:t>2). 防酸式电池不同电解液温度和充电电压的充电终期电流应不大于下表数值并维持3h不变。</w:t>
      </w:r>
    </w:p>
    <w:tbl>
      <w:tblPr>
        <w:tblStyle w:val="41"/>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999"/>
        <w:gridCol w:w="998"/>
        <w:gridCol w:w="998"/>
        <w:gridCol w:w="1161"/>
        <w:gridCol w:w="998"/>
        <w:gridCol w:w="998"/>
        <w:gridCol w:w="998"/>
      </w:tblGrid>
      <w:tr w14:paraId="0078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1260" w:type="dxa"/>
            <w:vMerge w:val="restart"/>
            <w:vAlign w:val="center"/>
          </w:tcPr>
          <w:p w14:paraId="5EFCBD0F">
            <w:pPr>
              <w:jc w:val="center"/>
              <w:rPr>
                <w:rFonts w:ascii="Times New Roman" w:hAnsi="Times New Roman" w:eastAsia="宋体" w:cs="Times New Roman"/>
                <w:b/>
                <w:bCs/>
              </w:rPr>
            </w:pPr>
            <w:r>
              <w:rPr>
                <w:rFonts w:hint="eastAsia" w:ascii="Times New Roman" w:hAnsi="Times New Roman" w:eastAsia="宋体" w:cs="Times New Roman"/>
                <w:b/>
                <w:bCs/>
              </w:rPr>
              <w:t>充电电压</w:t>
            </w:r>
          </w:p>
          <w:p w14:paraId="5DFFE2E5">
            <w:pPr>
              <w:jc w:val="center"/>
              <w:rPr>
                <w:rFonts w:ascii="Times New Roman" w:hAnsi="Times New Roman" w:eastAsia="宋体" w:cs="Times New Roman"/>
                <w:b/>
                <w:bCs/>
              </w:rPr>
            </w:pPr>
            <w:r>
              <w:rPr>
                <w:rFonts w:hint="eastAsia" w:ascii="Times New Roman" w:hAnsi="Times New Roman" w:eastAsia="宋体" w:cs="Times New Roman"/>
                <w:b/>
                <w:bCs/>
              </w:rPr>
              <w:t>(V/只)</w:t>
            </w:r>
          </w:p>
        </w:tc>
        <w:tc>
          <w:tcPr>
            <w:tcW w:w="7740" w:type="dxa"/>
            <w:gridSpan w:val="7"/>
            <w:vAlign w:val="center"/>
          </w:tcPr>
          <w:p w14:paraId="3C953BC2">
            <w:pPr>
              <w:jc w:val="center"/>
              <w:rPr>
                <w:rFonts w:ascii="Times New Roman" w:hAnsi="Times New Roman" w:eastAsia="宋体" w:cs="Times New Roman"/>
                <w:b/>
                <w:bCs/>
              </w:rPr>
            </w:pPr>
            <w:r>
              <w:rPr>
                <w:rFonts w:hint="eastAsia" w:ascii="Times New Roman" w:hAnsi="Times New Roman" w:eastAsia="宋体" w:cs="Times New Roman"/>
                <w:b/>
                <w:bCs/>
              </w:rPr>
              <w:t>充电终期电流（mA/AH）</w:t>
            </w:r>
          </w:p>
        </w:tc>
      </w:tr>
      <w:tr w14:paraId="0016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1260" w:type="dxa"/>
            <w:vMerge w:val="continue"/>
            <w:vAlign w:val="center"/>
          </w:tcPr>
          <w:p w14:paraId="46C3099B">
            <w:pPr>
              <w:jc w:val="center"/>
              <w:rPr>
                <w:rFonts w:ascii="Times New Roman" w:hAnsi="Times New Roman" w:eastAsia="宋体" w:cs="Times New Roman"/>
              </w:rPr>
            </w:pPr>
          </w:p>
        </w:tc>
        <w:tc>
          <w:tcPr>
            <w:tcW w:w="1080" w:type="dxa"/>
            <w:vAlign w:val="center"/>
          </w:tcPr>
          <w:p w14:paraId="5E8DE2C7">
            <w:pPr>
              <w:jc w:val="center"/>
              <w:rPr>
                <w:rFonts w:ascii="Times New Roman" w:hAnsi="Times New Roman" w:eastAsia="宋体" w:cs="Times New Roman"/>
              </w:rPr>
            </w:pPr>
            <w:r>
              <w:rPr>
                <w:rFonts w:hint="eastAsia" w:ascii="Times New Roman" w:hAnsi="Times New Roman" w:eastAsia="宋体" w:cs="Times New Roman"/>
              </w:rPr>
              <w:t>10℃</w:t>
            </w:r>
          </w:p>
        </w:tc>
        <w:tc>
          <w:tcPr>
            <w:tcW w:w="1080" w:type="dxa"/>
            <w:vAlign w:val="center"/>
          </w:tcPr>
          <w:p w14:paraId="4B6E944A">
            <w:pPr>
              <w:jc w:val="center"/>
              <w:rPr>
                <w:rFonts w:ascii="Times New Roman" w:hAnsi="Times New Roman" w:eastAsia="宋体" w:cs="Times New Roman"/>
              </w:rPr>
            </w:pPr>
            <w:r>
              <w:rPr>
                <w:rFonts w:hint="eastAsia" w:ascii="Times New Roman" w:hAnsi="Times New Roman" w:eastAsia="宋体" w:cs="Times New Roman"/>
              </w:rPr>
              <w:t>15℃</w:t>
            </w:r>
          </w:p>
        </w:tc>
        <w:tc>
          <w:tcPr>
            <w:tcW w:w="1080" w:type="dxa"/>
            <w:vAlign w:val="center"/>
          </w:tcPr>
          <w:p w14:paraId="4F571332">
            <w:pPr>
              <w:jc w:val="center"/>
              <w:rPr>
                <w:rFonts w:ascii="Times New Roman" w:hAnsi="Times New Roman" w:eastAsia="宋体" w:cs="Times New Roman"/>
              </w:rPr>
            </w:pPr>
            <w:r>
              <w:rPr>
                <w:rFonts w:hint="eastAsia" w:ascii="Times New Roman" w:hAnsi="Times New Roman" w:eastAsia="宋体" w:cs="Times New Roman"/>
              </w:rPr>
              <w:t>20℃</w:t>
            </w:r>
          </w:p>
        </w:tc>
        <w:tc>
          <w:tcPr>
            <w:tcW w:w="1260" w:type="dxa"/>
            <w:vAlign w:val="center"/>
          </w:tcPr>
          <w:p w14:paraId="622F05C3">
            <w:pPr>
              <w:jc w:val="center"/>
              <w:rPr>
                <w:rFonts w:ascii="Times New Roman" w:hAnsi="Times New Roman" w:eastAsia="宋体" w:cs="Times New Roman"/>
              </w:rPr>
            </w:pPr>
            <w:r>
              <w:rPr>
                <w:rFonts w:hint="eastAsia" w:ascii="Times New Roman" w:hAnsi="Times New Roman" w:eastAsia="宋体" w:cs="Times New Roman"/>
              </w:rPr>
              <w:t>25℃</w:t>
            </w:r>
          </w:p>
        </w:tc>
        <w:tc>
          <w:tcPr>
            <w:tcW w:w="1080" w:type="dxa"/>
            <w:vAlign w:val="center"/>
          </w:tcPr>
          <w:p w14:paraId="355EEEB8">
            <w:pPr>
              <w:jc w:val="center"/>
              <w:rPr>
                <w:rFonts w:ascii="Times New Roman" w:hAnsi="Times New Roman" w:eastAsia="宋体" w:cs="Times New Roman"/>
              </w:rPr>
            </w:pPr>
            <w:r>
              <w:rPr>
                <w:rFonts w:hint="eastAsia" w:ascii="Times New Roman" w:hAnsi="Times New Roman" w:eastAsia="宋体" w:cs="Times New Roman"/>
              </w:rPr>
              <w:t>30℃</w:t>
            </w:r>
          </w:p>
        </w:tc>
        <w:tc>
          <w:tcPr>
            <w:tcW w:w="1080" w:type="dxa"/>
            <w:vAlign w:val="center"/>
          </w:tcPr>
          <w:p w14:paraId="46EEEAA3">
            <w:pPr>
              <w:jc w:val="center"/>
              <w:rPr>
                <w:rFonts w:ascii="Times New Roman" w:hAnsi="Times New Roman" w:eastAsia="宋体" w:cs="Times New Roman"/>
              </w:rPr>
            </w:pPr>
            <w:r>
              <w:rPr>
                <w:rFonts w:hint="eastAsia" w:ascii="Times New Roman" w:hAnsi="Times New Roman" w:eastAsia="宋体" w:cs="Times New Roman"/>
              </w:rPr>
              <w:t>35℃</w:t>
            </w:r>
          </w:p>
        </w:tc>
        <w:tc>
          <w:tcPr>
            <w:tcW w:w="1080" w:type="dxa"/>
            <w:vAlign w:val="center"/>
          </w:tcPr>
          <w:p w14:paraId="17A1D2E3">
            <w:pPr>
              <w:jc w:val="center"/>
              <w:rPr>
                <w:rFonts w:ascii="Times New Roman" w:hAnsi="Times New Roman" w:eastAsia="宋体" w:cs="Times New Roman"/>
              </w:rPr>
            </w:pPr>
            <w:r>
              <w:rPr>
                <w:rFonts w:hint="eastAsia" w:ascii="Times New Roman" w:hAnsi="Times New Roman" w:eastAsia="宋体" w:cs="Times New Roman"/>
              </w:rPr>
              <w:t>40℃</w:t>
            </w:r>
          </w:p>
        </w:tc>
      </w:tr>
      <w:tr w14:paraId="4E24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260" w:type="dxa"/>
            <w:vAlign w:val="center"/>
          </w:tcPr>
          <w:p w14:paraId="524F9F65">
            <w:pPr>
              <w:jc w:val="center"/>
              <w:rPr>
                <w:rFonts w:ascii="Times New Roman" w:hAnsi="Times New Roman" w:eastAsia="宋体" w:cs="Times New Roman"/>
              </w:rPr>
            </w:pPr>
            <w:r>
              <w:rPr>
                <w:rFonts w:hint="eastAsia" w:ascii="Times New Roman" w:hAnsi="Times New Roman" w:eastAsia="宋体" w:cs="Times New Roman"/>
              </w:rPr>
              <w:t>2.25</w:t>
            </w:r>
          </w:p>
        </w:tc>
        <w:tc>
          <w:tcPr>
            <w:tcW w:w="1080" w:type="dxa"/>
            <w:vAlign w:val="center"/>
          </w:tcPr>
          <w:p w14:paraId="0D714F51">
            <w:pPr>
              <w:jc w:val="center"/>
              <w:rPr>
                <w:rFonts w:ascii="Times New Roman" w:hAnsi="Times New Roman" w:eastAsia="宋体" w:cs="Times New Roman"/>
              </w:rPr>
            </w:pPr>
            <w:r>
              <w:rPr>
                <w:rFonts w:hint="eastAsia" w:ascii="Times New Roman" w:hAnsi="Times New Roman" w:eastAsia="宋体" w:cs="Times New Roman"/>
              </w:rPr>
              <w:t>0.8</w:t>
            </w:r>
          </w:p>
        </w:tc>
        <w:tc>
          <w:tcPr>
            <w:tcW w:w="1080" w:type="dxa"/>
            <w:vAlign w:val="center"/>
          </w:tcPr>
          <w:p w14:paraId="76693E60">
            <w:pPr>
              <w:jc w:val="center"/>
              <w:rPr>
                <w:rFonts w:ascii="Times New Roman" w:hAnsi="Times New Roman" w:eastAsia="宋体" w:cs="Times New Roman"/>
              </w:rPr>
            </w:pPr>
            <w:r>
              <w:rPr>
                <w:rFonts w:hint="eastAsia" w:ascii="Times New Roman" w:hAnsi="Times New Roman" w:eastAsia="宋体" w:cs="Times New Roman"/>
              </w:rPr>
              <w:t>1.1</w:t>
            </w:r>
          </w:p>
        </w:tc>
        <w:tc>
          <w:tcPr>
            <w:tcW w:w="1080" w:type="dxa"/>
            <w:vAlign w:val="center"/>
          </w:tcPr>
          <w:p w14:paraId="1F5C234C">
            <w:pPr>
              <w:jc w:val="center"/>
              <w:rPr>
                <w:rFonts w:ascii="Times New Roman" w:hAnsi="Times New Roman" w:eastAsia="宋体" w:cs="Times New Roman"/>
              </w:rPr>
            </w:pPr>
            <w:r>
              <w:rPr>
                <w:rFonts w:hint="eastAsia" w:ascii="Times New Roman" w:hAnsi="Times New Roman" w:eastAsia="宋体" w:cs="Times New Roman"/>
              </w:rPr>
              <w:t>2.1</w:t>
            </w:r>
          </w:p>
        </w:tc>
        <w:tc>
          <w:tcPr>
            <w:tcW w:w="1260" w:type="dxa"/>
            <w:vAlign w:val="center"/>
          </w:tcPr>
          <w:p w14:paraId="303BFA70">
            <w:pPr>
              <w:jc w:val="center"/>
              <w:rPr>
                <w:rFonts w:ascii="Times New Roman" w:hAnsi="Times New Roman" w:eastAsia="宋体" w:cs="Times New Roman"/>
              </w:rPr>
            </w:pPr>
            <w:r>
              <w:rPr>
                <w:rFonts w:hint="eastAsia" w:ascii="Times New Roman" w:hAnsi="Times New Roman" w:eastAsia="宋体" w:cs="Times New Roman"/>
              </w:rPr>
              <w:t>2.8</w:t>
            </w:r>
          </w:p>
        </w:tc>
        <w:tc>
          <w:tcPr>
            <w:tcW w:w="1080" w:type="dxa"/>
            <w:vAlign w:val="center"/>
          </w:tcPr>
          <w:p w14:paraId="483BCC27">
            <w:pPr>
              <w:jc w:val="center"/>
              <w:rPr>
                <w:rFonts w:ascii="Times New Roman" w:hAnsi="Times New Roman" w:eastAsia="宋体" w:cs="Times New Roman"/>
              </w:rPr>
            </w:pPr>
            <w:r>
              <w:rPr>
                <w:rFonts w:hint="eastAsia" w:ascii="Times New Roman" w:hAnsi="Times New Roman" w:eastAsia="宋体" w:cs="Times New Roman"/>
              </w:rPr>
              <w:t>5.2</w:t>
            </w:r>
          </w:p>
        </w:tc>
        <w:tc>
          <w:tcPr>
            <w:tcW w:w="1080" w:type="dxa"/>
            <w:vAlign w:val="center"/>
          </w:tcPr>
          <w:p w14:paraId="14236551">
            <w:pPr>
              <w:jc w:val="center"/>
              <w:rPr>
                <w:rFonts w:ascii="Times New Roman" w:hAnsi="Times New Roman" w:eastAsia="宋体" w:cs="Times New Roman"/>
              </w:rPr>
            </w:pPr>
            <w:r>
              <w:rPr>
                <w:rFonts w:hint="eastAsia" w:ascii="Times New Roman" w:hAnsi="Times New Roman" w:eastAsia="宋体" w:cs="Times New Roman"/>
              </w:rPr>
              <w:t>7</w:t>
            </w:r>
          </w:p>
        </w:tc>
        <w:tc>
          <w:tcPr>
            <w:tcW w:w="1080" w:type="dxa"/>
            <w:vAlign w:val="center"/>
          </w:tcPr>
          <w:p w14:paraId="4C4E15C9">
            <w:pPr>
              <w:jc w:val="center"/>
              <w:rPr>
                <w:rFonts w:ascii="Times New Roman" w:hAnsi="Times New Roman" w:eastAsia="宋体" w:cs="Times New Roman"/>
              </w:rPr>
            </w:pPr>
            <w:r>
              <w:rPr>
                <w:rFonts w:hint="eastAsia" w:ascii="Times New Roman" w:hAnsi="Times New Roman" w:eastAsia="宋体" w:cs="Times New Roman"/>
              </w:rPr>
              <w:t>11</w:t>
            </w:r>
          </w:p>
        </w:tc>
      </w:tr>
      <w:tr w14:paraId="710B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260" w:type="dxa"/>
            <w:vAlign w:val="center"/>
          </w:tcPr>
          <w:p w14:paraId="075E5BE8">
            <w:pPr>
              <w:jc w:val="center"/>
              <w:rPr>
                <w:rFonts w:ascii="Times New Roman" w:hAnsi="Times New Roman" w:eastAsia="宋体" w:cs="Times New Roman"/>
              </w:rPr>
            </w:pPr>
            <w:r>
              <w:rPr>
                <w:rFonts w:hint="eastAsia" w:ascii="Times New Roman" w:hAnsi="Times New Roman" w:eastAsia="宋体" w:cs="Times New Roman"/>
              </w:rPr>
              <w:t>2.30</w:t>
            </w:r>
          </w:p>
        </w:tc>
        <w:tc>
          <w:tcPr>
            <w:tcW w:w="1080" w:type="dxa"/>
            <w:vAlign w:val="center"/>
          </w:tcPr>
          <w:p w14:paraId="3924440C">
            <w:pPr>
              <w:jc w:val="center"/>
              <w:rPr>
                <w:rFonts w:ascii="Times New Roman" w:hAnsi="Times New Roman" w:eastAsia="宋体" w:cs="Times New Roman"/>
              </w:rPr>
            </w:pPr>
            <w:r>
              <w:rPr>
                <w:rFonts w:hint="eastAsia" w:ascii="Times New Roman" w:hAnsi="Times New Roman" w:eastAsia="宋体" w:cs="Times New Roman"/>
              </w:rPr>
              <w:t>1.4</w:t>
            </w:r>
          </w:p>
        </w:tc>
        <w:tc>
          <w:tcPr>
            <w:tcW w:w="1080" w:type="dxa"/>
            <w:vAlign w:val="center"/>
          </w:tcPr>
          <w:p w14:paraId="0864B982">
            <w:pPr>
              <w:jc w:val="center"/>
              <w:rPr>
                <w:rFonts w:ascii="Times New Roman" w:hAnsi="Times New Roman" w:eastAsia="宋体" w:cs="Times New Roman"/>
              </w:rPr>
            </w:pPr>
            <w:r>
              <w:rPr>
                <w:rFonts w:hint="eastAsia" w:ascii="Times New Roman" w:hAnsi="Times New Roman" w:eastAsia="宋体" w:cs="Times New Roman"/>
              </w:rPr>
              <w:t>2.4</w:t>
            </w:r>
          </w:p>
        </w:tc>
        <w:tc>
          <w:tcPr>
            <w:tcW w:w="1080" w:type="dxa"/>
            <w:vAlign w:val="center"/>
          </w:tcPr>
          <w:p w14:paraId="7A45F618">
            <w:pPr>
              <w:jc w:val="center"/>
              <w:rPr>
                <w:rFonts w:ascii="Times New Roman" w:hAnsi="Times New Roman" w:eastAsia="宋体" w:cs="Times New Roman"/>
              </w:rPr>
            </w:pPr>
            <w:r>
              <w:rPr>
                <w:rFonts w:hint="eastAsia" w:ascii="Times New Roman" w:hAnsi="Times New Roman" w:eastAsia="宋体" w:cs="Times New Roman"/>
              </w:rPr>
              <w:t>3.9</w:t>
            </w:r>
          </w:p>
        </w:tc>
        <w:tc>
          <w:tcPr>
            <w:tcW w:w="1260" w:type="dxa"/>
            <w:vAlign w:val="center"/>
          </w:tcPr>
          <w:p w14:paraId="2AF7F6F7">
            <w:pPr>
              <w:jc w:val="center"/>
              <w:rPr>
                <w:rFonts w:ascii="Times New Roman" w:hAnsi="Times New Roman" w:eastAsia="宋体" w:cs="Times New Roman"/>
              </w:rPr>
            </w:pPr>
            <w:r>
              <w:rPr>
                <w:rFonts w:hint="eastAsia" w:ascii="Times New Roman" w:hAnsi="Times New Roman" w:eastAsia="宋体" w:cs="Times New Roman"/>
              </w:rPr>
              <w:t>5.2</w:t>
            </w:r>
          </w:p>
        </w:tc>
        <w:tc>
          <w:tcPr>
            <w:tcW w:w="1080" w:type="dxa"/>
            <w:vAlign w:val="center"/>
          </w:tcPr>
          <w:p w14:paraId="2D3D1F97">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8.6</w:t>
            </w:r>
          </w:p>
        </w:tc>
        <w:tc>
          <w:tcPr>
            <w:tcW w:w="1080" w:type="dxa"/>
            <w:vAlign w:val="center"/>
          </w:tcPr>
          <w:p w14:paraId="6213FD85">
            <w:pPr>
              <w:jc w:val="center"/>
              <w:rPr>
                <w:rFonts w:ascii="Times New Roman" w:hAnsi="Times New Roman" w:eastAsia="宋体" w:cs="Times New Roman"/>
              </w:rPr>
            </w:pPr>
            <w:r>
              <w:rPr>
                <w:rFonts w:hint="eastAsia" w:ascii="Times New Roman" w:hAnsi="Times New Roman" w:eastAsia="宋体" w:cs="Times New Roman"/>
              </w:rPr>
              <w:t>11</w:t>
            </w:r>
          </w:p>
        </w:tc>
        <w:tc>
          <w:tcPr>
            <w:tcW w:w="1080" w:type="dxa"/>
            <w:vAlign w:val="center"/>
          </w:tcPr>
          <w:p w14:paraId="1EB9C3A8">
            <w:pPr>
              <w:jc w:val="center"/>
              <w:rPr>
                <w:rFonts w:ascii="Times New Roman" w:hAnsi="Times New Roman" w:eastAsia="宋体" w:cs="Times New Roman"/>
              </w:rPr>
            </w:pPr>
            <w:r>
              <w:rPr>
                <w:rFonts w:hint="eastAsia" w:ascii="Times New Roman" w:hAnsi="Times New Roman" w:eastAsia="宋体" w:cs="Times New Roman"/>
              </w:rPr>
              <w:t>20</w:t>
            </w:r>
          </w:p>
        </w:tc>
      </w:tr>
      <w:tr w14:paraId="551E9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60" w:type="dxa"/>
            <w:vAlign w:val="center"/>
          </w:tcPr>
          <w:p w14:paraId="2936DF06">
            <w:pPr>
              <w:jc w:val="center"/>
              <w:rPr>
                <w:rFonts w:ascii="Times New Roman" w:hAnsi="Times New Roman" w:eastAsia="宋体" w:cs="Times New Roman"/>
              </w:rPr>
            </w:pPr>
            <w:r>
              <w:rPr>
                <w:rFonts w:hint="eastAsia" w:ascii="Times New Roman" w:hAnsi="Times New Roman" w:eastAsia="宋体" w:cs="Times New Roman"/>
              </w:rPr>
              <w:t>2.35</w:t>
            </w:r>
          </w:p>
        </w:tc>
        <w:tc>
          <w:tcPr>
            <w:tcW w:w="1080" w:type="dxa"/>
            <w:vAlign w:val="center"/>
          </w:tcPr>
          <w:p w14:paraId="1D31A424">
            <w:pPr>
              <w:jc w:val="center"/>
              <w:rPr>
                <w:rFonts w:ascii="Times New Roman" w:hAnsi="Times New Roman" w:eastAsia="宋体" w:cs="Times New Roman"/>
              </w:rPr>
            </w:pPr>
            <w:r>
              <w:rPr>
                <w:rFonts w:hint="eastAsia" w:ascii="Times New Roman" w:hAnsi="Times New Roman" w:eastAsia="宋体" w:cs="Times New Roman"/>
              </w:rPr>
              <w:t>3</w:t>
            </w:r>
          </w:p>
        </w:tc>
        <w:tc>
          <w:tcPr>
            <w:tcW w:w="1080" w:type="dxa"/>
            <w:vAlign w:val="center"/>
          </w:tcPr>
          <w:p w14:paraId="16B47291">
            <w:pPr>
              <w:jc w:val="center"/>
              <w:rPr>
                <w:rFonts w:ascii="Times New Roman" w:hAnsi="Times New Roman" w:eastAsia="宋体" w:cs="Times New Roman"/>
              </w:rPr>
            </w:pPr>
            <w:r>
              <w:rPr>
                <w:rFonts w:hint="eastAsia" w:ascii="Times New Roman" w:hAnsi="Times New Roman" w:eastAsia="宋体" w:cs="Times New Roman"/>
              </w:rPr>
              <w:t>4.2</w:t>
            </w:r>
          </w:p>
        </w:tc>
        <w:tc>
          <w:tcPr>
            <w:tcW w:w="1080" w:type="dxa"/>
            <w:vAlign w:val="center"/>
          </w:tcPr>
          <w:p w14:paraId="26BA4368">
            <w:pPr>
              <w:jc w:val="center"/>
              <w:rPr>
                <w:rFonts w:ascii="Times New Roman" w:hAnsi="Times New Roman" w:eastAsia="宋体" w:cs="Times New Roman"/>
              </w:rPr>
            </w:pPr>
            <w:r>
              <w:rPr>
                <w:rFonts w:hint="eastAsia" w:ascii="Times New Roman" w:hAnsi="Times New Roman" w:eastAsia="宋体" w:cs="Times New Roman"/>
              </w:rPr>
              <w:t>8.0</w:t>
            </w:r>
          </w:p>
        </w:tc>
        <w:tc>
          <w:tcPr>
            <w:tcW w:w="1260" w:type="dxa"/>
            <w:vAlign w:val="center"/>
          </w:tcPr>
          <w:p w14:paraId="6494E6B1">
            <w:pPr>
              <w:jc w:val="center"/>
              <w:rPr>
                <w:rFonts w:ascii="Times New Roman" w:hAnsi="Times New Roman" w:eastAsia="宋体" w:cs="Times New Roman"/>
              </w:rPr>
            </w:pPr>
            <w:r>
              <w:rPr>
                <w:rFonts w:hint="eastAsia" w:ascii="Times New Roman" w:hAnsi="Times New Roman" w:eastAsia="宋体" w:cs="Times New Roman"/>
              </w:rPr>
              <w:t>8.8</w:t>
            </w:r>
          </w:p>
        </w:tc>
        <w:tc>
          <w:tcPr>
            <w:tcW w:w="1080" w:type="dxa"/>
            <w:vAlign w:val="center"/>
          </w:tcPr>
          <w:p w14:paraId="5D3A72B2">
            <w:pPr>
              <w:jc w:val="center"/>
              <w:rPr>
                <w:rFonts w:ascii="Times New Roman" w:hAnsi="Times New Roman" w:eastAsia="宋体" w:cs="Times New Roman"/>
              </w:rPr>
            </w:pPr>
            <w:r>
              <w:rPr>
                <w:rFonts w:hint="eastAsia" w:ascii="Times New Roman" w:hAnsi="Times New Roman" w:eastAsia="宋体" w:cs="Times New Roman"/>
              </w:rPr>
              <w:t>15.4</w:t>
            </w:r>
          </w:p>
        </w:tc>
        <w:tc>
          <w:tcPr>
            <w:tcW w:w="1080" w:type="dxa"/>
            <w:vAlign w:val="center"/>
          </w:tcPr>
          <w:p w14:paraId="0CAA2BA5">
            <w:pPr>
              <w:widowControl w:val="0"/>
              <w:spacing w:line="360" w:lineRule="exact"/>
              <w:jc w:val="center"/>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20</w:t>
            </w:r>
          </w:p>
        </w:tc>
        <w:tc>
          <w:tcPr>
            <w:tcW w:w="1080" w:type="dxa"/>
            <w:vAlign w:val="center"/>
          </w:tcPr>
          <w:p w14:paraId="28703C67">
            <w:pPr>
              <w:jc w:val="center"/>
              <w:rPr>
                <w:rFonts w:ascii="Times New Roman" w:hAnsi="Times New Roman" w:eastAsia="宋体" w:cs="Times New Roman"/>
              </w:rPr>
            </w:pPr>
            <w:r>
              <w:rPr>
                <w:rFonts w:hint="eastAsia" w:ascii="Times New Roman" w:hAnsi="Times New Roman" w:eastAsia="宋体" w:cs="Times New Roman"/>
              </w:rPr>
              <w:t>36</w:t>
            </w:r>
          </w:p>
        </w:tc>
      </w:tr>
      <w:tr w14:paraId="7B0B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60" w:type="dxa"/>
            <w:vAlign w:val="center"/>
          </w:tcPr>
          <w:p w14:paraId="56D59796">
            <w:pPr>
              <w:jc w:val="center"/>
              <w:rPr>
                <w:rFonts w:ascii="Times New Roman" w:hAnsi="Times New Roman" w:eastAsia="宋体" w:cs="Times New Roman"/>
              </w:rPr>
            </w:pPr>
            <w:r>
              <w:rPr>
                <w:rFonts w:hint="eastAsia" w:ascii="Times New Roman" w:hAnsi="Times New Roman" w:eastAsia="宋体" w:cs="Times New Roman"/>
              </w:rPr>
              <w:t>2.40</w:t>
            </w:r>
          </w:p>
        </w:tc>
        <w:tc>
          <w:tcPr>
            <w:tcW w:w="1080" w:type="dxa"/>
            <w:vAlign w:val="center"/>
          </w:tcPr>
          <w:p w14:paraId="6D22E7BA">
            <w:pPr>
              <w:jc w:val="center"/>
              <w:rPr>
                <w:rFonts w:ascii="Times New Roman" w:hAnsi="Times New Roman" w:eastAsia="宋体" w:cs="Times New Roman"/>
              </w:rPr>
            </w:pPr>
            <w:r>
              <w:rPr>
                <w:rFonts w:hint="eastAsia" w:ascii="Times New Roman" w:hAnsi="Times New Roman" w:eastAsia="宋体" w:cs="Times New Roman"/>
              </w:rPr>
              <w:t>5.6</w:t>
            </w:r>
          </w:p>
        </w:tc>
        <w:tc>
          <w:tcPr>
            <w:tcW w:w="1080" w:type="dxa"/>
            <w:vAlign w:val="center"/>
          </w:tcPr>
          <w:p w14:paraId="61570036">
            <w:pPr>
              <w:jc w:val="center"/>
              <w:rPr>
                <w:rFonts w:ascii="Times New Roman" w:hAnsi="Times New Roman" w:eastAsia="宋体" w:cs="Times New Roman"/>
              </w:rPr>
            </w:pPr>
            <w:r>
              <w:rPr>
                <w:rFonts w:hint="eastAsia" w:ascii="Times New Roman" w:hAnsi="Times New Roman" w:eastAsia="宋体" w:cs="Times New Roman"/>
              </w:rPr>
              <w:t>8.4</w:t>
            </w:r>
          </w:p>
        </w:tc>
        <w:tc>
          <w:tcPr>
            <w:tcW w:w="1080" w:type="dxa"/>
            <w:vAlign w:val="center"/>
          </w:tcPr>
          <w:p w14:paraId="7312FCD9">
            <w:pPr>
              <w:jc w:val="center"/>
              <w:rPr>
                <w:rFonts w:ascii="Times New Roman" w:hAnsi="Times New Roman" w:eastAsia="宋体" w:cs="Times New Roman"/>
              </w:rPr>
            </w:pPr>
            <w:r>
              <w:rPr>
                <w:rFonts w:hint="eastAsia" w:ascii="Times New Roman" w:hAnsi="Times New Roman" w:eastAsia="宋体" w:cs="Times New Roman"/>
              </w:rPr>
              <w:t>12.6</w:t>
            </w:r>
          </w:p>
        </w:tc>
        <w:tc>
          <w:tcPr>
            <w:tcW w:w="1260" w:type="dxa"/>
            <w:vAlign w:val="center"/>
          </w:tcPr>
          <w:p w14:paraId="17BEBFFB">
            <w:pPr>
              <w:jc w:val="center"/>
              <w:rPr>
                <w:rFonts w:ascii="Times New Roman" w:hAnsi="Times New Roman" w:eastAsia="宋体" w:cs="Times New Roman"/>
              </w:rPr>
            </w:pPr>
            <w:r>
              <w:rPr>
                <w:rFonts w:hint="eastAsia" w:ascii="Times New Roman" w:hAnsi="Times New Roman" w:eastAsia="宋体" w:cs="Times New Roman"/>
              </w:rPr>
              <w:t>14.8</w:t>
            </w:r>
          </w:p>
        </w:tc>
        <w:tc>
          <w:tcPr>
            <w:tcW w:w="1080" w:type="dxa"/>
            <w:vAlign w:val="center"/>
          </w:tcPr>
          <w:p w14:paraId="209D6F37">
            <w:pPr>
              <w:jc w:val="center"/>
              <w:rPr>
                <w:rFonts w:ascii="Times New Roman" w:hAnsi="Times New Roman" w:eastAsia="宋体" w:cs="Times New Roman"/>
              </w:rPr>
            </w:pPr>
            <w:r>
              <w:rPr>
                <w:rFonts w:hint="eastAsia" w:ascii="Times New Roman" w:hAnsi="Times New Roman" w:eastAsia="宋体" w:cs="Times New Roman"/>
              </w:rPr>
              <w:t>23</w:t>
            </w:r>
          </w:p>
        </w:tc>
        <w:tc>
          <w:tcPr>
            <w:tcW w:w="1080" w:type="dxa"/>
            <w:vAlign w:val="center"/>
          </w:tcPr>
          <w:p w14:paraId="79CF6EE1">
            <w:pPr>
              <w:jc w:val="center"/>
              <w:rPr>
                <w:rFonts w:ascii="Times New Roman" w:hAnsi="Times New Roman" w:eastAsia="宋体" w:cs="Times New Roman"/>
              </w:rPr>
            </w:pPr>
            <w:r>
              <w:rPr>
                <w:rFonts w:hint="eastAsia" w:ascii="Times New Roman" w:hAnsi="Times New Roman" w:eastAsia="宋体" w:cs="Times New Roman"/>
              </w:rPr>
              <w:t>32.4</w:t>
            </w:r>
          </w:p>
        </w:tc>
        <w:tc>
          <w:tcPr>
            <w:tcW w:w="1080" w:type="dxa"/>
            <w:vAlign w:val="center"/>
          </w:tcPr>
          <w:p w14:paraId="150A55B4">
            <w:pPr>
              <w:jc w:val="center"/>
              <w:rPr>
                <w:rFonts w:ascii="Times New Roman" w:hAnsi="Times New Roman" w:eastAsia="宋体" w:cs="Times New Roman"/>
              </w:rPr>
            </w:pPr>
            <w:r>
              <w:rPr>
                <w:rFonts w:hint="eastAsia" w:ascii="Times New Roman" w:hAnsi="Times New Roman" w:eastAsia="宋体" w:cs="Times New Roman"/>
              </w:rPr>
              <w:t>55</w:t>
            </w:r>
          </w:p>
        </w:tc>
      </w:tr>
    </w:tbl>
    <w:p w14:paraId="756B71A6">
      <w:pPr>
        <w:ind w:left="420" w:leftChars="200"/>
        <w:rPr>
          <w:rFonts w:ascii="Times New Roman" w:hAnsi="Times New Roman" w:eastAsia="宋体" w:cs="Times New Roman"/>
        </w:rPr>
      </w:pPr>
      <w:r>
        <w:rPr>
          <w:rFonts w:hint="eastAsia" w:ascii="Times New Roman" w:hAnsi="Times New Roman" w:eastAsia="宋体" w:cs="Times New Roman"/>
        </w:rPr>
        <w:t>4. 防酸式电池的放电：</w:t>
      </w:r>
    </w:p>
    <w:p w14:paraId="1AD0176B">
      <w:pPr>
        <w:ind w:left="420" w:leftChars="200"/>
        <w:rPr>
          <w:rFonts w:ascii="Times New Roman" w:hAnsi="Times New Roman" w:eastAsia="宋体" w:cs="Times New Roman"/>
        </w:rPr>
      </w:pPr>
      <w:r>
        <w:rPr>
          <w:rFonts w:hint="eastAsia" w:ascii="Times New Roman" w:hAnsi="Times New Roman" w:eastAsia="宋体" w:cs="Times New Roman"/>
        </w:rPr>
        <w:t>1). 每年应以实际负荷做一次核对性放电试验，放出额定容量的30%～40%。</w:t>
      </w:r>
    </w:p>
    <w:p w14:paraId="71C17B25">
      <w:pPr>
        <w:ind w:left="420" w:leftChars="200"/>
        <w:rPr>
          <w:rFonts w:ascii="Times New Roman" w:hAnsi="Times New Roman" w:eastAsia="宋体" w:cs="Times New Roman"/>
        </w:rPr>
      </w:pPr>
      <w:r>
        <w:rPr>
          <w:rFonts w:hint="eastAsia" w:ascii="Times New Roman" w:hAnsi="Times New Roman" w:eastAsia="宋体" w:cs="Times New Roman"/>
        </w:rPr>
        <w:t>2). 每三年应做一次容量试验。使用六年后宜每年一次。</w:t>
      </w:r>
    </w:p>
    <w:p w14:paraId="5E379D0F">
      <w:pPr>
        <w:ind w:left="420" w:leftChars="200"/>
        <w:rPr>
          <w:rFonts w:ascii="Times New Roman" w:hAnsi="Times New Roman" w:eastAsia="宋体" w:cs="Times New Roman"/>
        </w:rPr>
      </w:pPr>
      <w:r>
        <w:rPr>
          <w:rFonts w:hint="eastAsia" w:ascii="Times New Roman" w:hAnsi="Times New Roman" w:eastAsia="宋体" w:cs="Times New Roman"/>
        </w:rPr>
        <w:t>3). 防酸式电池应每小时测量一次标示电池的密度，放电停止前全测一次。</w:t>
      </w:r>
    </w:p>
    <w:p w14:paraId="57B70F3A">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防酸式电池的浮充运行</w:t>
      </w:r>
    </w:p>
    <w:p w14:paraId="73366843">
      <w:pPr>
        <w:ind w:left="420" w:leftChars="200"/>
        <w:rPr>
          <w:rFonts w:ascii="Times New Roman" w:hAnsi="Times New Roman" w:eastAsia="宋体" w:cs="Times New Roman"/>
        </w:rPr>
      </w:pPr>
      <w:r>
        <w:rPr>
          <w:rFonts w:hint="eastAsia" w:ascii="Times New Roman" w:hAnsi="Times New Roman" w:eastAsia="宋体" w:cs="Times New Roman"/>
        </w:rPr>
        <w:t>1．浮充制供电方式：</w:t>
      </w:r>
    </w:p>
    <w:p w14:paraId="690EEC06">
      <w:pPr>
        <w:ind w:left="840" w:leftChars="400"/>
        <w:rPr>
          <w:rFonts w:ascii="Times New Roman" w:hAnsi="Times New Roman" w:eastAsia="宋体" w:cs="Times New Roman"/>
        </w:rPr>
      </w:pPr>
      <w:r>
        <w:rPr>
          <w:rFonts w:hint="eastAsia" w:ascii="Times New Roman" w:hAnsi="Times New Roman" w:eastAsia="宋体" w:cs="Times New Roman"/>
        </w:rPr>
        <w:t>1). 蓄电池平时均处于浮充状态。</w:t>
      </w:r>
    </w:p>
    <w:p w14:paraId="28F29B6F">
      <w:pPr>
        <w:ind w:left="840" w:leftChars="400"/>
        <w:rPr>
          <w:rFonts w:ascii="Times New Roman" w:hAnsi="Times New Roman" w:eastAsia="宋体" w:cs="Times New Roman"/>
        </w:rPr>
      </w:pPr>
      <w:r>
        <w:rPr>
          <w:rFonts w:hint="eastAsia" w:ascii="Times New Roman" w:hAnsi="Times New Roman" w:eastAsia="宋体" w:cs="Times New Roman"/>
        </w:rPr>
        <w:t>2). 蓄电池的浮充电压（25℃）。</w:t>
      </w:r>
    </w:p>
    <w:p w14:paraId="0BE760AD">
      <w:pPr>
        <w:ind w:left="840" w:leftChars="400"/>
        <w:rPr>
          <w:rFonts w:ascii="Times New Roman" w:hAnsi="Times New Roman" w:eastAsia="宋体" w:cs="Times New Roman"/>
        </w:rPr>
      </w:pPr>
      <w:r>
        <w:rPr>
          <w:rFonts w:hint="eastAsia" w:ascii="Times New Roman" w:hAnsi="Times New Roman" w:eastAsia="宋体" w:cs="Times New Roman"/>
        </w:rPr>
        <w:t>    有人值守局、站：防酸式电池2.18V／只或按说明书要求。</w:t>
      </w:r>
    </w:p>
    <w:p w14:paraId="2FCE0500">
      <w:pPr>
        <w:ind w:left="840" w:leftChars="400"/>
        <w:rPr>
          <w:rFonts w:ascii="Times New Roman" w:hAnsi="Times New Roman" w:eastAsia="宋体" w:cs="Times New Roman"/>
        </w:rPr>
      </w:pPr>
      <w:r>
        <w:rPr>
          <w:rFonts w:hint="eastAsia" w:ascii="Times New Roman" w:hAnsi="Times New Roman" w:eastAsia="宋体" w:cs="Times New Roman"/>
        </w:rPr>
        <w:t>    无人值守局、站：防酸式电池2.25V／只。</w:t>
      </w:r>
    </w:p>
    <w:p w14:paraId="3885236F">
      <w:pPr>
        <w:ind w:left="840" w:leftChars="400"/>
        <w:rPr>
          <w:rFonts w:ascii="Times New Roman" w:hAnsi="Times New Roman" w:eastAsia="宋体" w:cs="Times New Roman"/>
        </w:rPr>
      </w:pPr>
      <w:r>
        <w:rPr>
          <w:rFonts w:hint="eastAsia" w:ascii="Times New Roman" w:hAnsi="Times New Roman" w:eastAsia="宋体" w:cs="Times New Roman"/>
        </w:rPr>
        <w:t>    浮充时全组各电池端电压的最大差值不大于0.05V，密度差值应不大于0.0lg／cm</w:t>
      </w:r>
      <w:r>
        <w:rPr>
          <w:rFonts w:hint="eastAsia" w:ascii="Times New Roman" w:hAnsi="Times New Roman" w:eastAsia="宋体" w:cs="Times New Roman"/>
          <w:position w:val="6"/>
        </w:rPr>
        <w:t>3</w:t>
      </w:r>
      <w:r>
        <w:rPr>
          <w:rFonts w:hint="eastAsia" w:ascii="Times New Roman" w:hAnsi="Times New Roman" w:eastAsia="宋体" w:cs="Times New Roman"/>
        </w:rPr>
        <w:t>。</w:t>
      </w:r>
    </w:p>
    <w:p w14:paraId="0E5CAE25">
      <w:pPr>
        <w:ind w:left="840" w:leftChars="400"/>
        <w:rPr>
          <w:rFonts w:ascii="Times New Roman" w:hAnsi="Times New Roman" w:eastAsia="宋体" w:cs="Times New Roman"/>
        </w:rPr>
      </w:pPr>
      <w:r>
        <w:rPr>
          <w:rFonts w:hint="eastAsia" w:ascii="Times New Roman" w:hAnsi="Times New Roman" w:eastAsia="宋体" w:cs="Times New Roman"/>
        </w:rPr>
        <w:t>3). 防酸式电池每周测量一次标识电池的端电压、电解液的密度和温度。</w:t>
      </w:r>
    </w:p>
    <w:p w14:paraId="5CF221CA">
      <w:pPr>
        <w:ind w:left="420" w:leftChars="200"/>
        <w:rPr>
          <w:rFonts w:ascii="Times New Roman" w:hAnsi="Times New Roman" w:eastAsia="宋体" w:cs="Times New Roman"/>
        </w:rPr>
      </w:pPr>
      <w:r>
        <w:rPr>
          <w:rFonts w:hint="eastAsia" w:ascii="Times New Roman" w:hAnsi="Times New Roman" w:eastAsia="宋体" w:cs="Times New Roman"/>
        </w:rPr>
        <w:t>2．防酸隔爆铅酸蓄电池维护周期表：</w:t>
      </w:r>
    </w:p>
    <w:tbl>
      <w:tblPr>
        <w:tblStyle w:val="41"/>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7419"/>
      </w:tblGrid>
      <w:tr w14:paraId="6D55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893" w:type="dxa"/>
            <w:vAlign w:val="center"/>
          </w:tcPr>
          <w:p w14:paraId="74642D1F">
            <w:pPr>
              <w:jc w:val="center"/>
              <w:rPr>
                <w:rFonts w:ascii="Times New Roman" w:hAnsi="Times New Roman" w:eastAsia="宋体" w:cs="Times New Roman"/>
                <w:b/>
                <w:bCs/>
              </w:rPr>
            </w:pPr>
            <w:r>
              <w:rPr>
                <w:rFonts w:hint="eastAsia" w:ascii="Times New Roman" w:hAnsi="Times New Roman" w:eastAsia="宋体" w:cs="Times New Roman"/>
                <w:b/>
                <w:bCs/>
              </w:rPr>
              <w:t>周期</w:t>
            </w:r>
          </w:p>
        </w:tc>
        <w:tc>
          <w:tcPr>
            <w:tcW w:w="7419" w:type="dxa"/>
            <w:vAlign w:val="center"/>
          </w:tcPr>
          <w:p w14:paraId="0FD4FCFD">
            <w:pPr>
              <w:jc w:val="center"/>
              <w:rPr>
                <w:rFonts w:ascii="Times New Roman" w:hAnsi="Times New Roman" w:eastAsia="宋体" w:cs="Times New Roman"/>
                <w:b/>
                <w:bCs/>
              </w:rPr>
            </w:pPr>
            <w:r>
              <w:rPr>
                <w:rFonts w:hint="eastAsia" w:ascii="Times New Roman" w:hAnsi="Times New Roman" w:eastAsia="宋体" w:cs="Times New Roman"/>
                <w:b/>
                <w:bCs/>
              </w:rPr>
              <w:t>项目</w:t>
            </w:r>
          </w:p>
        </w:tc>
      </w:tr>
      <w:tr w14:paraId="050A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93" w:type="dxa"/>
            <w:vAlign w:val="center"/>
          </w:tcPr>
          <w:p w14:paraId="2012A22F">
            <w:pPr>
              <w:widowControl w:val="0"/>
              <w:spacing w:line="360" w:lineRule="exact"/>
              <w:jc w:val="center"/>
              <w:rPr>
                <w:rFonts w:ascii="宋体" w:hAnsi="宋体" w:eastAsia="宋体" w:cs="Times New Roman"/>
                <w:b/>
                <w:bCs/>
                <w:kern w:val="2"/>
                <w:sz w:val="21"/>
                <w:szCs w:val="24"/>
                <w:lang w:val="en-US" w:eastAsia="zh-CN" w:bidi="ar-SA"/>
              </w:rPr>
            </w:pPr>
            <w:r>
              <w:rPr>
                <w:rFonts w:hint="eastAsia" w:ascii="宋体" w:hAnsi="宋体" w:eastAsia="宋体" w:cs="Times New Roman"/>
                <w:b/>
                <w:bCs/>
                <w:kern w:val="2"/>
                <w:sz w:val="21"/>
                <w:szCs w:val="24"/>
                <w:lang w:val="en-US" w:eastAsia="zh-CN" w:bidi="ar-SA"/>
              </w:rPr>
              <w:t>月</w:t>
            </w:r>
          </w:p>
        </w:tc>
        <w:tc>
          <w:tcPr>
            <w:tcW w:w="7419" w:type="dxa"/>
          </w:tcPr>
          <w:p w14:paraId="07895901">
            <w:pPr>
              <w:rPr>
                <w:rFonts w:ascii="Times New Roman" w:hAnsi="Times New Roman" w:eastAsia="宋体" w:cs="Times New Roman"/>
              </w:rPr>
            </w:pPr>
            <w:r>
              <w:rPr>
                <w:rFonts w:hint="eastAsia" w:ascii="Times New Roman" w:hAnsi="Times New Roman" w:eastAsia="宋体" w:cs="Times New Roman"/>
              </w:rPr>
              <w:t>1. 全面清洁。</w:t>
            </w:r>
          </w:p>
          <w:p w14:paraId="5497A578">
            <w:pPr>
              <w:rPr>
                <w:rFonts w:ascii="Times New Roman" w:hAnsi="Times New Roman" w:eastAsia="宋体" w:cs="Times New Roman"/>
              </w:rPr>
            </w:pPr>
            <w:r>
              <w:rPr>
                <w:rFonts w:hint="eastAsia" w:ascii="Times New Roman" w:hAnsi="Times New Roman" w:eastAsia="宋体" w:cs="Times New Roman"/>
              </w:rPr>
              <w:t>2. 测量各电池端电压、电解液的密度和温度。</w:t>
            </w:r>
          </w:p>
        </w:tc>
      </w:tr>
      <w:tr w14:paraId="358B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93" w:type="dxa"/>
            <w:vAlign w:val="center"/>
          </w:tcPr>
          <w:p w14:paraId="2F69AA56">
            <w:pPr>
              <w:jc w:val="center"/>
              <w:rPr>
                <w:rFonts w:ascii="Times New Roman" w:hAnsi="Times New Roman" w:eastAsia="宋体" w:cs="Times New Roman"/>
                <w:b/>
                <w:bCs/>
              </w:rPr>
            </w:pPr>
            <w:r>
              <w:rPr>
                <w:rFonts w:hint="eastAsia" w:ascii="Times New Roman" w:hAnsi="Times New Roman" w:eastAsia="宋体" w:cs="Times New Roman"/>
                <w:b/>
                <w:bCs/>
              </w:rPr>
              <w:t>季</w:t>
            </w:r>
          </w:p>
        </w:tc>
        <w:tc>
          <w:tcPr>
            <w:tcW w:w="7419" w:type="dxa"/>
          </w:tcPr>
          <w:p w14:paraId="6A964099">
            <w:pPr>
              <w:rPr>
                <w:rFonts w:ascii="Times New Roman" w:hAnsi="Times New Roman" w:eastAsia="宋体" w:cs="Times New Roman"/>
              </w:rPr>
            </w:pPr>
            <w:r>
              <w:rPr>
                <w:rFonts w:hint="eastAsia" w:ascii="Times New Roman" w:hAnsi="Times New Roman" w:eastAsia="宋体" w:cs="Times New Roman"/>
              </w:rPr>
              <w:t>1. 充电。</w:t>
            </w:r>
          </w:p>
          <w:p w14:paraId="70E685EA">
            <w:pPr>
              <w:rPr>
                <w:rFonts w:ascii="Times New Roman" w:hAnsi="Times New Roman" w:eastAsia="宋体" w:cs="Times New Roman"/>
              </w:rPr>
            </w:pPr>
            <w:r>
              <w:rPr>
                <w:rFonts w:hint="eastAsia" w:ascii="Times New Roman" w:hAnsi="Times New Roman" w:eastAsia="宋体" w:cs="Times New Roman"/>
              </w:rPr>
              <w:t>2. 调整浮充电压（半年）。</w:t>
            </w:r>
          </w:p>
        </w:tc>
      </w:tr>
      <w:tr w14:paraId="4164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893" w:type="dxa"/>
            <w:vAlign w:val="center"/>
          </w:tcPr>
          <w:p w14:paraId="3785EC69">
            <w:pPr>
              <w:jc w:val="center"/>
              <w:rPr>
                <w:rFonts w:ascii="Times New Roman" w:hAnsi="Times New Roman" w:eastAsia="宋体" w:cs="Times New Roman"/>
                <w:b/>
                <w:bCs/>
              </w:rPr>
            </w:pPr>
            <w:r>
              <w:rPr>
                <w:rFonts w:hint="eastAsia" w:ascii="Times New Roman" w:hAnsi="Times New Roman" w:eastAsia="宋体" w:cs="Times New Roman"/>
                <w:b/>
                <w:bCs/>
              </w:rPr>
              <w:t>年</w:t>
            </w:r>
          </w:p>
        </w:tc>
        <w:tc>
          <w:tcPr>
            <w:tcW w:w="7419" w:type="dxa"/>
          </w:tcPr>
          <w:p w14:paraId="6AF616A4">
            <w:pPr>
              <w:rPr>
                <w:rFonts w:ascii="Times New Roman" w:hAnsi="Times New Roman" w:eastAsia="宋体" w:cs="Times New Roman"/>
              </w:rPr>
            </w:pPr>
            <w:r>
              <w:rPr>
                <w:rFonts w:hint="eastAsia" w:ascii="Times New Roman" w:hAnsi="Times New Roman" w:eastAsia="宋体" w:cs="Times New Roman"/>
              </w:rPr>
              <w:t>1. 清洗防爆帽。</w:t>
            </w:r>
          </w:p>
          <w:p w14:paraId="4E44F3DE">
            <w:pPr>
              <w:rPr>
                <w:rFonts w:ascii="Times New Roman" w:hAnsi="Times New Roman" w:eastAsia="宋体" w:cs="Times New Roman"/>
              </w:rPr>
            </w:pPr>
            <w:r>
              <w:rPr>
                <w:rFonts w:hint="eastAsia" w:ascii="Times New Roman" w:hAnsi="Times New Roman" w:eastAsia="宋体" w:cs="Times New Roman"/>
              </w:rPr>
              <w:t>2. 补涂电池架、防震架耐酸漆。</w:t>
            </w:r>
          </w:p>
          <w:p w14:paraId="5044D00F">
            <w:pPr>
              <w:rPr>
                <w:rFonts w:ascii="Times New Roman" w:hAnsi="Times New Roman" w:eastAsia="宋体" w:cs="Times New Roman"/>
              </w:rPr>
            </w:pPr>
            <w:r>
              <w:rPr>
                <w:rFonts w:hint="eastAsia" w:ascii="Times New Roman" w:hAnsi="Times New Roman" w:eastAsia="宋体" w:cs="Times New Roman"/>
              </w:rPr>
              <w:t>3. 检查引线及端子的接触情况，测量馈电母线、电缆及软连接头压降。</w:t>
            </w:r>
          </w:p>
          <w:p w14:paraId="3982C6C7">
            <w:pPr>
              <w:rPr>
                <w:rFonts w:ascii="Times New Roman" w:hAnsi="Times New Roman" w:eastAsia="宋体" w:cs="Times New Roman"/>
              </w:rPr>
            </w:pPr>
            <w:r>
              <w:rPr>
                <w:rFonts w:hint="eastAsia" w:ascii="Times New Roman" w:hAnsi="Times New Roman" w:eastAsia="宋体" w:cs="Times New Roman"/>
              </w:rPr>
              <w:t>4. 核对性放电测试。</w:t>
            </w:r>
          </w:p>
          <w:p w14:paraId="0D515AB3">
            <w:pPr>
              <w:rPr>
                <w:rFonts w:ascii="Times New Roman" w:hAnsi="Times New Roman" w:eastAsia="宋体" w:cs="Times New Roman"/>
              </w:rPr>
            </w:pPr>
            <w:r>
              <w:rPr>
                <w:rFonts w:hint="eastAsia" w:ascii="Times New Roman" w:hAnsi="Times New Roman" w:eastAsia="宋体" w:cs="Times New Roman"/>
              </w:rPr>
              <w:t>6. 容量测试（三年一次）。</w:t>
            </w:r>
          </w:p>
        </w:tc>
      </w:tr>
    </w:tbl>
    <w:p w14:paraId="3FA43D28">
      <w:pPr>
        <w:rPr>
          <w:rFonts w:ascii="Times New Roman" w:hAnsi="Times New Roman" w:eastAsia="宋体" w:cs="Times New Roman"/>
        </w:rPr>
      </w:pPr>
      <w:bookmarkStart w:id="1453" w:name="_Toc22414"/>
      <w:bookmarkStart w:id="1454" w:name="_Toc347307737"/>
    </w:p>
    <w:p w14:paraId="6F723BED">
      <w:pPr>
        <w:rPr>
          <w:rFonts w:ascii="Times New Roman" w:hAnsi="Times New Roman" w:eastAsia="宋体" w:cs="Times New Roman"/>
        </w:rPr>
      </w:pPr>
      <w:r>
        <w:rPr>
          <w:rFonts w:hint="eastAsia" w:ascii="Times New Roman" w:hAnsi="Times New Roman" w:eastAsia="宋体" w:cs="Times New Roman"/>
        </w:rPr>
        <w:t>直流电源设备的维护</w:t>
      </w:r>
      <w:bookmarkEnd w:id="1453"/>
      <w:bookmarkEnd w:id="1454"/>
    </w:p>
    <w:p w14:paraId="1F79BF67">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直流电源设备包括-48V直流电源设备和240V直流电源设备。</w:t>
      </w:r>
    </w:p>
    <w:p w14:paraId="7B4291EF">
      <w:pPr>
        <w:rPr>
          <w:rFonts w:ascii="Times New Roman" w:hAnsi="Times New Roman" w:eastAsia="宋体" w:cs="Times New Roman"/>
        </w:rPr>
      </w:pPr>
      <w:bookmarkStart w:id="1455" w:name="_Toc347307738"/>
    </w:p>
    <w:p w14:paraId="4E27925E">
      <w:pPr>
        <w:rPr>
          <w:rFonts w:ascii="Times New Roman" w:hAnsi="Times New Roman" w:eastAsia="宋体" w:cs="Times New Roman"/>
        </w:rPr>
      </w:pPr>
      <w:r>
        <w:rPr>
          <w:rFonts w:hint="eastAsia" w:ascii="Times New Roman" w:hAnsi="Times New Roman" w:eastAsia="宋体" w:cs="Times New Roman"/>
        </w:rPr>
        <w:t>第一节基本要求</w:t>
      </w:r>
      <w:bookmarkEnd w:id="1455"/>
    </w:p>
    <w:p w14:paraId="6F765666">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设备应安装在干燥、通风良好、无腐蚀性气体的房间。室内温度应不超过30℃。高频开关型变流电源设备宜放置在有空调的机房，机房温度不宜超过28℃。</w:t>
      </w:r>
    </w:p>
    <w:p w14:paraId="531BA8CB">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设备维护一般要求：</w:t>
      </w:r>
    </w:p>
    <w:p w14:paraId="610AAE01">
      <w:pPr>
        <w:ind w:firstLine="420" w:firstLineChars="200"/>
        <w:rPr>
          <w:rFonts w:ascii="Times New Roman" w:hAnsi="Times New Roman" w:eastAsia="宋体" w:cs="Times New Roman"/>
        </w:rPr>
      </w:pPr>
      <w:r>
        <w:rPr>
          <w:rFonts w:hint="eastAsia" w:ascii="Times New Roman" w:hAnsi="Times New Roman" w:eastAsia="宋体" w:cs="Times New Roman"/>
        </w:rPr>
        <w:t>1．输入电压的变化范围应在允许工作电压变动范围之内。工作电流不应超过额定值，各种自动、告警和保护功能均应正常。</w:t>
      </w:r>
    </w:p>
    <w:p w14:paraId="22E97439">
      <w:pPr>
        <w:ind w:left="420" w:leftChars="200"/>
        <w:rPr>
          <w:rFonts w:ascii="Times New Roman" w:hAnsi="Times New Roman" w:eastAsia="宋体" w:cs="Times New Roman"/>
        </w:rPr>
      </w:pPr>
      <w:r>
        <w:rPr>
          <w:rFonts w:hint="eastAsia" w:ascii="Times New Roman" w:hAnsi="Times New Roman" w:eastAsia="宋体" w:cs="Times New Roman"/>
        </w:rPr>
        <w:t>2．宜在稳压并机均分负荷的方式下运行。</w:t>
      </w:r>
    </w:p>
    <w:p w14:paraId="65B04816">
      <w:pPr>
        <w:ind w:firstLine="420" w:firstLineChars="200"/>
        <w:rPr>
          <w:rFonts w:ascii="Times New Roman" w:hAnsi="Times New Roman" w:eastAsia="宋体" w:cs="Times New Roman"/>
        </w:rPr>
      </w:pPr>
      <w:r>
        <w:rPr>
          <w:rFonts w:hint="eastAsia" w:ascii="Times New Roman" w:hAnsi="Times New Roman" w:eastAsia="宋体" w:cs="Times New Roman"/>
        </w:rPr>
        <w:t>3．要保持布线整齐，各种开关、熔断器、插接件、接线端子等部位应接触良好、无电蚀；馈电母线、电缆及软连接头等应连接可靠，导线应无老化、刮伤、破损等现象。</w:t>
      </w:r>
    </w:p>
    <w:p w14:paraId="62B29F2C">
      <w:pPr>
        <w:ind w:left="420" w:leftChars="200"/>
        <w:rPr>
          <w:rFonts w:ascii="Times New Roman" w:hAnsi="Times New Roman" w:eastAsia="宋体" w:cs="Times New Roman"/>
        </w:rPr>
      </w:pPr>
      <w:r>
        <w:rPr>
          <w:rFonts w:hint="eastAsia" w:ascii="Times New Roman" w:hAnsi="Times New Roman" w:eastAsia="宋体" w:cs="Times New Roman"/>
        </w:rPr>
        <w:t>4．机壳应有良好的接地。</w:t>
      </w:r>
    </w:p>
    <w:p w14:paraId="52047CFE">
      <w:pPr>
        <w:rPr>
          <w:rFonts w:ascii="Times New Roman" w:hAnsi="Times New Roman" w:eastAsia="宋体" w:cs="Times New Roman"/>
        </w:rPr>
      </w:pPr>
      <w:bookmarkStart w:id="1456" w:name="_Toc347307739"/>
    </w:p>
    <w:p w14:paraId="7DAF6A46">
      <w:pPr>
        <w:rPr>
          <w:rFonts w:ascii="Times New Roman" w:hAnsi="Times New Roman" w:eastAsia="宋体" w:cs="Times New Roman"/>
        </w:rPr>
      </w:pPr>
      <w:r>
        <w:rPr>
          <w:rFonts w:hint="eastAsia" w:ascii="Times New Roman" w:hAnsi="Times New Roman" w:eastAsia="宋体" w:cs="Times New Roman"/>
        </w:rPr>
        <w:t>第二节整流设备的维护</w:t>
      </w:r>
      <w:bookmarkEnd w:id="1456"/>
    </w:p>
    <w:p w14:paraId="7F8CF445">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整流器应保持清洁，定期清洁整流器的表面、进出风口、风扇及过滤网或通风栅格等。</w:t>
      </w:r>
    </w:p>
    <w:p w14:paraId="6FF4CFBF">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整流器风扇应工作正常、通风顺畅、无杂音、输出处无明显的高温；进出风口及过滤网或通风栅格应无堵塞。</w:t>
      </w:r>
    </w:p>
    <w:p w14:paraId="15E16E16">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定期检查均充、浮充工作时的参数设置，设定值与实际值应相符。</w:t>
      </w:r>
    </w:p>
    <w:p w14:paraId="75C5B082">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定期检查监控性能，包括遥信工作状态、浮充/均充状态、各整流器及监控模块故障等。</w:t>
      </w:r>
    </w:p>
    <w:p w14:paraId="706FAE41">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定期测量整流器之间的均流性能，不均流度应小于5%。</w:t>
      </w:r>
    </w:p>
    <w:p w14:paraId="13F95AA6">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定期检查各种手动或自动连续可调功能、告警和保护功能均应正常。</w:t>
      </w:r>
    </w:p>
    <w:p w14:paraId="63BCED68">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定期检查面板仪表的显示值与实际值的误差应不超过5%。</w:t>
      </w:r>
    </w:p>
    <w:p w14:paraId="4EBC27DF">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整流器不宜长期工作在20%额定负载以下，如系统配置冗余较大，可轮流关闭部分整流器以调整负载比例，作为冷备份的整流器宜放置在机架下方。</w:t>
      </w:r>
    </w:p>
    <w:p w14:paraId="3F255B6D">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备用电路板、备用整流器每年定期测试一次，应保持性能良好。</w:t>
      </w:r>
    </w:p>
    <w:p w14:paraId="3780DB40">
      <w:pPr>
        <w:ind w:left="420" w:leftChars="200"/>
        <w:rPr>
          <w:rFonts w:ascii="Times New Roman" w:hAnsi="Times New Roman" w:eastAsia="宋体" w:cs="Times New Roman"/>
        </w:rPr>
      </w:pPr>
      <w:bookmarkStart w:id="1457" w:name="_Toc347307741"/>
    </w:p>
    <w:p w14:paraId="55308015">
      <w:pPr>
        <w:ind w:left="420" w:leftChars="200"/>
        <w:rPr>
          <w:rFonts w:ascii="Times New Roman" w:hAnsi="Times New Roman" w:eastAsia="宋体" w:cs="Times New Roman"/>
        </w:rPr>
      </w:pPr>
      <w:r>
        <w:rPr>
          <w:rFonts w:hint="eastAsia" w:ascii="Times New Roman" w:hAnsi="Times New Roman" w:eastAsia="宋体" w:cs="Times New Roman"/>
        </w:rPr>
        <w:t>第三节维护周期表</w:t>
      </w:r>
      <w:bookmarkEnd w:id="1457"/>
    </w:p>
    <w:p w14:paraId="2D0898D4">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★-48V直流电源维护周期表：</w:t>
      </w:r>
    </w:p>
    <w:tbl>
      <w:tblPr>
        <w:tblStyle w:val="41"/>
        <w:tblW w:w="4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4007"/>
        <w:gridCol w:w="892"/>
        <w:gridCol w:w="893"/>
        <w:gridCol w:w="892"/>
        <w:gridCol w:w="893"/>
      </w:tblGrid>
      <w:tr w14:paraId="6B86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535" w:type="dxa"/>
            <w:vMerge w:val="restart"/>
            <w:vAlign w:val="center"/>
          </w:tcPr>
          <w:p w14:paraId="515B79ED">
            <w:pPr>
              <w:jc w:val="center"/>
              <w:rPr>
                <w:rFonts w:ascii="Times New Roman" w:hAnsi="Times New Roman" w:eastAsia="宋体" w:cs="Times New Roman"/>
                <w:b/>
                <w:bCs/>
              </w:rPr>
            </w:pPr>
            <w:r>
              <w:rPr>
                <w:rFonts w:hint="eastAsia" w:ascii="Times New Roman" w:hAnsi="Times New Roman" w:eastAsia="宋体" w:cs="Times New Roman"/>
                <w:b/>
                <w:bCs/>
              </w:rPr>
              <w:t>序号</w:t>
            </w:r>
          </w:p>
        </w:tc>
        <w:tc>
          <w:tcPr>
            <w:tcW w:w="4520" w:type="dxa"/>
            <w:vMerge w:val="restart"/>
            <w:vAlign w:val="center"/>
          </w:tcPr>
          <w:p w14:paraId="5129D0CA">
            <w:pPr>
              <w:jc w:val="center"/>
              <w:rPr>
                <w:rFonts w:ascii="Times New Roman" w:hAnsi="Times New Roman" w:eastAsia="宋体" w:cs="Times New Roman"/>
                <w:b/>
                <w:bCs/>
              </w:rPr>
            </w:pPr>
            <w:r>
              <w:rPr>
                <w:rFonts w:hint="eastAsia" w:ascii="Times New Roman" w:hAnsi="Times New Roman" w:eastAsia="宋体" w:cs="Times New Roman"/>
                <w:b/>
                <w:bCs/>
              </w:rPr>
              <w:t>维护项目</w:t>
            </w:r>
          </w:p>
        </w:tc>
        <w:tc>
          <w:tcPr>
            <w:tcW w:w="3870" w:type="dxa"/>
            <w:gridSpan w:val="4"/>
            <w:vAlign w:val="center"/>
          </w:tcPr>
          <w:p w14:paraId="3A674BDB">
            <w:pPr>
              <w:jc w:val="center"/>
              <w:rPr>
                <w:rFonts w:ascii="Times New Roman" w:hAnsi="Times New Roman" w:eastAsia="宋体" w:cs="Times New Roman"/>
                <w:b/>
                <w:bCs/>
              </w:rPr>
            </w:pPr>
            <w:r>
              <w:rPr>
                <w:rFonts w:hint="eastAsia" w:ascii="Times New Roman" w:hAnsi="Times New Roman" w:eastAsia="宋体" w:cs="Times New Roman"/>
                <w:b/>
                <w:bCs/>
              </w:rPr>
              <w:t>维护周期</w:t>
            </w:r>
          </w:p>
        </w:tc>
      </w:tr>
      <w:tr w14:paraId="79ED6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535" w:type="dxa"/>
            <w:vMerge w:val="continue"/>
            <w:vAlign w:val="center"/>
          </w:tcPr>
          <w:p w14:paraId="2A7AF819">
            <w:pPr>
              <w:jc w:val="center"/>
              <w:rPr>
                <w:rFonts w:ascii="Times New Roman" w:hAnsi="Times New Roman" w:eastAsia="宋体" w:cs="Times New Roman"/>
                <w:b/>
                <w:bCs/>
              </w:rPr>
            </w:pPr>
          </w:p>
        </w:tc>
        <w:tc>
          <w:tcPr>
            <w:tcW w:w="4520" w:type="dxa"/>
            <w:vMerge w:val="continue"/>
            <w:vAlign w:val="center"/>
          </w:tcPr>
          <w:p w14:paraId="1A90E21B">
            <w:pPr>
              <w:jc w:val="center"/>
              <w:rPr>
                <w:rFonts w:ascii="Times New Roman" w:hAnsi="Times New Roman" w:eastAsia="宋体" w:cs="Times New Roman"/>
                <w:b/>
                <w:bCs/>
              </w:rPr>
            </w:pPr>
          </w:p>
        </w:tc>
        <w:tc>
          <w:tcPr>
            <w:tcW w:w="967" w:type="dxa"/>
            <w:vAlign w:val="center"/>
          </w:tcPr>
          <w:p w14:paraId="5ECC538A">
            <w:pPr>
              <w:jc w:val="center"/>
              <w:rPr>
                <w:rFonts w:ascii="Times New Roman" w:hAnsi="Times New Roman" w:eastAsia="宋体" w:cs="Times New Roman"/>
                <w:b/>
                <w:bCs/>
              </w:rPr>
            </w:pPr>
            <w:r>
              <w:rPr>
                <w:rFonts w:hint="eastAsia" w:ascii="Times New Roman" w:hAnsi="Times New Roman" w:eastAsia="宋体" w:cs="Times New Roman"/>
                <w:b/>
                <w:bCs/>
              </w:rPr>
              <w:t>A类</w:t>
            </w:r>
          </w:p>
          <w:p w14:paraId="19A409B3">
            <w:pPr>
              <w:jc w:val="center"/>
              <w:rPr>
                <w:rFonts w:ascii="Times New Roman" w:hAnsi="Times New Roman" w:eastAsia="宋体" w:cs="Times New Roman"/>
                <w:b/>
                <w:bCs/>
              </w:rPr>
            </w:pPr>
            <w:r>
              <w:rPr>
                <w:rFonts w:hint="eastAsia" w:ascii="Times New Roman" w:hAnsi="Times New Roman" w:eastAsia="宋体" w:cs="Times New Roman"/>
                <w:b/>
                <w:bCs/>
              </w:rPr>
              <w:t>机房</w:t>
            </w:r>
          </w:p>
        </w:tc>
        <w:tc>
          <w:tcPr>
            <w:tcW w:w="968" w:type="dxa"/>
            <w:vAlign w:val="center"/>
          </w:tcPr>
          <w:p w14:paraId="3B854102">
            <w:pPr>
              <w:jc w:val="center"/>
              <w:rPr>
                <w:rFonts w:ascii="Times New Roman" w:hAnsi="Times New Roman" w:eastAsia="宋体" w:cs="Times New Roman"/>
                <w:b/>
                <w:bCs/>
              </w:rPr>
            </w:pPr>
            <w:r>
              <w:rPr>
                <w:rFonts w:hint="eastAsia" w:ascii="Times New Roman" w:hAnsi="Times New Roman" w:eastAsia="宋体" w:cs="Times New Roman"/>
                <w:b/>
                <w:bCs/>
              </w:rPr>
              <w:t>B类</w:t>
            </w:r>
          </w:p>
          <w:p w14:paraId="19E61766">
            <w:pPr>
              <w:jc w:val="center"/>
              <w:rPr>
                <w:rFonts w:ascii="Times New Roman" w:hAnsi="Times New Roman" w:eastAsia="宋体" w:cs="Times New Roman"/>
                <w:b/>
                <w:bCs/>
              </w:rPr>
            </w:pPr>
            <w:r>
              <w:rPr>
                <w:rFonts w:hint="eastAsia" w:ascii="Times New Roman" w:hAnsi="Times New Roman" w:eastAsia="宋体" w:cs="Times New Roman"/>
                <w:b/>
                <w:bCs/>
              </w:rPr>
              <w:t>机房</w:t>
            </w:r>
          </w:p>
        </w:tc>
        <w:tc>
          <w:tcPr>
            <w:tcW w:w="967" w:type="dxa"/>
            <w:vAlign w:val="center"/>
          </w:tcPr>
          <w:p w14:paraId="5B0DFB50">
            <w:pPr>
              <w:jc w:val="center"/>
              <w:rPr>
                <w:rFonts w:ascii="Times New Roman" w:hAnsi="Times New Roman" w:eastAsia="宋体" w:cs="Times New Roman"/>
                <w:b/>
                <w:bCs/>
              </w:rPr>
            </w:pPr>
            <w:r>
              <w:rPr>
                <w:rFonts w:hint="eastAsia" w:ascii="Times New Roman" w:hAnsi="Times New Roman" w:eastAsia="宋体" w:cs="Times New Roman"/>
                <w:b/>
                <w:bCs/>
              </w:rPr>
              <w:t>C类</w:t>
            </w:r>
          </w:p>
          <w:p w14:paraId="70CCA0BA">
            <w:pPr>
              <w:jc w:val="center"/>
              <w:rPr>
                <w:rFonts w:ascii="Times New Roman" w:hAnsi="Times New Roman" w:eastAsia="宋体" w:cs="Times New Roman"/>
                <w:b/>
                <w:bCs/>
              </w:rPr>
            </w:pPr>
            <w:r>
              <w:rPr>
                <w:rFonts w:hint="eastAsia" w:ascii="Times New Roman" w:hAnsi="Times New Roman" w:eastAsia="宋体" w:cs="Times New Roman"/>
                <w:b/>
                <w:bCs/>
              </w:rPr>
              <w:t>机房</w:t>
            </w:r>
          </w:p>
        </w:tc>
        <w:tc>
          <w:tcPr>
            <w:tcW w:w="968" w:type="dxa"/>
            <w:vAlign w:val="center"/>
          </w:tcPr>
          <w:p w14:paraId="19972CE9">
            <w:pPr>
              <w:jc w:val="center"/>
              <w:rPr>
                <w:rFonts w:ascii="Times New Roman" w:hAnsi="Times New Roman" w:eastAsia="宋体" w:cs="Times New Roman"/>
                <w:b/>
                <w:bCs/>
              </w:rPr>
            </w:pPr>
            <w:r>
              <w:rPr>
                <w:rFonts w:hint="eastAsia" w:ascii="Times New Roman" w:hAnsi="Times New Roman" w:eastAsia="宋体" w:cs="Times New Roman"/>
                <w:b/>
                <w:bCs/>
              </w:rPr>
              <w:t>D类</w:t>
            </w:r>
          </w:p>
          <w:p w14:paraId="00963881">
            <w:pPr>
              <w:jc w:val="center"/>
              <w:rPr>
                <w:rFonts w:ascii="Times New Roman" w:hAnsi="Times New Roman" w:eastAsia="宋体" w:cs="Times New Roman"/>
                <w:b/>
                <w:bCs/>
              </w:rPr>
            </w:pPr>
            <w:r>
              <w:rPr>
                <w:rFonts w:hint="eastAsia" w:ascii="Times New Roman" w:hAnsi="Times New Roman" w:eastAsia="宋体" w:cs="Times New Roman"/>
                <w:b/>
                <w:bCs/>
              </w:rPr>
              <w:t>机房</w:t>
            </w:r>
          </w:p>
        </w:tc>
      </w:tr>
      <w:tr w14:paraId="6B98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35" w:type="dxa"/>
            <w:vAlign w:val="center"/>
          </w:tcPr>
          <w:p w14:paraId="45738479">
            <w:pPr>
              <w:widowControl w:val="0"/>
              <w:spacing w:line="360" w:lineRule="exact"/>
              <w:jc w:val="center"/>
              <w:rPr>
                <w:rFonts w:ascii="宋体" w:hAnsi="宋体" w:eastAsia="宋体" w:cs="Times New Roman"/>
                <w:b/>
                <w:bCs/>
                <w:kern w:val="2"/>
                <w:sz w:val="21"/>
                <w:szCs w:val="24"/>
                <w:lang w:val="en-US" w:eastAsia="zh-CN" w:bidi="ar-SA"/>
              </w:rPr>
            </w:pPr>
            <w:r>
              <w:rPr>
                <w:rFonts w:hint="eastAsia" w:ascii="宋体" w:hAnsi="宋体" w:eastAsia="宋体" w:cs="Times New Roman"/>
                <w:b/>
                <w:bCs/>
                <w:kern w:val="2"/>
                <w:sz w:val="21"/>
                <w:szCs w:val="24"/>
                <w:lang w:val="en-US" w:eastAsia="zh-CN" w:bidi="ar-SA"/>
              </w:rPr>
              <w:t>1</w:t>
            </w:r>
          </w:p>
        </w:tc>
        <w:tc>
          <w:tcPr>
            <w:tcW w:w="4520" w:type="dxa"/>
            <w:vAlign w:val="center"/>
          </w:tcPr>
          <w:p w14:paraId="784AC25B">
            <w:pPr>
              <w:rPr>
                <w:rFonts w:ascii="Times New Roman" w:hAnsi="Times New Roman" w:eastAsia="宋体" w:cs="Times New Roman"/>
              </w:rPr>
            </w:pPr>
            <w:r>
              <w:rPr>
                <w:rFonts w:hint="eastAsia" w:ascii="Times New Roman" w:hAnsi="Times New Roman" w:eastAsia="宋体" w:cs="Times New Roman"/>
              </w:rPr>
              <w:t>检查电压、电流是否正常。</w:t>
            </w:r>
          </w:p>
        </w:tc>
        <w:tc>
          <w:tcPr>
            <w:tcW w:w="967" w:type="dxa"/>
            <w:vAlign w:val="center"/>
          </w:tcPr>
          <w:p w14:paraId="3E1E13C8">
            <w:pPr>
              <w:jc w:val="center"/>
              <w:rPr>
                <w:rFonts w:ascii="Times New Roman" w:hAnsi="Times New Roman" w:eastAsia="宋体" w:cs="Times New Roman"/>
              </w:rPr>
            </w:pPr>
            <w:r>
              <w:rPr>
                <w:rFonts w:hint="eastAsia" w:ascii="Times New Roman" w:hAnsi="Times New Roman" w:eastAsia="宋体" w:cs="Times New Roman"/>
              </w:rPr>
              <w:t>月</w:t>
            </w:r>
          </w:p>
        </w:tc>
        <w:tc>
          <w:tcPr>
            <w:tcW w:w="968" w:type="dxa"/>
            <w:vAlign w:val="center"/>
          </w:tcPr>
          <w:p w14:paraId="3CC6076A">
            <w:pPr>
              <w:jc w:val="center"/>
              <w:rPr>
                <w:rFonts w:ascii="Times New Roman" w:hAnsi="Times New Roman" w:eastAsia="宋体" w:cs="Times New Roman"/>
              </w:rPr>
            </w:pPr>
            <w:r>
              <w:rPr>
                <w:rFonts w:hint="eastAsia" w:ascii="Times New Roman" w:hAnsi="Times New Roman" w:eastAsia="宋体" w:cs="Times New Roman"/>
              </w:rPr>
              <w:t>月</w:t>
            </w:r>
          </w:p>
        </w:tc>
        <w:tc>
          <w:tcPr>
            <w:tcW w:w="967" w:type="dxa"/>
            <w:vAlign w:val="center"/>
          </w:tcPr>
          <w:p w14:paraId="0C4F5F4A">
            <w:pPr>
              <w:jc w:val="center"/>
              <w:rPr>
                <w:rFonts w:ascii="Times New Roman" w:hAnsi="Times New Roman" w:eastAsia="宋体" w:cs="Times New Roman"/>
              </w:rPr>
            </w:pPr>
            <w:r>
              <w:rPr>
                <w:rFonts w:hint="eastAsia" w:ascii="Times New Roman" w:hAnsi="Times New Roman" w:eastAsia="宋体" w:cs="Times New Roman"/>
              </w:rPr>
              <w:t>季</w:t>
            </w:r>
          </w:p>
        </w:tc>
        <w:tc>
          <w:tcPr>
            <w:tcW w:w="968" w:type="dxa"/>
            <w:vAlign w:val="center"/>
          </w:tcPr>
          <w:p w14:paraId="66092941">
            <w:pPr>
              <w:jc w:val="center"/>
              <w:rPr>
                <w:rFonts w:ascii="Times New Roman" w:hAnsi="Times New Roman" w:eastAsia="宋体" w:cs="Times New Roman"/>
              </w:rPr>
            </w:pPr>
            <w:r>
              <w:rPr>
                <w:rFonts w:hint="eastAsia" w:ascii="Times New Roman" w:hAnsi="Times New Roman" w:eastAsia="宋体" w:cs="Times New Roman"/>
              </w:rPr>
              <w:t>季</w:t>
            </w:r>
          </w:p>
        </w:tc>
      </w:tr>
      <w:tr w14:paraId="405D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35" w:type="dxa"/>
            <w:vAlign w:val="center"/>
          </w:tcPr>
          <w:p w14:paraId="7006D055">
            <w:pPr>
              <w:widowControl w:val="0"/>
              <w:spacing w:line="360" w:lineRule="exact"/>
              <w:jc w:val="center"/>
              <w:rPr>
                <w:rFonts w:ascii="宋体" w:hAnsi="宋体" w:eastAsia="宋体" w:cs="Times New Roman"/>
                <w:b/>
                <w:bCs/>
                <w:kern w:val="2"/>
                <w:sz w:val="21"/>
                <w:szCs w:val="24"/>
                <w:lang w:val="en-US" w:eastAsia="zh-CN" w:bidi="ar-SA"/>
              </w:rPr>
            </w:pPr>
            <w:r>
              <w:rPr>
                <w:rFonts w:hint="eastAsia" w:ascii="宋体" w:hAnsi="宋体" w:eastAsia="宋体" w:cs="Times New Roman"/>
                <w:b/>
                <w:bCs/>
                <w:kern w:val="2"/>
                <w:sz w:val="21"/>
                <w:szCs w:val="24"/>
                <w:lang w:val="en-US" w:eastAsia="zh-CN" w:bidi="ar-SA"/>
              </w:rPr>
              <w:t>2</w:t>
            </w:r>
          </w:p>
        </w:tc>
        <w:tc>
          <w:tcPr>
            <w:tcW w:w="4520" w:type="dxa"/>
            <w:vAlign w:val="center"/>
          </w:tcPr>
          <w:p w14:paraId="2FDE9D97">
            <w:pPr>
              <w:rPr>
                <w:rFonts w:ascii="Times New Roman" w:hAnsi="Times New Roman" w:eastAsia="宋体" w:cs="Times New Roman"/>
              </w:rPr>
            </w:pPr>
            <w:r>
              <w:rPr>
                <w:rFonts w:hint="eastAsia" w:ascii="Times New Roman" w:hAnsi="Times New Roman" w:eastAsia="宋体" w:cs="Times New Roman"/>
              </w:rPr>
              <w:t>检查模块液晶屏显示功能是否正常、翻看告警记录。</w:t>
            </w:r>
          </w:p>
        </w:tc>
        <w:tc>
          <w:tcPr>
            <w:tcW w:w="967" w:type="dxa"/>
            <w:vAlign w:val="center"/>
          </w:tcPr>
          <w:p w14:paraId="6DDFDE70">
            <w:pPr>
              <w:jc w:val="center"/>
              <w:rPr>
                <w:rFonts w:ascii="Times New Roman" w:hAnsi="Times New Roman" w:eastAsia="宋体" w:cs="Times New Roman"/>
              </w:rPr>
            </w:pPr>
            <w:r>
              <w:rPr>
                <w:rFonts w:hint="eastAsia" w:ascii="Times New Roman" w:hAnsi="Times New Roman" w:eastAsia="宋体" w:cs="Times New Roman"/>
              </w:rPr>
              <w:t>月</w:t>
            </w:r>
          </w:p>
        </w:tc>
        <w:tc>
          <w:tcPr>
            <w:tcW w:w="968" w:type="dxa"/>
            <w:vAlign w:val="center"/>
          </w:tcPr>
          <w:p w14:paraId="4572906F">
            <w:pPr>
              <w:jc w:val="center"/>
              <w:rPr>
                <w:rFonts w:ascii="Times New Roman" w:hAnsi="Times New Roman" w:eastAsia="宋体" w:cs="Times New Roman"/>
              </w:rPr>
            </w:pPr>
            <w:r>
              <w:rPr>
                <w:rFonts w:hint="eastAsia" w:ascii="Times New Roman" w:hAnsi="Times New Roman" w:eastAsia="宋体" w:cs="Times New Roman"/>
              </w:rPr>
              <w:t>月</w:t>
            </w:r>
          </w:p>
        </w:tc>
        <w:tc>
          <w:tcPr>
            <w:tcW w:w="967" w:type="dxa"/>
            <w:vAlign w:val="center"/>
          </w:tcPr>
          <w:p w14:paraId="2E7067E7">
            <w:pPr>
              <w:jc w:val="center"/>
              <w:rPr>
                <w:rFonts w:ascii="Times New Roman" w:hAnsi="Times New Roman" w:eastAsia="宋体" w:cs="Times New Roman"/>
              </w:rPr>
            </w:pPr>
            <w:r>
              <w:rPr>
                <w:rFonts w:hint="eastAsia" w:ascii="Times New Roman" w:hAnsi="Times New Roman" w:eastAsia="宋体" w:cs="Times New Roman"/>
              </w:rPr>
              <w:t>季</w:t>
            </w:r>
          </w:p>
        </w:tc>
        <w:tc>
          <w:tcPr>
            <w:tcW w:w="968" w:type="dxa"/>
            <w:vAlign w:val="center"/>
          </w:tcPr>
          <w:p w14:paraId="2CC0F34F">
            <w:pPr>
              <w:jc w:val="center"/>
              <w:rPr>
                <w:rFonts w:ascii="Times New Roman" w:hAnsi="Times New Roman" w:eastAsia="宋体" w:cs="Times New Roman"/>
              </w:rPr>
            </w:pPr>
            <w:r>
              <w:rPr>
                <w:rFonts w:hint="eastAsia" w:ascii="Times New Roman" w:hAnsi="Times New Roman" w:eastAsia="宋体" w:cs="Times New Roman"/>
              </w:rPr>
              <w:t>季</w:t>
            </w:r>
          </w:p>
        </w:tc>
      </w:tr>
      <w:tr w14:paraId="7A41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35" w:type="dxa"/>
            <w:vAlign w:val="center"/>
          </w:tcPr>
          <w:p w14:paraId="117396B4">
            <w:pPr>
              <w:widowControl w:val="0"/>
              <w:spacing w:line="360" w:lineRule="exact"/>
              <w:jc w:val="center"/>
              <w:rPr>
                <w:rFonts w:ascii="宋体" w:hAnsi="宋体" w:eastAsia="宋体" w:cs="Times New Roman"/>
                <w:b/>
                <w:bCs/>
                <w:kern w:val="2"/>
                <w:sz w:val="21"/>
                <w:szCs w:val="24"/>
                <w:lang w:val="en-US" w:eastAsia="zh-CN" w:bidi="ar-SA"/>
              </w:rPr>
            </w:pPr>
            <w:r>
              <w:rPr>
                <w:rFonts w:hint="eastAsia" w:ascii="宋体" w:hAnsi="宋体" w:eastAsia="宋体" w:cs="Times New Roman"/>
                <w:b/>
                <w:bCs/>
                <w:kern w:val="2"/>
                <w:sz w:val="21"/>
                <w:szCs w:val="24"/>
                <w:lang w:val="en-US" w:eastAsia="zh-CN" w:bidi="ar-SA"/>
              </w:rPr>
              <w:t>3</w:t>
            </w:r>
          </w:p>
        </w:tc>
        <w:tc>
          <w:tcPr>
            <w:tcW w:w="4520" w:type="dxa"/>
          </w:tcPr>
          <w:p w14:paraId="6DF40080">
            <w:pPr>
              <w:rPr>
                <w:rFonts w:ascii="Times New Roman" w:hAnsi="Times New Roman" w:eastAsia="宋体" w:cs="Times New Roman"/>
              </w:rPr>
            </w:pPr>
            <w:r>
              <w:rPr>
                <w:rFonts w:hint="eastAsia" w:ascii="Times New Roman" w:hAnsi="Times New Roman" w:eastAsia="宋体" w:cs="Times New Roman"/>
              </w:rPr>
              <w:t>检查整流器、监控模块的工作状态，整流器的负载均分性能。</w:t>
            </w:r>
          </w:p>
        </w:tc>
        <w:tc>
          <w:tcPr>
            <w:tcW w:w="967" w:type="dxa"/>
            <w:vAlign w:val="center"/>
          </w:tcPr>
          <w:p w14:paraId="1F82AB48">
            <w:pPr>
              <w:jc w:val="center"/>
              <w:rPr>
                <w:rFonts w:ascii="Times New Roman" w:hAnsi="Times New Roman" w:eastAsia="宋体" w:cs="Times New Roman"/>
              </w:rPr>
            </w:pPr>
            <w:r>
              <w:rPr>
                <w:rFonts w:hint="eastAsia" w:ascii="Times New Roman" w:hAnsi="Times New Roman" w:eastAsia="宋体" w:cs="Times New Roman"/>
              </w:rPr>
              <w:t>月</w:t>
            </w:r>
          </w:p>
        </w:tc>
        <w:tc>
          <w:tcPr>
            <w:tcW w:w="968" w:type="dxa"/>
            <w:vAlign w:val="center"/>
          </w:tcPr>
          <w:p w14:paraId="71F3337D">
            <w:pPr>
              <w:jc w:val="center"/>
              <w:rPr>
                <w:rFonts w:ascii="Times New Roman" w:hAnsi="Times New Roman" w:eastAsia="宋体" w:cs="Times New Roman"/>
              </w:rPr>
            </w:pPr>
            <w:r>
              <w:rPr>
                <w:rFonts w:hint="eastAsia" w:ascii="Times New Roman" w:hAnsi="Times New Roman" w:eastAsia="宋体" w:cs="Times New Roman"/>
              </w:rPr>
              <w:t>月</w:t>
            </w:r>
          </w:p>
        </w:tc>
        <w:tc>
          <w:tcPr>
            <w:tcW w:w="967" w:type="dxa"/>
            <w:vAlign w:val="center"/>
          </w:tcPr>
          <w:p w14:paraId="6B139601">
            <w:pPr>
              <w:jc w:val="center"/>
              <w:rPr>
                <w:rFonts w:ascii="Times New Roman" w:hAnsi="Times New Roman" w:eastAsia="宋体" w:cs="Times New Roman"/>
              </w:rPr>
            </w:pPr>
            <w:r>
              <w:rPr>
                <w:rFonts w:hint="eastAsia" w:ascii="Times New Roman" w:hAnsi="Times New Roman" w:eastAsia="宋体" w:cs="Times New Roman"/>
              </w:rPr>
              <w:t>季</w:t>
            </w:r>
          </w:p>
        </w:tc>
        <w:tc>
          <w:tcPr>
            <w:tcW w:w="968" w:type="dxa"/>
            <w:vAlign w:val="center"/>
          </w:tcPr>
          <w:p w14:paraId="4E5D66AE">
            <w:pPr>
              <w:jc w:val="center"/>
              <w:rPr>
                <w:rFonts w:ascii="Times New Roman" w:hAnsi="Times New Roman" w:eastAsia="宋体" w:cs="Times New Roman"/>
              </w:rPr>
            </w:pPr>
            <w:r>
              <w:rPr>
                <w:rFonts w:hint="eastAsia" w:ascii="Times New Roman" w:hAnsi="Times New Roman" w:eastAsia="宋体" w:cs="Times New Roman"/>
              </w:rPr>
              <w:t>季</w:t>
            </w:r>
          </w:p>
        </w:tc>
      </w:tr>
      <w:tr w14:paraId="0E87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5" w:type="dxa"/>
            <w:vAlign w:val="center"/>
          </w:tcPr>
          <w:p w14:paraId="7D09EA45">
            <w:pPr>
              <w:widowControl w:val="0"/>
              <w:spacing w:line="360" w:lineRule="exact"/>
              <w:jc w:val="center"/>
              <w:rPr>
                <w:rFonts w:ascii="宋体" w:hAnsi="宋体" w:eastAsia="宋体" w:cs="Times New Roman"/>
                <w:b/>
                <w:bCs/>
                <w:kern w:val="2"/>
                <w:sz w:val="21"/>
                <w:szCs w:val="24"/>
                <w:lang w:val="en-US" w:eastAsia="zh-CN" w:bidi="ar-SA"/>
              </w:rPr>
            </w:pPr>
            <w:r>
              <w:rPr>
                <w:rFonts w:hint="eastAsia" w:ascii="宋体" w:hAnsi="宋体" w:eastAsia="宋体" w:cs="Times New Roman"/>
                <w:b/>
                <w:bCs/>
                <w:kern w:val="2"/>
                <w:sz w:val="21"/>
                <w:szCs w:val="24"/>
                <w:lang w:val="en-US" w:eastAsia="zh-CN" w:bidi="ar-SA"/>
              </w:rPr>
              <w:t>4</w:t>
            </w:r>
          </w:p>
        </w:tc>
        <w:tc>
          <w:tcPr>
            <w:tcW w:w="4520" w:type="dxa"/>
            <w:vAlign w:val="center"/>
          </w:tcPr>
          <w:p w14:paraId="07309B96">
            <w:pPr>
              <w:rPr>
                <w:rFonts w:ascii="Times New Roman" w:hAnsi="Times New Roman" w:eastAsia="宋体" w:cs="Times New Roman"/>
              </w:rPr>
            </w:pPr>
            <w:r>
              <w:rPr>
                <w:rFonts w:hint="eastAsia" w:ascii="Times New Roman" w:hAnsi="Times New Roman" w:eastAsia="宋体" w:cs="Times New Roman"/>
              </w:rPr>
              <w:t>检查各整流模块风扇运转是否正常。</w:t>
            </w:r>
          </w:p>
        </w:tc>
        <w:tc>
          <w:tcPr>
            <w:tcW w:w="967" w:type="dxa"/>
            <w:vAlign w:val="center"/>
          </w:tcPr>
          <w:p w14:paraId="65B96FB9">
            <w:pPr>
              <w:jc w:val="center"/>
              <w:rPr>
                <w:rFonts w:ascii="Times New Roman" w:hAnsi="Times New Roman" w:eastAsia="宋体" w:cs="Times New Roman"/>
              </w:rPr>
            </w:pPr>
            <w:r>
              <w:rPr>
                <w:rFonts w:hint="eastAsia" w:ascii="Times New Roman" w:hAnsi="Times New Roman" w:eastAsia="宋体" w:cs="Times New Roman"/>
              </w:rPr>
              <w:t>月</w:t>
            </w:r>
          </w:p>
        </w:tc>
        <w:tc>
          <w:tcPr>
            <w:tcW w:w="968" w:type="dxa"/>
            <w:vAlign w:val="center"/>
          </w:tcPr>
          <w:p w14:paraId="63E864B4">
            <w:pPr>
              <w:jc w:val="center"/>
              <w:rPr>
                <w:rFonts w:ascii="Times New Roman" w:hAnsi="Times New Roman" w:eastAsia="宋体" w:cs="Times New Roman"/>
              </w:rPr>
            </w:pPr>
            <w:r>
              <w:rPr>
                <w:rFonts w:hint="eastAsia" w:ascii="Times New Roman" w:hAnsi="Times New Roman" w:eastAsia="宋体" w:cs="Times New Roman"/>
              </w:rPr>
              <w:t>月</w:t>
            </w:r>
          </w:p>
        </w:tc>
        <w:tc>
          <w:tcPr>
            <w:tcW w:w="967" w:type="dxa"/>
            <w:vAlign w:val="center"/>
          </w:tcPr>
          <w:p w14:paraId="673508E1">
            <w:pPr>
              <w:jc w:val="center"/>
              <w:rPr>
                <w:rFonts w:ascii="Times New Roman" w:hAnsi="Times New Roman" w:eastAsia="宋体" w:cs="Times New Roman"/>
              </w:rPr>
            </w:pPr>
            <w:r>
              <w:rPr>
                <w:rFonts w:hint="eastAsia" w:ascii="Times New Roman" w:hAnsi="Times New Roman" w:eastAsia="宋体" w:cs="Times New Roman"/>
              </w:rPr>
              <w:t>季</w:t>
            </w:r>
          </w:p>
        </w:tc>
        <w:tc>
          <w:tcPr>
            <w:tcW w:w="968" w:type="dxa"/>
            <w:vAlign w:val="center"/>
          </w:tcPr>
          <w:p w14:paraId="42EE3AA7">
            <w:pPr>
              <w:jc w:val="center"/>
              <w:rPr>
                <w:rFonts w:ascii="Times New Roman" w:hAnsi="Times New Roman" w:eastAsia="宋体" w:cs="Times New Roman"/>
              </w:rPr>
            </w:pPr>
            <w:r>
              <w:rPr>
                <w:rFonts w:hint="eastAsia" w:ascii="Times New Roman" w:hAnsi="Times New Roman" w:eastAsia="宋体" w:cs="Times New Roman"/>
              </w:rPr>
              <w:t>季</w:t>
            </w:r>
          </w:p>
        </w:tc>
      </w:tr>
      <w:tr w14:paraId="6FB6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35" w:type="dxa"/>
            <w:vAlign w:val="center"/>
          </w:tcPr>
          <w:p w14:paraId="1F60DEC4">
            <w:pPr>
              <w:widowControl w:val="0"/>
              <w:spacing w:line="360" w:lineRule="exact"/>
              <w:jc w:val="center"/>
              <w:rPr>
                <w:rFonts w:ascii="宋体" w:hAnsi="宋体" w:eastAsia="宋体" w:cs="Times New Roman"/>
                <w:b/>
                <w:bCs/>
                <w:kern w:val="2"/>
                <w:sz w:val="21"/>
                <w:szCs w:val="24"/>
                <w:lang w:val="en-US" w:eastAsia="zh-CN" w:bidi="ar-SA"/>
              </w:rPr>
            </w:pPr>
            <w:r>
              <w:rPr>
                <w:rFonts w:hint="eastAsia" w:ascii="宋体" w:hAnsi="宋体" w:eastAsia="宋体" w:cs="Times New Roman"/>
                <w:b/>
                <w:bCs/>
                <w:kern w:val="2"/>
                <w:sz w:val="21"/>
                <w:szCs w:val="24"/>
                <w:lang w:val="en-US" w:eastAsia="zh-CN" w:bidi="ar-SA"/>
              </w:rPr>
              <w:t>5</w:t>
            </w:r>
          </w:p>
        </w:tc>
        <w:tc>
          <w:tcPr>
            <w:tcW w:w="4520" w:type="dxa"/>
            <w:vAlign w:val="center"/>
          </w:tcPr>
          <w:p w14:paraId="407FF9A6">
            <w:pPr>
              <w:rPr>
                <w:rFonts w:ascii="Times New Roman" w:hAnsi="Times New Roman" w:eastAsia="宋体" w:cs="Times New Roman"/>
              </w:rPr>
            </w:pPr>
            <w:r>
              <w:rPr>
                <w:rFonts w:hint="eastAsia" w:ascii="Times New Roman" w:hAnsi="Times New Roman" w:eastAsia="宋体" w:cs="Times New Roman"/>
              </w:rPr>
              <w:t>清洁设备、风扇、过滤网等，确保无积尘、散热性能良好。</w:t>
            </w:r>
          </w:p>
        </w:tc>
        <w:tc>
          <w:tcPr>
            <w:tcW w:w="967" w:type="dxa"/>
            <w:vAlign w:val="center"/>
          </w:tcPr>
          <w:p w14:paraId="78AF384B">
            <w:pPr>
              <w:jc w:val="center"/>
              <w:rPr>
                <w:rFonts w:ascii="Times New Roman" w:hAnsi="Times New Roman" w:eastAsia="宋体" w:cs="Times New Roman"/>
              </w:rPr>
            </w:pPr>
            <w:r>
              <w:rPr>
                <w:rFonts w:hint="eastAsia" w:ascii="Times New Roman" w:hAnsi="Times New Roman" w:eastAsia="宋体" w:cs="Times New Roman"/>
              </w:rPr>
              <w:t>月</w:t>
            </w:r>
          </w:p>
        </w:tc>
        <w:tc>
          <w:tcPr>
            <w:tcW w:w="968" w:type="dxa"/>
            <w:vAlign w:val="center"/>
          </w:tcPr>
          <w:p w14:paraId="592B80D5">
            <w:pPr>
              <w:jc w:val="center"/>
              <w:rPr>
                <w:rFonts w:ascii="Times New Roman" w:hAnsi="Times New Roman" w:eastAsia="宋体" w:cs="Times New Roman"/>
              </w:rPr>
            </w:pPr>
            <w:r>
              <w:rPr>
                <w:rFonts w:hint="eastAsia" w:ascii="Times New Roman" w:hAnsi="Times New Roman" w:eastAsia="宋体" w:cs="Times New Roman"/>
              </w:rPr>
              <w:t>月</w:t>
            </w:r>
          </w:p>
        </w:tc>
        <w:tc>
          <w:tcPr>
            <w:tcW w:w="967" w:type="dxa"/>
            <w:vAlign w:val="center"/>
          </w:tcPr>
          <w:p w14:paraId="04A8A71A">
            <w:pPr>
              <w:jc w:val="center"/>
              <w:rPr>
                <w:rFonts w:ascii="Times New Roman" w:hAnsi="Times New Roman" w:eastAsia="宋体" w:cs="Times New Roman"/>
              </w:rPr>
            </w:pPr>
            <w:r>
              <w:rPr>
                <w:rFonts w:hint="eastAsia" w:ascii="Times New Roman" w:hAnsi="Times New Roman" w:eastAsia="宋体" w:cs="Times New Roman"/>
              </w:rPr>
              <w:t>季</w:t>
            </w:r>
          </w:p>
        </w:tc>
        <w:tc>
          <w:tcPr>
            <w:tcW w:w="968" w:type="dxa"/>
            <w:vAlign w:val="center"/>
          </w:tcPr>
          <w:p w14:paraId="59FC6714">
            <w:pPr>
              <w:jc w:val="center"/>
              <w:rPr>
                <w:rFonts w:ascii="Times New Roman" w:hAnsi="Times New Roman" w:eastAsia="宋体" w:cs="Times New Roman"/>
              </w:rPr>
            </w:pPr>
            <w:r>
              <w:rPr>
                <w:rFonts w:hint="eastAsia" w:ascii="Times New Roman" w:hAnsi="Times New Roman" w:eastAsia="宋体" w:cs="Times New Roman"/>
              </w:rPr>
              <w:t>季</w:t>
            </w:r>
          </w:p>
        </w:tc>
      </w:tr>
      <w:tr w14:paraId="334F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535" w:type="dxa"/>
            <w:vAlign w:val="center"/>
          </w:tcPr>
          <w:p w14:paraId="35DDB5B4">
            <w:pPr>
              <w:widowControl w:val="0"/>
              <w:spacing w:line="360" w:lineRule="exact"/>
              <w:jc w:val="center"/>
              <w:rPr>
                <w:rFonts w:ascii="宋体" w:hAnsi="宋体" w:eastAsia="宋体" w:cs="Times New Roman"/>
                <w:b/>
                <w:bCs/>
                <w:kern w:val="2"/>
                <w:sz w:val="21"/>
                <w:szCs w:val="24"/>
                <w:lang w:val="en-US" w:eastAsia="zh-CN" w:bidi="ar-SA"/>
              </w:rPr>
            </w:pPr>
            <w:r>
              <w:rPr>
                <w:rFonts w:hint="eastAsia" w:ascii="宋体" w:hAnsi="宋体" w:eastAsia="宋体" w:cs="Times New Roman"/>
                <w:b/>
                <w:bCs/>
                <w:kern w:val="2"/>
                <w:sz w:val="21"/>
                <w:szCs w:val="24"/>
                <w:lang w:val="en-US" w:eastAsia="zh-CN" w:bidi="ar-SA"/>
              </w:rPr>
              <w:t>6</w:t>
            </w:r>
          </w:p>
        </w:tc>
        <w:tc>
          <w:tcPr>
            <w:tcW w:w="4520" w:type="dxa"/>
            <w:vAlign w:val="center"/>
          </w:tcPr>
          <w:p w14:paraId="496DEE70">
            <w:pPr>
              <w:rPr>
                <w:rFonts w:ascii="Times New Roman" w:hAnsi="Times New Roman" w:eastAsia="宋体" w:cs="Times New Roman"/>
              </w:rPr>
            </w:pPr>
            <w:r>
              <w:rPr>
                <w:rFonts w:hint="eastAsia" w:ascii="Times New Roman" w:hAnsi="Times New Roman" w:eastAsia="宋体" w:cs="Times New Roman"/>
              </w:rPr>
              <w:t>测量直流熔断器压降或温升、汇流排的温升有无异常。</w:t>
            </w:r>
          </w:p>
        </w:tc>
        <w:tc>
          <w:tcPr>
            <w:tcW w:w="967" w:type="dxa"/>
            <w:vAlign w:val="center"/>
          </w:tcPr>
          <w:p w14:paraId="42CA8B94">
            <w:pPr>
              <w:jc w:val="center"/>
              <w:rPr>
                <w:rFonts w:ascii="Times New Roman" w:hAnsi="Times New Roman" w:eastAsia="宋体" w:cs="Times New Roman"/>
              </w:rPr>
            </w:pPr>
            <w:r>
              <w:rPr>
                <w:rFonts w:hint="eastAsia" w:ascii="Times New Roman" w:hAnsi="Times New Roman" w:eastAsia="宋体" w:cs="Times New Roman"/>
              </w:rPr>
              <w:t>月</w:t>
            </w:r>
          </w:p>
        </w:tc>
        <w:tc>
          <w:tcPr>
            <w:tcW w:w="968" w:type="dxa"/>
            <w:vAlign w:val="center"/>
          </w:tcPr>
          <w:p w14:paraId="2A97B244">
            <w:pPr>
              <w:jc w:val="center"/>
              <w:rPr>
                <w:rFonts w:ascii="Times New Roman" w:hAnsi="Times New Roman" w:eastAsia="宋体" w:cs="Times New Roman"/>
              </w:rPr>
            </w:pPr>
            <w:r>
              <w:rPr>
                <w:rFonts w:hint="eastAsia" w:ascii="Times New Roman" w:hAnsi="Times New Roman" w:eastAsia="宋体" w:cs="Times New Roman"/>
              </w:rPr>
              <w:t>月</w:t>
            </w:r>
          </w:p>
        </w:tc>
        <w:tc>
          <w:tcPr>
            <w:tcW w:w="967" w:type="dxa"/>
            <w:vAlign w:val="center"/>
          </w:tcPr>
          <w:p w14:paraId="01F36B03">
            <w:pPr>
              <w:jc w:val="center"/>
              <w:rPr>
                <w:rFonts w:ascii="Times New Roman" w:hAnsi="Times New Roman" w:eastAsia="宋体" w:cs="Times New Roman"/>
              </w:rPr>
            </w:pPr>
            <w:r>
              <w:rPr>
                <w:rFonts w:hint="eastAsia" w:ascii="Times New Roman" w:hAnsi="Times New Roman" w:eastAsia="宋体" w:cs="Times New Roman"/>
              </w:rPr>
              <w:t>季</w:t>
            </w:r>
          </w:p>
        </w:tc>
        <w:tc>
          <w:tcPr>
            <w:tcW w:w="968" w:type="dxa"/>
            <w:vAlign w:val="center"/>
          </w:tcPr>
          <w:p w14:paraId="4E843A22">
            <w:pPr>
              <w:jc w:val="center"/>
              <w:rPr>
                <w:rFonts w:ascii="Times New Roman" w:hAnsi="Times New Roman" w:eastAsia="宋体" w:cs="Times New Roman"/>
              </w:rPr>
            </w:pPr>
            <w:r>
              <w:rPr>
                <w:rFonts w:hint="eastAsia" w:ascii="Times New Roman" w:hAnsi="Times New Roman" w:eastAsia="宋体" w:cs="Times New Roman"/>
              </w:rPr>
              <w:t>季</w:t>
            </w:r>
          </w:p>
        </w:tc>
      </w:tr>
      <w:tr w14:paraId="520C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35" w:type="dxa"/>
            <w:vAlign w:val="center"/>
          </w:tcPr>
          <w:p w14:paraId="096DFE3D">
            <w:pPr>
              <w:jc w:val="center"/>
              <w:rPr>
                <w:rFonts w:ascii="Times New Roman" w:hAnsi="Times New Roman" w:eastAsia="宋体" w:cs="Times New Roman"/>
                <w:b/>
                <w:bCs/>
              </w:rPr>
            </w:pPr>
            <w:r>
              <w:rPr>
                <w:rFonts w:hint="eastAsia" w:ascii="Times New Roman" w:hAnsi="Times New Roman" w:eastAsia="宋体" w:cs="Times New Roman"/>
                <w:b/>
                <w:bCs/>
              </w:rPr>
              <w:t>7</w:t>
            </w:r>
          </w:p>
        </w:tc>
        <w:tc>
          <w:tcPr>
            <w:tcW w:w="4520" w:type="dxa"/>
            <w:vAlign w:val="center"/>
          </w:tcPr>
          <w:p w14:paraId="2AC45D53">
            <w:pPr>
              <w:rPr>
                <w:rFonts w:ascii="Times New Roman" w:hAnsi="Times New Roman" w:eastAsia="宋体" w:cs="Times New Roman"/>
              </w:rPr>
            </w:pPr>
            <w:r>
              <w:rPr>
                <w:rFonts w:hint="eastAsia" w:ascii="Times New Roman" w:hAnsi="Times New Roman" w:eastAsia="宋体" w:cs="Times New Roman"/>
              </w:rPr>
              <w:t>检查各开关、继电器、熔断器以及各接触元器件是否正常工作，容量是否匹配（包括交、直流配电屏）。</w:t>
            </w:r>
          </w:p>
        </w:tc>
        <w:tc>
          <w:tcPr>
            <w:tcW w:w="967" w:type="dxa"/>
            <w:vAlign w:val="center"/>
          </w:tcPr>
          <w:p w14:paraId="0702D25B">
            <w:pPr>
              <w:jc w:val="center"/>
              <w:rPr>
                <w:rFonts w:ascii="Times New Roman" w:hAnsi="Times New Roman" w:eastAsia="宋体" w:cs="Times New Roman"/>
              </w:rPr>
            </w:pPr>
            <w:r>
              <w:rPr>
                <w:rFonts w:hint="eastAsia" w:ascii="Times New Roman" w:hAnsi="Times New Roman" w:eastAsia="宋体" w:cs="Times New Roman"/>
                <w:bCs/>
              </w:rPr>
              <w:t>季</w:t>
            </w:r>
          </w:p>
        </w:tc>
        <w:tc>
          <w:tcPr>
            <w:tcW w:w="968" w:type="dxa"/>
            <w:vAlign w:val="center"/>
          </w:tcPr>
          <w:p w14:paraId="2E3ADA58">
            <w:pPr>
              <w:jc w:val="center"/>
              <w:rPr>
                <w:rFonts w:ascii="Times New Roman" w:hAnsi="Times New Roman" w:eastAsia="宋体" w:cs="Times New Roman"/>
              </w:rPr>
            </w:pPr>
            <w:r>
              <w:rPr>
                <w:rFonts w:hint="eastAsia" w:ascii="Times New Roman" w:hAnsi="Times New Roman" w:eastAsia="宋体" w:cs="Times New Roman"/>
                <w:bCs/>
              </w:rPr>
              <w:t>季</w:t>
            </w:r>
          </w:p>
        </w:tc>
        <w:tc>
          <w:tcPr>
            <w:tcW w:w="967" w:type="dxa"/>
            <w:vAlign w:val="center"/>
          </w:tcPr>
          <w:p w14:paraId="0E66C781">
            <w:pPr>
              <w:jc w:val="center"/>
              <w:rPr>
                <w:rFonts w:ascii="Times New Roman" w:hAnsi="Times New Roman" w:eastAsia="宋体" w:cs="Times New Roman"/>
              </w:rPr>
            </w:pPr>
            <w:r>
              <w:rPr>
                <w:rFonts w:hint="eastAsia" w:ascii="Times New Roman" w:hAnsi="Times New Roman" w:eastAsia="宋体" w:cs="Times New Roman"/>
                <w:bCs/>
              </w:rPr>
              <w:t>半年</w:t>
            </w:r>
          </w:p>
        </w:tc>
        <w:tc>
          <w:tcPr>
            <w:tcW w:w="968" w:type="dxa"/>
            <w:vAlign w:val="center"/>
          </w:tcPr>
          <w:p w14:paraId="5DE2B9AB">
            <w:pPr>
              <w:jc w:val="center"/>
              <w:rPr>
                <w:rFonts w:ascii="Times New Roman" w:hAnsi="Times New Roman" w:eastAsia="宋体" w:cs="Times New Roman"/>
              </w:rPr>
            </w:pPr>
            <w:r>
              <w:rPr>
                <w:rFonts w:hint="eastAsia" w:ascii="Times New Roman" w:hAnsi="Times New Roman" w:eastAsia="宋体" w:cs="Times New Roman"/>
                <w:bCs/>
              </w:rPr>
              <w:t>半年</w:t>
            </w:r>
          </w:p>
        </w:tc>
      </w:tr>
      <w:tr w14:paraId="57E9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35" w:type="dxa"/>
            <w:vAlign w:val="center"/>
          </w:tcPr>
          <w:p w14:paraId="77A97F4A">
            <w:pPr>
              <w:jc w:val="center"/>
              <w:rPr>
                <w:rFonts w:ascii="Times New Roman" w:hAnsi="Times New Roman" w:eastAsia="宋体" w:cs="Times New Roman"/>
                <w:b/>
                <w:bCs/>
              </w:rPr>
            </w:pPr>
            <w:r>
              <w:rPr>
                <w:rFonts w:hint="eastAsia" w:ascii="Times New Roman" w:hAnsi="Times New Roman" w:eastAsia="宋体" w:cs="Times New Roman"/>
                <w:b/>
                <w:bCs/>
              </w:rPr>
              <w:t>8</w:t>
            </w:r>
          </w:p>
        </w:tc>
        <w:tc>
          <w:tcPr>
            <w:tcW w:w="4520" w:type="dxa"/>
            <w:vAlign w:val="center"/>
          </w:tcPr>
          <w:p w14:paraId="426E6475">
            <w:pPr>
              <w:rPr>
                <w:rFonts w:ascii="Times New Roman" w:hAnsi="Times New Roman" w:eastAsia="宋体" w:cs="Times New Roman"/>
              </w:rPr>
            </w:pPr>
            <w:r>
              <w:rPr>
                <w:rFonts w:hint="eastAsia" w:ascii="Times New Roman" w:hAnsi="Times New Roman" w:eastAsia="宋体" w:cs="Times New Roman"/>
              </w:rPr>
              <w:t>测量中性线电流以及对地电压。</w:t>
            </w:r>
          </w:p>
        </w:tc>
        <w:tc>
          <w:tcPr>
            <w:tcW w:w="967" w:type="dxa"/>
            <w:vAlign w:val="center"/>
          </w:tcPr>
          <w:p w14:paraId="3A9FFA3D">
            <w:pPr>
              <w:jc w:val="center"/>
              <w:rPr>
                <w:rFonts w:ascii="Times New Roman" w:hAnsi="Times New Roman" w:eastAsia="宋体" w:cs="Times New Roman"/>
              </w:rPr>
            </w:pPr>
            <w:r>
              <w:rPr>
                <w:rFonts w:hint="eastAsia" w:ascii="Times New Roman" w:hAnsi="Times New Roman" w:eastAsia="宋体" w:cs="Times New Roman"/>
                <w:bCs/>
              </w:rPr>
              <w:t>季</w:t>
            </w:r>
          </w:p>
        </w:tc>
        <w:tc>
          <w:tcPr>
            <w:tcW w:w="968" w:type="dxa"/>
            <w:vAlign w:val="center"/>
          </w:tcPr>
          <w:p w14:paraId="5F613E2B">
            <w:pPr>
              <w:jc w:val="center"/>
              <w:rPr>
                <w:rFonts w:ascii="Times New Roman" w:hAnsi="Times New Roman" w:eastAsia="宋体" w:cs="Times New Roman"/>
              </w:rPr>
            </w:pPr>
            <w:r>
              <w:rPr>
                <w:rFonts w:hint="eastAsia" w:ascii="Times New Roman" w:hAnsi="Times New Roman" w:eastAsia="宋体" w:cs="Times New Roman"/>
                <w:bCs/>
              </w:rPr>
              <w:t>季</w:t>
            </w:r>
          </w:p>
        </w:tc>
        <w:tc>
          <w:tcPr>
            <w:tcW w:w="967" w:type="dxa"/>
            <w:vAlign w:val="center"/>
          </w:tcPr>
          <w:p w14:paraId="0C0F393F">
            <w:pPr>
              <w:jc w:val="center"/>
              <w:rPr>
                <w:rFonts w:ascii="Times New Roman" w:hAnsi="Times New Roman" w:eastAsia="宋体" w:cs="Times New Roman"/>
              </w:rPr>
            </w:pPr>
            <w:r>
              <w:rPr>
                <w:rFonts w:hint="eastAsia" w:ascii="Times New Roman" w:hAnsi="Times New Roman" w:eastAsia="宋体" w:cs="Times New Roman"/>
                <w:bCs/>
              </w:rPr>
              <w:t>半年</w:t>
            </w:r>
          </w:p>
        </w:tc>
        <w:tc>
          <w:tcPr>
            <w:tcW w:w="968" w:type="dxa"/>
            <w:vAlign w:val="center"/>
          </w:tcPr>
          <w:p w14:paraId="2E11B493">
            <w:pPr>
              <w:jc w:val="center"/>
              <w:rPr>
                <w:rFonts w:ascii="Times New Roman" w:hAnsi="Times New Roman" w:eastAsia="宋体" w:cs="Times New Roman"/>
              </w:rPr>
            </w:pPr>
            <w:r>
              <w:rPr>
                <w:rFonts w:hint="eastAsia" w:ascii="Times New Roman" w:hAnsi="Times New Roman" w:eastAsia="宋体" w:cs="Times New Roman"/>
                <w:bCs/>
              </w:rPr>
              <w:t>半年</w:t>
            </w:r>
          </w:p>
        </w:tc>
      </w:tr>
      <w:tr w14:paraId="7454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35" w:type="dxa"/>
            <w:vAlign w:val="center"/>
          </w:tcPr>
          <w:p w14:paraId="2646ED85">
            <w:pPr>
              <w:jc w:val="center"/>
              <w:rPr>
                <w:rFonts w:ascii="Times New Roman" w:hAnsi="Times New Roman" w:eastAsia="宋体" w:cs="Times New Roman"/>
                <w:b/>
                <w:bCs/>
              </w:rPr>
            </w:pPr>
            <w:r>
              <w:rPr>
                <w:rFonts w:hint="eastAsia" w:ascii="Times New Roman" w:hAnsi="Times New Roman" w:eastAsia="宋体" w:cs="Times New Roman"/>
                <w:b/>
                <w:bCs/>
              </w:rPr>
              <w:t>9</w:t>
            </w:r>
          </w:p>
        </w:tc>
        <w:tc>
          <w:tcPr>
            <w:tcW w:w="4520" w:type="dxa"/>
            <w:vAlign w:val="center"/>
          </w:tcPr>
          <w:p w14:paraId="194BFF14">
            <w:pPr>
              <w:rPr>
                <w:rFonts w:ascii="Times New Roman" w:hAnsi="Times New Roman" w:eastAsia="宋体" w:cs="Times New Roman"/>
              </w:rPr>
            </w:pPr>
            <w:r>
              <w:rPr>
                <w:rFonts w:hint="eastAsia" w:ascii="Times New Roman" w:hAnsi="Times New Roman" w:eastAsia="宋体" w:cs="Times New Roman"/>
              </w:rPr>
              <w:t>检查防雷设备能否正常。</w:t>
            </w:r>
          </w:p>
        </w:tc>
        <w:tc>
          <w:tcPr>
            <w:tcW w:w="967" w:type="dxa"/>
            <w:vAlign w:val="center"/>
          </w:tcPr>
          <w:p w14:paraId="1E73EE2E">
            <w:pPr>
              <w:jc w:val="center"/>
              <w:rPr>
                <w:rFonts w:ascii="Times New Roman" w:hAnsi="Times New Roman" w:eastAsia="宋体" w:cs="Times New Roman"/>
              </w:rPr>
            </w:pPr>
            <w:r>
              <w:rPr>
                <w:rFonts w:hint="eastAsia" w:ascii="Times New Roman" w:hAnsi="Times New Roman" w:eastAsia="宋体" w:cs="Times New Roman"/>
                <w:bCs/>
              </w:rPr>
              <w:t>季</w:t>
            </w:r>
          </w:p>
        </w:tc>
        <w:tc>
          <w:tcPr>
            <w:tcW w:w="968" w:type="dxa"/>
            <w:vAlign w:val="center"/>
          </w:tcPr>
          <w:p w14:paraId="166E651C">
            <w:pPr>
              <w:jc w:val="center"/>
              <w:rPr>
                <w:rFonts w:ascii="Times New Roman" w:hAnsi="Times New Roman" w:eastAsia="宋体" w:cs="Times New Roman"/>
              </w:rPr>
            </w:pPr>
            <w:r>
              <w:rPr>
                <w:rFonts w:hint="eastAsia" w:ascii="Times New Roman" w:hAnsi="Times New Roman" w:eastAsia="宋体" w:cs="Times New Roman"/>
                <w:bCs/>
              </w:rPr>
              <w:t>季</w:t>
            </w:r>
          </w:p>
        </w:tc>
        <w:tc>
          <w:tcPr>
            <w:tcW w:w="967" w:type="dxa"/>
            <w:vAlign w:val="center"/>
          </w:tcPr>
          <w:p w14:paraId="4FBCB8B5">
            <w:pPr>
              <w:jc w:val="center"/>
              <w:rPr>
                <w:rFonts w:ascii="Times New Roman" w:hAnsi="Times New Roman" w:eastAsia="宋体" w:cs="Times New Roman"/>
              </w:rPr>
            </w:pPr>
            <w:r>
              <w:rPr>
                <w:rFonts w:hint="eastAsia" w:ascii="Times New Roman" w:hAnsi="Times New Roman" w:eastAsia="宋体" w:cs="Times New Roman"/>
                <w:bCs/>
              </w:rPr>
              <w:t>半年</w:t>
            </w:r>
          </w:p>
        </w:tc>
        <w:tc>
          <w:tcPr>
            <w:tcW w:w="968" w:type="dxa"/>
            <w:vAlign w:val="center"/>
          </w:tcPr>
          <w:p w14:paraId="298BEAAA">
            <w:pPr>
              <w:jc w:val="center"/>
              <w:rPr>
                <w:rFonts w:ascii="Times New Roman" w:hAnsi="Times New Roman" w:eastAsia="宋体" w:cs="Times New Roman"/>
              </w:rPr>
            </w:pPr>
            <w:r>
              <w:rPr>
                <w:rFonts w:hint="eastAsia" w:ascii="Times New Roman" w:hAnsi="Times New Roman" w:eastAsia="宋体" w:cs="Times New Roman"/>
                <w:bCs/>
              </w:rPr>
              <w:t>半年</w:t>
            </w:r>
          </w:p>
        </w:tc>
      </w:tr>
      <w:tr w14:paraId="03C6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35" w:type="dxa"/>
            <w:vAlign w:val="center"/>
          </w:tcPr>
          <w:p w14:paraId="79A72AD6">
            <w:pPr>
              <w:jc w:val="center"/>
              <w:rPr>
                <w:rFonts w:ascii="Times New Roman" w:hAnsi="Times New Roman" w:eastAsia="宋体" w:cs="Times New Roman"/>
                <w:b/>
                <w:bCs/>
              </w:rPr>
            </w:pPr>
            <w:r>
              <w:rPr>
                <w:rFonts w:hint="eastAsia" w:ascii="Times New Roman" w:hAnsi="Times New Roman" w:eastAsia="宋体" w:cs="Times New Roman"/>
                <w:b/>
                <w:bCs/>
              </w:rPr>
              <w:t>10</w:t>
            </w:r>
          </w:p>
        </w:tc>
        <w:tc>
          <w:tcPr>
            <w:tcW w:w="4520" w:type="dxa"/>
            <w:vAlign w:val="center"/>
          </w:tcPr>
          <w:p w14:paraId="336CEEED">
            <w:pPr>
              <w:rPr>
                <w:rFonts w:ascii="Times New Roman" w:hAnsi="Times New Roman" w:eastAsia="宋体" w:cs="Times New Roman"/>
              </w:rPr>
            </w:pPr>
            <w:r>
              <w:rPr>
                <w:rFonts w:hint="eastAsia" w:ascii="Times New Roman" w:hAnsi="Times New Roman" w:eastAsia="宋体" w:cs="Times New Roman"/>
              </w:rPr>
              <w:t>检查整流器各告警点等参数设置是否正确，有无变更，检查各种手动或自动连续可调功能是否正常，测试必要的保护与告警功能（如系统直流输出限流等）。</w:t>
            </w:r>
          </w:p>
        </w:tc>
        <w:tc>
          <w:tcPr>
            <w:tcW w:w="967" w:type="dxa"/>
            <w:vAlign w:val="center"/>
          </w:tcPr>
          <w:p w14:paraId="3FE49EAB">
            <w:pPr>
              <w:jc w:val="center"/>
              <w:rPr>
                <w:rFonts w:ascii="Times New Roman" w:hAnsi="Times New Roman" w:eastAsia="宋体" w:cs="Times New Roman"/>
                <w:bCs/>
              </w:rPr>
            </w:pPr>
            <w:r>
              <w:rPr>
                <w:rFonts w:hint="eastAsia" w:ascii="Times New Roman" w:hAnsi="Times New Roman" w:eastAsia="宋体" w:cs="Times New Roman"/>
                <w:bCs/>
              </w:rPr>
              <w:t>季</w:t>
            </w:r>
          </w:p>
        </w:tc>
        <w:tc>
          <w:tcPr>
            <w:tcW w:w="968" w:type="dxa"/>
            <w:vAlign w:val="center"/>
          </w:tcPr>
          <w:p w14:paraId="64E8FB4F">
            <w:pPr>
              <w:jc w:val="center"/>
              <w:rPr>
                <w:rFonts w:ascii="Times New Roman" w:hAnsi="Times New Roman" w:eastAsia="宋体" w:cs="Times New Roman"/>
                <w:bCs/>
              </w:rPr>
            </w:pPr>
            <w:r>
              <w:rPr>
                <w:rFonts w:hint="eastAsia" w:ascii="Times New Roman" w:hAnsi="Times New Roman" w:eastAsia="宋体" w:cs="Times New Roman"/>
                <w:bCs/>
              </w:rPr>
              <w:t>季</w:t>
            </w:r>
          </w:p>
        </w:tc>
        <w:tc>
          <w:tcPr>
            <w:tcW w:w="967" w:type="dxa"/>
            <w:vAlign w:val="center"/>
          </w:tcPr>
          <w:p w14:paraId="6F2C50C6">
            <w:pPr>
              <w:jc w:val="center"/>
              <w:rPr>
                <w:rFonts w:ascii="Times New Roman" w:hAnsi="Times New Roman" w:eastAsia="宋体" w:cs="Times New Roman"/>
                <w:bCs/>
              </w:rPr>
            </w:pPr>
            <w:r>
              <w:rPr>
                <w:rFonts w:hint="eastAsia" w:ascii="Times New Roman" w:hAnsi="Times New Roman" w:eastAsia="宋体" w:cs="Times New Roman"/>
                <w:bCs/>
              </w:rPr>
              <w:t>半年</w:t>
            </w:r>
          </w:p>
        </w:tc>
        <w:tc>
          <w:tcPr>
            <w:tcW w:w="968" w:type="dxa"/>
            <w:vAlign w:val="center"/>
          </w:tcPr>
          <w:p w14:paraId="085C3E0F">
            <w:pPr>
              <w:jc w:val="center"/>
              <w:rPr>
                <w:rFonts w:ascii="Times New Roman" w:hAnsi="Times New Roman" w:eastAsia="宋体" w:cs="Times New Roman"/>
                <w:bCs/>
              </w:rPr>
            </w:pPr>
            <w:r>
              <w:rPr>
                <w:rFonts w:hint="eastAsia" w:ascii="Times New Roman" w:hAnsi="Times New Roman" w:eastAsia="宋体" w:cs="Times New Roman"/>
              </w:rPr>
              <w:t>年</w:t>
            </w:r>
          </w:p>
        </w:tc>
      </w:tr>
      <w:tr w14:paraId="18CE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35" w:type="dxa"/>
            <w:vAlign w:val="center"/>
          </w:tcPr>
          <w:p w14:paraId="672ADB9A">
            <w:pPr>
              <w:jc w:val="center"/>
              <w:rPr>
                <w:rFonts w:ascii="Times New Roman" w:hAnsi="Times New Roman" w:eastAsia="宋体" w:cs="Times New Roman"/>
                <w:b/>
                <w:bCs/>
              </w:rPr>
            </w:pPr>
            <w:r>
              <w:rPr>
                <w:rFonts w:hint="eastAsia" w:ascii="Times New Roman" w:hAnsi="Times New Roman" w:eastAsia="宋体" w:cs="Times New Roman"/>
                <w:b/>
                <w:bCs/>
              </w:rPr>
              <w:t>11</w:t>
            </w:r>
          </w:p>
        </w:tc>
        <w:tc>
          <w:tcPr>
            <w:tcW w:w="4520" w:type="dxa"/>
            <w:vAlign w:val="center"/>
          </w:tcPr>
          <w:p w14:paraId="19673A0B">
            <w:pPr>
              <w:rPr>
                <w:rFonts w:ascii="Times New Roman" w:hAnsi="Times New Roman" w:eastAsia="宋体" w:cs="Times New Roman"/>
              </w:rPr>
            </w:pPr>
            <w:r>
              <w:rPr>
                <w:rFonts w:hint="eastAsia" w:ascii="Times New Roman" w:hAnsi="Times New Roman" w:eastAsia="宋体" w:cs="Times New Roman"/>
              </w:rPr>
              <w:t>检查蓄电池管理功能：检查系统自动均、浮充转换功能，检查均、浮充电压、均充限流值、均充周期及持续时间、温度补偿系数等各项参数，校对均、浮充电压设定值、电池保护电压、均浮充转换电流等。</w:t>
            </w:r>
          </w:p>
        </w:tc>
        <w:tc>
          <w:tcPr>
            <w:tcW w:w="967" w:type="dxa"/>
            <w:vAlign w:val="center"/>
          </w:tcPr>
          <w:p w14:paraId="3CD2E435">
            <w:pPr>
              <w:jc w:val="center"/>
              <w:rPr>
                <w:rFonts w:ascii="Times New Roman" w:hAnsi="Times New Roman" w:eastAsia="宋体" w:cs="Times New Roman"/>
                <w:bCs/>
              </w:rPr>
            </w:pPr>
            <w:r>
              <w:rPr>
                <w:rFonts w:hint="eastAsia" w:ascii="Times New Roman" w:hAnsi="Times New Roman" w:eastAsia="宋体" w:cs="Times New Roman"/>
                <w:bCs/>
              </w:rPr>
              <w:t>季</w:t>
            </w:r>
          </w:p>
        </w:tc>
        <w:tc>
          <w:tcPr>
            <w:tcW w:w="968" w:type="dxa"/>
            <w:vAlign w:val="center"/>
          </w:tcPr>
          <w:p w14:paraId="70E32DCB">
            <w:pPr>
              <w:jc w:val="center"/>
              <w:rPr>
                <w:rFonts w:ascii="Times New Roman" w:hAnsi="Times New Roman" w:eastAsia="宋体" w:cs="Times New Roman"/>
                <w:bCs/>
              </w:rPr>
            </w:pPr>
            <w:r>
              <w:rPr>
                <w:rFonts w:hint="eastAsia" w:ascii="Times New Roman" w:hAnsi="Times New Roman" w:eastAsia="宋体" w:cs="Times New Roman"/>
                <w:bCs/>
              </w:rPr>
              <w:t>季</w:t>
            </w:r>
          </w:p>
        </w:tc>
        <w:tc>
          <w:tcPr>
            <w:tcW w:w="967" w:type="dxa"/>
            <w:vAlign w:val="center"/>
          </w:tcPr>
          <w:p w14:paraId="20E08CFB">
            <w:pPr>
              <w:jc w:val="center"/>
              <w:rPr>
                <w:rFonts w:ascii="Times New Roman" w:hAnsi="Times New Roman" w:eastAsia="宋体" w:cs="Times New Roman"/>
                <w:bCs/>
              </w:rPr>
            </w:pPr>
            <w:r>
              <w:rPr>
                <w:rFonts w:hint="eastAsia" w:ascii="Times New Roman" w:hAnsi="Times New Roman" w:eastAsia="宋体" w:cs="Times New Roman"/>
              </w:rPr>
              <w:t>半年</w:t>
            </w:r>
          </w:p>
        </w:tc>
        <w:tc>
          <w:tcPr>
            <w:tcW w:w="968" w:type="dxa"/>
            <w:vAlign w:val="center"/>
          </w:tcPr>
          <w:p w14:paraId="3D9D2EDB">
            <w:pPr>
              <w:jc w:val="center"/>
              <w:rPr>
                <w:rFonts w:ascii="Times New Roman" w:hAnsi="Times New Roman" w:eastAsia="宋体" w:cs="Times New Roman"/>
                <w:bCs/>
              </w:rPr>
            </w:pPr>
            <w:r>
              <w:rPr>
                <w:rFonts w:hint="eastAsia" w:ascii="Times New Roman" w:hAnsi="Times New Roman" w:eastAsia="宋体" w:cs="Times New Roman"/>
              </w:rPr>
              <w:t>年</w:t>
            </w:r>
          </w:p>
        </w:tc>
      </w:tr>
      <w:tr w14:paraId="2CC3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35" w:type="dxa"/>
            <w:vAlign w:val="center"/>
          </w:tcPr>
          <w:p w14:paraId="151F0DF7">
            <w:pPr>
              <w:jc w:val="center"/>
              <w:rPr>
                <w:rFonts w:ascii="Times New Roman" w:hAnsi="Times New Roman" w:eastAsia="宋体" w:cs="Times New Roman"/>
                <w:b/>
                <w:bCs/>
              </w:rPr>
            </w:pPr>
            <w:r>
              <w:rPr>
                <w:rFonts w:hint="eastAsia" w:ascii="Times New Roman" w:hAnsi="Times New Roman" w:eastAsia="宋体" w:cs="Times New Roman"/>
                <w:b/>
                <w:bCs/>
              </w:rPr>
              <w:t>12</w:t>
            </w:r>
          </w:p>
        </w:tc>
        <w:tc>
          <w:tcPr>
            <w:tcW w:w="4520" w:type="dxa"/>
            <w:vAlign w:val="center"/>
          </w:tcPr>
          <w:p w14:paraId="2607076D">
            <w:pPr>
              <w:rPr>
                <w:rFonts w:ascii="Times New Roman" w:hAnsi="Times New Roman" w:eastAsia="宋体" w:cs="Times New Roman"/>
              </w:rPr>
            </w:pPr>
            <w:r>
              <w:rPr>
                <w:rFonts w:hint="eastAsia" w:ascii="Times New Roman" w:hAnsi="Times New Roman" w:eastAsia="宋体" w:cs="Times New Roman"/>
              </w:rPr>
              <w:t>校准系统电压、电流值。</w:t>
            </w:r>
          </w:p>
        </w:tc>
        <w:tc>
          <w:tcPr>
            <w:tcW w:w="967" w:type="dxa"/>
            <w:vAlign w:val="center"/>
          </w:tcPr>
          <w:p w14:paraId="1524EE96">
            <w:pPr>
              <w:jc w:val="center"/>
              <w:rPr>
                <w:rFonts w:ascii="Times New Roman" w:hAnsi="Times New Roman" w:eastAsia="宋体" w:cs="Times New Roman"/>
              </w:rPr>
            </w:pPr>
            <w:r>
              <w:rPr>
                <w:rFonts w:hint="eastAsia" w:ascii="Times New Roman" w:hAnsi="Times New Roman" w:eastAsia="宋体" w:cs="Times New Roman"/>
                <w:bCs/>
              </w:rPr>
              <w:t>年</w:t>
            </w:r>
          </w:p>
        </w:tc>
        <w:tc>
          <w:tcPr>
            <w:tcW w:w="968" w:type="dxa"/>
            <w:vAlign w:val="center"/>
          </w:tcPr>
          <w:p w14:paraId="242CC41D">
            <w:pPr>
              <w:jc w:val="center"/>
              <w:rPr>
                <w:rFonts w:ascii="Times New Roman" w:hAnsi="Times New Roman" w:eastAsia="宋体" w:cs="Times New Roman"/>
              </w:rPr>
            </w:pPr>
            <w:r>
              <w:rPr>
                <w:rFonts w:hint="eastAsia" w:ascii="Times New Roman" w:hAnsi="Times New Roman" w:eastAsia="宋体" w:cs="Times New Roman"/>
                <w:bCs/>
              </w:rPr>
              <w:t>年</w:t>
            </w:r>
          </w:p>
        </w:tc>
        <w:tc>
          <w:tcPr>
            <w:tcW w:w="967" w:type="dxa"/>
            <w:vAlign w:val="center"/>
          </w:tcPr>
          <w:p w14:paraId="10B6D0E3">
            <w:pPr>
              <w:jc w:val="center"/>
              <w:rPr>
                <w:rFonts w:ascii="Times New Roman" w:hAnsi="Times New Roman" w:eastAsia="宋体" w:cs="Times New Roman"/>
              </w:rPr>
            </w:pPr>
            <w:r>
              <w:rPr>
                <w:rFonts w:hint="eastAsia" w:ascii="Times New Roman" w:hAnsi="Times New Roman" w:eastAsia="宋体" w:cs="Times New Roman"/>
                <w:bCs/>
              </w:rPr>
              <w:t>年</w:t>
            </w:r>
          </w:p>
        </w:tc>
        <w:tc>
          <w:tcPr>
            <w:tcW w:w="968" w:type="dxa"/>
            <w:vAlign w:val="center"/>
          </w:tcPr>
          <w:p w14:paraId="75BD701C">
            <w:pPr>
              <w:jc w:val="center"/>
              <w:rPr>
                <w:rFonts w:ascii="Times New Roman" w:hAnsi="Times New Roman" w:eastAsia="宋体" w:cs="Times New Roman"/>
              </w:rPr>
            </w:pPr>
            <w:r>
              <w:rPr>
                <w:rFonts w:hint="eastAsia" w:ascii="Times New Roman" w:hAnsi="Times New Roman" w:eastAsia="宋体" w:cs="Times New Roman"/>
                <w:bCs/>
              </w:rPr>
              <w:t>年</w:t>
            </w:r>
          </w:p>
        </w:tc>
      </w:tr>
      <w:tr w14:paraId="7DCD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35" w:type="dxa"/>
            <w:vAlign w:val="center"/>
          </w:tcPr>
          <w:p w14:paraId="2A72AEDC">
            <w:pPr>
              <w:jc w:val="center"/>
              <w:rPr>
                <w:rFonts w:ascii="Times New Roman" w:hAnsi="Times New Roman" w:eastAsia="宋体" w:cs="Times New Roman"/>
                <w:b/>
                <w:bCs/>
              </w:rPr>
            </w:pPr>
            <w:r>
              <w:rPr>
                <w:rFonts w:hint="eastAsia" w:ascii="Times New Roman" w:hAnsi="Times New Roman" w:eastAsia="宋体" w:cs="Times New Roman"/>
                <w:b/>
                <w:bCs/>
              </w:rPr>
              <w:t>13</w:t>
            </w:r>
          </w:p>
        </w:tc>
        <w:tc>
          <w:tcPr>
            <w:tcW w:w="4520" w:type="dxa"/>
            <w:vAlign w:val="center"/>
          </w:tcPr>
          <w:p w14:paraId="5F61341A">
            <w:pPr>
              <w:rPr>
                <w:rFonts w:ascii="Times New Roman" w:hAnsi="Times New Roman" w:eastAsia="宋体" w:cs="Times New Roman"/>
              </w:rPr>
            </w:pPr>
            <w:r>
              <w:rPr>
                <w:rFonts w:hint="eastAsia" w:ascii="Times New Roman" w:hAnsi="Times New Roman" w:eastAsia="宋体" w:cs="Times New Roman"/>
              </w:rPr>
              <w:t>检查各机架接地保护是否紧固牢靠。</w:t>
            </w:r>
          </w:p>
        </w:tc>
        <w:tc>
          <w:tcPr>
            <w:tcW w:w="967" w:type="dxa"/>
            <w:vAlign w:val="center"/>
          </w:tcPr>
          <w:p w14:paraId="093E3235">
            <w:pPr>
              <w:jc w:val="center"/>
              <w:rPr>
                <w:rFonts w:ascii="Times New Roman" w:hAnsi="Times New Roman" w:eastAsia="宋体" w:cs="Times New Roman"/>
                <w:bCs/>
              </w:rPr>
            </w:pPr>
            <w:r>
              <w:rPr>
                <w:rFonts w:hint="eastAsia" w:ascii="Times New Roman" w:hAnsi="Times New Roman" w:eastAsia="宋体" w:cs="Times New Roman"/>
                <w:bCs/>
              </w:rPr>
              <w:t>年</w:t>
            </w:r>
          </w:p>
        </w:tc>
        <w:tc>
          <w:tcPr>
            <w:tcW w:w="968" w:type="dxa"/>
            <w:vAlign w:val="center"/>
          </w:tcPr>
          <w:p w14:paraId="0DCEAA1C">
            <w:pPr>
              <w:jc w:val="center"/>
              <w:rPr>
                <w:rFonts w:ascii="Times New Roman" w:hAnsi="Times New Roman" w:eastAsia="宋体" w:cs="Times New Roman"/>
                <w:bCs/>
              </w:rPr>
            </w:pPr>
            <w:r>
              <w:rPr>
                <w:rFonts w:hint="eastAsia" w:ascii="Times New Roman" w:hAnsi="Times New Roman" w:eastAsia="宋体" w:cs="Times New Roman"/>
                <w:bCs/>
              </w:rPr>
              <w:t>年</w:t>
            </w:r>
          </w:p>
        </w:tc>
        <w:tc>
          <w:tcPr>
            <w:tcW w:w="967" w:type="dxa"/>
            <w:vAlign w:val="center"/>
          </w:tcPr>
          <w:p w14:paraId="1F19E627">
            <w:pPr>
              <w:jc w:val="center"/>
              <w:rPr>
                <w:rFonts w:ascii="Times New Roman" w:hAnsi="Times New Roman" w:eastAsia="宋体" w:cs="Times New Roman"/>
                <w:bCs/>
              </w:rPr>
            </w:pPr>
            <w:r>
              <w:rPr>
                <w:rFonts w:hint="eastAsia" w:ascii="Times New Roman" w:hAnsi="Times New Roman" w:eastAsia="宋体" w:cs="Times New Roman"/>
                <w:bCs/>
              </w:rPr>
              <w:t>年</w:t>
            </w:r>
          </w:p>
        </w:tc>
        <w:tc>
          <w:tcPr>
            <w:tcW w:w="968" w:type="dxa"/>
            <w:vAlign w:val="center"/>
          </w:tcPr>
          <w:p w14:paraId="7D299D84">
            <w:pPr>
              <w:jc w:val="center"/>
              <w:rPr>
                <w:rFonts w:ascii="Times New Roman" w:hAnsi="Times New Roman" w:eastAsia="宋体" w:cs="Times New Roman"/>
                <w:bCs/>
              </w:rPr>
            </w:pPr>
            <w:r>
              <w:rPr>
                <w:rFonts w:hint="eastAsia" w:ascii="Times New Roman" w:hAnsi="Times New Roman" w:eastAsia="宋体" w:cs="Times New Roman"/>
                <w:bCs/>
              </w:rPr>
              <w:t>年</w:t>
            </w:r>
          </w:p>
        </w:tc>
      </w:tr>
      <w:tr w14:paraId="4DFF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35" w:type="dxa"/>
            <w:vAlign w:val="center"/>
          </w:tcPr>
          <w:p w14:paraId="33D56580">
            <w:pPr>
              <w:jc w:val="center"/>
              <w:rPr>
                <w:rFonts w:ascii="Times New Roman" w:hAnsi="Times New Roman" w:eastAsia="宋体" w:cs="Times New Roman"/>
                <w:b/>
                <w:bCs/>
              </w:rPr>
            </w:pPr>
            <w:r>
              <w:rPr>
                <w:rFonts w:hint="eastAsia" w:ascii="Times New Roman" w:hAnsi="Times New Roman" w:eastAsia="宋体" w:cs="Times New Roman"/>
                <w:b/>
                <w:bCs/>
              </w:rPr>
              <w:t>14</w:t>
            </w:r>
          </w:p>
        </w:tc>
        <w:tc>
          <w:tcPr>
            <w:tcW w:w="4520" w:type="dxa"/>
            <w:vAlign w:val="center"/>
          </w:tcPr>
          <w:p w14:paraId="6807721D">
            <w:pPr>
              <w:rPr>
                <w:rFonts w:ascii="Times New Roman" w:hAnsi="Times New Roman" w:eastAsia="宋体" w:cs="Times New Roman"/>
              </w:rPr>
            </w:pPr>
            <w:r>
              <w:rPr>
                <w:rFonts w:hint="eastAsia" w:ascii="Times New Roman" w:hAnsi="Times New Roman" w:eastAsia="宋体" w:cs="Times New Roman"/>
              </w:rPr>
              <w:t>测试备份整流模块。</w:t>
            </w:r>
          </w:p>
        </w:tc>
        <w:tc>
          <w:tcPr>
            <w:tcW w:w="967" w:type="dxa"/>
            <w:vAlign w:val="center"/>
          </w:tcPr>
          <w:p w14:paraId="1178A2B0">
            <w:pPr>
              <w:jc w:val="center"/>
              <w:rPr>
                <w:rFonts w:ascii="Times New Roman" w:hAnsi="Times New Roman" w:eastAsia="宋体" w:cs="Times New Roman"/>
                <w:bCs/>
              </w:rPr>
            </w:pPr>
            <w:r>
              <w:rPr>
                <w:rFonts w:hint="eastAsia" w:ascii="Times New Roman" w:hAnsi="Times New Roman" w:eastAsia="宋体" w:cs="Times New Roman"/>
                <w:bCs/>
              </w:rPr>
              <w:t>年</w:t>
            </w:r>
          </w:p>
        </w:tc>
        <w:tc>
          <w:tcPr>
            <w:tcW w:w="968" w:type="dxa"/>
            <w:vAlign w:val="center"/>
          </w:tcPr>
          <w:p w14:paraId="73646577">
            <w:pPr>
              <w:jc w:val="center"/>
              <w:rPr>
                <w:rFonts w:ascii="Times New Roman" w:hAnsi="Times New Roman" w:eastAsia="宋体" w:cs="Times New Roman"/>
                <w:bCs/>
              </w:rPr>
            </w:pPr>
            <w:r>
              <w:rPr>
                <w:rFonts w:hint="eastAsia" w:ascii="Times New Roman" w:hAnsi="Times New Roman" w:eastAsia="宋体" w:cs="Times New Roman"/>
                <w:bCs/>
              </w:rPr>
              <w:t>年</w:t>
            </w:r>
          </w:p>
        </w:tc>
        <w:tc>
          <w:tcPr>
            <w:tcW w:w="967" w:type="dxa"/>
            <w:vAlign w:val="center"/>
          </w:tcPr>
          <w:p w14:paraId="61904130">
            <w:pPr>
              <w:jc w:val="center"/>
              <w:rPr>
                <w:rFonts w:ascii="Times New Roman" w:hAnsi="Times New Roman" w:eastAsia="宋体" w:cs="Times New Roman"/>
                <w:bCs/>
              </w:rPr>
            </w:pPr>
            <w:r>
              <w:rPr>
                <w:rFonts w:hint="eastAsia" w:ascii="Times New Roman" w:hAnsi="Times New Roman" w:eastAsia="宋体" w:cs="Times New Roman"/>
                <w:bCs/>
              </w:rPr>
              <w:t>年</w:t>
            </w:r>
          </w:p>
        </w:tc>
        <w:tc>
          <w:tcPr>
            <w:tcW w:w="968" w:type="dxa"/>
            <w:vAlign w:val="center"/>
          </w:tcPr>
          <w:p w14:paraId="79DCA670">
            <w:pPr>
              <w:jc w:val="center"/>
              <w:rPr>
                <w:rFonts w:ascii="Times New Roman" w:hAnsi="Times New Roman" w:eastAsia="宋体" w:cs="Times New Roman"/>
                <w:bCs/>
              </w:rPr>
            </w:pPr>
            <w:r>
              <w:rPr>
                <w:rFonts w:hint="eastAsia" w:ascii="Times New Roman" w:hAnsi="Times New Roman" w:eastAsia="宋体" w:cs="Times New Roman"/>
                <w:bCs/>
              </w:rPr>
              <w:t>年</w:t>
            </w:r>
          </w:p>
        </w:tc>
      </w:tr>
    </w:tbl>
    <w:p w14:paraId="71F005D0">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★240V直流设备维护周期表</w:t>
      </w:r>
    </w:p>
    <w:tbl>
      <w:tblPr>
        <w:tblStyle w:val="41"/>
        <w:tblW w:w="4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5345"/>
        <w:gridCol w:w="708"/>
        <w:gridCol w:w="709"/>
        <w:gridCol w:w="726"/>
      </w:tblGrid>
      <w:tr w14:paraId="49C1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shd w:val="clear" w:color="auto" w:fill="auto"/>
            <w:vAlign w:val="center"/>
          </w:tcPr>
          <w:p w14:paraId="1860AC30">
            <w:pPr>
              <w:tabs>
                <w:tab w:val="center" w:pos="4201"/>
                <w:tab w:val="right" w:leader="dot" w:pos="9298"/>
              </w:tabs>
              <w:autoSpaceDE w:val="0"/>
              <w:autoSpaceDN w:val="0"/>
              <w:spacing w:after="0" w:line="276" w:lineRule="auto"/>
              <w:ind w:firstLine="0" w:firstLineChars="0"/>
              <w:jc w:val="center"/>
              <w:rPr>
                <w:rFonts w:ascii="黑体" w:hAnsi="宋体" w:eastAsia="黑体" w:cs="Times New Roman"/>
                <w:sz w:val="21"/>
                <w:szCs w:val="20"/>
                <w:lang w:val="en-US" w:eastAsia="zh-CN" w:bidi="ar-SA"/>
              </w:rPr>
            </w:pPr>
            <w:r>
              <w:rPr>
                <w:rFonts w:hint="eastAsia" w:ascii="黑体" w:hAnsi="宋体" w:eastAsia="黑体" w:cs="Times New Roman"/>
                <w:sz w:val="21"/>
                <w:szCs w:val="20"/>
                <w:lang w:val="en-US" w:eastAsia="zh-CN" w:bidi="ar-SA"/>
              </w:rPr>
              <w:t>序号</w:t>
            </w:r>
          </w:p>
        </w:tc>
        <w:tc>
          <w:tcPr>
            <w:tcW w:w="6030" w:type="dxa"/>
            <w:vMerge w:val="restart"/>
            <w:shd w:val="clear" w:color="auto" w:fill="auto"/>
            <w:vAlign w:val="center"/>
          </w:tcPr>
          <w:p w14:paraId="0E45E5DE">
            <w:pPr>
              <w:tabs>
                <w:tab w:val="center" w:pos="4201"/>
                <w:tab w:val="right" w:leader="dot" w:pos="9298"/>
              </w:tabs>
              <w:autoSpaceDE w:val="0"/>
              <w:autoSpaceDN w:val="0"/>
              <w:spacing w:after="0" w:line="276" w:lineRule="auto"/>
              <w:ind w:firstLine="315" w:firstLineChars="150"/>
              <w:jc w:val="center"/>
              <w:rPr>
                <w:rFonts w:ascii="黑体" w:hAnsi="宋体" w:eastAsia="黑体" w:cs="Times New Roman"/>
                <w:sz w:val="21"/>
                <w:szCs w:val="20"/>
                <w:lang w:val="en-US" w:eastAsia="zh-CN" w:bidi="ar-SA"/>
              </w:rPr>
            </w:pPr>
            <w:r>
              <w:rPr>
                <w:rFonts w:hint="eastAsia" w:ascii="黑体" w:hAnsi="宋体" w:eastAsia="黑体" w:cs="Times New Roman"/>
                <w:sz w:val="21"/>
                <w:szCs w:val="20"/>
                <w:lang w:val="en-US" w:eastAsia="zh-CN" w:bidi="ar-SA"/>
              </w:rPr>
              <w:t>维护项目</w:t>
            </w:r>
          </w:p>
        </w:tc>
        <w:tc>
          <w:tcPr>
            <w:tcW w:w="2259" w:type="dxa"/>
            <w:gridSpan w:val="3"/>
            <w:shd w:val="clear" w:color="auto" w:fill="auto"/>
            <w:vAlign w:val="center"/>
          </w:tcPr>
          <w:p w14:paraId="593F30CE">
            <w:pPr>
              <w:tabs>
                <w:tab w:val="center" w:pos="4201"/>
                <w:tab w:val="right" w:leader="dot" w:pos="9298"/>
              </w:tabs>
              <w:autoSpaceDE w:val="0"/>
              <w:autoSpaceDN w:val="0"/>
              <w:spacing w:after="0" w:line="276" w:lineRule="auto"/>
              <w:ind w:firstLine="0" w:firstLineChars="0"/>
              <w:jc w:val="center"/>
              <w:rPr>
                <w:rFonts w:ascii="黑体" w:hAnsi="宋体" w:eastAsia="黑体" w:cs="Times New Roman"/>
                <w:sz w:val="21"/>
                <w:szCs w:val="20"/>
                <w:lang w:val="en-US" w:eastAsia="zh-CN" w:bidi="ar-SA"/>
              </w:rPr>
            </w:pPr>
            <w:r>
              <w:rPr>
                <w:rFonts w:hint="eastAsia" w:ascii="黑体" w:hAnsi="宋体" w:eastAsia="黑体" w:cs="Times New Roman"/>
                <w:sz w:val="21"/>
                <w:szCs w:val="20"/>
                <w:lang w:val="en-US" w:eastAsia="zh-CN" w:bidi="ar-SA"/>
              </w:rPr>
              <w:t>维护周期</w:t>
            </w:r>
          </w:p>
        </w:tc>
      </w:tr>
      <w:tr w14:paraId="0F2F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tcPr>
          <w:p w14:paraId="273B4C6C">
            <w:pPr>
              <w:tabs>
                <w:tab w:val="center" w:pos="4201"/>
                <w:tab w:val="right" w:leader="dot" w:pos="9298"/>
              </w:tabs>
              <w:autoSpaceDE w:val="0"/>
              <w:autoSpaceDN w:val="0"/>
              <w:spacing w:after="0" w:line="276" w:lineRule="auto"/>
              <w:ind w:firstLine="0" w:firstLineChars="0"/>
              <w:jc w:val="center"/>
              <w:rPr>
                <w:rFonts w:ascii="黑体" w:hAnsi="宋体" w:eastAsia="黑体" w:cs="Times New Roman"/>
                <w:sz w:val="21"/>
                <w:szCs w:val="20"/>
                <w:lang w:val="en-US" w:eastAsia="zh-CN" w:bidi="ar-SA"/>
              </w:rPr>
            </w:pPr>
          </w:p>
        </w:tc>
        <w:tc>
          <w:tcPr>
            <w:tcW w:w="6030" w:type="dxa"/>
            <w:vMerge w:val="continue"/>
            <w:shd w:val="clear" w:color="auto" w:fill="auto"/>
          </w:tcPr>
          <w:p w14:paraId="546349A5">
            <w:pPr>
              <w:tabs>
                <w:tab w:val="center" w:pos="4201"/>
                <w:tab w:val="right" w:leader="dot" w:pos="9298"/>
              </w:tabs>
              <w:autoSpaceDE w:val="0"/>
              <w:autoSpaceDN w:val="0"/>
              <w:spacing w:after="0" w:line="276" w:lineRule="auto"/>
              <w:ind w:firstLine="315" w:firstLineChars="150"/>
              <w:jc w:val="center"/>
              <w:rPr>
                <w:rFonts w:ascii="黑体" w:hAnsi="宋体" w:eastAsia="黑体" w:cs="Times New Roman"/>
                <w:sz w:val="21"/>
                <w:szCs w:val="20"/>
                <w:lang w:val="en-US" w:eastAsia="zh-CN" w:bidi="ar-SA"/>
              </w:rPr>
            </w:pPr>
          </w:p>
        </w:tc>
        <w:tc>
          <w:tcPr>
            <w:tcW w:w="751" w:type="dxa"/>
            <w:shd w:val="clear" w:color="auto" w:fill="auto"/>
            <w:vAlign w:val="center"/>
          </w:tcPr>
          <w:p w14:paraId="5553437A">
            <w:pPr>
              <w:tabs>
                <w:tab w:val="center" w:pos="4201"/>
                <w:tab w:val="right" w:leader="dot" w:pos="9298"/>
              </w:tabs>
              <w:autoSpaceDE w:val="0"/>
              <w:autoSpaceDN w:val="0"/>
              <w:spacing w:after="0" w:line="276" w:lineRule="auto"/>
              <w:ind w:firstLine="0" w:firstLineChars="0"/>
              <w:jc w:val="center"/>
              <w:rPr>
                <w:rFonts w:ascii="黑体" w:hAnsi="宋体" w:eastAsia="黑体" w:cs="Times New Roman"/>
                <w:sz w:val="21"/>
                <w:szCs w:val="20"/>
                <w:lang w:val="en-US" w:eastAsia="zh-CN" w:bidi="ar-SA"/>
              </w:rPr>
            </w:pPr>
            <w:r>
              <w:rPr>
                <w:rFonts w:hint="eastAsia" w:ascii="黑体" w:hAnsi="宋体" w:eastAsia="黑体" w:cs="Times New Roman"/>
                <w:sz w:val="21"/>
                <w:szCs w:val="20"/>
                <w:lang w:val="en-US" w:eastAsia="zh-CN" w:bidi="ar-SA"/>
              </w:rPr>
              <w:t>A类</w:t>
            </w:r>
          </w:p>
          <w:p w14:paraId="2EF3A6CE">
            <w:pPr>
              <w:tabs>
                <w:tab w:val="center" w:pos="4201"/>
                <w:tab w:val="right" w:leader="dot" w:pos="9298"/>
              </w:tabs>
              <w:autoSpaceDE w:val="0"/>
              <w:autoSpaceDN w:val="0"/>
              <w:spacing w:after="0" w:line="276" w:lineRule="auto"/>
              <w:ind w:firstLine="0" w:firstLineChars="0"/>
              <w:jc w:val="center"/>
              <w:rPr>
                <w:rFonts w:ascii="黑体" w:hAnsi="宋体" w:eastAsia="黑体" w:cs="Times New Roman"/>
                <w:sz w:val="21"/>
                <w:szCs w:val="20"/>
                <w:lang w:val="en-US" w:eastAsia="zh-CN" w:bidi="ar-SA"/>
              </w:rPr>
            </w:pPr>
            <w:r>
              <w:rPr>
                <w:rFonts w:hint="eastAsia" w:ascii="黑体" w:hAnsi="宋体" w:eastAsia="黑体" w:cs="Times New Roman"/>
                <w:sz w:val="21"/>
                <w:szCs w:val="20"/>
                <w:lang w:val="en-US" w:eastAsia="zh-CN" w:bidi="ar-SA"/>
              </w:rPr>
              <w:t>机房</w:t>
            </w:r>
          </w:p>
        </w:tc>
        <w:tc>
          <w:tcPr>
            <w:tcW w:w="752" w:type="dxa"/>
            <w:shd w:val="clear" w:color="auto" w:fill="auto"/>
            <w:vAlign w:val="center"/>
          </w:tcPr>
          <w:p w14:paraId="381B1D6F">
            <w:pPr>
              <w:tabs>
                <w:tab w:val="center" w:pos="4201"/>
                <w:tab w:val="right" w:leader="dot" w:pos="9298"/>
              </w:tabs>
              <w:autoSpaceDE w:val="0"/>
              <w:autoSpaceDN w:val="0"/>
              <w:spacing w:after="0" w:line="276" w:lineRule="auto"/>
              <w:ind w:firstLine="0" w:firstLineChars="0"/>
              <w:jc w:val="center"/>
              <w:rPr>
                <w:rFonts w:ascii="黑体" w:hAnsi="宋体" w:eastAsia="黑体" w:cs="Times New Roman"/>
                <w:sz w:val="21"/>
                <w:szCs w:val="20"/>
                <w:lang w:val="en-US" w:eastAsia="zh-CN" w:bidi="ar-SA"/>
              </w:rPr>
            </w:pPr>
            <w:r>
              <w:rPr>
                <w:rFonts w:hint="eastAsia" w:ascii="黑体" w:hAnsi="宋体" w:eastAsia="黑体" w:cs="Times New Roman"/>
                <w:sz w:val="21"/>
                <w:szCs w:val="20"/>
                <w:lang w:val="en-US" w:eastAsia="zh-CN" w:bidi="ar-SA"/>
              </w:rPr>
              <w:t>B类</w:t>
            </w:r>
          </w:p>
          <w:p w14:paraId="6EBF9883">
            <w:pPr>
              <w:tabs>
                <w:tab w:val="center" w:pos="4201"/>
                <w:tab w:val="right" w:leader="dot" w:pos="9298"/>
              </w:tabs>
              <w:autoSpaceDE w:val="0"/>
              <w:autoSpaceDN w:val="0"/>
              <w:spacing w:after="0" w:line="276" w:lineRule="auto"/>
              <w:ind w:firstLine="0" w:firstLineChars="0"/>
              <w:jc w:val="center"/>
              <w:rPr>
                <w:rFonts w:ascii="黑体" w:hAnsi="宋体" w:eastAsia="黑体" w:cs="Times New Roman"/>
                <w:sz w:val="21"/>
                <w:szCs w:val="20"/>
                <w:lang w:val="en-US" w:eastAsia="zh-CN" w:bidi="ar-SA"/>
              </w:rPr>
            </w:pPr>
            <w:r>
              <w:rPr>
                <w:rFonts w:hint="eastAsia" w:ascii="黑体" w:hAnsi="宋体" w:eastAsia="黑体" w:cs="Times New Roman"/>
                <w:sz w:val="21"/>
                <w:szCs w:val="20"/>
                <w:lang w:val="en-US" w:eastAsia="zh-CN" w:bidi="ar-SA"/>
              </w:rPr>
              <w:t>机房</w:t>
            </w:r>
          </w:p>
        </w:tc>
        <w:tc>
          <w:tcPr>
            <w:tcW w:w="756" w:type="dxa"/>
            <w:shd w:val="clear" w:color="auto" w:fill="auto"/>
            <w:vAlign w:val="center"/>
          </w:tcPr>
          <w:p w14:paraId="1B8509A4">
            <w:pPr>
              <w:tabs>
                <w:tab w:val="center" w:pos="4201"/>
                <w:tab w:val="right" w:leader="dot" w:pos="9298"/>
              </w:tabs>
              <w:autoSpaceDE w:val="0"/>
              <w:autoSpaceDN w:val="0"/>
              <w:spacing w:after="0" w:line="276" w:lineRule="auto"/>
              <w:ind w:firstLine="0" w:firstLineChars="0"/>
              <w:jc w:val="center"/>
              <w:rPr>
                <w:rFonts w:ascii="黑体" w:hAnsi="宋体" w:eastAsia="黑体" w:cs="Times New Roman"/>
                <w:sz w:val="21"/>
                <w:szCs w:val="20"/>
                <w:lang w:val="en-US" w:eastAsia="zh-CN" w:bidi="ar-SA"/>
              </w:rPr>
            </w:pPr>
            <w:r>
              <w:rPr>
                <w:rFonts w:hint="eastAsia" w:ascii="黑体" w:hAnsi="宋体" w:eastAsia="黑体" w:cs="Times New Roman"/>
                <w:sz w:val="21"/>
                <w:szCs w:val="20"/>
                <w:lang w:val="en-US" w:eastAsia="zh-CN" w:bidi="ar-SA"/>
              </w:rPr>
              <w:t>C/D类</w:t>
            </w:r>
          </w:p>
          <w:p w14:paraId="7DB02598">
            <w:pPr>
              <w:tabs>
                <w:tab w:val="center" w:pos="4201"/>
                <w:tab w:val="right" w:leader="dot" w:pos="9298"/>
              </w:tabs>
              <w:autoSpaceDE w:val="0"/>
              <w:autoSpaceDN w:val="0"/>
              <w:spacing w:after="0" w:line="276" w:lineRule="auto"/>
              <w:ind w:firstLine="0" w:firstLineChars="0"/>
              <w:jc w:val="center"/>
              <w:rPr>
                <w:rFonts w:ascii="黑体" w:hAnsi="宋体" w:eastAsia="黑体" w:cs="Times New Roman"/>
                <w:sz w:val="21"/>
                <w:szCs w:val="20"/>
                <w:lang w:val="en-US" w:eastAsia="zh-CN" w:bidi="ar-SA"/>
              </w:rPr>
            </w:pPr>
            <w:r>
              <w:rPr>
                <w:rFonts w:hint="eastAsia" w:ascii="黑体" w:hAnsi="宋体" w:eastAsia="黑体" w:cs="Times New Roman"/>
                <w:sz w:val="21"/>
                <w:szCs w:val="20"/>
                <w:lang w:val="en-US" w:eastAsia="zh-CN" w:bidi="ar-SA"/>
              </w:rPr>
              <w:t>机房</w:t>
            </w:r>
          </w:p>
        </w:tc>
      </w:tr>
      <w:tr w14:paraId="327A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shd w:val="clear" w:color="auto" w:fill="auto"/>
          </w:tcPr>
          <w:p w14:paraId="6ABED10E">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1</w:t>
            </w:r>
          </w:p>
        </w:tc>
        <w:tc>
          <w:tcPr>
            <w:tcW w:w="6030" w:type="dxa"/>
            <w:shd w:val="clear" w:color="auto" w:fill="auto"/>
          </w:tcPr>
          <w:p w14:paraId="665BA0C6">
            <w:pPr>
              <w:tabs>
                <w:tab w:val="center" w:pos="4201"/>
                <w:tab w:val="right" w:leader="dot" w:pos="9298"/>
              </w:tabs>
              <w:autoSpaceDE w:val="0"/>
              <w:autoSpaceDN w:val="0"/>
              <w:spacing w:after="0" w:line="276" w:lineRule="auto"/>
              <w:ind w:firstLine="0" w:firstLineChars="0"/>
              <w:jc w:val="both"/>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检查绝缘监察告警记录，检查正负极对地悬浮状态是否正常。</w:t>
            </w:r>
          </w:p>
        </w:tc>
        <w:tc>
          <w:tcPr>
            <w:tcW w:w="751" w:type="dxa"/>
            <w:shd w:val="clear" w:color="auto" w:fill="auto"/>
            <w:vAlign w:val="center"/>
          </w:tcPr>
          <w:p w14:paraId="2D6F1FB4">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月</w:t>
            </w:r>
          </w:p>
        </w:tc>
        <w:tc>
          <w:tcPr>
            <w:tcW w:w="752" w:type="dxa"/>
            <w:shd w:val="clear" w:color="auto" w:fill="auto"/>
            <w:vAlign w:val="center"/>
          </w:tcPr>
          <w:p w14:paraId="5F0A2B05">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月</w:t>
            </w:r>
          </w:p>
        </w:tc>
        <w:tc>
          <w:tcPr>
            <w:tcW w:w="756" w:type="dxa"/>
            <w:shd w:val="clear" w:color="auto" w:fill="auto"/>
            <w:vAlign w:val="center"/>
          </w:tcPr>
          <w:p w14:paraId="5B1C99E1">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月</w:t>
            </w:r>
          </w:p>
        </w:tc>
      </w:tr>
      <w:tr w14:paraId="1599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shd w:val="clear" w:color="auto" w:fill="auto"/>
          </w:tcPr>
          <w:p w14:paraId="2173B15F">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2</w:t>
            </w:r>
          </w:p>
        </w:tc>
        <w:tc>
          <w:tcPr>
            <w:tcW w:w="6030" w:type="dxa"/>
            <w:shd w:val="clear" w:color="auto" w:fill="auto"/>
          </w:tcPr>
          <w:p w14:paraId="162FD517">
            <w:pPr>
              <w:tabs>
                <w:tab w:val="center" w:pos="4201"/>
                <w:tab w:val="right" w:leader="dot" w:pos="9298"/>
              </w:tabs>
              <w:autoSpaceDE w:val="0"/>
              <w:autoSpaceDN w:val="0"/>
              <w:spacing w:after="0" w:line="276" w:lineRule="auto"/>
              <w:ind w:firstLine="0" w:firstLineChars="0"/>
              <w:jc w:val="both"/>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检查记录系统输出电压、电流</w:t>
            </w:r>
          </w:p>
        </w:tc>
        <w:tc>
          <w:tcPr>
            <w:tcW w:w="751" w:type="dxa"/>
            <w:shd w:val="clear" w:color="auto" w:fill="auto"/>
            <w:vAlign w:val="center"/>
          </w:tcPr>
          <w:p w14:paraId="57C25DCA">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月</w:t>
            </w:r>
          </w:p>
        </w:tc>
        <w:tc>
          <w:tcPr>
            <w:tcW w:w="752" w:type="dxa"/>
            <w:shd w:val="clear" w:color="auto" w:fill="auto"/>
            <w:vAlign w:val="center"/>
          </w:tcPr>
          <w:p w14:paraId="27881EBA">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月</w:t>
            </w:r>
          </w:p>
        </w:tc>
        <w:tc>
          <w:tcPr>
            <w:tcW w:w="756" w:type="dxa"/>
            <w:shd w:val="clear" w:color="auto" w:fill="auto"/>
            <w:vAlign w:val="center"/>
          </w:tcPr>
          <w:p w14:paraId="558EF10A">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月</w:t>
            </w:r>
          </w:p>
        </w:tc>
      </w:tr>
      <w:tr w14:paraId="7910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shd w:val="clear" w:color="auto" w:fill="auto"/>
          </w:tcPr>
          <w:p w14:paraId="23E5CF7D">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3</w:t>
            </w:r>
          </w:p>
        </w:tc>
        <w:tc>
          <w:tcPr>
            <w:tcW w:w="6030" w:type="dxa"/>
            <w:shd w:val="clear" w:color="auto" w:fill="auto"/>
          </w:tcPr>
          <w:p w14:paraId="4DA8E469">
            <w:pPr>
              <w:tabs>
                <w:tab w:val="center" w:pos="4201"/>
                <w:tab w:val="right" w:leader="dot" w:pos="9298"/>
              </w:tabs>
              <w:autoSpaceDE w:val="0"/>
              <w:autoSpaceDN w:val="0"/>
              <w:spacing w:after="0" w:line="276" w:lineRule="auto"/>
              <w:ind w:firstLine="0" w:firstLineChars="0"/>
              <w:jc w:val="both"/>
              <w:rPr>
                <w:rFonts w:ascii="宋体" w:hAnsi="宋体" w:eastAsia="宋体" w:cs="Times New Roman"/>
                <w:sz w:val="21"/>
                <w:szCs w:val="20"/>
                <w:lang w:val="en-US" w:eastAsia="zh-CN" w:bidi="ar-SA"/>
              </w:rPr>
            </w:pPr>
            <w:r>
              <w:rPr>
                <w:rFonts w:hint="eastAsia" w:ascii="宋体" w:hAnsi="Times New Roman" w:eastAsia="宋体" w:cs="Times New Roman"/>
                <w:sz w:val="21"/>
                <w:szCs w:val="20"/>
                <w:lang w:val="en-US" w:eastAsia="zh-CN" w:bidi="ar-SA"/>
              </w:rPr>
              <w:t>检查模块液晶屏显示功能是否正常、翻看告警记录。</w:t>
            </w:r>
          </w:p>
        </w:tc>
        <w:tc>
          <w:tcPr>
            <w:tcW w:w="751" w:type="dxa"/>
            <w:shd w:val="clear" w:color="auto" w:fill="auto"/>
            <w:vAlign w:val="center"/>
          </w:tcPr>
          <w:p w14:paraId="00675FDB">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月</w:t>
            </w:r>
          </w:p>
        </w:tc>
        <w:tc>
          <w:tcPr>
            <w:tcW w:w="752" w:type="dxa"/>
            <w:shd w:val="clear" w:color="auto" w:fill="auto"/>
            <w:vAlign w:val="center"/>
          </w:tcPr>
          <w:p w14:paraId="02927C11">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月</w:t>
            </w:r>
          </w:p>
        </w:tc>
        <w:tc>
          <w:tcPr>
            <w:tcW w:w="756" w:type="dxa"/>
            <w:shd w:val="clear" w:color="auto" w:fill="auto"/>
            <w:vAlign w:val="center"/>
          </w:tcPr>
          <w:p w14:paraId="40E3AD5B">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月</w:t>
            </w:r>
          </w:p>
        </w:tc>
      </w:tr>
      <w:tr w14:paraId="6247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shd w:val="clear" w:color="auto" w:fill="auto"/>
          </w:tcPr>
          <w:p w14:paraId="051E7722">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4</w:t>
            </w:r>
          </w:p>
        </w:tc>
        <w:tc>
          <w:tcPr>
            <w:tcW w:w="6030" w:type="dxa"/>
            <w:shd w:val="clear" w:color="auto" w:fill="auto"/>
          </w:tcPr>
          <w:p w14:paraId="6452DE55">
            <w:pPr>
              <w:tabs>
                <w:tab w:val="center" w:pos="4201"/>
                <w:tab w:val="right" w:leader="dot" w:pos="9298"/>
              </w:tabs>
              <w:autoSpaceDE w:val="0"/>
              <w:autoSpaceDN w:val="0"/>
              <w:spacing w:after="0" w:line="276" w:lineRule="auto"/>
              <w:ind w:firstLine="0" w:firstLineChars="0"/>
              <w:jc w:val="both"/>
              <w:rPr>
                <w:rFonts w:ascii="宋体" w:hAnsi="Times New Roman" w:eastAsia="宋体" w:cs="Times New Roman"/>
                <w:sz w:val="21"/>
                <w:szCs w:val="20"/>
                <w:lang w:val="en-US" w:eastAsia="zh-CN" w:bidi="ar-SA"/>
              </w:rPr>
            </w:pPr>
            <w:r>
              <w:rPr>
                <w:rFonts w:hint="eastAsia" w:ascii="宋体" w:hAnsi="宋体" w:eastAsia="宋体" w:cs="Times New Roman"/>
                <w:sz w:val="21"/>
                <w:szCs w:val="20"/>
                <w:lang w:val="en-US" w:eastAsia="zh-CN" w:bidi="ar-SA"/>
              </w:rPr>
              <w:t>检查整流器、监控模块的工作状态，整流器的负载均分性能。</w:t>
            </w:r>
          </w:p>
        </w:tc>
        <w:tc>
          <w:tcPr>
            <w:tcW w:w="751" w:type="dxa"/>
            <w:shd w:val="clear" w:color="auto" w:fill="auto"/>
            <w:vAlign w:val="center"/>
          </w:tcPr>
          <w:p w14:paraId="54C71248">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月</w:t>
            </w:r>
          </w:p>
        </w:tc>
        <w:tc>
          <w:tcPr>
            <w:tcW w:w="752" w:type="dxa"/>
            <w:shd w:val="clear" w:color="auto" w:fill="auto"/>
            <w:vAlign w:val="center"/>
          </w:tcPr>
          <w:p w14:paraId="55DEAD74">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月</w:t>
            </w:r>
          </w:p>
        </w:tc>
        <w:tc>
          <w:tcPr>
            <w:tcW w:w="756" w:type="dxa"/>
            <w:shd w:val="clear" w:color="auto" w:fill="auto"/>
            <w:vAlign w:val="center"/>
          </w:tcPr>
          <w:p w14:paraId="24FD6F0F">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月</w:t>
            </w:r>
          </w:p>
        </w:tc>
      </w:tr>
      <w:tr w14:paraId="3721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shd w:val="clear" w:color="auto" w:fill="auto"/>
          </w:tcPr>
          <w:p w14:paraId="77B068C0">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5</w:t>
            </w:r>
          </w:p>
        </w:tc>
        <w:tc>
          <w:tcPr>
            <w:tcW w:w="6030" w:type="dxa"/>
            <w:shd w:val="clear" w:color="auto" w:fill="auto"/>
          </w:tcPr>
          <w:p w14:paraId="33E75DC5">
            <w:pPr>
              <w:tabs>
                <w:tab w:val="center" w:pos="4201"/>
                <w:tab w:val="right" w:leader="dot" w:pos="9298"/>
              </w:tabs>
              <w:autoSpaceDE w:val="0"/>
              <w:autoSpaceDN w:val="0"/>
              <w:spacing w:after="0" w:line="276" w:lineRule="auto"/>
              <w:ind w:firstLine="0" w:firstLineChars="0"/>
              <w:jc w:val="both"/>
              <w:rPr>
                <w:rFonts w:ascii="宋体" w:hAnsi="Times New Roman" w:eastAsia="宋体" w:cs="Times New Roman"/>
                <w:sz w:val="21"/>
                <w:szCs w:val="20"/>
                <w:lang w:val="en-US" w:eastAsia="zh-CN" w:bidi="ar-SA"/>
              </w:rPr>
            </w:pPr>
            <w:r>
              <w:rPr>
                <w:rFonts w:hint="eastAsia" w:ascii="宋体" w:hAnsi="宋体" w:eastAsia="宋体" w:cs="Times New Roman"/>
                <w:sz w:val="21"/>
                <w:szCs w:val="20"/>
                <w:lang w:val="en-US" w:eastAsia="zh-CN" w:bidi="ar-SA"/>
              </w:rPr>
              <w:t>检查各整流器风扇运转是否正常；</w:t>
            </w:r>
          </w:p>
        </w:tc>
        <w:tc>
          <w:tcPr>
            <w:tcW w:w="751" w:type="dxa"/>
            <w:shd w:val="clear" w:color="auto" w:fill="auto"/>
            <w:vAlign w:val="center"/>
          </w:tcPr>
          <w:p w14:paraId="49CED12C">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月</w:t>
            </w:r>
          </w:p>
        </w:tc>
        <w:tc>
          <w:tcPr>
            <w:tcW w:w="752" w:type="dxa"/>
            <w:shd w:val="clear" w:color="auto" w:fill="auto"/>
            <w:vAlign w:val="center"/>
          </w:tcPr>
          <w:p w14:paraId="1EB96537">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月</w:t>
            </w:r>
          </w:p>
        </w:tc>
        <w:tc>
          <w:tcPr>
            <w:tcW w:w="756" w:type="dxa"/>
            <w:shd w:val="clear" w:color="auto" w:fill="auto"/>
            <w:vAlign w:val="center"/>
          </w:tcPr>
          <w:p w14:paraId="7560BF21">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季</w:t>
            </w:r>
          </w:p>
        </w:tc>
      </w:tr>
      <w:tr w14:paraId="2C44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shd w:val="clear" w:color="auto" w:fill="auto"/>
          </w:tcPr>
          <w:p w14:paraId="3B8A307B">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6</w:t>
            </w:r>
          </w:p>
        </w:tc>
        <w:tc>
          <w:tcPr>
            <w:tcW w:w="6030" w:type="dxa"/>
            <w:shd w:val="clear" w:color="auto" w:fill="auto"/>
          </w:tcPr>
          <w:p w14:paraId="20D19677">
            <w:pPr>
              <w:tabs>
                <w:tab w:val="center" w:pos="4201"/>
                <w:tab w:val="right" w:leader="dot" w:pos="9298"/>
              </w:tabs>
              <w:autoSpaceDE w:val="0"/>
              <w:autoSpaceDN w:val="0"/>
              <w:spacing w:after="0" w:line="276" w:lineRule="auto"/>
              <w:ind w:firstLine="0" w:firstLineChars="0"/>
              <w:jc w:val="both"/>
              <w:rPr>
                <w:rFonts w:ascii="宋体" w:hAnsi="Times New Roman" w:eastAsia="宋体" w:cs="Times New Roman"/>
                <w:sz w:val="21"/>
                <w:szCs w:val="20"/>
                <w:lang w:val="en-US" w:eastAsia="zh-CN" w:bidi="ar-SA"/>
              </w:rPr>
            </w:pPr>
            <w:r>
              <w:rPr>
                <w:rFonts w:hint="eastAsia" w:ascii="宋体" w:hAnsi="宋体" w:eastAsia="宋体" w:cs="Times New Roman"/>
                <w:sz w:val="21"/>
                <w:szCs w:val="20"/>
                <w:lang w:val="en-US" w:eastAsia="zh-CN" w:bidi="ar-SA"/>
              </w:rPr>
              <w:t xml:space="preserve">清洁设备、风扇、过滤网等，确保无积尘、散热性能良好。  </w:t>
            </w:r>
          </w:p>
        </w:tc>
        <w:tc>
          <w:tcPr>
            <w:tcW w:w="751" w:type="dxa"/>
            <w:shd w:val="clear" w:color="auto" w:fill="auto"/>
            <w:vAlign w:val="center"/>
          </w:tcPr>
          <w:p w14:paraId="6411D609">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月</w:t>
            </w:r>
          </w:p>
        </w:tc>
        <w:tc>
          <w:tcPr>
            <w:tcW w:w="752" w:type="dxa"/>
            <w:shd w:val="clear" w:color="auto" w:fill="auto"/>
            <w:vAlign w:val="center"/>
          </w:tcPr>
          <w:p w14:paraId="281A2835">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月</w:t>
            </w:r>
          </w:p>
        </w:tc>
        <w:tc>
          <w:tcPr>
            <w:tcW w:w="756" w:type="dxa"/>
            <w:shd w:val="clear" w:color="auto" w:fill="auto"/>
            <w:vAlign w:val="center"/>
          </w:tcPr>
          <w:p w14:paraId="6CCD6152">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季</w:t>
            </w:r>
          </w:p>
        </w:tc>
      </w:tr>
      <w:tr w14:paraId="0FBB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shd w:val="clear" w:color="auto" w:fill="auto"/>
          </w:tcPr>
          <w:p w14:paraId="109B3CB0">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7</w:t>
            </w:r>
          </w:p>
        </w:tc>
        <w:tc>
          <w:tcPr>
            <w:tcW w:w="6030" w:type="dxa"/>
            <w:shd w:val="clear" w:color="auto" w:fill="auto"/>
          </w:tcPr>
          <w:p w14:paraId="3CA35C79">
            <w:pPr>
              <w:tabs>
                <w:tab w:val="center" w:pos="4201"/>
                <w:tab w:val="right" w:leader="dot" w:pos="9298"/>
              </w:tabs>
              <w:autoSpaceDE w:val="0"/>
              <w:autoSpaceDN w:val="0"/>
              <w:spacing w:after="0" w:line="276" w:lineRule="auto"/>
              <w:ind w:firstLine="0" w:firstLineChars="0"/>
              <w:jc w:val="both"/>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测量直流熔断器的压降或温升、</w:t>
            </w:r>
            <w:r>
              <w:rPr>
                <w:rFonts w:hint="eastAsia" w:ascii="宋体" w:hAnsi="Times New Roman" w:eastAsia="宋体" w:cs="Times New Roman"/>
                <w:sz w:val="21"/>
                <w:szCs w:val="20"/>
                <w:lang w:val="en-US" w:eastAsia="zh-CN" w:bidi="ar-SA"/>
              </w:rPr>
              <w:t>汇流排的温升有无异常。</w:t>
            </w:r>
          </w:p>
        </w:tc>
        <w:tc>
          <w:tcPr>
            <w:tcW w:w="751" w:type="dxa"/>
            <w:shd w:val="clear" w:color="auto" w:fill="auto"/>
            <w:vAlign w:val="center"/>
          </w:tcPr>
          <w:p w14:paraId="39E3D17F">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月</w:t>
            </w:r>
          </w:p>
        </w:tc>
        <w:tc>
          <w:tcPr>
            <w:tcW w:w="752" w:type="dxa"/>
            <w:shd w:val="clear" w:color="auto" w:fill="auto"/>
            <w:vAlign w:val="center"/>
          </w:tcPr>
          <w:p w14:paraId="1F425E47">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月</w:t>
            </w:r>
          </w:p>
        </w:tc>
        <w:tc>
          <w:tcPr>
            <w:tcW w:w="756" w:type="dxa"/>
            <w:shd w:val="clear" w:color="auto" w:fill="auto"/>
            <w:vAlign w:val="center"/>
          </w:tcPr>
          <w:p w14:paraId="1688101C">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季</w:t>
            </w:r>
          </w:p>
        </w:tc>
      </w:tr>
      <w:tr w14:paraId="03B47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shd w:val="clear" w:color="auto" w:fill="auto"/>
          </w:tcPr>
          <w:p w14:paraId="2FBF4D6B">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8</w:t>
            </w:r>
          </w:p>
        </w:tc>
        <w:tc>
          <w:tcPr>
            <w:tcW w:w="6030" w:type="dxa"/>
            <w:shd w:val="clear" w:color="auto" w:fill="auto"/>
          </w:tcPr>
          <w:p w14:paraId="212BF165">
            <w:pPr>
              <w:tabs>
                <w:tab w:val="center" w:pos="4201"/>
                <w:tab w:val="right" w:leader="dot" w:pos="9298"/>
              </w:tabs>
              <w:autoSpaceDE w:val="0"/>
              <w:autoSpaceDN w:val="0"/>
              <w:spacing w:after="0" w:line="276" w:lineRule="auto"/>
              <w:ind w:firstLine="0" w:firstLineChars="0"/>
              <w:jc w:val="both"/>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检查整流器各告警点等参数设置是否正确，有无变更，检查各种手动或自动连续可调功能是否正常，测试必要的保护与告警功能（如系统直流输出限流等）。</w:t>
            </w:r>
          </w:p>
        </w:tc>
        <w:tc>
          <w:tcPr>
            <w:tcW w:w="751" w:type="dxa"/>
            <w:shd w:val="clear" w:color="auto" w:fill="auto"/>
            <w:vAlign w:val="center"/>
          </w:tcPr>
          <w:p w14:paraId="4A161C0F">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季</w:t>
            </w:r>
          </w:p>
        </w:tc>
        <w:tc>
          <w:tcPr>
            <w:tcW w:w="752" w:type="dxa"/>
            <w:shd w:val="clear" w:color="auto" w:fill="auto"/>
            <w:vAlign w:val="center"/>
          </w:tcPr>
          <w:p w14:paraId="3B498019">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季</w:t>
            </w:r>
          </w:p>
        </w:tc>
        <w:tc>
          <w:tcPr>
            <w:tcW w:w="756" w:type="dxa"/>
            <w:shd w:val="clear" w:color="auto" w:fill="auto"/>
            <w:vAlign w:val="center"/>
          </w:tcPr>
          <w:p w14:paraId="55403A17">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半年</w:t>
            </w:r>
          </w:p>
        </w:tc>
      </w:tr>
      <w:tr w14:paraId="2FB0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shd w:val="clear" w:color="auto" w:fill="auto"/>
          </w:tcPr>
          <w:p w14:paraId="426EA786">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9</w:t>
            </w:r>
          </w:p>
        </w:tc>
        <w:tc>
          <w:tcPr>
            <w:tcW w:w="6030" w:type="dxa"/>
            <w:shd w:val="clear" w:color="auto" w:fill="auto"/>
          </w:tcPr>
          <w:p w14:paraId="508C49FC">
            <w:pPr>
              <w:tabs>
                <w:tab w:val="center" w:pos="4201"/>
                <w:tab w:val="right" w:leader="dot" w:pos="9298"/>
              </w:tabs>
              <w:autoSpaceDE w:val="0"/>
              <w:autoSpaceDN w:val="0"/>
              <w:spacing w:after="0" w:line="276" w:lineRule="auto"/>
              <w:ind w:firstLine="0" w:firstLineChars="0"/>
              <w:jc w:val="both"/>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检查蓄电池管理功能：检查系统自动均、浮充转换功能，检查均、浮充电压、均充限流值、均充周期及持续时间、温度补偿系数等各项参数，校对均、浮充电压设定值、电池保护电压、均浮充转换电流等。</w:t>
            </w:r>
          </w:p>
        </w:tc>
        <w:tc>
          <w:tcPr>
            <w:tcW w:w="751" w:type="dxa"/>
            <w:shd w:val="clear" w:color="auto" w:fill="auto"/>
            <w:vAlign w:val="center"/>
          </w:tcPr>
          <w:p w14:paraId="0D175C8A">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季</w:t>
            </w:r>
          </w:p>
        </w:tc>
        <w:tc>
          <w:tcPr>
            <w:tcW w:w="752" w:type="dxa"/>
            <w:shd w:val="clear" w:color="auto" w:fill="auto"/>
            <w:vAlign w:val="center"/>
          </w:tcPr>
          <w:p w14:paraId="4B006AB1">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季</w:t>
            </w:r>
          </w:p>
        </w:tc>
        <w:tc>
          <w:tcPr>
            <w:tcW w:w="756" w:type="dxa"/>
            <w:shd w:val="clear" w:color="auto" w:fill="auto"/>
            <w:vAlign w:val="center"/>
          </w:tcPr>
          <w:p w14:paraId="17AD9169">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半年</w:t>
            </w:r>
          </w:p>
        </w:tc>
      </w:tr>
      <w:tr w14:paraId="0553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shd w:val="clear" w:color="auto" w:fill="auto"/>
          </w:tcPr>
          <w:p w14:paraId="20162262">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10</w:t>
            </w:r>
          </w:p>
        </w:tc>
        <w:tc>
          <w:tcPr>
            <w:tcW w:w="6030" w:type="dxa"/>
            <w:shd w:val="clear" w:color="auto" w:fill="auto"/>
          </w:tcPr>
          <w:p w14:paraId="788B9C70">
            <w:pPr>
              <w:tabs>
                <w:tab w:val="center" w:pos="4201"/>
                <w:tab w:val="right" w:leader="dot" w:pos="9298"/>
              </w:tabs>
              <w:autoSpaceDE w:val="0"/>
              <w:autoSpaceDN w:val="0"/>
              <w:spacing w:after="0" w:line="276" w:lineRule="auto"/>
              <w:ind w:firstLine="0" w:firstLineChars="0"/>
              <w:jc w:val="both"/>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检查各开关、继电器、熔断器以及各接触元器件是否正常工作，容量是否匹配（包括交、直流配电部分）；接线端子的接触是否良好。</w:t>
            </w:r>
          </w:p>
        </w:tc>
        <w:tc>
          <w:tcPr>
            <w:tcW w:w="751" w:type="dxa"/>
            <w:shd w:val="clear" w:color="auto" w:fill="auto"/>
            <w:vAlign w:val="center"/>
          </w:tcPr>
          <w:p w14:paraId="5431DCBD">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季</w:t>
            </w:r>
          </w:p>
        </w:tc>
        <w:tc>
          <w:tcPr>
            <w:tcW w:w="752" w:type="dxa"/>
            <w:shd w:val="clear" w:color="auto" w:fill="auto"/>
            <w:vAlign w:val="center"/>
          </w:tcPr>
          <w:p w14:paraId="76339539">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季</w:t>
            </w:r>
          </w:p>
        </w:tc>
        <w:tc>
          <w:tcPr>
            <w:tcW w:w="756" w:type="dxa"/>
            <w:shd w:val="clear" w:color="auto" w:fill="auto"/>
            <w:vAlign w:val="center"/>
          </w:tcPr>
          <w:p w14:paraId="331DF9A8">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半年</w:t>
            </w:r>
          </w:p>
        </w:tc>
      </w:tr>
      <w:tr w14:paraId="0971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shd w:val="clear" w:color="auto" w:fill="auto"/>
          </w:tcPr>
          <w:p w14:paraId="5F8C5C14">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11</w:t>
            </w:r>
          </w:p>
        </w:tc>
        <w:tc>
          <w:tcPr>
            <w:tcW w:w="6030" w:type="dxa"/>
            <w:shd w:val="clear" w:color="auto" w:fill="auto"/>
          </w:tcPr>
          <w:p w14:paraId="5123AB76">
            <w:pPr>
              <w:tabs>
                <w:tab w:val="center" w:pos="4201"/>
                <w:tab w:val="right" w:leader="dot" w:pos="9298"/>
              </w:tabs>
              <w:autoSpaceDE w:val="0"/>
              <w:autoSpaceDN w:val="0"/>
              <w:spacing w:after="0" w:line="276" w:lineRule="auto"/>
              <w:ind w:firstLine="0" w:firstLineChars="0"/>
              <w:jc w:val="both"/>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检查防雷设备是否正常。</w:t>
            </w:r>
          </w:p>
        </w:tc>
        <w:tc>
          <w:tcPr>
            <w:tcW w:w="751" w:type="dxa"/>
            <w:shd w:val="clear" w:color="auto" w:fill="auto"/>
          </w:tcPr>
          <w:p w14:paraId="301B9FFE">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季</w:t>
            </w:r>
          </w:p>
        </w:tc>
        <w:tc>
          <w:tcPr>
            <w:tcW w:w="752" w:type="dxa"/>
            <w:shd w:val="clear" w:color="auto" w:fill="auto"/>
          </w:tcPr>
          <w:p w14:paraId="01C13D0D">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季</w:t>
            </w:r>
          </w:p>
        </w:tc>
        <w:tc>
          <w:tcPr>
            <w:tcW w:w="756" w:type="dxa"/>
            <w:shd w:val="clear" w:color="auto" w:fill="auto"/>
          </w:tcPr>
          <w:p w14:paraId="53625D10">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季</w:t>
            </w:r>
          </w:p>
        </w:tc>
      </w:tr>
      <w:tr w14:paraId="69598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shd w:val="clear" w:color="auto" w:fill="auto"/>
          </w:tcPr>
          <w:p w14:paraId="1942F4AF">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12</w:t>
            </w:r>
          </w:p>
        </w:tc>
        <w:tc>
          <w:tcPr>
            <w:tcW w:w="6030" w:type="dxa"/>
            <w:shd w:val="clear" w:color="auto" w:fill="auto"/>
          </w:tcPr>
          <w:p w14:paraId="5FAB58ED">
            <w:pPr>
              <w:tabs>
                <w:tab w:val="center" w:pos="4201"/>
                <w:tab w:val="right" w:leader="dot" w:pos="9298"/>
              </w:tabs>
              <w:autoSpaceDE w:val="0"/>
              <w:autoSpaceDN w:val="0"/>
              <w:spacing w:after="0" w:line="276" w:lineRule="auto"/>
              <w:ind w:firstLine="0" w:firstLineChars="0"/>
              <w:jc w:val="both"/>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检查两路交流电源输入的电气或机械联锁装置是否正常。</w:t>
            </w:r>
          </w:p>
        </w:tc>
        <w:tc>
          <w:tcPr>
            <w:tcW w:w="751" w:type="dxa"/>
            <w:shd w:val="clear" w:color="auto" w:fill="auto"/>
            <w:vAlign w:val="center"/>
          </w:tcPr>
          <w:p w14:paraId="0576147F">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年</w:t>
            </w:r>
          </w:p>
        </w:tc>
        <w:tc>
          <w:tcPr>
            <w:tcW w:w="752" w:type="dxa"/>
            <w:shd w:val="clear" w:color="auto" w:fill="auto"/>
            <w:vAlign w:val="center"/>
          </w:tcPr>
          <w:p w14:paraId="74FFA2BD">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年</w:t>
            </w:r>
          </w:p>
        </w:tc>
        <w:tc>
          <w:tcPr>
            <w:tcW w:w="756" w:type="dxa"/>
            <w:shd w:val="clear" w:color="auto" w:fill="auto"/>
            <w:vAlign w:val="center"/>
          </w:tcPr>
          <w:p w14:paraId="63C731C9">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年</w:t>
            </w:r>
          </w:p>
        </w:tc>
      </w:tr>
      <w:tr w14:paraId="29A64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shd w:val="clear" w:color="auto" w:fill="auto"/>
          </w:tcPr>
          <w:p w14:paraId="662DCB81">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13</w:t>
            </w:r>
          </w:p>
        </w:tc>
        <w:tc>
          <w:tcPr>
            <w:tcW w:w="6030" w:type="dxa"/>
            <w:shd w:val="clear" w:color="auto" w:fill="auto"/>
          </w:tcPr>
          <w:p w14:paraId="35FE828B">
            <w:pPr>
              <w:tabs>
                <w:tab w:val="center" w:pos="4201"/>
                <w:tab w:val="right" w:leader="dot" w:pos="9298"/>
              </w:tabs>
              <w:autoSpaceDE w:val="0"/>
              <w:autoSpaceDN w:val="0"/>
              <w:spacing w:after="0" w:line="276" w:lineRule="auto"/>
              <w:ind w:firstLine="0" w:firstLineChars="0"/>
              <w:jc w:val="both"/>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检查测试绝缘监察装置是否正常。</w:t>
            </w:r>
          </w:p>
        </w:tc>
        <w:tc>
          <w:tcPr>
            <w:tcW w:w="751" w:type="dxa"/>
            <w:shd w:val="clear" w:color="auto" w:fill="auto"/>
          </w:tcPr>
          <w:p w14:paraId="7A3C8E25">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年</w:t>
            </w:r>
          </w:p>
        </w:tc>
        <w:tc>
          <w:tcPr>
            <w:tcW w:w="752" w:type="dxa"/>
            <w:shd w:val="clear" w:color="auto" w:fill="auto"/>
          </w:tcPr>
          <w:p w14:paraId="5B54AD0C">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年</w:t>
            </w:r>
          </w:p>
        </w:tc>
        <w:tc>
          <w:tcPr>
            <w:tcW w:w="756" w:type="dxa"/>
            <w:shd w:val="clear" w:color="auto" w:fill="auto"/>
          </w:tcPr>
          <w:p w14:paraId="35A33F82">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年</w:t>
            </w:r>
          </w:p>
        </w:tc>
      </w:tr>
      <w:tr w14:paraId="173C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shd w:val="clear" w:color="auto" w:fill="auto"/>
          </w:tcPr>
          <w:p w14:paraId="54F5FE3A">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14</w:t>
            </w:r>
          </w:p>
        </w:tc>
        <w:tc>
          <w:tcPr>
            <w:tcW w:w="6030" w:type="dxa"/>
            <w:shd w:val="clear" w:color="auto" w:fill="auto"/>
          </w:tcPr>
          <w:p w14:paraId="174D0A1F">
            <w:pPr>
              <w:tabs>
                <w:tab w:val="center" w:pos="4201"/>
                <w:tab w:val="right" w:leader="dot" w:pos="9298"/>
              </w:tabs>
              <w:autoSpaceDE w:val="0"/>
              <w:autoSpaceDN w:val="0"/>
              <w:spacing w:after="0" w:line="276" w:lineRule="auto"/>
              <w:ind w:firstLine="0" w:firstLineChars="0"/>
              <w:jc w:val="both"/>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 xml:space="preserve">检查各机架保护接地是否牢固可靠。 </w:t>
            </w:r>
          </w:p>
        </w:tc>
        <w:tc>
          <w:tcPr>
            <w:tcW w:w="751" w:type="dxa"/>
            <w:shd w:val="clear" w:color="auto" w:fill="auto"/>
            <w:vAlign w:val="center"/>
          </w:tcPr>
          <w:p w14:paraId="66150C82">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年</w:t>
            </w:r>
          </w:p>
        </w:tc>
        <w:tc>
          <w:tcPr>
            <w:tcW w:w="752" w:type="dxa"/>
            <w:shd w:val="clear" w:color="auto" w:fill="auto"/>
            <w:vAlign w:val="center"/>
          </w:tcPr>
          <w:p w14:paraId="6A4E421E">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年</w:t>
            </w:r>
          </w:p>
        </w:tc>
        <w:tc>
          <w:tcPr>
            <w:tcW w:w="756" w:type="dxa"/>
            <w:shd w:val="clear" w:color="auto" w:fill="auto"/>
            <w:vAlign w:val="center"/>
          </w:tcPr>
          <w:p w14:paraId="5A33E36C">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年</w:t>
            </w:r>
          </w:p>
        </w:tc>
      </w:tr>
      <w:tr w14:paraId="251E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shd w:val="clear" w:color="auto" w:fill="auto"/>
          </w:tcPr>
          <w:p w14:paraId="3E6BEEAE">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16</w:t>
            </w:r>
          </w:p>
        </w:tc>
        <w:tc>
          <w:tcPr>
            <w:tcW w:w="6030" w:type="dxa"/>
            <w:shd w:val="clear" w:color="auto" w:fill="auto"/>
          </w:tcPr>
          <w:p w14:paraId="20D7512A">
            <w:pPr>
              <w:tabs>
                <w:tab w:val="center" w:pos="4201"/>
                <w:tab w:val="right" w:leader="dot" w:pos="9298"/>
              </w:tabs>
              <w:autoSpaceDE w:val="0"/>
              <w:autoSpaceDN w:val="0"/>
              <w:spacing w:after="0" w:line="276" w:lineRule="auto"/>
              <w:ind w:firstLine="0" w:firstLineChars="0"/>
              <w:jc w:val="both"/>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校准系统电压、电流。</w:t>
            </w:r>
          </w:p>
        </w:tc>
        <w:tc>
          <w:tcPr>
            <w:tcW w:w="751" w:type="dxa"/>
            <w:shd w:val="clear" w:color="auto" w:fill="auto"/>
            <w:vAlign w:val="center"/>
          </w:tcPr>
          <w:p w14:paraId="3D9CD607">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年</w:t>
            </w:r>
          </w:p>
        </w:tc>
        <w:tc>
          <w:tcPr>
            <w:tcW w:w="752" w:type="dxa"/>
            <w:shd w:val="clear" w:color="auto" w:fill="auto"/>
            <w:vAlign w:val="center"/>
          </w:tcPr>
          <w:p w14:paraId="3956B4FB">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年</w:t>
            </w:r>
          </w:p>
        </w:tc>
        <w:tc>
          <w:tcPr>
            <w:tcW w:w="756" w:type="dxa"/>
            <w:shd w:val="clear" w:color="auto" w:fill="auto"/>
            <w:vAlign w:val="center"/>
          </w:tcPr>
          <w:p w14:paraId="2EFADED8">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年</w:t>
            </w:r>
          </w:p>
        </w:tc>
      </w:tr>
      <w:tr w14:paraId="4962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shd w:val="clear" w:color="auto" w:fill="auto"/>
          </w:tcPr>
          <w:p w14:paraId="55816C9D">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17</w:t>
            </w:r>
          </w:p>
        </w:tc>
        <w:tc>
          <w:tcPr>
            <w:tcW w:w="6030" w:type="dxa"/>
            <w:shd w:val="clear" w:color="auto" w:fill="auto"/>
          </w:tcPr>
          <w:p w14:paraId="0F3C36BA">
            <w:pPr>
              <w:tabs>
                <w:tab w:val="center" w:pos="4201"/>
                <w:tab w:val="right" w:leader="dot" w:pos="9298"/>
              </w:tabs>
              <w:autoSpaceDE w:val="0"/>
              <w:autoSpaceDN w:val="0"/>
              <w:spacing w:after="0" w:line="276" w:lineRule="auto"/>
              <w:ind w:firstLine="0" w:firstLineChars="0"/>
              <w:jc w:val="both"/>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测试备份整流器。</w:t>
            </w:r>
          </w:p>
        </w:tc>
        <w:tc>
          <w:tcPr>
            <w:tcW w:w="751" w:type="dxa"/>
            <w:shd w:val="clear" w:color="auto" w:fill="auto"/>
            <w:vAlign w:val="center"/>
          </w:tcPr>
          <w:p w14:paraId="42AFC8F1">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年</w:t>
            </w:r>
          </w:p>
        </w:tc>
        <w:tc>
          <w:tcPr>
            <w:tcW w:w="752" w:type="dxa"/>
            <w:shd w:val="clear" w:color="auto" w:fill="auto"/>
            <w:vAlign w:val="center"/>
          </w:tcPr>
          <w:p w14:paraId="37FB4A3D">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年</w:t>
            </w:r>
          </w:p>
        </w:tc>
        <w:tc>
          <w:tcPr>
            <w:tcW w:w="756" w:type="dxa"/>
            <w:shd w:val="clear" w:color="auto" w:fill="auto"/>
            <w:vAlign w:val="center"/>
          </w:tcPr>
          <w:p w14:paraId="3CB9081B">
            <w:pPr>
              <w:tabs>
                <w:tab w:val="center" w:pos="4201"/>
                <w:tab w:val="right" w:leader="dot" w:pos="9298"/>
              </w:tabs>
              <w:autoSpaceDE w:val="0"/>
              <w:autoSpaceDN w:val="0"/>
              <w:spacing w:after="0" w:line="276" w:lineRule="auto"/>
              <w:ind w:firstLine="0" w:firstLineChars="0"/>
              <w:jc w:val="center"/>
              <w:rPr>
                <w:rFonts w:ascii="宋体" w:hAnsi="宋体" w:eastAsia="宋体" w:cs="Times New Roman"/>
                <w:sz w:val="21"/>
                <w:szCs w:val="20"/>
                <w:lang w:val="en-US" w:eastAsia="zh-CN" w:bidi="ar-SA"/>
              </w:rPr>
            </w:pPr>
            <w:r>
              <w:rPr>
                <w:rFonts w:hint="eastAsia" w:ascii="宋体" w:hAnsi="宋体" w:eastAsia="宋体" w:cs="Times New Roman"/>
                <w:sz w:val="21"/>
                <w:szCs w:val="20"/>
                <w:lang w:val="en-US" w:eastAsia="zh-CN" w:bidi="ar-SA"/>
              </w:rPr>
              <w:t>年</w:t>
            </w:r>
          </w:p>
        </w:tc>
      </w:tr>
      <w:bookmarkEnd w:id="1448"/>
    </w:tbl>
    <w:p w14:paraId="281832CD">
      <w:pPr>
        <w:rPr>
          <w:rFonts w:ascii="Times New Roman" w:hAnsi="Times New Roman" w:eastAsia="宋体" w:cs="Times New Roman"/>
        </w:rPr>
      </w:pPr>
      <w:bookmarkStart w:id="1458" w:name="_Toc347307749"/>
      <w:bookmarkStart w:id="1459" w:name="_Toc55636742"/>
    </w:p>
    <w:p w14:paraId="0CFC15F6">
      <w:pPr>
        <w:ind w:left="420" w:leftChars="200"/>
        <w:rPr>
          <w:rFonts w:ascii="Times New Roman" w:hAnsi="Times New Roman" w:eastAsia="宋体" w:cs="Times New Roman"/>
        </w:rPr>
      </w:pPr>
      <w:bookmarkStart w:id="1460" w:name="_Toc5559"/>
    </w:p>
    <w:p w14:paraId="44462A24">
      <w:pPr>
        <w:ind w:left="420" w:leftChars="200"/>
        <w:rPr>
          <w:rFonts w:ascii="Times New Roman" w:hAnsi="Times New Roman" w:eastAsia="宋体" w:cs="Times New Roman"/>
        </w:rPr>
      </w:pPr>
      <w:r>
        <w:rPr>
          <w:rFonts w:hint="eastAsia" w:ascii="Times New Roman" w:hAnsi="Times New Roman" w:eastAsia="宋体" w:cs="Times New Roman"/>
        </w:rPr>
        <w:t>低压交直流配电设备的维护</w:t>
      </w:r>
      <w:bookmarkEnd w:id="1460"/>
    </w:p>
    <w:p w14:paraId="0551AD48">
      <w:pPr>
        <w:ind w:left="420" w:leftChars="200"/>
        <w:rPr>
          <w:rFonts w:ascii="Times New Roman" w:hAnsi="Times New Roman" w:eastAsia="宋体" w:cs="Times New Roman"/>
        </w:rPr>
      </w:pPr>
    </w:p>
    <w:p w14:paraId="754B5ED5">
      <w:pPr>
        <w:ind w:left="420" w:leftChars="200"/>
        <w:rPr>
          <w:rFonts w:ascii="Times New Roman" w:hAnsi="Times New Roman" w:eastAsia="宋体" w:cs="Times New Roman"/>
        </w:rPr>
      </w:pPr>
      <w:r>
        <w:rPr>
          <w:rFonts w:hint="eastAsia" w:ascii="Times New Roman" w:hAnsi="Times New Roman" w:eastAsia="宋体" w:cs="Times New Roman"/>
        </w:rPr>
        <w:t>第一节低压交流配电设备的维护</w:t>
      </w:r>
      <w:bookmarkEnd w:id="1458"/>
      <w:bookmarkEnd w:id="1459"/>
    </w:p>
    <w:p w14:paraId="65D6D514">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低压配电设备包括交流380V／220V配电设备。</w:t>
      </w:r>
    </w:p>
    <w:p w14:paraId="39A3B509">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人工倒换备用电源设备时，必须遵守有关技术规定，严防人为差错。</w:t>
      </w:r>
    </w:p>
    <w:p w14:paraId="3E1982E3">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定期试验信号继电器的动作和指示灯是否正常。</w:t>
      </w:r>
    </w:p>
    <w:p w14:paraId="67FDA8AF">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对配电设备巡视、检查的主要内容：</w:t>
      </w:r>
    </w:p>
    <w:p w14:paraId="7FFD616A">
      <w:pPr>
        <w:ind w:left="420" w:leftChars="200"/>
        <w:rPr>
          <w:rFonts w:ascii="Times New Roman" w:hAnsi="Times New Roman" w:eastAsia="宋体" w:cs="Times New Roman"/>
        </w:rPr>
      </w:pPr>
      <w:r>
        <w:rPr>
          <w:rFonts w:hint="eastAsia" w:ascii="Times New Roman" w:hAnsi="Times New Roman" w:eastAsia="宋体" w:cs="Times New Roman"/>
        </w:rPr>
        <w:t>1．继电器开关的动作是否正常，接触是否良好。</w:t>
      </w:r>
    </w:p>
    <w:p w14:paraId="4B6AFA3F">
      <w:pPr>
        <w:ind w:left="420" w:leftChars="200"/>
        <w:rPr>
          <w:rFonts w:ascii="Times New Roman" w:hAnsi="Times New Roman" w:eastAsia="宋体" w:cs="Times New Roman"/>
        </w:rPr>
      </w:pPr>
      <w:r>
        <w:rPr>
          <w:rFonts w:hint="eastAsia" w:ascii="Times New Roman" w:hAnsi="Times New Roman" w:eastAsia="宋体" w:cs="Times New Roman"/>
        </w:rPr>
        <w:t>2．设备有否告警。</w:t>
      </w:r>
    </w:p>
    <w:p w14:paraId="59223733">
      <w:pPr>
        <w:ind w:left="420" w:leftChars="200"/>
        <w:rPr>
          <w:rFonts w:ascii="Times New Roman" w:hAnsi="Times New Roman" w:eastAsia="宋体" w:cs="Times New Roman"/>
        </w:rPr>
      </w:pPr>
      <w:r>
        <w:rPr>
          <w:rFonts w:hint="eastAsia" w:ascii="Times New Roman" w:hAnsi="Times New Roman" w:eastAsia="宋体" w:cs="Times New Roman"/>
        </w:rPr>
        <w:t>3．螺丝有无松动。</w:t>
      </w:r>
    </w:p>
    <w:p w14:paraId="56C89011">
      <w:pPr>
        <w:ind w:left="420" w:leftChars="200"/>
        <w:rPr>
          <w:rFonts w:ascii="Times New Roman" w:hAnsi="Times New Roman" w:eastAsia="宋体" w:cs="Times New Roman"/>
        </w:rPr>
      </w:pPr>
      <w:r>
        <w:rPr>
          <w:rFonts w:hint="eastAsia" w:ascii="Times New Roman" w:hAnsi="Times New Roman" w:eastAsia="宋体" w:cs="Times New Roman"/>
        </w:rPr>
        <w:t>4.低压配电屏连接端子和屏内连接条的温升有无异常。</w:t>
      </w:r>
    </w:p>
    <w:p w14:paraId="3AEA7E3D">
      <w:pPr>
        <w:ind w:left="420" w:leftChars="200"/>
        <w:rPr>
          <w:rFonts w:ascii="Times New Roman" w:hAnsi="Times New Roman" w:eastAsia="宋体" w:cs="Times New Roman"/>
        </w:rPr>
      </w:pPr>
      <w:r>
        <w:rPr>
          <w:rFonts w:hint="eastAsia" w:ascii="Times New Roman" w:hAnsi="Times New Roman" w:eastAsia="宋体" w:cs="Times New Roman"/>
        </w:rPr>
        <w:t>5.电容补偿屏的电容外形检查，电容温升有无有异常，并检查回路保护熔丝是否正常。</w:t>
      </w:r>
    </w:p>
    <w:p w14:paraId="1C98A959">
      <w:pPr>
        <w:ind w:left="420" w:leftChars="200"/>
        <w:rPr>
          <w:rFonts w:ascii="Times New Roman" w:hAnsi="Times New Roman" w:eastAsia="宋体" w:cs="Times New Roman"/>
        </w:rPr>
      </w:pPr>
      <w:r>
        <w:rPr>
          <w:rFonts w:hint="eastAsia" w:ascii="Times New Roman" w:hAnsi="Times New Roman" w:eastAsia="宋体" w:cs="Times New Roman"/>
        </w:rPr>
        <w:t>6．电表指示是否正常。</w:t>
      </w:r>
    </w:p>
    <w:p w14:paraId="2ABF08A7">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★低压配电设备维护周期表：</w:t>
      </w:r>
    </w:p>
    <w:tbl>
      <w:tblPr>
        <w:tblStyle w:val="41"/>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7419"/>
      </w:tblGrid>
      <w:tr w14:paraId="1DED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900" w:type="dxa"/>
            <w:vAlign w:val="center"/>
          </w:tcPr>
          <w:p w14:paraId="42DADE06">
            <w:pPr>
              <w:widowControl w:val="0"/>
              <w:spacing w:line="360" w:lineRule="exact"/>
              <w:jc w:val="center"/>
              <w:rPr>
                <w:rFonts w:ascii="宋体" w:hAnsi="宋体" w:eastAsia="宋体" w:cs="Times New Roman"/>
                <w:b/>
                <w:bCs/>
                <w:kern w:val="2"/>
                <w:sz w:val="21"/>
                <w:szCs w:val="24"/>
                <w:lang w:val="en-US" w:eastAsia="zh-CN" w:bidi="ar-SA"/>
              </w:rPr>
            </w:pPr>
            <w:r>
              <w:rPr>
                <w:rFonts w:hint="eastAsia" w:ascii="宋体" w:hAnsi="宋体" w:eastAsia="宋体" w:cs="Times New Roman"/>
                <w:b/>
                <w:bCs/>
                <w:kern w:val="2"/>
                <w:sz w:val="21"/>
                <w:szCs w:val="24"/>
                <w:lang w:val="en-US" w:eastAsia="zh-CN" w:bidi="ar-SA"/>
              </w:rPr>
              <w:t>周期</w:t>
            </w:r>
          </w:p>
        </w:tc>
        <w:tc>
          <w:tcPr>
            <w:tcW w:w="7514" w:type="dxa"/>
            <w:vAlign w:val="center"/>
          </w:tcPr>
          <w:p w14:paraId="7742461F">
            <w:pPr>
              <w:widowControl w:val="0"/>
              <w:spacing w:line="360" w:lineRule="exact"/>
              <w:jc w:val="center"/>
              <w:rPr>
                <w:rFonts w:ascii="宋体" w:hAnsi="宋体" w:eastAsia="宋体" w:cs="Times New Roman"/>
                <w:b/>
                <w:bCs/>
                <w:kern w:val="2"/>
                <w:sz w:val="21"/>
                <w:szCs w:val="24"/>
                <w:lang w:val="en-US" w:eastAsia="zh-CN" w:bidi="ar-SA"/>
              </w:rPr>
            </w:pPr>
            <w:r>
              <w:rPr>
                <w:rFonts w:hint="eastAsia" w:ascii="宋体" w:hAnsi="宋体" w:eastAsia="宋体" w:cs="Times New Roman"/>
                <w:b/>
                <w:bCs/>
                <w:kern w:val="2"/>
                <w:sz w:val="21"/>
                <w:szCs w:val="24"/>
                <w:lang w:val="en-US" w:eastAsia="zh-CN" w:bidi="ar-SA"/>
              </w:rPr>
              <w:t>项目</w:t>
            </w:r>
          </w:p>
        </w:tc>
      </w:tr>
      <w:tr w14:paraId="7EED2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900" w:type="dxa"/>
            <w:vAlign w:val="center"/>
          </w:tcPr>
          <w:p w14:paraId="0FE17FCB">
            <w:pPr>
              <w:widowControl w:val="0"/>
              <w:spacing w:line="360" w:lineRule="exact"/>
              <w:jc w:val="center"/>
              <w:rPr>
                <w:rFonts w:ascii="宋体" w:hAnsi="宋体" w:eastAsia="宋体" w:cs="Times New Roman"/>
                <w:b/>
                <w:bCs/>
                <w:kern w:val="2"/>
                <w:sz w:val="21"/>
                <w:szCs w:val="24"/>
                <w:lang w:val="en-US" w:eastAsia="zh-CN" w:bidi="ar-SA"/>
              </w:rPr>
            </w:pPr>
            <w:r>
              <w:rPr>
                <w:rFonts w:hint="eastAsia" w:ascii="宋体" w:hAnsi="宋体" w:eastAsia="宋体" w:cs="Times New Roman"/>
                <w:b/>
                <w:bCs/>
                <w:kern w:val="2"/>
                <w:sz w:val="21"/>
                <w:szCs w:val="24"/>
                <w:lang w:val="en-US" w:eastAsia="zh-CN" w:bidi="ar-SA"/>
              </w:rPr>
              <w:t>月</w:t>
            </w:r>
          </w:p>
        </w:tc>
        <w:tc>
          <w:tcPr>
            <w:tcW w:w="7514" w:type="dxa"/>
          </w:tcPr>
          <w:p w14:paraId="016327E7">
            <w:pPr>
              <w:widowControl w:val="0"/>
              <w:numPr>
                <w:ilvl w:val="0"/>
                <w:numId w:val="14"/>
              </w:numPr>
              <w:spacing w:line="360" w:lineRule="exact"/>
              <w:ind w:left="420" w:hanging="42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检查接触器、开关接触是否良好。</w:t>
            </w:r>
          </w:p>
          <w:p w14:paraId="12B03905">
            <w:pPr>
              <w:widowControl w:val="0"/>
              <w:numPr>
                <w:ilvl w:val="0"/>
                <w:numId w:val="14"/>
              </w:numPr>
              <w:spacing w:line="360" w:lineRule="exact"/>
              <w:ind w:left="420" w:hanging="42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检查信号指示、告警是否正常。</w:t>
            </w:r>
          </w:p>
          <w:p w14:paraId="5038B74E">
            <w:pPr>
              <w:widowControl w:val="0"/>
              <w:numPr>
                <w:ilvl w:val="0"/>
                <w:numId w:val="14"/>
              </w:numPr>
              <w:spacing w:line="360" w:lineRule="exact"/>
              <w:ind w:left="420" w:hanging="42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测量熔断器的温升或压降。</w:t>
            </w:r>
          </w:p>
          <w:p w14:paraId="0B60D6D5">
            <w:pPr>
              <w:widowControl w:val="0"/>
              <w:numPr>
                <w:ilvl w:val="0"/>
                <w:numId w:val="14"/>
              </w:numPr>
              <w:spacing w:line="360" w:lineRule="exact"/>
              <w:ind w:left="420" w:hanging="42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检查功率补偿屏的工作是否正常。</w:t>
            </w:r>
          </w:p>
          <w:p w14:paraId="1B1EB5AA">
            <w:pPr>
              <w:widowControl w:val="0"/>
              <w:numPr>
                <w:ilvl w:val="0"/>
                <w:numId w:val="14"/>
              </w:numPr>
              <w:spacing w:line="360" w:lineRule="exact"/>
              <w:ind w:left="420" w:hanging="42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检查充放电电路是否正常。</w:t>
            </w:r>
          </w:p>
          <w:p w14:paraId="6A1052A8">
            <w:pPr>
              <w:widowControl w:val="0"/>
              <w:numPr>
                <w:ilvl w:val="0"/>
                <w:numId w:val="14"/>
              </w:numPr>
              <w:spacing w:line="360" w:lineRule="exact"/>
              <w:ind w:left="420" w:hanging="42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清洁设备。</w:t>
            </w:r>
          </w:p>
          <w:p w14:paraId="215644F0">
            <w:pPr>
              <w:numPr>
                <w:ilvl w:val="0"/>
                <w:numId w:val="14"/>
              </w:numPr>
              <w:spacing w:line="360" w:lineRule="exact"/>
              <w:ind w:left="420" w:hanging="420"/>
              <w:rPr>
                <w:rFonts w:ascii="Times New Roman" w:hAnsi="Times New Roman" w:eastAsia="宋体" w:cs="Times New Roman"/>
                <w:szCs w:val="21"/>
              </w:rPr>
            </w:pPr>
            <w:r>
              <w:rPr>
                <w:rFonts w:hint="eastAsia" w:ascii="Times New Roman" w:hAnsi="Times New Roman" w:eastAsia="宋体" w:cs="Times New Roman"/>
                <w:szCs w:val="21"/>
              </w:rPr>
              <w:t>三相总负荷电流平衡度、中性线电流视每年运行情况，进行必要调整</w:t>
            </w:r>
          </w:p>
        </w:tc>
      </w:tr>
      <w:tr w14:paraId="25C8F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900" w:type="dxa"/>
            <w:vAlign w:val="center"/>
          </w:tcPr>
          <w:p w14:paraId="3AE3D876">
            <w:pPr>
              <w:widowControl w:val="0"/>
              <w:spacing w:line="360" w:lineRule="exact"/>
              <w:jc w:val="center"/>
              <w:rPr>
                <w:rFonts w:ascii="宋体" w:hAnsi="宋体" w:eastAsia="宋体" w:cs="Times New Roman"/>
                <w:b/>
                <w:bCs/>
                <w:kern w:val="2"/>
                <w:sz w:val="21"/>
                <w:szCs w:val="24"/>
                <w:lang w:val="en-US" w:eastAsia="zh-CN" w:bidi="ar-SA"/>
              </w:rPr>
            </w:pPr>
            <w:r>
              <w:rPr>
                <w:rFonts w:hint="eastAsia" w:ascii="宋体" w:hAnsi="宋体" w:eastAsia="宋体" w:cs="Times New Roman"/>
                <w:b/>
                <w:bCs/>
                <w:kern w:val="2"/>
                <w:sz w:val="21"/>
                <w:szCs w:val="24"/>
                <w:lang w:val="en-US" w:eastAsia="zh-CN" w:bidi="ar-SA"/>
              </w:rPr>
              <w:t>年</w:t>
            </w:r>
          </w:p>
        </w:tc>
        <w:tc>
          <w:tcPr>
            <w:tcW w:w="7514" w:type="dxa"/>
          </w:tcPr>
          <w:p w14:paraId="36BFD742">
            <w:pPr>
              <w:widowControl w:val="0"/>
              <w:numPr>
                <w:ilvl w:val="0"/>
                <w:numId w:val="15"/>
              </w:numPr>
              <w:spacing w:line="360" w:lineRule="exact"/>
              <w:ind w:left="420" w:hanging="42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检查避雷器是否良好。</w:t>
            </w:r>
          </w:p>
          <w:p w14:paraId="47ECA702">
            <w:pPr>
              <w:widowControl w:val="0"/>
              <w:numPr>
                <w:ilvl w:val="0"/>
                <w:numId w:val="15"/>
              </w:numPr>
              <w:spacing w:line="360" w:lineRule="exact"/>
              <w:ind w:left="420" w:hanging="42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测量地线电阻（干季）。</w:t>
            </w:r>
          </w:p>
          <w:p w14:paraId="1E22D539">
            <w:pPr>
              <w:widowControl w:val="0"/>
              <w:numPr>
                <w:ilvl w:val="0"/>
                <w:numId w:val="15"/>
              </w:numPr>
              <w:spacing w:line="360" w:lineRule="exact"/>
              <w:ind w:left="420" w:hanging="42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校正仪表。</w:t>
            </w:r>
          </w:p>
          <w:p w14:paraId="4E6109CE">
            <w:pPr>
              <w:numPr>
                <w:ilvl w:val="0"/>
                <w:numId w:val="15"/>
              </w:numPr>
              <w:spacing w:line="360" w:lineRule="exact"/>
              <w:ind w:left="420" w:hanging="420"/>
              <w:rPr>
                <w:rFonts w:ascii="Times New Roman" w:hAnsi="Times New Roman" w:eastAsia="宋体" w:cs="Times New Roman"/>
                <w:szCs w:val="21"/>
              </w:rPr>
            </w:pPr>
            <w:r>
              <w:rPr>
                <w:rFonts w:hint="eastAsia" w:ascii="Times New Roman" w:hAnsi="Times New Roman" w:eastAsia="宋体" w:cs="Times New Roman"/>
                <w:szCs w:val="21"/>
              </w:rPr>
              <w:t>检查开关整定值。</w:t>
            </w:r>
          </w:p>
          <w:p w14:paraId="09314B6B">
            <w:pPr>
              <w:numPr>
                <w:ilvl w:val="0"/>
                <w:numId w:val="15"/>
              </w:numPr>
              <w:spacing w:line="360" w:lineRule="exact"/>
              <w:ind w:left="420" w:hanging="420"/>
              <w:rPr>
                <w:rFonts w:ascii="Times New Roman" w:hAnsi="Times New Roman" w:eastAsia="宋体" w:cs="Times New Roman"/>
                <w:szCs w:val="21"/>
              </w:rPr>
            </w:pPr>
            <w:r>
              <w:rPr>
                <w:rFonts w:hint="eastAsia" w:ascii="Times New Roman" w:hAnsi="Times New Roman" w:eastAsia="宋体" w:cs="Times New Roman"/>
                <w:szCs w:val="21"/>
              </w:rPr>
              <w:t>检查电容等元器件状态；</w:t>
            </w:r>
          </w:p>
        </w:tc>
      </w:tr>
    </w:tbl>
    <w:p w14:paraId="614CED2C">
      <w:pPr>
        <w:numPr>
          <w:ilvl w:val="0"/>
          <w:numId w:val="12"/>
        </w:numPr>
        <w:spacing w:line="360" w:lineRule="exact"/>
        <w:ind w:left="0" w:firstLine="420"/>
        <w:rPr>
          <w:rFonts w:ascii="Times New Roman" w:hAnsi="Times New Roman" w:eastAsia="宋体" w:cs="Times New Roman"/>
          <w:szCs w:val="21"/>
        </w:rPr>
      </w:pPr>
      <w:bookmarkStart w:id="1461" w:name="_Toc55636743"/>
      <w:r>
        <w:rPr>
          <w:rFonts w:ascii="Times New Roman" w:hAnsi="Times New Roman" w:eastAsia="黑体" w:cs="Times New Roman"/>
          <w:kern w:val="21"/>
          <w:sz w:val="14"/>
          <w:szCs w:val="14"/>
        </w:rPr>
        <w:t>  </w:t>
      </w:r>
      <w:r>
        <w:rPr>
          <w:rFonts w:hint="eastAsia" w:ascii="Times New Roman" w:hAnsi="Times New Roman" w:eastAsia="宋体" w:cs="Times New Roman"/>
          <w:szCs w:val="21"/>
        </w:rPr>
        <w:t>对</w:t>
      </w:r>
      <w:r>
        <w:rPr>
          <w:rFonts w:ascii="Times New Roman" w:hAnsi="Times New Roman" w:eastAsia="宋体" w:cs="Times New Roman"/>
          <w:kern w:val="0"/>
          <w:szCs w:val="21"/>
        </w:rPr>
        <w:t>ATS</w:t>
      </w:r>
      <w:r>
        <w:rPr>
          <w:rFonts w:hint="eastAsia" w:ascii="Times New Roman" w:hAnsi="Times New Roman" w:eastAsia="宋体" w:cs="Arial"/>
          <w:kern w:val="0"/>
          <w:szCs w:val="21"/>
        </w:rPr>
        <w:t>切换开关</w:t>
      </w:r>
      <w:r>
        <w:rPr>
          <w:rFonts w:hint="eastAsia" w:ascii="Times New Roman" w:hAnsi="Times New Roman" w:eastAsia="宋体" w:cs="Times New Roman"/>
          <w:szCs w:val="21"/>
        </w:rPr>
        <w:t>巡视、检查的主要内容：</w:t>
      </w:r>
    </w:p>
    <w:p w14:paraId="5DC4B24F">
      <w:pPr>
        <w:numPr>
          <w:ilvl w:val="1"/>
          <w:numId w:val="16"/>
        </w:numPr>
        <w:spacing w:line="360" w:lineRule="exact"/>
        <w:ind w:left="780" w:hanging="360"/>
        <w:rPr>
          <w:rFonts w:ascii="Times New Roman" w:hAnsi="Times New Roman" w:eastAsia="宋体" w:cs="Times New Roman"/>
          <w:szCs w:val="21"/>
        </w:rPr>
      </w:pPr>
      <w:r>
        <w:rPr>
          <w:rFonts w:hint="eastAsia" w:ascii="Times New Roman" w:hAnsi="Times New Roman" w:eastAsia="宋体" w:cs="Times New Roman"/>
          <w:szCs w:val="21"/>
        </w:rPr>
        <w:t>检查工作状态（自动/手动）。</w:t>
      </w:r>
    </w:p>
    <w:p w14:paraId="3DE08142">
      <w:pPr>
        <w:numPr>
          <w:ilvl w:val="1"/>
          <w:numId w:val="16"/>
        </w:numPr>
        <w:spacing w:line="360" w:lineRule="exact"/>
        <w:ind w:left="780" w:hanging="360"/>
        <w:rPr>
          <w:rFonts w:ascii="Times New Roman" w:hAnsi="Times New Roman" w:eastAsia="宋体" w:cs="Times New Roman"/>
          <w:szCs w:val="21"/>
        </w:rPr>
      </w:pPr>
      <w:r>
        <w:rPr>
          <w:rFonts w:hint="eastAsia" w:ascii="Times New Roman" w:hAnsi="Times New Roman" w:eastAsia="宋体" w:cs="Times New Roman"/>
          <w:szCs w:val="21"/>
        </w:rPr>
        <w:t>检测启动和转换延时是否合理。</w:t>
      </w:r>
    </w:p>
    <w:p w14:paraId="6AD1A615">
      <w:pPr>
        <w:numPr>
          <w:ilvl w:val="1"/>
          <w:numId w:val="16"/>
        </w:numPr>
        <w:spacing w:line="360" w:lineRule="exact"/>
        <w:ind w:left="780" w:hanging="360"/>
        <w:rPr>
          <w:rFonts w:ascii="Times New Roman" w:hAnsi="Times New Roman" w:eastAsia="宋体" w:cs="Times New Roman"/>
          <w:szCs w:val="21"/>
        </w:rPr>
      </w:pPr>
      <w:r>
        <w:rPr>
          <w:rFonts w:hint="eastAsia" w:ascii="Times New Roman" w:hAnsi="Times New Roman" w:eastAsia="宋体" w:cs="Times New Roman"/>
          <w:szCs w:val="21"/>
        </w:rPr>
        <w:t>定期性进行自动状态下双电源倒换测试，手动倒换测试。</w:t>
      </w:r>
    </w:p>
    <w:p w14:paraId="3880EAD8">
      <w:pPr>
        <w:numPr>
          <w:ilvl w:val="1"/>
          <w:numId w:val="16"/>
        </w:numPr>
        <w:spacing w:line="360" w:lineRule="exact"/>
        <w:ind w:left="780" w:hanging="360"/>
        <w:rPr>
          <w:rFonts w:ascii="Times New Roman" w:hAnsi="Times New Roman" w:eastAsia="宋体" w:cs="Times New Roman"/>
          <w:szCs w:val="21"/>
        </w:rPr>
      </w:pPr>
      <w:r>
        <w:rPr>
          <w:rFonts w:ascii="Times New Roman" w:hAnsi="Times New Roman" w:eastAsia="宋体" w:cs="Times New Roman"/>
          <w:szCs w:val="21"/>
        </w:rPr>
        <w:t>定期</w:t>
      </w:r>
      <w:r>
        <w:rPr>
          <w:rFonts w:hint="eastAsia" w:ascii="Times New Roman" w:hAnsi="Times New Roman" w:eastAsia="宋体" w:cs="Times New Roman"/>
          <w:szCs w:val="21"/>
        </w:rPr>
        <w:t>检查进出线端子温升有无异常，</w:t>
      </w:r>
      <w:r>
        <w:rPr>
          <w:rFonts w:ascii="Times New Roman" w:hAnsi="Times New Roman" w:eastAsia="宋体" w:cs="Times New Roman"/>
          <w:szCs w:val="21"/>
        </w:rPr>
        <w:t>螺丝有无松动。</w:t>
      </w:r>
    </w:p>
    <w:p w14:paraId="66C7BB8D">
      <w:pPr>
        <w:numPr>
          <w:ilvl w:val="0"/>
          <w:numId w:val="12"/>
        </w:numPr>
        <w:spacing w:line="360" w:lineRule="exact"/>
        <w:ind w:left="0" w:firstLine="420"/>
        <w:rPr>
          <w:rFonts w:ascii="Times New Roman" w:hAnsi="Times New Roman" w:eastAsia="宋体" w:cs="Times New Roman"/>
          <w:szCs w:val="21"/>
        </w:rPr>
      </w:pPr>
      <w:r>
        <w:rPr>
          <w:rFonts w:hint="eastAsia" w:ascii="Times New Roman" w:hAnsi="Times New Roman" w:eastAsia="宋体" w:cs="Times New Roman"/>
          <w:szCs w:val="21"/>
        </w:rPr>
        <w:t>ATS维护项目及周期表</w:t>
      </w:r>
    </w:p>
    <w:tbl>
      <w:tblPr>
        <w:tblStyle w:val="41"/>
        <w:tblW w:w="4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6782"/>
      </w:tblGrid>
      <w:tr w14:paraId="2652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shd w:val="clear" w:color="auto" w:fill="auto"/>
            <w:vAlign w:val="center"/>
          </w:tcPr>
          <w:p w14:paraId="4CE2609C">
            <w:pPr>
              <w:jc w:val="center"/>
              <w:rPr>
                <w:rFonts w:ascii="黑体" w:hAnsi="Times New Roman" w:eastAsia="黑体" w:cs="Times New Roman"/>
                <w:szCs w:val="21"/>
              </w:rPr>
            </w:pPr>
            <w:r>
              <w:rPr>
                <w:rFonts w:hint="eastAsia" w:ascii="黑体" w:hAnsi="Times New Roman" w:eastAsia="黑体" w:cs="Times New Roman"/>
                <w:szCs w:val="21"/>
              </w:rPr>
              <w:t>周期</w:t>
            </w:r>
          </w:p>
        </w:tc>
        <w:tc>
          <w:tcPr>
            <w:tcW w:w="7154" w:type="dxa"/>
            <w:shd w:val="clear" w:color="auto" w:fill="auto"/>
            <w:vAlign w:val="center"/>
          </w:tcPr>
          <w:p w14:paraId="25429E65">
            <w:pPr>
              <w:jc w:val="center"/>
              <w:rPr>
                <w:rFonts w:ascii="黑体" w:hAnsi="Times New Roman" w:eastAsia="黑体" w:cs="Times New Roman"/>
                <w:szCs w:val="21"/>
              </w:rPr>
            </w:pPr>
            <w:r>
              <w:rPr>
                <w:rFonts w:hint="eastAsia" w:ascii="黑体" w:hAnsi="Times New Roman" w:eastAsia="黑体" w:cs="Times New Roman"/>
                <w:szCs w:val="21"/>
              </w:rPr>
              <w:t>项目</w:t>
            </w:r>
          </w:p>
        </w:tc>
      </w:tr>
      <w:tr w14:paraId="6970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shd w:val="clear" w:color="auto" w:fill="auto"/>
            <w:vAlign w:val="center"/>
          </w:tcPr>
          <w:p w14:paraId="7A5BDE72">
            <w:pPr>
              <w:jc w:val="center"/>
              <w:rPr>
                <w:rFonts w:ascii="Times New Roman" w:hAnsi="Times New Roman" w:eastAsia="宋体" w:cs="Times New Roman"/>
                <w:szCs w:val="21"/>
              </w:rPr>
            </w:pPr>
            <w:r>
              <w:rPr>
                <w:rFonts w:hint="eastAsia" w:ascii="Times New Roman" w:hAnsi="Times New Roman" w:eastAsia="宋体" w:cs="Times New Roman"/>
                <w:szCs w:val="21"/>
              </w:rPr>
              <w:t>月</w:t>
            </w:r>
          </w:p>
        </w:tc>
        <w:tc>
          <w:tcPr>
            <w:tcW w:w="7154" w:type="dxa"/>
            <w:shd w:val="clear" w:color="auto" w:fill="auto"/>
          </w:tcPr>
          <w:p w14:paraId="51AB8B2C">
            <w:pPr>
              <w:rPr>
                <w:rFonts w:ascii="Times New Roman" w:hAnsi="Times New Roman" w:eastAsia="宋体" w:cs="Times New Roman"/>
                <w:szCs w:val="21"/>
              </w:rPr>
            </w:pPr>
            <w:r>
              <w:rPr>
                <w:rFonts w:hint="eastAsia" w:ascii="Times New Roman" w:hAnsi="Times New Roman" w:eastAsia="宋体" w:cs="Times New Roman"/>
                <w:szCs w:val="21"/>
              </w:rPr>
              <w:t>1.检查电源显示状态、指示灯、控制线触点是否良好。</w:t>
            </w:r>
          </w:p>
          <w:p w14:paraId="1A910AD4">
            <w:pPr>
              <w:rPr>
                <w:rFonts w:ascii="Times New Roman" w:hAnsi="Times New Roman" w:eastAsia="宋体" w:cs="Times New Roman"/>
                <w:szCs w:val="21"/>
              </w:rPr>
            </w:pPr>
            <w:r>
              <w:rPr>
                <w:rFonts w:hint="eastAsia" w:ascii="Times New Roman" w:hAnsi="Times New Roman" w:eastAsia="宋体" w:cs="Times New Roman"/>
                <w:szCs w:val="21"/>
              </w:rPr>
              <w:t>2.工作状态是否符合实际要求。</w:t>
            </w:r>
          </w:p>
          <w:p w14:paraId="67C8728E">
            <w:pPr>
              <w:rPr>
                <w:rFonts w:ascii="Times New Roman" w:hAnsi="Times New Roman" w:eastAsia="宋体" w:cs="Times New Roman"/>
                <w:szCs w:val="21"/>
              </w:rPr>
            </w:pPr>
            <w:r>
              <w:rPr>
                <w:rFonts w:hint="eastAsia" w:ascii="Times New Roman" w:hAnsi="Times New Roman" w:eastAsia="宋体" w:cs="Times New Roman"/>
                <w:szCs w:val="21"/>
              </w:rPr>
              <w:t>3.进出线端子螺丝是否松动、测量温升。</w:t>
            </w:r>
          </w:p>
          <w:p w14:paraId="56098000">
            <w:pPr>
              <w:rPr>
                <w:rFonts w:ascii="Times New Roman" w:hAnsi="Times New Roman" w:eastAsia="宋体" w:cs="Times New Roman"/>
                <w:szCs w:val="21"/>
              </w:rPr>
            </w:pPr>
            <w:r>
              <w:rPr>
                <w:rFonts w:hint="eastAsia" w:ascii="Times New Roman" w:hAnsi="Times New Roman" w:eastAsia="宋体" w:cs="Times New Roman"/>
                <w:szCs w:val="21"/>
              </w:rPr>
              <w:t>4.设备清洁。</w:t>
            </w:r>
          </w:p>
        </w:tc>
      </w:tr>
      <w:tr w14:paraId="4A11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shd w:val="clear" w:color="auto" w:fill="auto"/>
            <w:vAlign w:val="center"/>
          </w:tcPr>
          <w:p w14:paraId="3A8CD0A7">
            <w:pPr>
              <w:jc w:val="center"/>
              <w:rPr>
                <w:rFonts w:ascii="Times New Roman" w:hAnsi="Times New Roman" w:eastAsia="宋体" w:cs="Times New Roman"/>
                <w:szCs w:val="21"/>
              </w:rPr>
            </w:pPr>
            <w:r>
              <w:rPr>
                <w:rFonts w:hint="eastAsia" w:ascii="Times New Roman" w:hAnsi="Times New Roman" w:eastAsia="宋体" w:cs="Times New Roman"/>
                <w:szCs w:val="21"/>
              </w:rPr>
              <w:t>半年</w:t>
            </w:r>
          </w:p>
        </w:tc>
        <w:tc>
          <w:tcPr>
            <w:tcW w:w="7154" w:type="dxa"/>
            <w:shd w:val="clear" w:color="auto" w:fill="auto"/>
          </w:tcPr>
          <w:p w14:paraId="7BFAA769">
            <w:pPr>
              <w:rPr>
                <w:rFonts w:ascii="Times New Roman" w:hAnsi="Times New Roman" w:eastAsia="宋体" w:cs="Times New Roman"/>
                <w:szCs w:val="21"/>
              </w:rPr>
            </w:pPr>
            <w:r>
              <w:rPr>
                <w:rFonts w:hint="eastAsia" w:ascii="Times New Roman" w:hAnsi="Times New Roman" w:eastAsia="宋体" w:cs="Times New Roman"/>
                <w:szCs w:val="21"/>
              </w:rPr>
              <w:t>1.检测启动和转换延时设置是否合理。</w:t>
            </w:r>
          </w:p>
          <w:p w14:paraId="0AD607BB">
            <w:pPr>
              <w:rPr>
                <w:rFonts w:ascii="Times New Roman" w:hAnsi="Times New Roman" w:eastAsia="宋体" w:cs="Times New Roman"/>
                <w:szCs w:val="21"/>
              </w:rPr>
            </w:pPr>
            <w:r>
              <w:rPr>
                <w:rFonts w:hint="eastAsia" w:ascii="Times New Roman" w:hAnsi="Times New Roman" w:eastAsia="宋体" w:cs="Times New Roman"/>
                <w:szCs w:val="21"/>
              </w:rPr>
              <w:t>2.进行双电源倒换测试。</w:t>
            </w:r>
          </w:p>
        </w:tc>
      </w:tr>
    </w:tbl>
    <w:p w14:paraId="4A76901A">
      <w:pPr>
        <w:numPr>
          <w:ilvl w:val="0"/>
          <w:numId w:val="12"/>
        </w:numPr>
        <w:spacing w:line="360" w:lineRule="exact"/>
        <w:ind w:left="0" w:firstLine="420"/>
        <w:rPr>
          <w:rFonts w:ascii="Times New Roman" w:hAnsi="Times New Roman" w:eastAsia="宋体" w:cs="Times New Roman"/>
          <w:kern w:val="21"/>
          <w:szCs w:val="21"/>
        </w:rPr>
      </w:pPr>
      <w:r>
        <w:rPr>
          <w:rFonts w:hint="eastAsia" w:ascii="Times New Roman" w:hAnsi="Times New Roman" w:eastAsia="宋体" w:cs="Times New Roman"/>
          <w:szCs w:val="21"/>
        </w:rPr>
        <w:t>对断路器的检查主要内容：</w:t>
      </w:r>
    </w:p>
    <w:p w14:paraId="4AF49036">
      <w:pPr>
        <w:numPr>
          <w:ilvl w:val="0"/>
          <w:numId w:val="17"/>
        </w:numPr>
        <w:spacing w:line="360" w:lineRule="exact"/>
        <w:ind w:left="780" w:hanging="360"/>
        <w:rPr>
          <w:rFonts w:ascii="Times New Roman" w:hAnsi="Times New Roman" w:eastAsia="宋体" w:cs="Times New Roman"/>
          <w:szCs w:val="21"/>
        </w:rPr>
      </w:pPr>
      <w:r>
        <w:rPr>
          <w:rFonts w:hint="eastAsia" w:ascii="Times New Roman" w:hAnsi="Times New Roman" w:eastAsia="宋体" w:cs="Times New Roman"/>
          <w:szCs w:val="21"/>
        </w:rPr>
        <w:t>定期检查脱扣器的电流整定值和延时值，上下级整定是否合理；对于整定值小于1的断路器应做醒目标识。</w:t>
      </w:r>
    </w:p>
    <w:p w14:paraId="3CF2CB51">
      <w:pPr>
        <w:numPr>
          <w:ilvl w:val="0"/>
          <w:numId w:val="17"/>
        </w:numPr>
        <w:spacing w:line="360" w:lineRule="exact"/>
        <w:ind w:left="780" w:hanging="360"/>
        <w:rPr>
          <w:rFonts w:ascii="Times New Roman" w:hAnsi="Times New Roman" w:eastAsia="宋体" w:cs="Times New Roman"/>
          <w:szCs w:val="21"/>
        </w:rPr>
      </w:pPr>
      <w:r>
        <w:rPr>
          <w:rFonts w:hint="eastAsia" w:ascii="Times New Roman" w:hAnsi="Times New Roman" w:eastAsia="宋体" w:cs="Times New Roman"/>
          <w:szCs w:val="21"/>
        </w:rPr>
        <w:t>定期进行检修，清除断路器表面灰尘或异物，应保持清洁干燥；</w:t>
      </w:r>
    </w:p>
    <w:p w14:paraId="08AE0DF8">
      <w:pPr>
        <w:numPr>
          <w:ilvl w:val="0"/>
          <w:numId w:val="17"/>
        </w:numPr>
        <w:spacing w:line="360" w:lineRule="exact"/>
        <w:ind w:left="780" w:hanging="360"/>
        <w:rPr>
          <w:rFonts w:ascii="Times New Roman" w:hAnsi="Times New Roman" w:eastAsia="宋体" w:cs="Times New Roman"/>
          <w:szCs w:val="21"/>
        </w:rPr>
      </w:pPr>
      <w:r>
        <w:rPr>
          <w:rFonts w:hint="eastAsia" w:ascii="Times New Roman" w:hAnsi="Times New Roman" w:eastAsia="宋体" w:cs="Times New Roman"/>
          <w:szCs w:val="21"/>
        </w:rPr>
        <w:t>定期检查进出线端子螺丝松紧及温升；</w:t>
      </w:r>
    </w:p>
    <w:p w14:paraId="5895D056">
      <w:pPr>
        <w:numPr>
          <w:ilvl w:val="0"/>
          <w:numId w:val="12"/>
        </w:numPr>
        <w:spacing w:line="360" w:lineRule="exact"/>
        <w:ind w:left="0" w:firstLine="420"/>
        <w:rPr>
          <w:rFonts w:ascii="Times New Roman" w:hAnsi="Times New Roman" w:eastAsia="宋体" w:cs="Times New Roman"/>
          <w:szCs w:val="21"/>
        </w:rPr>
      </w:pPr>
      <w:r>
        <w:rPr>
          <w:rFonts w:hint="eastAsia" w:ascii="Times New Roman" w:hAnsi="Times New Roman" w:eastAsia="宋体" w:cs="Times New Roman"/>
          <w:szCs w:val="21"/>
        </w:rPr>
        <w:t>断路器维护项目及周期表</w:t>
      </w:r>
    </w:p>
    <w:tbl>
      <w:tblPr>
        <w:tblStyle w:val="41"/>
        <w:tblW w:w="4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6782"/>
      </w:tblGrid>
      <w:tr w14:paraId="1D0D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shd w:val="clear" w:color="auto" w:fill="auto"/>
            <w:vAlign w:val="center"/>
          </w:tcPr>
          <w:p w14:paraId="73265038">
            <w:pPr>
              <w:jc w:val="center"/>
              <w:rPr>
                <w:rFonts w:ascii="黑体" w:hAnsi="Times New Roman" w:eastAsia="黑体" w:cs="Times New Roman"/>
                <w:szCs w:val="21"/>
              </w:rPr>
            </w:pPr>
            <w:r>
              <w:rPr>
                <w:rFonts w:hint="eastAsia" w:ascii="黑体" w:hAnsi="Times New Roman" w:eastAsia="黑体" w:cs="Times New Roman"/>
                <w:szCs w:val="21"/>
              </w:rPr>
              <w:t>周期</w:t>
            </w:r>
          </w:p>
        </w:tc>
        <w:tc>
          <w:tcPr>
            <w:tcW w:w="7154" w:type="dxa"/>
            <w:shd w:val="clear" w:color="auto" w:fill="auto"/>
            <w:vAlign w:val="center"/>
          </w:tcPr>
          <w:p w14:paraId="647C82E2">
            <w:pPr>
              <w:jc w:val="center"/>
              <w:rPr>
                <w:rFonts w:ascii="黑体" w:hAnsi="Times New Roman" w:eastAsia="黑体" w:cs="Times New Roman"/>
                <w:szCs w:val="21"/>
              </w:rPr>
            </w:pPr>
            <w:r>
              <w:rPr>
                <w:rFonts w:hint="eastAsia" w:ascii="黑体" w:hAnsi="Times New Roman" w:eastAsia="黑体" w:cs="Times New Roman"/>
                <w:szCs w:val="21"/>
              </w:rPr>
              <w:t>项目</w:t>
            </w:r>
          </w:p>
        </w:tc>
      </w:tr>
      <w:tr w14:paraId="76A4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shd w:val="clear" w:color="auto" w:fill="auto"/>
            <w:vAlign w:val="center"/>
          </w:tcPr>
          <w:p w14:paraId="1DCD762A">
            <w:pPr>
              <w:jc w:val="center"/>
              <w:rPr>
                <w:rFonts w:ascii="Times New Roman" w:hAnsi="Times New Roman" w:eastAsia="宋体" w:cs="Times New Roman"/>
                <w:szCs w:val="21"/>
              </w:rPr>
            </w:pPr>
            <w:r>
              <w:rPr>
                <w:rFonts w:hint="eastAsia" w:ascii="Times New Roman" w:hAnsi="Times New Roman" w:eastAsia="宋体" w:cs="Times New Roman"/>
                <w:szCs w:val="21"/>
              </w:rPr>
              <w:t>月</w:t>
            </w:r>
          </w:p>
        </w:tc>
        <w:tc>
          <w:tcPr>
            <w:tcW w:w="7154" w:type="dxa"/>
            <w:shd w:val="clear" w:color="auto" w:fill="auto"/>
          </w:tcPr>
          <w:p w14:paraId="71682E98">
            <w:pPr>
              <w:jc w:val="left"/>
              <w:rPr>
                <w:rFonts w:ascii="Times New Roman" w:hAnsi="Times New Roman" w:eastAsia="宋体" w:cs="Times New Roman"/>
                <w:szCs w:val="21"/>
              </w:rPr>
            </w:pPr>
            <w:r>
              <w:rPr>
                <w:rFonts w:hint="eastAsia" w:ascii="Times New Roman" w:hAnsi="Times New Roman" w:eastAsia="宋体" w:cs="Times New Roman"/>
                <w:szCs w:val="21"/>
              </w:rPr>
              <w:t>1.定期进行检修，清除断路器表面灰尘或异物，应保持清洁干燥工作状态是否在自动。</w:t>
            </w:r>
          </w:p>
          <w:p w14:paraId="01E631DC">
            <w:pPr>
              <w:jc w:val="left"/>
              <w:rPr>
                <w:rFonts w:ascii="Times New Roman" w:hAnsi="Times New Roman" w:eastAsia="宋体" w:cs="Times New Roman"/>
                <w:szCs w:val="21"/>
              </w:rPr>
            </w:pPr>
            <w:r>
              <w:rPr>
                <w:rFonts w:hint="eastAsia" w:ascii="Times New Roman" w:hAnsi="Times New Roman" w:eastAsia="宋体" w:cs="Times New Roman"/>
                <w:szCs w:val="21"/>
              </w:rPr>
              <w:t>2.定期检查进出线端子螺丝松紧及温升。</w:t>
            </w:r>
          </w:p>
          <w:p w14:paraId="6A2825D7">
            <w:pPr>
              <w:jc w:val="left"/>
              <w:rPr>
                <w:rFonts w:ascii="Times New Roman" w:hAnsi="Times New Roman" w:eastAsia="宋体" w:cs="Times New Roman"/>
                <w:szCs w:val="21"/>
              </w:rPr>
            </w:pPr>
            <w:r>
              <w:rPr>
                <w:rFonts w:hint="eastAsia" w:ascii="Times New Roman" w:hAnsi="Times New Roman" w:eastAsia="宋体" w:cs="Times New Roman"/>
                <w:szCs w:val="21"/>
              </w:rPr>
              <w:t>3.设备清洁。</w:t>
            </w:r>
          </w:p>
        </w:tc>
      </w:tr>
      <w:tr w14:paraId="3502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shd w:val="clear" w:color="auto" w:fill="auto"/>
            <w:vAlign w:val="center"/>
          </w:tcPr>
          <w:p w14:paraId="7B07DC80">
            <w:pPr>
              <w:jc w:val="center"/>
              <w:rPr>
                <w:rFonts w:ascii="Times New Roman" w:hAnsi="Times New Roman" w:eastAsia="宋体" w:cs="Times New Roman"/>
                <w:szCs w:val="21"/>
              </w:rPr>
            </w:pPr>
            <w:r>
              <w:rPr>
                <w:rFonts w:hint="eastAsia" w:ascii="Times New Roman" w:hAnsi="Times New Roman" w:eastAsia="宋体" w:cs="Times New Roman"/>
                <w:szCs w:val="21"/>
              </w:rPr>
              <w:t>半年</w:t>
            </w:r>
          </w:p>
        </w:tc>
        <w:tc>
          <w:tcPr>
            <w:tcW w:w="7154" w:type="dxa"/>
            <w:shd w:val="clear" w:color="auto" w:fill="auto"/>
          </w:tcPr>
          <w:p w14:paraId="59BA7524">
            <w:pPr>
              <w:jc w:val="left"/>
              <w:rPr>
                <w:rFonts w:ascii="Times New Roman" w:hAnsi="Times New Roman" w:eastAsia="宋体" w:cs="Times New Roman"/>
                <w:szCs w:val="21"/>
              </w:rPr>
            </w:pPr>
            <w:r>
              <w:rPr>
                <w:rFonts w:hint="eastAsia" w:ascii="Times New Roman" w:hAnsi="Times New Roman" w:eastAsia="宋体" w:cs="Times New Roman"/>
                <w:szCs w:val="21"/>
              </w:rPr>
              <w:t>1.定期检查脱扣器的电流整定值和延时值，上下级整定是否合理。</w:t>
            </w:r>
          </w:p>
        </w:tc>
      </w:tr>
    </w:tbl>
    <w:p w14:paraId="4633B3FD">
      <w:pPr>
        <w:ind w:left="420" w:leftChars="200"/>
        <w:rPr>
          <w:rFonts w:ascii="Times New Roman" w:hAnsi="Times New Roman" w:eastAsia="宋体" w:cs="Times New Roman"/>
        </w:rPr>
      </w:pPr>
      <w:bookmarkStart w:id="1462" w:name="_Toc347307750"/>
      <w:r>
        <w:rPr>
          <w:rFonts w:hint="eastAsia" w:ascii="Times New Roman" w:hAnsi="Times New Roman" w:eastAsia="宋体" w:cs="Times New Roman"/>
        </w:rPr>
        <w:t>第二节直流配电设备</w:t>
      </w:r>
      <w:bookmarkEnd w:id="1462"/>
    </w:p>
    <w:p w14:paraId="70EA9452">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直流配电设备包括直流240V、-48V配电设备。</w:t>
      </w:r>
    </w:p>
    <w:p w14:paraId="0F385E89">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对直流配电设备巡视、检查的主要内容：</w:t>
      </w:r>
    </w:p>
    <w:p w14:paraId="67728B83">
      <w:pPr>
        <w:widowControl w:val="0"/>
        <w:numPr>
          <w:ilvl w:val="0"/>
          <w:numId w:val="18"/>
        </w:numPr>
        <w:ind w:left="840" w:hanging="420" w:firstLineChars="0"/>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直流配电部分应保持清洁，定期清洁直流配电部分的表面等。</w:t>
      </w:r>
    </w:p>
    <w:p w14:paraId="41743718">
      <w:pPr>
        <w:widowControl w:val="0"/>
        <w:numPr>
          <w:ilvl w:val="0"/>
          <w:numId w:val="18"/>
        </w:numPr>
        <w:spacing w:line="360" w:lineRule="exact"/>
        <w:ind w:left="840" w:hanging="42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检查信号指示、告警是否正常。</w:t>
      </w:r>
    </w:p>
    <w:p w14:paraId="1DBEAA16">
      <w:pPr>
        <w:widowControl w:val="0"/>
        <w:numPr>
          <w:ilvl w:val="0"/>
          <w:numId w:val="18"/>
        </w:numPr>
        <w:ind w:left="840" w:hanging="420" w:firstLineChars="0"/>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定期测量直流熔断器的压降或温升，应无异常变化。</w:t>
      </w:r>
    </w:p>
    <w:p w14:paraId="4DD61E2B">
      <w:pPr>
        <w:widowControl w:val="0"/>
        <w:numPr>
          <w:ilvl w:val="0"/>
          <w:numId w:val="18"/>
        </w:numPr>
        <w:ind w:left="840" w:hanging="420" w:firstLineChars="0"/>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定期测量直流配电部分放电回路电压降和供电回路全程电压降，应无异常变化。</w:t>
      </w:r>
    </w:p>
    <w:p w14:paraId="5639612B">
      <w:pPr>
        <w:widowControl w:val="0"/>
        <w:numPr>
          <w:ilvl w:val="0"/>
          <w:numId w:val="18"/>
        </w:numPr>
        <w:ind w:left="840" w:hanging="420" w:firstLineChars="0"/>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定期检查各种手动或自动连续可调功能、告警和保护功能均应正常。</w:t>
      </w:r>
    </w:p>
    <w:p w14:paraId="703A39C9">
      <w:pPr>
        <w:widowControl w:val="0"/>
        <w:numPr>
          <w:ilvl w:val="0"/>
          <w:numId w:val="18"/>
        </w:numPr>
        <w:ind w:left="840" w:hanging="420" w:firstLineChars="0"/>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 xml:space="preserve">定期测量各元器件和部件的温升，应无异常变化。 </w:t>
      </w:r>
    </w:p>
    <w:p w14:paraId="43F85496">
      <w:pPr>
        <w:widowControl w:val="0"/>
        <w:numPr>
          <w:ilvl w:val="0"/>
          <w:numId w:val="18"/>
        </w:numPr>
        <w:ind w:left="840" w:hanging="420" w:firstLineChars="0"/>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定期检查面板仪表的显示值与实际值的误差应不超过5%。</w:t>
      </w:r>
    </w:p>
    <w:p w14:paraId="5F6C8A35">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★直流配电设备维护周期表</w:t>
      </w:r>
    </w:p>
    <w:tbl>
      <w:tblPr>
        <w:tblStyle w:val="41"/>
        <w:tblW w:w="4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6770"/>
      </w:tblGrid>
      <w:tr w14:paraId="3FA7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shd w:val="clear" w:color="auto" w:fill="auto"/>
            <w:vAlign w:val="center"/>
          </w:tcPr>
          <w:p w14:paraId="66E75B25">
            <w:pPr>
              <w:jc w:val="center"/>
              <w:rPr>
                <w:rFonts w:ascii="黑体" w:hAnsi="Times New Roman" w:eastAsia="黑体" w:cs="Times New Roman"/>
                <w:szCs w:val="21"/>
              </w:rPr>
            </w:pPr>
            <w:r>
              <w:rPr>
                <w:rFonts w:hint="eastAsia" w:ascii="黑体" w:hAnsi="Times New Roman" w:eastAsia="黑体" w:cs="Times New Roman"/>
                <w:szCs w:val="21"/>
              </w:rPr>
              <w:t>周期</w:t>
            </w:r>
          </w:p>
        </w:tc>
        <w:tc>
          <w:tcPr>
            <w:tcW w:w="7492" w:type="dxa"/>
            <w:shd w:val="clear" w:color="auto" w:fill="auto"/>
            <w:vAlign w:val="center"/>
          </w:tcPr>
          <w:p w14:paraId="03FC8B2E">
            <w:pPr>
              <w:jc w:val="center"/>
              <w:rPr>
                <w:rFonts w:ascii="黑体" w:hAnsi="Times New Roman" w:eastAsia="黑体" w:cs="Times New Roman"/>
                <w:szCs w:val="21"/>
              </w:rPr>
            </w:pPr>
            <w:r>
              <w:rPr>
                <w:rFonts w:hint="eastAsia" w:ascii="黑体" w:hAnsi="Times New Roman" w:eastAsia="黑体" w:cs="Times New Roman"/>
                <w:szCs w:val="21"/>
              </w:rPr>
              <w:t>项目</w:t>
            </w:r>
          </w:p>
        </w:tc>
      </w:tr>
      <w:tr w14:paraId="4AEA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33" w:type="dxa"/>
            <w:shd w:val="clear" w:color="auto" w:fill="auto"/>
            <w:vAlign w:val="center"/>
          </w:tcPr>
          <w:p w14:paraId="566002B0">
            <w:pPr>
              <w:jc w:val="center"/>
              <w:rPr>
                <w:rFonts w:ascii="Times New Roman" w:hAnsi="Times New Roman" w:eastAsia="宋体" w:cs="Times New Roman"/>
                <w:szCs w:val="21"/>
              </w:rPr>
            </w:pPr>
            <w:r>
              <w:rPr>
                <w:rFonts w:hint="eastAsia" w:ascii="Times New Roman" w:hAnsi="Times New Roman" w:eastAsia="宋体" w:cs="Times New Roman"/>
                <w:szCs w:val="21"/>
              </w:rPr>
              <w:t>月</w:t>
            </w:r>
          </w:p>
        </w:tc>
        <w:tc>
          <w:tcPr>
            <w:tcW w:w="7492" w:type="dxa"/>
            <w:shd w:val="clear" w:color="auto" w:fill="auto"/>
          </w:tcPr>
          <w:p w14:paraId="17AE2894">
            <w:pPr>
              <w:jc w:val="left"/>
              <w:rPr>
                <w:rFonts w:ascii="Times New Roman" w:hAnsi="Times New Roman" w:eastAsia="宋体" w:cs="Times New Roman"/>
              </w:rPr>
            </w:pPr>
            <w:r>
              <w:rPr>
                <w:rFonts w:hint="eastAsia" w:ascii="Times New Roman" w:hAnsi="Times New Roman" w:eastAsia="宋体" w:cs="Times New Roman"/>
              </w:rPr>
              <w:t>1.清洁直流配电部分的表面等。</w:t>
            </w:r>
          </w:p>
          <w:p w14:paraId="7A7DBB06">
            <w:pPr>
              <w:jc w:val="left"/>
              <w:rPr>
                <w:rFonts w:ascii="Times New Roman" w:hAnsi="Times New Roman" w:eastAsia="宋体" w:cs="Times New Roman"/>
              </w:rPr>
            </w:pPr>
            <w:r>
              <w:rPr>
                <w:rFonts w:hint="eastAsia" w:ascii="Times New Roman" w:hAnsi="Times New Roman" w:eastAsia="宋体" w:cs="Times New Roman"/>
              </w:rPr>
              <w:t>2.</w:t>
            </w:r>
            <w:r>
              <w:rPr>
                <w:rFonts w:hint="eastAsia" w:ascii="Times New Roman" w:hAnsi="Times New Roman" w:eastAsia="宋体" w:cs="Times New Roman"/>
                <w:szCs w:val="21"/>
              </w:rPr>
              <w:t>检查信号指示、告警是否正常。</w:t>
            </w:r>
          </w:p>
          <w:p w14:paraId="2657A5AD">
            <w:pPr>
              <w:jc w:val="left"/>
              <w:rPr>
                <w:rFonts w:ascii="Times New Roman" w:hAnsi="Times New Roman" w:eastAsia="宋体" w:cs="Times New Roman"/>
              </w:rPr>
            </w:pPr>
            <w:r>
              <w:rPr>
                <w:rFonts w:hint="eastAsia" w:ascii="Times New Roman" w:hAnsi="Times New Roman" w:eastAsia="宋体" w:cs="Times New Roman"/>
              </w:rPr>
              <w:t>3.测量直流熔断器的压降或温升，应无异常变化。</w:t>
            </w:r>
          </w:p>
        </w:tc>
      </w:tr>
      <w:tr w14:paraId="5127D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shd w:val="clear" w:color="auto" w:fill="auto"/>
            <w:vAlign w:val="center"/>
          </w:tcPr>
          <w:p w14:paraId="464CAE7D">
            <w:pPr>
              <w:jc w:val="center"/>
              <w:rPr>
                <w:rFonts w:ascii="Times New Roman" w:hAnsi="Times New Roman" w:eastAsia="宋体" w:cs="Times New Roman"/>
                <w:szCs w:val="21"/>
              </w:rPr>
            </w:pPr>
            <w:r>
              <w:rPr>
                <w:rFonts w:hint="eastAsia" w:ascii="Times New Roman" w:hAnsi="Times New Roman" w:eastAsia="宋体" w:cs="Times New Roman"/>
                <w:szCs w:val="21"/>
              </w:rPr>
              <w:t>半年</w:t>
            </w:r>
          </w:p>
        </w:tc>
        <w:tc>
          <w:tcPr>
            <w:tcW w:w="7492" w:type="dxa"/>
            <w:shd w:val="clear" w:color="auto" w:fill="auto"/>
          </w:tcPr>
          <w:p w14:paraId="7A25DD93">
            <w:pPr>
              <w:jc w:val="left"/>
              <w:rPr>
                <w:rFonts w:ascii="Times New Roman" w:hAnsi="Times New Roman" w:eastAsia="宋体" w:cs="Times New Roman"/>
              </w:rPr>
            </w:pPr>
            <w:r>
              <w:rPr>
                <w:rFonts w:hint="eastAsia" w:ascii="Times New Roman" w:hAnsi="Times New Roman" w:eastAsia="宋体" w:cs="Times New Roman"/>
              </w:rPr>
              <w:t>1.测量直流配电部分放电回路电压降和供电回路全程电压降，应无异常变化。</w:t>
            </w:r>
          </w:p>
          <w:p w14:paraId="2999AC2F">
            <w:pPr>
              <w:jc w:val="left"/>
              <w:rPr>
                <w:rFonts w:ascii="Times New Roman" w:hAnsi="Times New Roman" w:eastAsia="宋体" w:cs="Times New Roman"/>
              </w:rPr>
            </w:pPr>
            <w:r>
              <w:rPr>
                <w:rFonts w:hint="eastAsia" w:ascii="Times New Roman" w:hAnsi="Times New Roman" w:eastAsia="宋体" w:cs="Times New Roman"/>
              </w:rPr>
              <w:t>2.检查各种手动或自动连续可调功能、告警和保护功能均应正常。</w:t>
            </w:r>
          </w:p>
          <w:p w14:paraId="63775A95">
            <w:pPr>
              <w:jc w:val="left"/>
              <w:rPr>
                <w:rFonts w:ascii="Times New Roman" w:hAnsi="Times New Roman" w:eastAsia="宋体" w:cs="Times New Roman"/>
              </w:rPr>
            </w:pPr>
            <w:r>
              <w:rPr>
                <w:rFonts w:hint="eastAsia" w:ascii="Times New Roman" w:hAnsi="Times New Roman" w:eastAsia="宋体" w:cs="Times New Roman"/>
              </w:rPr>
              <w:t xml:space="preserve">3.测量各元器件和部件的温升，应无异常变化。 </w:t>
            </w:r>
          </w:p>
          <w:p w14:paraId="67CCD680">
            <w:pPr>
              <w:jc w:val="left"/>
              <w:rPr>
                <w:rFonts w:ascii="Times New Roman" w:hAnsi="Times New Roman" w:eastAsia="宋体" w:cs="Times New Roman"/>
                <w:szCs w:val="21"/>
              </w:rPr>
            </w:pPr>
            <w:r>
              <w:rPr>
                <w:rFonts w:hint="eastAsia" w:ascii="Times New Roman" w:hAnsi="Times New Roman" w:eastAsia="宋体" w:cs="Times New Roman"/>
              </w:rPr>
              <w:t>4.检查面板仪表的显示值与实际值的误差应不超过5%。</w:t>
            </w:r>
          </w:p>
        </w:tc>
      </w:tr>
      <w:bookmarkEnd w:id="1461"/>
    </w:tbl>
    <w:p w14:paraId="2007A651">
      <w:pPr>
        <w:ind w:left="420" w:leftChars="200"/>
        <w:rPr>
          <w:rFonts w:ascii="Times New Roman" w:hAnsi="Times New Roman" w:eastAsia="宋体" w:cs="Times New Roman"/>
        </w:rPr>
      </w:pPr>
      <w:bookmarkStart w:id="1463" w:name="_Toc347307757"/>
      <w:r>
        <w:rPr>
          <w:rFonts w:hint="eastAsia" w:ascii="Times New Roman" w:hAnsi="Times New Roman" w:eastAsia="宋体" w:cs="Times New Roman"/>
        </w:rPr>
        <w:t>第三节移动式油机发电机组的维护</w:t>
      </w:r>
      <w:bookmarkEnd w:id="1463"/>
    </w:p>
    <w:p w14:paraId="3F9549AD">
      <w:pPr>
        <w:numPr>
          <w:ilvl w:val="0"/>
          <w:numId w:val="12"/>
        </w:numPr>
        <w:spacing w:line="360" w:lineRule="exact"/>
        <w:ind w:left="0" w:firstLine="420"/>
        <w:rPr>
          <w:rFonts w:hint="eastAsia" w:ascii="Times New Roman" w:hAnsi="宋体-18030" w:eastAsia="宋体" w:cs="宋体-18030"/>
        </w:rPr>
      </w:pPr>
      <w:r>
        <w:rPr>
          <w:rFonts w:hint="eastAsia" w:ascii="Times New Roman" w:hAnsi="宋体-18030" w:eastAsia="宋体" w:cs="宋体-18030"/>
        </w:rPr>
        <w:t>移动式油机发电机组（电站）包括：便携式汽油机、拖车式电站和车载式电站。</w:t>
      </w:r>
    </w:p>
    <w:p w14:paraId="1C325C0C">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★移动式发电机组长期不使用时，应每个月做一次发电机组及其车辆的试机、试车。</w:t>
      </w:r>
    </w:p>
    <w:p w14:paraId="0A9B54AF">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★每周至少给启动电池充电一次，保证汽车和油机的启动电池容量充足。检查并及时补充润滑油和燃油箱的油量。</w:t>
      </w:r>
    </w:p>
    <w:p w14:paraId="3A525DCB">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每次使用后，注意补充发电机组及其车辆的润滑油和燃油，及检查冷却液箱的液位情况。</w:t>
      </w:r>
    </w:p>
    <w:p w14:paraId="6DCD8FC2">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拖车式电站和车载式电站宜设专用车库。</w:t>
      </w:r>
    </w:p>
    <w:p w14:paraId="3C27C94A">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作为备用发电的小型汽油机，在其运转供电时，要有专人在场，并且</w:t>
      </w:r>
      <w:r>
        <w:rPr>
          <w:rFonts w:hint="eastAsia" w:ascii="Times New Roman" w:hAnsi="Times New Roman" w:eastAsia="宋体" w:cs="Times New Roman"/>
          <w:bCs/>
        </w:rPr>
        <w:t>当人机同处一室时，应保持室内空气流通，防止人员废气（一氧化碳）中毒。</w:t>
      </w:r>
      <w:r>
        <w:rPr>
          <w:rFonts w:hint="eastAsia" w:ascii="Times New Roman" w:hAnsi="Times New Roman" w:eastAsia="宋体" w:cs="Times New Roman"/>
        </w:rPr>
        <w:t>在燃油不足时，停机后方可添加燃油。存放时，不得与其它在用油机共室临近存放。</w:t>
      </w:r>
    </w:p>
    <w:p w14:paraId="47207DB3">
      <w:pPr>
        <w:ind w:left="420" w:leftChars="200"/>
        <w:rPr>
          <w:rFonts w:ascii="Times New Roman" w:hAnsi="Times New Roman" w:eastAsia="宋体" w:cs="Times New Roman"/>
        </w:rPr>
      </w:pPr>
      <w:bookmarkStart w:id="1464" w:name="_Toc347307763"/>
      <w:bookmarkStart w:id="1465" w:name="_Toc30242"/>
    </w:p>
    <w:p w14:paraId="4B8ABC8A">
      <w:pPr>
        <w:ind w:left="420" w:leftChars="200"/>
        <w:rPr>
          <w:rFonts w:ascii="Times New Roman" w:hAnsi="Times New Roman" w:eastAsia="宋体" w:cs="Times New Roman"/>
        </w:rPr>
      </w:pPr>
    </w:p>
    <w:p w14:paraId="140F7EA4">
      <w:pPr>
        <w:ind w:left="420" w:leftChars="200"/>
        <w:rPr>
          <w:rFonts w:ascii="Times New Roman" w:hAnsi="Times New Roman" w:eastAsia="宋体" w:cs="Times New Roman"/>
        </w:rPr>
      </w:pPr>
      <w:r>
        <w:rPr>
          <w:rFonts w:hint="eastAsia" w:ascii="Times New Roman" w:hAnsi="Times New Roman" w:eastAsia="宋体" w:cs="Times New Roman"/>
        </w:rPr>
        <w:t xml:space="preserve"> 防雷接地系统的维护</w:t>
      </w:r>
      <w:bookmarkEnd w:id="1464"/>
      <w:bookmarkEnd w:id="1465"/>
    </w:p>
    <w:p w14:paraId="117E0DE0">
      <w:pPr>
        <w:ind w:left="420" w:leftChars="200"/>
        <w:rPr>
          <w:rFonts w:ascii="Times New Roman" w:hAnsi="Times New Roman" w:eastAsia="宋体" w:cs="Times New Roman"/>
        </w:rPr>
      </w:pPr>
      <w:bookmarkStart w:id="1466" w:name="_Toc347307764"/>
      <w:r>
        <w:rPr>
          <w:rFonts w:hint="eastAsia" w:ascii="Times New Roman" w:hAnsi="Times New Roman" w:eastAsia="宋体" w:cs="Times New Roman"/>
        </w:rPr>
        <w:t>第一节基本要求</w:t>
      </w:r>
      <w:bookmarkEnd w:id="1466"/>
    </w:p>
    <w:p w14:paraId="18AB207B">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通信局（站）的防雷接地包括地网、直击雷防护设施（避雷针、避雷带、避雷网、引下线等）、室内接地系统以及各系统设备安装的防雷设备等方面。</w:t>
      </w:r>
    </w:p>
    <w:p w14:paraId="537261E0">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直击雷防护设施及接地装置维护主要要求是维持各连接部位的连接牢固、稳定可靠，保证雷电流能迅速泄放到大地；电源防雷设备的维护主要要求是维持防雷设备运行正常。</w:t>
      </w:r>
    </w:p>
    <w:p w14:paraId="73897DCC">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动力维护部门负责牵头对电信网上各专业防雷接地系统提出要求。对各专业所发生雷击损坏事故，动力维护部门负责牵头组织各相关专业查找事故原因，研究整改对策，写出整治需求报告。</w:t>
      </w:r>
    </w:p>
    <w:p w14:paraId="4E548F60">
      <w:pPr>
        <w:ind w:left="420" w:leftChars="200"/>
        <w:rPr>
          <w:rFonts w:ascii="Times New Roman" w:hAnsi="Times New Roman" w:eastAsia="宋体" w:cs="Times New Roman"/>
        </w:rPr>
      </w:pPr>
      <w:bookmarkStart w:id="1467" w:name="_Toc347307765"/>
    </w:p>
    <w:p w14:paraId="40E3F681">
      <w:pPr>
        <w:ind w:left="420" w:leftChars="200"/>
        <w:rPr>
          <w:rFonts w:ascii="Times New Roman" w:hAnsi="Times New Roman" w:eastAsia="宋体" w:cs="Times New Roman"/>
        </w:rPr>
      </w:pPr>
      <w:r>
        <w:rPr>
          <w:rFonts w:hint="eastAsia" w:ascii="Times New Roman" w:hAnsi="Times New Roman" w:eastAsia="宋体" w:cs="Times New Roman"/>
        </w:rPr>
        <w:t>第二节通信局（站）防雷设施的维护</w:t>
      </w:r>
      <w:bookmarkEnd w:id="1467"/>
    </w:p>
    <w:p w14:paraId="15336DAD">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地网的维护</w:t>
      </w:r>
    </w:p>
    <w:p w14:paraId="5B0A618E">
      <w:pPr>
        <w:autoSpaceDE w:val="0"/>
        <w:autoSpaceDN w:val="0"/>
        <w:adjustRightInd w:val="0"/>
        <w:ind w:firstLine="420" w:firstLineChars="200"/>
        <w:jc w:val="left"/>
        <w:rPr>
          <w:rFonts w:ascii="Times New Roman" w:hAnsi="Times New Roman" w:eastAsia="宋体" w:cs="Times New Roman"/>
        </w:rPr>
      </w:pPr>
      <w:r>
        <w:rPr>
          <w:rFonts w:hint="eastAsia" w:ascii="Times New Roman" w:hAnsi="Times New Roman" w:eastAsia="宋体" w:cs="Times New Roman"/>
        </w:rPr>
        <w:t>1. 通信</w:t>
      </w:r>
      <w:r>
        <w:rPr>
          <w:rFonts w:hint="eastAsia" w:ascii="Times New Roman" w:hAnsi="Times New Roman" w:eastAsia="宋体" w:cs="Times New Roman"/>
          <w:bCs/>
        </w:rPr>
        <w:t>局（站）</w:t>
      </w:r>
      <w:r>
        <w:rPr>
          <w:rFonts w:hint="eastAsia" w:ascii="Times New Roman" w:hAnsi="Times New Roman" w:eastAsia="宋体" w:cs="宋体"/>
          <w:kern w:val="0"/>
          <w:szCs w:val="21"/>
        </w:rPr>
        <w:t>的地网一般由建筑物钢筋混凝土基础、建筑物外围敷设的环形接地体及地下其它互联的金属构件组成。</w:t>
      </w:r>
      <w:r>
        <w:rPr>
          <w:rFonts w:hint="eastAsia" w:ascii="Times New Roman" w:hAnsi="Times New Roman" w:eastAsia="宋体" w:cs="Times New Roman"/>
        </w:rPr>
        <w:t>动力维护部门应建立所辖通信</w:t>
      </w:r>
      <w:r>
        <w:rPr>
          <w:rFonts w:hint="eastAsia" w:ascii="Times New Roman" w:hAnsi="Times New Roman" w:eastAsia="宋体" w:cs="Times New Roman"/>
          <w:bCs/>
        </w:rPr>
        <w:t>局（站）</w:t>
      </w:r>
      <w:r>
        <w:rPr>
          <w:rFonts w:hint="eastAsia" w:ascii="Times New Roman" w:hAnsi="Times New Roman" w:eastAsia="宋体" w:cs="Times New Roman"/>
        </w:rPr>
        <w:t>地网的相关图纸资料，一旦地网发生变更，应及时地对其图纸资料进行修改更正。</w:t>
      </w:r>
    </w:p>
    <w:p w14:paraId="5F93FCA4">
      <w:pPr>
        <w:autoSpaceDE w:val="0"/>
        <w:autoSpaceDN w:val="0"/>
        <w:adjustRightInd w:val="0"/>
        <w:ind w:firstLine="420" w:firstLineChars="200"/>
        <w:jc w:val="left"/>
        <w:rPr>
          <w:rFonts w:ascii="Times New Roman" w:hAnsi="Times New Roman" w:eastAsia="宋体" w:cs="宋体"/>
          <w:kern w:val="0"/>
          <w:szCs w:val="21"/>
        </w:rPr>
      </w:pPr>
      <w:r>
        <w:rPr>
          <w:rFonts w:hint="eastAsia" w:ascii="Times New Roman" w:hAnsi="Times New Roman" w:eastAsia="宋体" w:cs="Times New Roman"/>
        </w:rPr>
        <w:t>2.</w:t>
      </w:r>
      <w:r>
        <w:rPr>
          <w:rFonts w:hint="eastAsia" w:ascii="Times New Roman" w:hAnsi="Times New Roman" w:eastAsia="宋体" w:cs="宋体"/>
          <w:kern w:val="0"/>
          <w:szCs w:val="21"/>
        </w:rPr>
        <w:t xml:space="preserve"> 若</w:t>
      </w:r>
      <w:r>
        <w:rPr>
          <w:rFonts w:hint="eastAsia" w:ascii="Times New Roman" w:hAnsi="Times New Roman" w:eastAsia="宋体" w:cs="Times New Roman"/>
        </w:rPr>
        <w:t>通信</w:t>
      </w:r>
      <w:r>
        <w:rPr>
          <w:rFonts w:hint="eastAsia" w:ascii="Times New Roman" w:hAnsi="Times New Roman" w:eastAsia="宋体" w:cs="Times New Roman"/>
          <w:bCs/>
        </w:rPr>
        <w:t>局（站）为多组地网，</w:t>
      </w:r>
      <w:r>
        <w:rPr>
          <w:rFonts w:hint="eastAsia" w:ascii="Times New Roman" w:hAnsi="Times New Roman" w:eastAsia="宋体" w:cs="宋体"/>
          <w:kern w:val="0"/>
          <w:szCs w:val="21"/>
        </w:rPr>
        <w:t>并分别用于不同楼宇的接地系统（例如：变压器地网），则应根据以下原则实施不同地网的地下互连：</w:t>
      </w:r>
    </w:p>
    <w:p w14:paraId="658D26B0">
      <w:pPr>
        <w:autoSpaceDE w:val="0"/>
        <w:autoSpaceDN w:val="0"/>
        <w:adjustRightInd w:val="0"/>
        <w:ind w:firstLine="420" w:firstLineChars="200"/>
        <w:jc w:val="left"/>
        <w:rPr>
          <w:rFonts w:ascii="Times New Roman" w:hAnsi="Times New Roman" w:eastAsia="宋体" w:cs="宋体"/>
          <w:kern w:val="0"/>
          <w:szCs w:val="21"/>
        </w:rPr>
      </w:pPr>
      <w:r>
        <w:rPr>
          <w:rFonts w:hint="eastAsia" w:ascii="Times New Roman" w:hAnsi="Times New Roman" w:eastAsia="宋体" w:cs="宋体"/>
          <w:kern w:val="0"/>
          <w:szCs w:val="21"/>
        </w:rPr>
        <w:t>最近隔距小于</w:t>
      </w:r>
      <w:r>
        <w:rPr>
          <w:rFonts w:hint="eastAsia" w:ascii="Times New Roman" w:hAnsi="Times New Roman" w:eastAsia="宋体" w:cs="Times New Roman"/>
          <w:position w:val="-12"/>
          <w:szCs w:val="21"/>
        </w:rPr>
        <w:object>
          <v:shape id="_x0000_i1025" o:spt="75" type="#_x0000_t75" style="height:19.35pt;width:26.85pt;" o:ole="t" filled="f" o:preferrelative="t" stroked="f" coordsize="21600,21600">
            <v:path/>
            <v:fill on="f" focussize="0,0"/>
            <v:stroke on="f" joinstyle="miter"/>
            <v:imagedata r:id="rId17" o:title=""/>
            <o:lock v:ext="edit" aspectratio="t"/>
            <w10:wrap type="none"/>
            <w10:anchorlock/>
          </v:shape>
          <o:OLEObject Type="Embed" ProgID="Equation.3" ShapeID="_x0000_i1025" DrawAspect="Content" ObjectID="_1468075725" r:id="rId16">
            <o:LockedField>false</o:LockedField>
          </o:OLEObject>
        </w:object>
      </w:r>
      <w:r>
        <w:rPr>
          <w:rFonts w:ascii="Symbol" w:hAnsi="Symbol" w:eastAsia="宋体" w:cs="Symbol"/>
          <w:kern w:val="0"/>
          <w:sz w:val="25"/>
          <w:szCs w:val="25"/>
        </w:rPr>
        <w:t></w:t>
      </w:r>
      <w:r>
        <w:rPr>
          <w:rFonts w:hint="eastAsia" w:ascii="Times New Roman" w:hAnsi="Times New Roman" w:eastAsia="宋体" w:cs="宋体"/>
          <w:kern w:val="0"/>
          <w:szCs w:val="21"/>
        </w:rPr>
        <w:t>米（</w:t>
      </w:r>
      <w:r>
        <w:rPr>
          <w:rFonts w:hint="eastAsia" w:ascii="Times New Roman" w:hAnsi="Times New Roman" w:eastAsia="宋体" w:cs="Times New Roman"/>
          <w:position w:val="-10"/>
          <w:szCs w:val="21"/>
        </w:rPr>
        <w:object>
          <v:shape id="_x0000_i1026" o:spt="75" type="#_x0000_t75" style="height:13.45pt;width:11.8pt;" o:ole="t" filled="f" o:preferrelative="t" stroked="f" coordsize="21600,21600">
            <v:path/>
            <v:fill on="f" focussize="0,0"/>
            <v:stroke on="f" joinstyle="miter"/>
            <v:imagedata r:id="rId19" o:title=""/>
            <o:lock v:ext="edit" aspectratio="t"/>
            <w10:wrap type="none"/>
            <w10:anchorlock/>
          </v:shape>
          <o:OLEObject Type="Embed" ProgID="Equation.3" ShapeID="_x0000_i1026" DrawAspect="Content" ObjectID="_1468075726" r:id="rId18">
            <o:LockedField>false</o:LockedField>
          </o:OLEObject>
        </w:object>
      </w:r>
      <w:r>
        <w:rPr>
          <w:rFonts w:ascii="Symbol" w:hAnsi="Symbol" w:eastAsia="宋体" w:cs="Symbol"/>
          <w:kern w:val="0"/>
          <w:sz w:val="25"/>
          <w:szCs w:val="25"/>
        </w:rPr>
        <w:t></w:t>
      </w:r>
      <w:r>
        <w:rPr>
          <w:rFonts w:hint="eastAsia" w:ascii="Times New Roman" w:hAnsi="Times New Roman" w:eastAsia="宋体" w:cs="宋体"/>
          <w:kern w:val="0"/>
          <w:szCs w:val="21"/>
        </w:rPr>
        <w:t>为地网邻近的土壤电阻率的测试值）的相邻地网应进行相互连通；其隔距大于</w:t>
      </w:r>
      <w:r>
        <w:rPr>
          <w:rFonts w:hint="eastAsia" w:ascii="Times New Roman" w:hAnsi="Times New Roman" w:eastAsia="宋体" w:cs="Times New Roman"/>
          <w:position w:val="-12"/>
          <w:szCs w:val="21"/>
        </w:rPr>
        <w:object>
          <v:shape id="_x0000_i1027" o:spt="75" type="#_x0000_t75" style="height:19.35pt;width:26.85pt;" o:ole="t" filled="f" o:preferrelative="t" stroked="f" coordsize="21600,21600">
            <v:path/>
            <v:fill on="f" focussize="0,0"/>
            <v:stroke on="f" joinstyle="miter"/>
            <v:imagedata r:id="rId17" o:title=""/>
            <o:lock v:ext="edit" aspectratio="t"/>
            <w10:wrap type="none"/>
            <w10:anchorlock/>
          </v:shape>
          <o:OLEObject Type="Embed" ProgID="Equation.3" ShapeID="_x0000_i1027" DrawAspect="Content" ObjectID="_1468075727" r:id="rId20">
            <o:LockedField>false</o:LockedField>
          </o:OLEObject>
        </w:object>
      </w:r>
      <w:r>
        <w:rPr>
          <w:rFonts w:ascii="Symbol" w:hAnsi="Symbol" w:eastAsia="宋体" w:cs="Symbol"/>
          <w:kern w:val="0"/>
          <w:sz w:val="25"/>
          <w:szCs w:val="25"/>
        </w:rPr>
        <w:t></w:t>
      </w:r>
      <w:r>
        <w:rPr>
          <w:rFonts w:hint="eastAsia" w:ascii="Times New Roman" w:hAnsi="Times New Roman" w:eastAsia="宋体" w:cs="宋体"/>
          <w:kern w:val="0"/>
          <w:szCs w:val="21"/>
        </w:rPr>
        <w:t>米的则不必连通。</w:t>
      </w:r>
    </w:p>
    <w:p w14:paraId="3CF99092">
      <w:pPr>
        <w:autoSpaceDE w:val="0"/>
        <w:autoSpaceDN w:val="0"/>
        <w:adjustRightInd w:val="0"/>
        <w:ind w:firstLine="420" w:firstLineChars="200"/>
        <w:jc w:val="left"/>
        <w:rPr>
          <w:rFonts w:ascii="Times New Roman" w:hAnsi="Times New Roman" w:eastAsia="宋体" w:cs="宋体"/>
          <w:kern w:val="0"/>
          <w:szCs w:val="21"/>
        </w:rPr>
      </w:pPr>
      <w:r>
        <w:rPr>
          <w:rFonts w:hint="eastAsia" w:ascii="Times New Roman" w:hAnsi="Times New Roman" w:eastAsia="宋体" w:cs="Times New Roman"/>
        </w:rPr>
        <w:t>对于确实有规定不能直接连在一起的地网，也应采用等电位连接器进行连接。</w:t>
      </w:r>
    </w:p>
    <w:p w14:paraId="592206AE">
      <w:pPr>
        <w:autoSpaceDE w:val="0"/>
        <w:autoSpaceDN w:val="0"/>
        <w:adjustRightInd w:val="0"/>
        <w:ind w:firstLine="420" w:firstLineChars="200"/>
        <w:jc w:val="left"/>
        <w:rPr>
          <w:rFonts w:ascii="Times New Roman" w:hAnsi="Times New Roman" w:eastAsia="宋体" w:cs="Times New Roman"/>
        </w:rPr>
      </w:pPr>
      <w:r>
        <w:rPr>
          <w:rFonts w:hint="eastAsia" w:ascii="Times New Roman" w:hAnsi="Times New Roman" w:eastAsia="宋体" w:cs="宋体"/>
          <w:kern w:val="0"/>
          <w:szCs w:val="21"/>
        </w:rPr>
        <w:t>3. 定期检测地网接地电阻（应</w:t>
      </w:r>
      <w:r>
        <w:rPr>
          <w:rFonts w:hint="eastAsia" w:ascii="Times New Roman" w:hAnsi="Times New Roman" w:eastAsia="宋体" w:cs="Times New Roman"/>
          <w:szCs w:val="21"/>
        </w:rPr>
        <w:t>按本规程附录1的要求进行测量）</w:t>
      </w:r>
      <w:r>
        <w:rPr>
          <w:rFonts w:hint="eastAsia" w:ascii="Times New Roman" w:hAnsi="Times New Roman" w:eastAsia="宋体" w:cs="宋体"/>
          <w:kern w:val="0"/>
          <w:szCs w:val="21"/>
        </w:rPr>
        <w:t>并与前次测试值对比，主要考察接地电阻值的变化情况，以判断</w:t>
      </w:r>
      <w:r>
        <w:rPr>
          <w:rFonts w:hint="eastAsia" w:ascii="Times New Roman" w:hAnsi="Times New Roman" w:eastAsia="宋体" w:cs="Times New Roman"/>
        </w:rPr>
        <w:t>地网以及接地引入线（包括与地网连接点）的可靠性和有效性。每次测量应尽量选取相同月份、采用相同的仪表以及相同的测试位置，以保证不同年份测试值的可比性。</w:t>
      </w:r>
    </w:p>
    <w:p w14:paraId="62C16954">
      <w:pPr>
        <w:autoSpaceDE w:val="0"/>
        <w:autoSpaceDN w:val="0"/>
        <w:adjustRightInd w:val="0"/>
        <w:ind w:firstLine="420" w:firstLineChars="200"/>
        <w:jc w:val="left"/>
        <w:rPr>
          <w:rFonts w:ascii="Times New Roman" w:hAnsi="Times New Roman" w:eastAsia="宋体" w:cs="Times New Roman"/>
        </w:rPr>
      </w:pPr>
      <w:r>
        <w:rPr>
          <w:rFonts w:hint="eastAsia" w:ascii="Times New Roman" w:hAnsi="Times New Roman" w:eastAsia="宋体" w:cs="Times New Roman"/>
        </w:rPr>
        <w:t>当接地电阻测试值发生突变时（排除测试上的误差后），则很有可能是接地引入线本身或其与地网的连接点发生锈蚀断裂、也有可能是地网出现严重的锈蚀而失效。</w:t>
      </w:r>
    </w:p>
    <w:p w14:paraId="45E59CC5">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直击雷防护设施的维护</w:t>
      </w:r>
    </w:p>
    <w:p w14:paraId="152057A1">
      <w:pPr>
        <w:autoSpaceDE w:val="0"/>
        <w:autoSpaceDN w:val="0"/>
        <w:adjustRightInd w:val="0"/>
        <w:snapToGrid w:val="0"/>
        <w:ind w:firstLine="420" w:firstLineChars="200"/>
        <w:jc w:val="left"/>
        <w:rPr>
          <w:rFonts w:ascii="宋体" w:hAnsi="宋体" w:eastAsia="宋体" w:cs="宋体"/>
          <w:kern w:val="0"/>
          <w:szCs w:val="21"/>
        </w:rPr>
      </w:pPr>
      <w:r>
        <w:rPr>
          <w:rFonts w:hint="eastAsia" w:ascii="Times New Roman" w:hAnsi="Times New Roman" w:eastAsia="宋体" w:cs="Times New Roman"/>
        </w:rPr>
        <w:t>1. 定期</w:t>
      </w:r>
      <w:r>
        <w:rPr>
          <w:rFonts w:ascii="宋体" w:hAnsi="宋体" w:eastAsia="宋体" w:cs="宋体"/>
          <w:kern w:val="0"/>
          <w:szCs w:val="21"/>
        </w:rPr>
        <w:t>检查</w:t>
      </w:r>
      <w:r>
        <w:rPr>
          <w:rFonts w:hint="eastAsia" w:ascii="Times New Roman" w:hAnsi="Times New Roman" w:eastAsia="宋体" w:cs="Times New Roman"/>
        </w:rPr>
        <w:t>避雷针、避雷带、避雷网、泄流引下线等</w:t>
      </w:r>
      <w:r>
        <w:rPr>
          <w:rFonts w:ascii="宋体" w:hAnsi="宋体" w:eastAsia="宋体" w:cs="宋体"/>
          <w:kern w:val="0"/>
          <w:szCs w:val="21"/>
        </w:rPr>
        <w:t>的腐蚀情况及机械损伤，包括</w:t>
      </w:r>
      <w:r>
        <w:rPr>
          <w:rFonts w:hint="eastAsia" w:ascii="宋体" w:hAnsi="宋体" w:eastAsia="宋体" w:cs="宋体"/>
          <w:kern w:val="0"/>
          <w:szCs w:val="21"/>
        </w:rPr>
        <w:t>因</w:t>
      </w:r>
      <w:r>
        <w:rPr>
          <w:rFonts w:ascii="宋体" w:hAnsi="宋体" w:eastAsia="宋体" w:cs="宋体"/>
          <w:kern w:val="0"/>
          <w:szCs w:val="21"/>
        </w:rPr>
        <w:t>雷击放电所造成的损伤</w:t>
      </w:r>
      <w:r>
        <w:rPr>
          <w:rFonts w:hint="eastAsia" w:ascii="宋体" w:hAnsi="宋体" w:eastAsia="宋体" w:cs="宋体"/>
          <w:kern w:val="0"/>
          <w:szCs w:val="21"/>
        </w:rPr>
        <w:t>及连接部位松动等</w:t>
      </w:r>
      <w:r>
        <w:rPr>
          <w:rFonts w:ascii="宋体" w:hAnsi="宋体" w:eastAsia="宋体" w:cs="宋体"/>
          <w:kern w:val="0"/>
          <w:szCs w:val="21"/>
        </w:rPr>
        <w:t>情况</w:t>
      </w:r>
      <w:r>
        <w:rPr>
          <w:rFonts w:hint="eastAsia" w:ascii="宋体" w:hAnsi="宋体" w:eastAsia="宋体" w:cs="宋体"/>
          <w:kern w:val="0"/>
          <w:szCs w:val="21"/>
        </w:rPr>
        <w:t>。一旦发现</w:t>
      </w:r>
      <w:r>
        <w:rPr>
          <w:rFonts w:ascii="宋体" w:hAnsi="宋体" w:eastAsia="宋体" w:cs="宋体"/>
          <w:kern w:val="0"/>
          <w:szCs w:val="21"/>
        </w:rPr>
        <w:t>，应及时修复；当锈蚀部位超过</w:t>
      </w:r>
      <w:r>
        <w:rPr>
          <w:rFonts w:hint="eastAsia" w:ascii="宋体" w:hAnsi="宋体" w:eastAsia="宋体" w:cs="宋体"/>
          <w:kern w:val="0"/>
          <w:szCs w:val="21"/>
        </w:rPr>
        <w:t>其</w:t>
      </w:r>
      <w:r>
        <w:rPr>
          <w:rFonts w:ascii="宋体" w:hAnsi="宋体" w:eastAsia="宋体" w:cs="宋体"/>
          <w:kern w:val="0"/>
          <w:szCs w:val="21"/>
        </w:rPr>
        <w:t>截面的三分之一时，应</w:t>
      </w:r>
      <w:r>
        <w:rPr>
          <w:rFonts w:hint="eastAsia" w:ascii="宋体" w:hAnsi="宋体" w:eastAsia="宋体" w:cs="宋体"/>
          <w:kern w:val="0"/>
          <w:szCs w:val="21"/>
        </w:rPr>
        <w:t>进行</w:t>
      </w:r>
      <w:r>
        <w:rPr>
          <w:rFonts w:ascii="宋体" w:hAnsi="宋体" w:eastAsia="宋体" w:cs="宋体"/>
          <w:kern w:val="0"/>
          <w:szCs w:val="21"/>
        </w:rPr>
        <w:t>更换。</w:t>
      </w:r>
    </w:p>
    <w:p w14:paraId="06E8E3DB">
      <w:pPr>
        <w:autoSpaceDE w:val="0"/>
        <w:autoSpaceDN w:val="0"/>
        <w:adjustRightInd w:val="0"/>
        <w:snapToGrid w:val="0"/>
        <w:ind w:firstLine="420" w:firstLineChars="200"/>
        <w:jc w:val="left"/>
        <w:rPr>
          <w:rFonts w:ascii="Times New Roman" w:hAnsi="Times New Roman" w:eastAsia="宋体" w:cs="Times New Roman"/>
        </w:rPr>
      </w:pPr>
      <w:r>
        <w:rPr>
          <w:rFonts w:hint="eastAsia" w:ascii="Times New Roman" w:hAnsi="Times New Roman" w:eastAsia="宋体" w:cs="Times New Roman"/>
        </w:rPr>
        <w:t>2. 检查楼顶天面上所有裸露的正常不带电金属物体（特别是新增设的金属设施）应就近进行接地连接。</w:t>
      </w:r>
    </w:p>
    <w:p w14:paraId="480F6B7E">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室内接地系统的维护</w:t>
      </w:r>
    </w:p>
    <w:p w14:paraId="52F5C0F7">
      <w:pPr>
        <w:ind w:firstLine="420"/>
        <w:rPr>
          <w:rFonts w:ascii="Times New Roman" w:hAnsi="Times New Roman" w:eastAsia="宋体" w:cs="Times New Roman"/>
        </w:rPr>
      </w:pPr>
      <w:r>
        <w:rPr>
          <w:rFonts w:hint="eastAsia" w:ascii="Times New Roman" w:hAnsi="Times New Roman" w:eastAsia="宋体" w:cs="Times New Roman"/>
        </w:rPr>
        <w:t>1. 检查各类设备地线是否按标准要求与机房相应接地汇流排进行连接。</w:t>
      </w:r>
    </w:p>
    <w:p w14:paraId="3FB4B77B">
      <w:pPr>
        <w:ind w:firstLine="420"/>
        <w:rPr>
          <w:rFonts w:ascii="Times New Roman" w:hAnsi="Times New Roman" w:eastAsia="宋体" w:cs="Times New Roman"/>
        </w:rPr>
      </w:pPr>
      <w:r>
        <w:rPr>
          <w:rFonts w:hint="eastAsia" w:ascii="Times New Roman" w:hAnsi="Times New Roman" w:eastAsia="宋体" w:cs="Times New Roman"/>
        </w:rPr>
        <w:t>2. 定期检查接地引入线与接地总汇流排的连接、不同接地汇流排之间的地线连接以及各类设备地线在设备端及接地汇流排处的连接可靠、无松动现象。</w:t>
      </w:r>
    </w:p>
    <w:p w14:paraId="7270E435">
      <w:pPr>
        <w:ind w:firstLine="420"/>
        <w:rPr>
          <w:rFonts w:ascii="Times New Roman" w:hAnsi="Times New Roman" w:eastAsia="宋体" w:cs="Times New Roman"/>
        </w:rPr>
      </w:pPr>
      <w:r>
        <w:rPr>
          <w:rFonts w:hint="eastAsia" w:ascii="Times New Roman" w:hAnsi="Times New Roman" w:eastAsia="宋体" w:cs="Times New Roman"/>
        </w:rPr>
        <w:t>3. 检查接地汇流排上各类地线的标识是否清楚、准确；确保新增加设备地线的连接符合标准要求。</w:t>
      </w:r>
    </w:p>
    <w:p w14:paraId="62F28A75">
      <w:pPr>
        <w:autoSpaceDE w:val="0"/>
        <w:autoSpaceDN w:val="0"/>
        <w:adjustRightInd w:val="0"/>
        <w:ind w:firstLine="420" w:firstLineChars="200"/>
        <w:jc w:val="left"/>
        <w:rPr>
          <w:rFonts w:ascii="Times New Roman" w:hAnsi="Times New Roman" w:eastAsia="宋体" w:cs="Times New Roman"/>
        </w:rPr>
      </w:pPr>
      <w:r>
        <w:rPr>
          <w:rFonts w:hint="eastAsia" w:ascii="Times New Roman" w:hAnsi="Times New Roman" w:eastAsia="宋体" w:cs="Times New Roman"/>
        </w:rPr>
        <w:t>4. 检查移动基站的各类地线是否按标准要求正确地连接至室内、室外接地汇流排。</w:t>
      </w:r>
    </w:p>
    <w:p w14:paraId="069F3439">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电源防雷设备的维护</w:t>
      </w:r>
    </w:p>
    <w:p w14:paraId="4A4C1D65">
      <w:pPr>
        <w:autoSpaceDE w:val="0"/>
        <w:autoSpaceDN w:val="0"/>
        <w:adjustRightInd w:val="0"/>
        <w:ind w:firstLine="420" w:firstLineChars="200"/>
        <w:jc w:val="left"/>
        <w:rPr>
          <w:rFonts w:ascii="Times New Roman" w:hAnsi="Times New Roman" w:eastAsia="宋体" w:cs="Times New Roman"/>
        </w:rPr>
      </w:pPr>
      <w:r>
        <w:rPr>
          <w:rFonts w:hint="eastAsia" w:ascii="Times New Roman" w:hAnsi="Times New Roman" w:eastAsia="宋体" w:cs="Times New Roman"/>
        </w:rPr>
        <w:t>1. 动力维护部门应建立所辖维护区域内的电源防雷设备的配置类型及安装位置的相关图纸资料。</w:t>
      </w:r>
    </w:p>
    <w:p w14:paraId="26432793">
      <w:pPr>
        <w:autoSpaceDE w:val="0"/>
        <w:autoSpaceDN w:val="0"/>
        <w:adjustRightInd w:val="0"/>
        <w:ind w:firstLine="420" w:firstLineChars="200"/>
        <w:jc w:val="left"/>
        <w:rPr>
          <w:rFonts w:ascii="Times New Roman" w:hAnsi="Times New Roman" w:eastAsia="宋体" w:cs="Times New Roman"/>
        </w:rPr>
      </w:pPr>
      <w:r>
        <w:rPr>
          <w:rFonts w:hint="eastAsia" w:ascii="Times New Roman" w:hAnsi="Times New Roman" w:eastAsia="宋体" w:cs="Times New Roman"/>
        </w:rPr>
        <w:t>2. 定期检查防雷设备失效指示和空气开关（或保险丝）状态，防雷模块是否有明显发热，发现异常情况应及时处理。对出现异常或超过有效使用期限的防雷模块应及时更换。</w:t>
      </w:r>
    </w:p>
    <w:p w14:paraId="06ACFCAF">
      <w:pPr>
        <w:autoSpaceDE w:val="0"/>
        <w:autoSpaceDN w:val="0"/>
        <w:adjustRightInd w:val="0"/>
        <w:ind w:firstLine="420" w:firstLineChars="200"/>
        <w:jc w:val="left"/>
        <w:rPr>
          <w:rFonts w:ascii="Times New Roman" w:hAnsi="Times New Roman" w:eastAsia="宋体" w:cs="Times New Roman"/>
        </w:rPr>
      </w:pPr>
      <w:r>
        <w:rPr>
          <w:rFonts w:hint="eastAsia" w:ascii="Times New Roman" w:hAnsi="Times New Roman" w:eastAsia="宋体" w:cs="Times New Roman"/>
        </w:rPr>
        <w:t>3. 定期检查防雷设备的引接线及接地线是否连接牢固可靠。</w:t>
      </w:r>
    </w:p>
    <w:p w14:paraId="45BEA916">
      <w:pPr>
        <w:autoSpaceDE w:val="0"/>
        <w:autoSpaceDN w:val="0"/>
        <w:adjustRightInd w:val="0"/>
        <w:ind w:firstLine="420" w:firstLineChars="200"/>
        <w:jc w:val="left"/>
        <w:rPr>
          <w:rFonts w:ascii="Times New Roman" w:hAnsi="Times New Roman" w:eastAsia="宋体" w:cs="Times New Roman"/>
        </w:rPr>
      </w:pPr>
      <w:r>
        <w:rPr>
          <w:rFonts w:hint="eastAsia" w:ascii="Times New Roman" w:hAnsi="Times New Roman" w:eastAsia="宋体" w:cs="Times New Roman"/>
        </w:rPr>
        <w:t>4. 定期检查防雷设备的各种辅助指示电路工作是否正常、连接电缆接头是否牢固。</w:t>
      </w:r>
    </w:p>
    <w:p w14:paraId="06DACE1E">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★维护周期表</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4678"/>
        <w:gridCol w:w="3169"/>
      </w:tblGrid>
      <w:tr w14:paraId="6956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00E40A86">
            <w:pPr>
              <w:autoSpaceDE w:val="0"/>
              <w:autoSpaceDN w:val="0"/>
              <w:adjustRightInd w:val="0"/>
              <w:spacing w:line="360" w:lineRule="auto"/>
              <w:jc w:val="center"/>
              <w:rPr>
                <w:rFonts w:ascii="黑体" w:hAnsi="Times New Roman" w:eastAsia="黑体" w:cs="Times New Roman"/>
              </w:rPr>
            </w:pPr>
            <w:r>
              <w:rPr>
                <w:rFonts w:hint="eastAsia" w:ascii="黑体" w:hAnsi="Times New Roman" w:eastAsia="黑体" w:cs="Times New Roman"/>
              </w:rPr>
              <w:t>周期</w:t>
            </w:r>
          </w:p>
        </w:tc>
        <w:tc>
          <w:tcPr>
            <w:tcW w:w="4678" w:type="dxa"/>
          </w:tcPr>
          <w:p w14:paraId="00022168">
            <w:pPr>
              <w:autoSpaceDE w:val="0"/>
              <w:autoSpaceDN w:val="0"/>
              <w:adjustRightInd w:val="0"/>
              <w:spacing w:line="360" w:lineRule="auto"/>
              <w:jc w:val="center"/>
              <w:rPr>
                <w:rFonts w:ascii="黑体" w:hAnsi="Times New Roman" w:eastAsia="黑体" w:cs="Times New Roman"/>
              </w:rPr>
            </w:pPr>
            <w:r>
              <w:rPr>
                <w:rFonts w:hint="eastAsia" w:ascii="黑体" w:hAnsi="Times New Roman" w:eastAsia="黑体" w:cs="Times New Roman"/>
              </w:rPr>
              <w:t>项目</w:t>
            </w:r>
          </w:p>
        </w:tc>
        <w:tc>
          <w:tcPr>
            <w:tcW w:w="3169" w:type="dxa"/>
          </w:tcPr>
          <w:p w14:paraId="470A9F8B">
            <w:pPr>
              <w:autoSpaceDE w:val="0"/>
              <w:autoSpaceDN w:val="0"/>
              <w:adjustRightInd w:val="0"/>
              <w:spacing w:line="360" w:lineRule="auto"/>
              <w:jc w:val="center"/>
              <w:rPr>
                <w:rFonts w:ascii="黑体" w:hAnsi="Times New Roman" w:eastAsia="黑体" w:cs="Times New Roman"/>
              </w:rPr>
            </w:pPr>
            <w:r>
              <w:rPr>
                <w:rFonts w:hint="eastAsia" w:ascii="黑体" w:hAnsi="Times New Roman" w:eastAsia="黑体" w:cs="Times New Roman"/>
              </w:rPr>
              <w:t>说明</w:t>
            </w:r>
          </w:p>
        </w:tc>
      </w:tr>
      <w:tr w14:paraId="5227B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6D39E7A">
            <w:pPr>
              <w:autoSpaceDE w:val="0"/>
              <w:autoSpaceDN w:val="0"/>
              <w:adjustRightInd w:val="0"/>
              <w:spacing w:line="360" w:lineRule="auto"/>
              <w:jc w:val="center"/>
              <w:rPr>
                <w:rFonts w:ascii="Times New Roman" w:hAnsi="Times New Roman" w:eastAsia="宋体" w:cs="Times New Roman"/>
              </w:rPr>
            </w:pPr>
            <w:r>
              <w:rPr>
                <w:rFonts w:hint="eastAsia" w:ascii="Times New Roman" w:hAnsi="Times New Roman" w:eastAsia="宋体" w:cs="Times New Roman"/>
              </w:rPr>
              <w:t>月</w:t>
            </w:r>
          </w:p>
        </w:tc>
        <w:tc>
          <w:tcPr>
            <w:tcW w:w="4678" w:type="dxa"/>
          </w:tcPr>
          <w:p w14:paraId="6DEC99BE">
            <w:pPr>
              <w:autoSpaceDE w:val="0"/>
              <w:autoSpaceDN w:val="0"/>
              <w:adjustRightInd w:val="0"/>
              <w:jc w:val="left"/>
              <w:rPr>
                <w:rFonts w:ascii="Times New Roman" w:hAnsi="Times New Roman" w:eastAsia="宋体" w:cs="Times New Roman"/>
              </w:rPr>
            </w:pPr>
            <w:r>
              <w:rPr>
                <w:rFonts w:hint="eastAsia" w:ascii="Times New Roman" w:hAnsi="Times New Roman" w:eastAsia="宋体" w:cs="Times New Roman"/>
              </w:rPr>
              <w:t>检查防雷设备失效指示和断路开关（或保险丝）状态，防雷模块是否有明显发热。</w:t>
            </w:r>
          </w:p>
        </w:tc>
        <w:tc>
          <w:tcPr>
            <w:tcW w:w="3169" w:type="dxa"/>
          </w:tcPr>
          <w:p w14:paraId="002D44F4">
            <w:pPr>
              <w:autoSpaceDE w:val="0"/>
              <w:autoSpaceDN w:val="0"/>
              <w:adjustRightInd w:val="0"/>
              <w:jc w:val="left"/>
              <w:rPr>
                <w:rFonts w:ascii="Times New Roman" w:hAnsi="Times New Roman" w:eastAsia="宋体" w:cs="Times New Roman"/>
              </w:rPr>
            </w:pPr>
            <w:r>
              <w:rPr>
                <w:rFonts w:hint="eastAsia" w:ascii="Times New Roman" w:hAnsi="Times New Roman" w:eastAsia="宋体" w:cs="Times New Roman"/>
              </w:rPr>
              <w:t>目测、红外测温仪以及人工检查。</w:t>
            </w:r>
          </w:p>
        </w:tc>
      </w:tr>
      <w:tr w14:paraId="7228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B4C767E">
            <w:pPr>
              <w:autoSpaceDE w:val="0"/>
              <w:autoSpaceDN w:val="0"/>
              <w:adjustRightInd w:val="0"/>
              <w:spacing w:line="360" w:lineRule="auto"/>
              <w:jc w:val="center"/>
              <w:rPr>
                <w:rFonts w:ascii="Times New Roman" w:hAnsi="Times New Roman" w:eastAsia="宋体" w:cs="Times New Roman"/>
              </w:rPr>
            </w:pPr>
            <w:r>
              <w:rPr>
                <w:rFonts w:hint="eastAsia" w:ascii="Times New Roman" w:hAnsi="Times New Roman" w:eastAsia="宋体" w:cs="Times New Roman"/>
              </w:rPr>
              <w:t>年</w:t>
            </w:r>
          </w:p>
        </w:tc>
        <w:tc>
          <w:tcPr>
            <w:tcW w:w="4678" w:type="dxa"/>
          </w:tcPr>
          <w:p w14:paraId="2773FE71">
            <w:pPr>
              <w:autoSpaceDE w:val="0"/>
              <w:autoSpaceDN w:val="0"/>
              <w:adjustRightInd w:val="0"/>
              <w:jc w:val="left"/>
              <w:rPr>
                <w:rFonts w:ascii="Times New Roman" w:hAnsi="Times New Roman" w:eastAsia="宋体" w:cs="Times New Roman"/>
              </w:rPr>
            </w:pPr>
            <w:r>
              <w:rPr>
                <w:rFonts w:hint="eastAsia" w:ascii="Times New Roman" w:hAnsi="Times New Roman" w:eastAsia="宋体" w:cs="Times New Roman"/>
              </w:rPr>
              <w:t>1. 检查防雷接地系统的引接线及接地线是否连接牢固可靠。</w:t>
            </w:r>
          </w:p>
          <w:p w14:paraId="4881D807">
            <w:pPr>
              <w:autoSpaceDE w:val="0"/>
              <w:autoSpaceDN w:val="0"/>
              <w:adjustRightInd w:val="0"/>
              <w:jc w:val="left"/>
              <w:rPr>
                <w:rFonts w:ascii="Times New Roman" w:hAnsi="Times New Roman" w:eastAsia="宋体" w:cs="Times New Roman"/>
              </w:rPr>
            </w:pPr>
            <w:r>
              <w:rPr>
                <w:rFonts w:hint="eastAsia" w:ascii="Times New Roman" w:hAnsi="Times New Roman" w:eastAsia="宋体" w:cs="Times New Roman"/>
              </w:rPr>
              <w:t>2. 检查直击雷防护设施以及室内接地系统的各个连接部位是否牢固可靠。</w:t>
            </w:r>
          </w:p>
        </w:tc>
        <w:tc>
          <w:tcPr>
            <w:tcW w:w="3169" w:type="dxa"/>
          </w:tcPr>
          <w:p w14:paraId="647476E3">
            <w:pPr>
              <w:autoSpaceDE w:val="0"/>
              <w:autoSpaceDN w:val="0"/>
              <w:adjustRightInd w:val="0"/>
              <w:jc w:val="left"/>
              <w:rPr>
                <w:rFonts w:ascii="Times New Roman" w:hAnsi="Times New Roman" w:eastAsia="宋体" w:cs="Times New Roman"/>
              </w:rPr>
            </w:pPr>
            <w:r>
              <w:rPr>
                <w:rFonts w:hint="eastAsia" w:ascii="Times New Roman" w:hAnsi="Times New Roman" w:eastAsia="宋体" w:cs="Times New Roman"/>
              </w:rPr>
              <w:t>特别是雷雨季节的前后季应作为重点。</w:t>
            </w:r>
          </w:p>
        </w:tc>
      </w:tr>
      <w:tr w14:paraId="73E7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43BD6E5">
            <w:pPr>
              <w:autoSpaceDE w:val="0"/>
              <w:autoSpaceDN w:val="0"/>
              <w:adjustRightInd w:val="0"/>
              <w:spacing w:line="360" w:lineRule="auto"/>
              <w:jc w:val="center"/>
              <w:rPr>
                <w:rFonts w:ascii="Times New Roman" w:hAnsi="Times New Roman" w:eastAsia="宋体" w:cs="Times New Roman"/>
              </w:rPr>
            </w:pPr>
          </w:p>
        </w:tc>
        <w:tc>
          <w:tcPr>
            <w:tcW w:w="4678" w:type="dxa"/>
          </w:tcPr>
          <w:p w14:paraId="5D0585C8">
            <w:pPr>
              <w:autoSpaceDE w:val="0"/>
              <w:autoSpaceDN w:val="0"/>
              <w:adjustRightInd w:val="0"/>
              <w:jc w:val="left"/>
              <w:rPr>
                <w:rFonts w:ascii="Times New Roman" w:hAnsi="Times New Roman" w:eastAsia="宋体" w:cs="Times New Roman"/>
              </w:rPr>
            </w:pPr>
            <w:r>
              <w:rPr>
                <w:rFonts w:hint="eastAsia" w:ascii="Times New Roman" w:hAnsi="Times New Roman" w:eastAsia="宋体" w:cs="Times New Roman"/>
              </w:rPr>
              <w:t>3. 地网接地电阻测试。</w:t>
            </w:r>
          </w:p>
        </w:tc>
        <w:tc>
          <w:tcPr>
            <w:tcW w:w="3169" w:type="dxa"/>
          </w:tcPr>
          <w:p w14:paraId="6BC36BC6">
            <w:pPr>
              <w:autoSpaceDE w:val="0"/>
              <w:autoSpaceDN w:val="0"/>
              <w:adjustRightInd w:val="0"/>
              <w:jc w:val="left"/>
              <w:rPr>
                <w:rFonts w:ascii="Times New Roman" w:hAnsi="Times New Roman" w:eastAsia="宋体" w:cs="Times New Roman"/>
              </w:rPr>
            </w:pPr>
            <w:r>
              <w:rPr>
                <w:rFonts w:hint="eastAsia" w:ascii="Times New Roman" w:hAnsi="Times New Roman" w:eastAsia="宋体" w:cs="Times New Roman"/>
              </w:rPr>
              <w:t>每次测量应尽量选取相同月份、采用相同的仪表以及相同的测试位置，并避开雨后潮湿天气。</w:t>
            </w:r>
          </w:p>
        </w:tc>
      </w:tr>
    </w:tbl>
    <w:p w14:paraId="333E8C5B">
      <w:pPr>
        <w:ind w:left="420" w:leftChars="200"/>
        <w:rPr>
          <w:rFonts w:ascii="Times New Roman" w:hAnsi="Times New Roman" w:eastAsia="宋体" w:cs="Times New Roman"/>
        </w:rPr>
      </w:pPr>
      <w:bookmarkStart w:id="1468" w:name="_Toc14560"/>
      <w:bookmarkStart w:id="1469" w:name="_Toc347307773"/>
    </w:p>
    <w:p w14:paraId="28533FC7">
      <w:pPr>
        <w:ind w:left="420" w:leftChars="200"/>
        <w:rPr>
          <w:rFonts w:ascii="Times New Roman" w:hAnsi="Times New Roman" w:eastAsia="宋体" w:cs="Times New Roman"/>
        </w:rPr>
      </w:pPr>
      <w:r>
        <w:rPr>
          <w:rFonts w:hint="eastAsia" w:ascii="Times New Roman" w:hAnsi="Times New Roman" w:eastAsia="宋体" w:cs="Times New Roman"/>
        </w:rPr>
        <w:t>小型业务接入点的设备维护</w:t>
      </w:r>
      <w:bookmarkEnd w:id="1468"/>
      <w:bookmarkEnd w:id="1469"/>
    </w:p>
    <w:p w14:paraId="14330F8E">
      <w:pPr>
        <w:numPr>
          <w:ilvl w:val="0"/>
          <w:numId w:val="12"/>
        </w:numPr>
        <w:spacing w:line="360" w:lineRule="exact"/>
        <w:ind w:left="0" w:firstLine="420"/>
        <w:rPr>
          <w:rFonts w:ascii="Times New Roman" w:hAnsi="Times New Roman" w:eastAsia="宋体" w:cs="Times New Roman"/>
        </w:rPr>
      </w:pPr>
      <w:r>
        <w:rPr>
          <w:rFonts w:ascii="Times New Roman" w:hAnsi="Times New Roman" w:eastAsia="宋体" w:cs="Times New Roman"/>
        </w:rPr>
        <w:t>本章所述小型</w:t>
      </w:r>
      <w:r>
        <w:rPr>
          <w:rFonts w:hint="eastAsia" w:ascii="Times New Roman" w:hAnsi="Times New Roman" w:eastAsia="宋体" w:cs="Times New Roman"/>
        </w:rPr>
        <w:t>业务接入点</w:t>
      </w:r>
      <w:r>
        <w:rPr>
          <w:rFonts w:ascii="Times New Roman" w:hAnsi="Times New Roman" w:eastAsia="宋体" w:cs="Times New Roman"/>
        </w:rPr>
        <w:t>包括室外一体化</w:t>
      </w:r>
      <w:r>
        <w:rPr>
          <w:rFonts w:hint="eastAsia" w:ascii="Times New Roman" w:hAnsi="Times New Roman" w:eastAsia="宋体" w:cs="Times New Roman"/>
        </w:rPr>
        <w:t>机</w:t>
      </w:r>
      <w:r>
        <w:rPr>
          <w:rFonts w:ascii="Times New Roman" w:hAnsi="Times New Roman" w:eastAsia="宋体" w:cs="Times New Roman"/>
        </w:rPr>
        <w:t>柜、一体化基站、</w:t>
      </w:r>
      <w:r>
        <w:rPr>
          <w:rFonts w:hint="eastAsia" w:ascii="Times New Roman" w:hAnsi="Times New Roman" w:eastAsia="宋体" w:cs="Times New Roman"/>
        </w:rPr>
        <w:t>FTTx节点</w:t>
      </w:r>
      <w:r>
        <w:rPr>
          <w:rFonts w:ascii="Times New Roman" w:hAnsi="Times New Roman" w:eastAsia="宋体" w:cs="Times New Roman"/>
        </w:rPr>
        <w:t>、</w:t>
      </w:r>
      <w:r>
        <w:rPr>
          <w:rFonts w:hint="eastAsia" w:ascii="Times New Roman" w:hAnsi="Times New Roman" w:eastAsia="宋体" w:cs="Times New Roman"/>
        </w:rPr>
        <w:t>小型POP点、宽带接入设备等</w:t>
      </w:r>
      <w:r>
        <w:rPr>
          <w:rFonts w:ascii="Times New Roman" w:hAnsi="Times New Roman" w:eastAsia="宋体" w:cs="Times New Roman"/>
        </w:rPr>
        <w:t>相对前面章节而言规模较小、对网络及用户影响程度较低</w:t>
      </w:r>
      <w:r>
        <w:rPr>
          <w:rFonts w:hint="eastAsia" w:ascii="Times New Roman" w:hAnsi="Times New Roman" w:eastAsia="宋体" w:cs="Times New Roman"/>
        </w:rPr>
        <w:t>、无独立建筑物的接入点</w:t>
      </w:r>
      <w:r>
        <w:rPr>
          <w:rFonts w:ascii="Times New Roman" w:hAnsi="Times New Roman" w:eastAsia="宋体" w:cs="Times New Roman"/>
        </w:rPr>
        <w:t>。其动力系统设备的维护要求可以相对适当放宽，但需要</w:t>
      </w:r>
      <w:r>
        <w:rPr>
          <w:rFonts w:hint="eastAsia" w:ascii="Times New Roman" w:hAnsi="Times New Roman" w:eastAsia="宋体" w:cs="Times New Roman"/>
        </w:rPr>
        <w:t>加强</w:t>
      </w:r>
      <w:r>
        <w:rPr>
          <w:rFonts w:ascii="Times New Roman" w:hAnsi="Times New Roman" w:eastAsia="宋体" w:cs="Times New Roman"/>
        </w:rPr>
        <w:t>巡视检查和定期维护。</w:t>
      </w:r>
    </w:p>
    <w:p w14:paraId="47A442F4">
      <w:pPr>
        <w:numPr>
          <w:ilvl w:val="0"/>
          <w:numId w:val="12"/>
        </w:numPr>
        <w:spacing w:line="360" w:lineRule="exact"/>
        <w:ind w:left="0" w:firstLine="420"/>
        <w:rPr>
          <w:rFonts w:ascii="Times New Roman" w:hAnsi="Times New Roman" w:eastAsia="宋体" w:cs="Times New Roman"/>
          <w:szCs w:val="21"/>
        </w:rPr>
      </w:pPr>
      <w:r>
        <w:rPr>
          <w:rFonts w:hint="eastAsia" w:ascii="Times New Roman" w:hAnsi="Times New Roman" w:eastAsia="宋体" w:cs="Times New Roman"/>
          <w:szCs w:val="21"/>
        </w:rPr>
        <w:t>外围环境要求</w:t>
      </w:r>
    </w:p>
    <w:p w14:paraId="66ACB242">
      <w:pPr>
        <w:widowControl w:val="0"/>
        <w:numPr>
          <w:ilvl w:val="0"/>
          <w:numId w:val="19"/>
        </w:numPr>
        <w:ind w:left="840" w:hanging="36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周边无易燃、易爆等杂物堆积；</w:t>
      </w:r>
    </w:p>
    <w:p w14:paraId="3A7C3F17">
      <w:pPr>
        <w:widowControl w:val="0"/>
        <w:numPr>
          <w:ilvl w:val="0"/>
          <w:numId w:val="19"/>
        </w:numPr>
        <w:ind w:left="840" w:hanging="36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周边排水畅通，不能有积水形成；</w:t>
      </w:r>
    </w:p>
    <w:p w14:paraId="2AF0AE76">
      <w:pPr>
        <w:widowControl w:val="0"/>
        <w:numPr>
          <w:ilvl w:val="0"/>
          <w:numId w:val="19"/>
        </w:numPr>
        <w:ind w:left="840" w:hanging="36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有一定的防盗措施；</w:t>
      </w:r>
    </w:p>
    <w:p w14:paraId="00B4FAD7">
      <w:pPr>
        <w:widowControl w:val="0"/>
        <w:numPr>
          <w:ilvl w:val="0"/>
          <w:numId w:val="19"/>
        </w:numPr>
        <w:ind w:left="840" w:hanging="36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空洞封堵严密，防止雨水、小动物入侵；</w:t>
      </w:r>
    </w:p>
    <w:p w14:paraId="4CC3CCCF">
      <w:pPr>
        <w:widowControl w:val="0"/>
        <w:numPr>
          <w:ilvl w:val="0"/>
          <w:numId w:val="19"/>
        </w:numPr>
        <w:ind w:left="840" w:hanging="360" w:firstLineChars="0"/>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设备及机房具有防雷及防强电入侵能力。</w:t>
      </w:r>
    </w:p>
    <w:p w14:paraId="578B0A07">
      <w:pPr>
        <w:numPr>
          <w:ilvl w:val="0"/>
          <w:numId w:val="12"/>
        </w:numPr>
        <w:spacing w:line="360" w:lineRule="exact"/>
        <w:ind w:left="0" w:firstLine="420"/>
        <w:rPr>
          <w:rFonts w:ascii="Times New Roman" w:hAnsi="Times New Roman" w:eastAsia="宋体" w:cs="Times New Roman"/>
          <w:szCs w:val="21"/>
        </w:rPr>
      </w:pPr>
      <w:r>
        <w:rPr>
          <w:rFonts w:hint="eastAsia" w:ascii="Times New Roman" w:hAnsi="Times New Roman" w:eastAsia="宋体" w:cs="Times New Roman"/>
          <w:szCs w:val="21"/>
        </w:rPr>
        <w:t>电源设备运行环境要求</w:t>
      </w:r>
    </w:p>
    <w:p w14:paraId="524251B2">
      <w:pPr>
        <w:widowControl w:val="0"/>
        <w:numPr>
          <w:ilvl w:val="0"/>
          <w:numId w:val="20"/>
        </w:numPr>
        <w:ind w:left="862" w:hanging="36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设备自然通风风道、空调、热交换器风道畅通，滤网无阻塞、破损；</w:t>
      </w:r>
    </w:p>
    <w:p w14:paraId="5CF318E9">
      <w:pPr>
        <w:widowControl w:val="0"/>
        <w:numPr>
          <w:ilvl w:val="0"/>
          <w:numId w:val="20"/>
        </w:numPr>
        <w:ind w:left="862" w:hanging="36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导风电机、空调器、热交换器等风扇工作正常、无异响；</w:t>
      </w:r>
    </w:p>
    <w:p w14:paraId="0120E00D">
      <w:pPr>
        <w:widowControl w:val="0"/>
        <w:numPr>
          <w:ilvl w:val="0"/>
          <w:numId w:val="20"/>
        </w:numPr>
        <w:ind w:left="862" w:hanging="36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机柜内温湿度在设备运行允许范围内；</w:t>
      </w:r>
    </w:p>
    <w:p w14:paraId="5CD0645A">
      <w:pPr>
        <w:widowControl w:val="0"/>
        <w:numPr>
          <w:ilvl w:val="0"/>
          <w:numId w:val="20"/>
        </w:numPr>
        <w:ind w:left="862" w:hanging="360" w:firstLineChars="0"/>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防雷保护装置运行良好，机壳接地良好</w:t>
      </w:r>
      <w:r>
        <w:rPr>
          <w:rFonts w:hint="eastAsia" w:ascii="Times New Roman" w:hAnsi="Times New Roman" w:eastAsia="宋体" w:cs="Times New Roman"/>
          <w:kern w:val="2"/>
          <w:sz w:val="21"/>
          <w:szCs w:val="21"/>
          <w:lang w:val="en-US" w:eastAsia="zh-CN" w:bidi="ar-SA"/>
        </w:rPr>
        <w:t>。</w:t>
      </w:r>
    </w:p>
    <w:p w14:paraId="1FCBAE07">
      <w:pPr>
        <w:numPr>
          <w:ilvl w:val="0"/>
          <w:numId w:val="12"/>
        </w:numPr>
        <w:spacing w:line="360" w:lineRule="exact"/>
        <w:ind w:left="0" w:firstLine="420"/>
        <w:rPr>
          <w:rFonts w:ascii="Times New Roman" w:hAnsi="Times New Roman" w:eastAsia="宋体" w:cs="Times New Roman"/>
          <w:szCs w:val="21"/>
        </w:rPr>
      </w:pPr>
      <w:r>
        <w:rPr>
          <w:rFonts w:hint="eastAsia" w:ascii="Times New Roman" w:hAnsi="Times New Roman" w:eastAsia="宋体" w:cs="Times New Roman"/>
          <w:szCs w:val="21"/>
        </w:rPr>
        <w:t>设备配电维护要求</w:t>
      </w:r>
    </w:p>
    <w:p w14:paraId="0D42C943">
      <w:pPr>
        <w:widowControl w:val="0"/>
        <w:numPr>
          <w:ilvl w:val="0"/>
          <w:numId w:val="21"/>
        </w:numPr>
        <w:ind w:left="862" w:hanging="36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电源引入线缆载流量满足设备及照明要求；</w:t>
      </w:r>
    </w:p>
    <w:p w14:paraId="6DAE3AD1">
      <w:pPr>
        <w:widowControl w:val="0"/>
        <w:numPr>
          <w:ilvl w:val="0"/>
          <w:numId w:val="21"/>
        </w:numPr>
        <w:ind w:left="862" w:hanging="36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引入电源电压、频率满足设备正常运行的要求；</w:t>
      </w:r>
    </w:p>
    <w:p w14:paraId="02465CE1">
      <w:pPr>
        <w:widowControl w:val="0"/>
        <w:numPr>
          <w:ilvl w:val="0"/>
          <w:numId w:val="21"/>
        </w:numPr>
        <w:ind w:left="862" w:hanging="36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线缆及各类电气接头、接点接触牢靠，螺丝无松动，无发热、氧化、烧蚀、绝缘破损现象；</w:t>
      </w:r>
    </w:p>
    <w:p w14:paraId="7679CBA4">
      <w:pPr>
        <w:widowControl w:val="0"/>
        <w:numPr>
          <w:ilvl w:val="0"/>
          <w:numId w:val="21"/>
        </w:numPr>
        <w:ind w:left="862" w:hanging="36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电气开关、熔断器、接触器、继电器等无过热现象；</w:t>
      </w:r>
    </w:p>
    <w:p w14:paraId="3F6226D2">
      <w:pPr>
        <w:widowControl w:val="0"/>
        <w:numPr>
          <w:ilvl w:val="0"/>
          <w:numId w:val="21"/>
        </w:numPr>
        <w:ind w:left="862" w:hanging="36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设备仪表、计量电表工作正常。</w:t>
      </w:r>
    </w:p>
    <w:p w14:paraId="767083FD">
      <w:pPr>
        <w:numPr>
          <w:ilvl w:val="0"/>
          <w:numId w:val="12"/>
        </w:numPr>
        <w:spacing w:line="360" w:lineRule="exact"/>
        <w:ind w:left="0" w:firstLine="420"/>
        <w:rPr>
          <w:rFonts w:ascii="Times New Roman" w:hAnsi="Times New Roman" w:eastAsia="宋体" w:cs="Times New Roman"/>
          <w:szCs w:val="21"/>
        </w:rPr>
      </w:pPr>
      <w:r>
        <w:rPr>
          <w:rFonts w:hint="eastAsia" w:ascii="Times New Roman" w:hAnsi="Times New Roman" w:eastAsia="宋体" w:cs="Times New Roman"/>
          <w:szCs w:val="21"/>
        </w:rPr>
        <w:t>变流设备（逆变器、变换器、UPS、整流器、远供设备等）维护要求：</w:t>
      </w:r>
    </w:p>
    <w:p w14:paraId="48DD73E0">
      <w:pPr>
        <w:widowControl w:val="0"/>
        <w:numPr>
          <w:ilvl w:val="0"/>
          <w:numId w:val="22"/>
        </w:numPr>
        <w:ind w:left="862" w:hanging="36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输入、输出电气指标符合通信设备要求，</w:t>
      </w:r>
      <w:r>
        <w:rPr>
          <w:rFonts w:ascii="Times New Roman" w:hAnsi="Times New Roman" w:eastAsia="宋体" w:cs="Times New Roman"/>
          <w:kern w:val="2"/>
          <w:sz w:val="21"/>
          <w:szCs w:val="21"/>
          <w:lang w:val="en-US" w:eastAsia="zh-CN" w:bidi="ar-SA"/>
        </w:rPr>
        <w:t>工作电流不应超过额定值</w:t>
      </w:r>
      <w:r>
        <w:rPr>
          <w:rFonts w:hint="eastAsia" w:ascii="Times New Roman" w:hAnsi="Times New Roman" w:eastAsia="宋体" w:cs="Times New Roman"/>
          <w:kern w:val="2"/>
          <w:sz w:val="21"/>
          <w:szCs w:val="21"/>
          <w:lang w:val="en-US" w:eastAsia="zh-CN" w:bidi="ar-SA"/>
        </w:rPr>
        <w:t>；</w:t>
      </w:r>
    </w:p>
    <w:p w14:paraId="30AFD0A8">
      <w:pPr>
        <w:widowControl w:val="0"/>
        <w:numPr>
          <w:ilvl w:val="0"/>
          <w:numId w:val="22"/>
        </w:numPr>
        <w:ind w:left="862" w:hanging="360" w:firstLineChars="0"/>
        <w:jc w:val="both"/>
        <w:rPr>
          <w:rFonts w:ascii="Times New Roman" w:hAnsi="Times New Roman" w:eastAsia="宋体" w:cs="Times New Roman"/>
          <w:color w:val="FF0000"/>
          <w:kern w:val="2"/>
          <w:sz w:val="21"/>
          <w:szCs w:val="21"/>
          <w:lang w:val="en-US" w:eastAsia="zh-CN" w:bidi="ar-SA"/>
        </w:rPr>
      </w:pPr>
      <w:r>
        <w:rPr>
          <w:rFonts w:ascii="Times New Roman" w:hAnsi="Times New Roman" w:eastAsia="宋体" w:cs="Times New Roman"/>
          <w:kern w:val="2"/>
          <w:sz w:val="21"/>
          <w:szCs w:val="21"/>
          <w:lang w:val="en-US" w:eastAsia="zh-CN" w:bidi="ar-SA"/>
        </w:rPr>
        <w:t>各种自动、告警和保护功能均应正常</w:t>
      </w:r>
      <w:r>
        <w:rPr>
          <w:rFonts w:hint="eastAsia" w:ascii="Times New Roman" w:hAnsi="Times New Roman" w:eastAsia="宋体" w:cs="Times New Roman"/>
          <w:kern w:val="2"/>
          <w:sz w:val="21"/>
          <w:szCs w:val="21"/>
          <w:lang w:val="en-US" w:eastAsia="zh-CN" w:bidi="ar-SA"/>
        </w:rPr>
        <w:t>。</w:t>
      </w:r>
    </w:p>
    <w:p w14:paraId="1FDDA565">
      <w:pPr>
        <w:numPr>
          <w:ilvl w:val="0"/>
          <w:numId w:val="12"/>
        </w:numPr>
        <w:spacing w:line="360" w:lineRule="exact"/>
        <w:ind w:left="0" w:firstLine="420"/>
        <w:rPr>
          <w:rFonts w:ascii="Times New Roman" w:hAnsi="Times New Roman" w:eastAsia="宋体" w:cs="Times New Roman"/>
          <w:szCs w:val="21"/>
        </w:rPr>
      </w:pPr>
      <w:r>
        <w:rPr>
          <w:rFonts w:hint="eastAsia" w:ascii="Times New Roman" w:hAnsi="Times New Roman" w:eastAsia="宋体" w:cs="Times New Roman"/>
          <w:szCs w:val="21"/>
        </w:rPr>
        <w:t>★设备</w:t>
      </w:r>
      <w:r>
        <w:rPr>
          <w:rFonts w:ascii="Times New Roman" w:hAnsi="Times New Roman" w:eastAsia="宋体" w:cs="Times New Roman"/>
          <w:szCs w:val="21"/>
        </w:rPr>
        <w:t>维护</w:t>
      </w:r>
      <w:r>
        <w:rPr>
          <w:rFonts w:hint="eastAsia" w:ascii="Times New Roman" w:hAnsi="Times New Roman" w:eastAsia="宋体" w:cs="Times New Roman"/>
          <w:szCs w:val="21"/>
        </w:rPr>
        <w:t>周期表：</w:t>
      </w:r>
    </w:p>
    <w:tbl>
      <w:tblPr>
        <w:tblStyle w:val="41"/>
        <w:tblW w:w="4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6736"/>
      </w:tblGrid>
      <w:tr w14:paraId="1627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60" w:type="dxa"/>
          </w:tcPr>
          <w:p w14:paraId="6DD5943E">
            <w:pPr>
              <w:ind w:left="-15"/>
              <w:jc w:val="center"/>
              <w:rPr>
                <w:rFonts w:ascii="Times New Roman" w:hAnsi="Times New Roman" w:eastAsia="宋体" w:cs="Times New Roman"/>
                <w:szCs w:val="21"/>
              </w:rPr>
            </w:pPr>
            <w:r>
              <w:rPr>
                <w:rFonts w:hint="eastAsia" w:ascii="Times New Roman" w:hAnsi="Times New Roman" w:eastAsia="宋体" w:cs="Times New Roman"/>
                <w:szCs w:val="21"/>
              </w:rPr>
              <w:t>周期</w:t>
            </w:r>
          </w:p>
        </w:tc>
        <w:tc>
          <w:tcPr>
            <w:tcW w:w="6736" w:type="dxa"/>
          </w:tcPr>
          <w:p w14:paraId="448F7610">
            <w:pPr>
              <w:ind w:left="-15"/>
              <w:jc w:val="center"/>
              <w:rPr>
                <w:rFonts w:ascii="Times New Roman" w:hAnsi="Times New Roman" w:eastAsia="宋体" w:cs="Times New Roman"/>
                <w:szCs w:val="21"/>
              </w:rPr>
            </w:pPr>
            <w:r>
              <w:rPr>
                <w:rFonts w:hint="eastAsia" w:ascii="Times New Roman" w:hAnsi="Times New Roman" w:eastAsia="宋体" w:cs="Times New Roman"/>
                <w:szCs w:val="21"/>
              </w:rPr>
              <w:t>项目</w:t>
            </w:r>
          </w:p>
        </w:tc>
      </w:tr>
      <w:tr w14:paraId="77628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jc w:val="center"/>
        </w:trPr>
        <w:tc>
          <w:tcPr>
            <w:tcW w:w="1360" w:type="dxa"/>
            <w:vAlign w:val="center"/>
          </w:tcPr>
          <w:p w14:paraId="75E397B7">
            <w:pPr>
              <w:ind w:left="-15"/>
              <w:jc w:val="center"/>
              <w:rPr>
                <w:rFonts w:ascii="Times New Roman" w:hAnsi="Times New Roman" w:eastAsia="宋体" w:cs="Times New Roman"/>
                <w:szCs w:val="21"/>
              </w:rPr>
            </w:pPr>
            <w:r>
              <w:rPr>
                <w:rFonts w:hint="eastAsia" w:ascii="Times New Roman" w:hAnsi="Times New Roman" w:eastAsia="宋体" w:cs="Times New Roman"/>
                <w:szCs w:val="21"/>
              </w:rPr>
              <w:t>季</w:t>
            </w:r>
          </w:p>
        </w:tc>
        <w:tc>
          <w:tcPr>
            <w:tcW w:w="6736" w:type="dxa"/>
          </w:tcPr>
          <w:p w14:paraId="1231A81B">
            <w:pPr>
              <w:widowControl w:val="0"/>
              <w:numPr>
                <w:ilvl w:val="0"/>
                <w:numId w:val="23"/>
              </w:numPr>
              <w:ind w:left="345" w:hanging="36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设备清洁，防尘滤网（整流模块、机柜、空调、热交换器等）清洁。</w:t>
            </w:r>
          </w:p>
          <w:p w14:paraId="665CD12E">
            <w:pPr>
              <w:widowControl w:val="0"/>
              <w:numPr>
                <w:ilvl w:val="0"/>
                <w:numId w:val="23"/>
              </w:numPr>
              <w:ind w:left="345" w:hanging="36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防水、防火、防尘、防盗、防雷电、防小动物入侵检查。</w:t>
            </w:r>
          </w:p>
          <w:p w14:paraId="123EDDF3">
            <w:pPr>
              <w:widowControl w:val="0"/>
              <w:numPr>
                <w:ilvl w:val="0"/>
                <w:numId w:val="23"/>
              </w:numPr>
              <w:ind w:left="345" w:hanging="36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检查线缆及各类电气接头、接点接触是否牢靠，无氧化、发热、烧蚀、绝缘破损现象。</w:t>
            </w:r>
          </w:p>
          <w:p w14:paraId="36F504CE">
            <w:pPr>
              <w:widowControl w:val="0"/>
              <w:numPr>
                <w:ilvl w:val="0"/>
                <w:numId w:val="23"/>
              </w:numPr>
              <w:ind w:left="345" w:hanging="36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设备物理外观检查。</w:t>
            </w:r>
          </w:p>
          <w:p w14:paraId="14C945CA">
            <w:pPr>
              <w:widowControl w:val="0"/>
              <w:numPr>
                <w:ilvl w:val="0"/>
                <w:numId w:val="23"/>
              </w:numPr>
              <w:ind w:left="345" w:hanging="36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检查信号指示、仪表显示、告警是否正常。</w:t>
            </w:r>
          </w:p>
          <w:p w14:paraId="21012BCC">
            <w:pPr>
              <w:widowControl w:val="0"/>
              <w:numPr>
                <w:ilvl w:val="0"/>
                <w:numId w:val="23"/>
              </w:numPr>
              <w:ind w:left="345" w:hanging="36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检查各电气开关、继电器、熔断器以及各接触元器件是否正常工作。</w:t>
            </w:r>
          </w:p>
          <w:p w14:paraId="30A831F8">
            <w:pPr>
              <w:widowControl w:val="0"/>
              <w:numPr>
                <w:ilvl w:val="0"/>
                <w:numId w:val="23"/>
              </w:numPr>
              <w:ind w:left="345" w:hanging="36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查看设备运行数据、运行记录。</w:t>
            </w:r>
          </w:p>
          <w:p w14:paraId="27278AC8">
            <w:pPr>
              <w:widowControl w:val="0"/>
              <w:numPr>
                <w:ilvl w:val="0"/>
                <w:numId w:val="23"/>
              </w:numPr>
              <w:ind w:left="345" w:hanging="36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检测电池端子有无松动、腐蚀，电池外壳及电池盖有无变形损坏情况。</w:t>
            </w:r>
          </w:p>
          <w:p w14:paraId="6D4F2C76">
            <w:pPr>
              <w:widowControl w:val="0"/>
              <w:numPr>
                <w:ilvl w:val="0"/>
                <w:numId w:val="23"/>
              </w:numPr>
              <w:ind w:left="345" w:hanging="36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检查导风电机、风扇、空调器或热交换器工作是否正常。</w:t>
            </w:r>
          </w:p>
        </w:tc>
      </w:tr>
      <w:tr w14:paraId="32C88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360" w:type="dxa"/>
            <w:vAlign w:val="center"/>
          </w:tcPr>
          <w:p w14:paraId="0BBC9449">
            <w:pPr>
              <w:ind w:left="-15"/>
              <w:jc w:val="center"/>
              <w:rPr>
                <w:rFonts w:ascii="Times New Roman" w:hAnsi="Times New Roman" w:eastAsia="宋体" w:cs="Times New Roman"/>
                <w:szCs w:val="21"/>
              </w:rPr>
            </w:pPr>
            <w:r>
              <w:rPr>
                <w:rFonts w:hint="eastAsia" w:ascii="Times New Roman" w:hAnsi="Times New Roman" w:eastAsia="宋体" w:cs="Times New Roman"/>
                <w:szCs w:val="21"/>
              </w:rPr>
              <w:t>半年</w:t>
            </w:r>
          </w:p>
        </w:tc>
        <w:tc>
          <w:tcPr>
            <w:tcW w:w="6736" w:type="dxa"/>
          </w:tcPr>
          <w:p w14:paraId="782BC9B7">
            <w:pPr>
              <w:widowControl/>
              <w:numPr>
                <w:ilvl w:val="0"/>
                <w:numId w:val="24"/>
              </w:numPr>
              <w:ind w:left="360" w:hanging="360" w:firstLineChars="0"/>
              <w:jc w:val="left"/>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电池组总电压、单体电压测量。</w:t>
            </w:r>
          </w:p>
          <w:p w14:paraId="0B9D0727">
            <w:pPr>
              <w:widowControl/>
              <w:numPr>
                <w:ilvl w:val="0"/>
                <w:numId w:val="24"/>
              </w:numPr>
              <w:ind w:left="360" w:hanging="360" w:firstLineChars="0"/>
              <w:jc w:val="left"/>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检查各设备接地保护是否紧固牢靠。</w:t>
            </w:r>
          </w:p>
        </w:tc>
      </w:tr>
      <w:tr w14:paraId="0BEF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360" w:type="dxa"/>
            <w:vAlign w:val="center"/>
          </w:tcPr>
          <w:p w14:paraId="5293369B">
            <w:pPr>
              <w:jc w:val="center"/>
              <w:rPr>
                <w:rFonts w:ascii="Times New Roman" w:hAnsi="Times New Roman" w:eastAsia="宋体" w:cs="Times New Roman"/>
                <w:szCs w:val="21"/>
              </w:rPr>
            </w:pPr>
            <w:r>
              <w:rPr>
                <w:rFonts w:hint="eastAsia" w:ascii="Times New Roman" w:hAnsi="Times New Roman" w:eastAsia="宋体" w:cs="Times New Roman"/>
                <w:szCs w:val="21"/>
              </w:rPr>
              <w:t>年</w:t>
            </w:r>
          </w:p>
        </w:tc>
        <w:tc>
          <w:tcPr>
            <w:tcW w:w="6736" w:type="dxa"/>
          </w:tcPr>
          <w:p w14:paraId="5E8694FA">
            <w:pPr>
              <w:widowControl/>
              <w:numPr>
                <w:ilvl w:val="0"/>
                <w:numId w:val="25"/>
              </w:numPr>
              <w:ind w:left="360" w:hanging="360" w:firstLineChars="0"/>
              <w:jc w:val="left"/>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测量地网地阻值大小，检查地网、均压环、接地总棑引线接头质量。</w:t>
            </w:r>
          </w:p>
          <w:p w14:paraId="53A88AE3">
            <w:pPr>
              <w:widowControl/>
              <w:numPr>
                <w:ilvl w:val="0"/>
                <w:numId w:val="25"/>
              </w:numPr>
              <w:ind w:left="360" w:hanging="360" w:firstLineChars="0"/>
              <w:jc w:val="left"/>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检查避雷针（带）系统的老化情况。</w:t>
            </w:r>
          </w:p>
        </w:tc>
      </w:tr>
    </w:tbl>
    <w:p w14:paraId="38950A4B">
      <w:pPr>
        <w:rPr>
          <w:rFonts w:ascii="Times New Roman" w:hAnsi="Times New Roman" w:eastAsia="宋体" w:cs="Times New Roman"/>
        </w:rPr>
      </w:pPr>
      <w:bookmarkStart w:id="1470" w:name="_Toc347307781"/>
      <w:bookmarkStart w:id="1471" w:name="_Toc55636771"/>
    </w:p>
    <w:p w14:paraId="5B23392F">
      <w:pPr>
        <w:ind w:left="420" w:leftChars="200"/>
        <w:rPr>
          <w:rFonts w:ascii="Times New Roman" w:hAnsi="Times New Roman" w:eastAsia="宋体" w:cs="Times New Roman"/>
        </w:rPr>
      </w:pPr>
      <w:bookmarkStart w:id="1472" w:name="_Toc26262"/>
      <w:r>
        <w:rPr>
          <w:rFonts w:hint="eastAsia" w:ascii="Times New Roman" w:hAnsi="Times New Roman" w:eastAsia="宋体" w:cs="Times New Roman"/>
        </w:rPr>
        <w:t xml:space="preserve">  质量评定</w:t>
      </w:r>
      <w:bookmarkEnd w:id="1470"/>
      <w:bookmarkEnd w:id="1471"/>
      <w:bookmarkEnd w:id="1472"/>
    </w:p>
    <w:p w14:paraId="4D1C11A2">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动力系统及设备障碍的基本定义：</w:t>
      </w:r>
    </w:p>
    <w:p w14:paraId="4A8C27CE">
      <w:pPr>
        <w:ind w:left="420" w:leftChars="200"/>
        <w:rPr>
          <w:rFonts w:ascii="Times New Roman" w:hAnsi="Times New Roman" w:eastAsia="宋体" w:cs="Times New Roman"/>
        </w:rPr>
      </w:pPr>
      <w:r>
        <w:rPr>
          <w:rFonts w:hint="eastAsia" w:ascii="Times New Roman" w:hAnsi="Times New Roman" w:eastAsia="宋体" w:cs="Times New Roman"/>
        </w:rPr>
        <w:t>1．供电指标异常，在规定的历时内不能自动恢复正常。</w:t>
      </w:r>
    </w:p>
    <w:p w14:paraId="077DB2F1">
      <w:pPr>
        <w:ind w:left="420" w:leftChars="200"/>
        <w:rPr>
          <w:rFonts w:ascii="Times New Roman" w:hAnsi="Times New Roman" w:eastAsia="宋体" w:cs="Times New Roman"/>
        </w:rPr>
      </w:pPr>
      <w:r>
        <w:rPr>
          <w:rFonts w:hint="eastAsia" w:ascii="Times New Roman" w:hAnsi="Times New Roman" w:eastAsia="宋体" w:cs="Times New Roman"/>
        </w:rPr>
        <w:t>2．通信机房的温、湿度超出规定范围，不能调节。</w:t>
      </w:r>
    </w:p>
    <w:p w14:paraId="4459EC88">
      <w:pPr>
        <w:ind w:left="420" w:leftChars="200"/>
        <w:rPr>
          <w:rFonts w:ascii="Times New Roman" w:hAnsi="Times New Roman" w:eastAsia="宋体" w:cs="Times New Roman"/>
        </w:rPr>
      </w:pPr>
      <w:r>
        <w:rPr>
          <w:rFonts w:hint="eastAsia" w:ascii="Times New Roman" w:hAnsi="Times New Roman" w:eastAsia="宋体" w:cs="Times New Roman"/>
        </w:rPr>
        <w:t>3．机房气流组织不合理，形成负压，空气新鲜度达不到要求。</w:t>
      </w:r>
    </w:p>
    <w:p w14:paraId="72F1918E">
      <w:pPr>
        <w:numPr>
          <w:ilvl w:val="0"/>
          <w:numId w:val="12"/>
        </w:numPr>
        <w:spacing w:line="360" w:lineRule="exact"/>
        <w:ind w:left="0" w:firstLine="420"/>
        <w:rPr>
          <w:rFonts w:ascii="Times New Roman" w:hAnsi="Times New Roman" w:eastAsia="宋体" w:cs="Times New Roman"/>
        </w:rPr>
      </w:pPr>
      <w:r>
        <w:rPr>
          <w:rFonts w:hint="eastAsia" w:ascii="Times New Roman" w:hAnsi="Times New Roman" w:eastAsia="宋体" w:cs="Times New Roman"/>
        </w:rPr>
        <w:t>各省、地市、县局对维护人员的维护工作，根据下列各项进行评定：</w:t>
      </w:r>
    </w:p>
    <w:p w14:paraId="35870D6E">
      <w:pPr>
        <w:ind w:left="420" w:leftChars="200"/>
        <w:rPr>
          <w:rFonts w:ascii="Times New Roman" w:hAnsi="Times New Roman" w:eastAsia="宋体" w:cs="Times New Roman"/>
        </w:rPr>
      </w:pPr>
      <w:r>
        <w:rPr>
          <w:rFonts w:hint="eastAsia" w:ascii="Times New Roman" w:hAnsi="Times New Roman" w:eastAsia="宋体" w:cs="Times New Roman"/>
        </w:rPr>
        <w:t>1．本规程规定的各项规章制度的制定和执行情况。</w:t>
      </w:r>
    </w:p>
    <w:p w14:paraId="5B7188BD">
      <w:pPr>
        <w:ind w:left="420" w:leftChars="200"/>
        <w:rPr>
          <w:rFonts w:ascii="Times New Roman" w:hAnsi="Times New Roman" w:eastAsia="宋体" w:cs="Times New Roman"/>
        </w:rPr>
      </w:pPr>
      <w:r>
        <w:rPr>
          <w:rFonts w:hint="eastAsia" w:ascii="Times New Roman" w:hAnsi="Times New Roman" w:eastAsia="宋体" w:cs="Times New Roman"/>
        </w:rPr>
        <w:t>2. 所负责维护设备的机械特性、电气特性是否符合要求及所发生的障碍情况。</w:t>
      </w:r>
    </w:p>
    <w:p w14:paraId="511440DF">
      <w:pPr>
        <w:ind w:left="420" w:leftChars="200"/>
        <w:rPr>
          <w:rFonts w:ascii="Times New Roman" w:hAnsi="Times New Roman" w:eastAsia="宋体" w:cs="Times New Roman"/>
        </w:rPr>
      </w:pPr>
      <w:r>
        <w:rPr>
          <w:rFonts w:hint="eastAsia" w:ascii="Times New Roman" w:hAnsi="Times New Roman" w:eastAsia="宋体" w:cs="Times New Roman"/>
        </w:rPr>
        <w:t>3．处理障碍的速度和准确程度。</w:t>
      </w:r>
    </w:p>
    <w:p w14:paraId="1396CF13">
      <w:pPr>
        <w:ind w:left="420" w:leftChars="200"/>
        <w:rPr>
          <w:rFonts w:ascii="Times New Roman" w:hAnsi="Times New Roman" w:eastAsia="宋体" w:cs="Times New Roman"/>
        </w:rPr>
      </w:pPr>
      <w:r>
        <w:rPr>
          <w:rFonts w:hint="eastAsia" w:ascii="Times New Roman" w:hAnsi="Times New Roman" w:eastAsia="宋体" w:cs="Times New Roman"/>
        </w:rPr>
        <w:t>4．安全生产和遵守规章制度的情况。</w:t>
      </w:r>
    </w:p>
    <w:p w14:paraId="4170237F">
      <w:pPr>
        <w:ind w:left="420" w:leftChars="200"/>
        <w:rPr>
          <w:rFonts w:ascii="Times New Roman" w:hAnsi="Times New Roman" w:eastAsia="宋体" w:cs="Times New Roman"/>
        </w:rPr>
      </w:pPr>
      <w:r>
        <w:rPr>
          <w:rFonts w:hint="eastAsia" w:ascii="Times New Roman" w:hAnsi="Times New Roman" w:eastAsia="宋体" w:cs="Times New Roman"/>
        </w:rPr>
        <w:t>5．原始记录和技术档案；资料的填写及保管情况。</w:t>
      </w:r>
    </w:p>
    <w:p w14:paraId="6E24C094">
      <w:pPr>
        <w:ind w:left="420" w:leftChars="200"/>
        <w:rPr>
          <w:rFonts w:ascii="Times New Roman" w:hAnsi="Times New Roman" w:eastAsia="宋体" w:cs="Times New Roman"/>
        </w:rPr>
      </w:pPr>
      <w:r>
        <w:rPr>
          <w:rFonts w:hint="eastAsia" w:ascii="Times New Roman" w:hAnsi="Times New Roman" w:eastAsia="宋体" w:cs="Times New Roman"/>
        </w:rPr>
        <w:t>6．技术革新、合理化建议等项所取得的成绩大小。</w:t>
      </w:r>
    </w:p>
    <w:p w14:paraId="3EAD04A9">
      <w:pPr>
        <w:ind w:left="420" w:leftChars="200"/>
        <w:rPr>
          <w:rFonts w:ascii="Times New Roman" w:hAnsi="Times New Roman" w:eastAsia="宋体" w:cs="Times New Roman"/>
        </w:rPr>
      </w:pPr>
      <w:bookmarkStart w:id="1473" w:name="_Toc516412547"/>
      <w:bookmarkStart w:id="1474" w:name="_Toc15223211"/>
      <w:bookmarkStart w:id="1475" w:name="_Toc21970"/>
    </w:p>
    <w:p w14:paraId="18A5DE62">
      <w:pPr>
        <w:ind w:left="420" w:leftChars="200"/>
        <w:rPr>
          <w:rFonts w:ascii="Times New Roman" w:hAnsi="Times New Roman" w:eastAsia="宋体" w:cs="Times New Roman"/>
        </w:rPr>
      </w:pPr>
      <w:r>
        <w:rPr>
          <w:rFonts w:hint="eastAsia" w:ascii="Times New Roman" w:hAnsi="Times New Roman" w:eastAsia="宋体" w:cs="Times New Roman"/>
        </w:rPr>
        <w:t xml:space="preserve">  电源设备验收</w:t>
      </w:r>
      <w:bookmarkEnd w:id="1473"/>
      <w:bookmarkEnd w:id="1474"/>
      <w:bookmarkEnd w:id="1475"/>
    </w:p>
    <w:p w14:paraId="1A379186">
      <w:pPr>
        <w:numPr>
          <w:ilvl w:val="0"/>
          <w:numId w:val="12"/>
        </w:numPr>
        <w:tabs>
          <w:tab w:val="left" w:pos="1320"/>
        </w:tabs>
        <w:ind w:left="0" w:firstLine="420"/>
        <w:rPr>
          <w:rFonts w:ascii="宋体" w:hAnsi="宋体" w:eastAsia="宋体" w:cs="Times New Roman"/>
        </w:rPr>
      </w:pPr>
      <w:r>
        <w:rPr>
          <w:rFonts w:hint="eastAsia" w:ascii="宋体" w:hAnsi="宋体" w:eastAsia="宋体" w:cs="Times New Roman"/>
        </w:rPr>
        <w:t>交流配电设备通电检验：</w:t>
      </w:r>
    </w:p>
    <w:p w14:paraId="786289EF">
      <w:pPr>
        <w:ind w:firstLine="420"/>
        <w:rPr>
          <w:rFonts w:ascii="宋体" w:hAnsi="宋体" w:eastAsia="宋体" w:cs="Times New Roman"/>
        </w:rPr>
      </w:pPr>
      <w:r>
        <w:rPr>
          <w:rFonts w:hint="eastAsia" w:ascii="宋体" w:hAnsi="宋体" w:eastAsia="宋体" w:cs="Times New Roman"/>
        </w:rPr>
        <w:t>1.能自动（人工）接通、转换“市电”和“油机”电源，并有信号指示。</w:t>
      </w:r>
    </w:p>
    <w:p w14:paraId="5A021560">
      <w:pPr>
        <w:ind w:firstLine="420"/>
        <w:rPr>
          <w:rFonts w:ascii="宋体" w:hAnsi="宋体" w:eastAsia="宋体" w:cs="Times New Roman"/>
        </w:rPr>
      </w:pPr>
      <w:r>
        <w:rPr>
          <w:rFonts w:hint="eastAsia" w:ascii="宋体" w:hAnsi="宋体" w:eastAsia="宋体" w:cs="Times New Roman"/>
        </w:rPr>
        <w:t>2.“市电”停电时能自动接通事故照明电路，并发出可见可闻信号，“市电”恢复供电时能自动（人工）切断事故照明电路。</w:t>
      </w:r>
    </w:p>
    <w:p w14:paraId="755543E6">
      <w:pPr>
        <w:ind w:firstLine="420"/>
        <w:rPr>
          <w:rFonts w:ascii="宋体" w:hAnsi="宋体" w:eastAsia="宋体" w:cs="Times New Roman"/>
        </w:rPr>
      </w:pPr>
      <w:r>
        <w:rPr>
          <w:rFonts w:hint="eastAsia" w:ascii="宋体" w:hAnsi="宋体" w:eastAsia="宋体" w:cs="Times New Roman"/>
        </w:rPr>
        <w:t>3.各种电压、电流测试显示正确。</w:t>
      </w:r>
    </w:p>
    <w:p w14:paraId="341A67D1">
      <w:pPr>
        <w:ind w:firstLine="420"/>
        <w:rPr>
          <w:rFonts w:ascii="宋体" w:hAnsi="宋体" w:eastAsia="宋体" w:cs="Times New Roman"/>
        </w:rPr>
      </w:pPr>
      <w:r>
        <w:rPr>
          <w:rFonts w:hint="eastAsia" w:ascii="宋体" w:hAnsi="宋体" w:eastAsia="宋体" w:cs="Times New Roman"/>
        </w:rPr>
        <w:t>4.事故、过压、欠压、缺相等自动保护电路应能准确动作并能发出指示信号。</w:t>
      </w:r>
    </w:p>
    <w:p w14:paraId="3CA7A7F7">
      <w:pPr>
        <w:numPr>
          <w:ilvl w:val="0"/>
          <w:numId w:val="12"/>
        </w:numPr>
        <w:tabs>
          <w:tab w:val="left" w:pos="1320"/>
        </w:tabs>
        <w:ind w:left="0" w:firstLine="420"/>
        <w:rPr>
          <w:rFonts w:ascii="宋体" w:hAnsi="宋体" w:eastAsia="宋体" w:cs="Times New Roman"/>
        </w:rPr>
      </w:pPr>
      <w:r>
        <w:rPr>
          <w:rFonts w:hint="eastAsia" w:ascii="宋体" w:hAnsi="宋体" w:eastAsia="宋体" w:cs="Times New Roman"/>
        </w:rPr>
        <w:t>直流配电设备通电检验：</w:t>
      </w:r>
    </w:p>
    <w:p w14:paraId="467A27B1">
      <w:pPr>
        <w:ind w:firstLine="420"/>
        <w:rPr>
          <w:rFonts w:ascii="宋体" w:hAnsi="宋体" w:eastAsia="宋体" w:cs="Times New Roman"/>
        </w:rPr>
      </w:pPr>
      <w:r>
        <w:rPr>
          <w:rFonts w:hint="eastAsia" w:ascii="宋体" w:hAnsi="宋体" w:eastAsia="宋体" w:cs="Times New Roman"/>
        </w:rPr>
        <w:t>1.各种输出电压、电流测试显示正确。</w:t>
      </w:r>
    </w:p>
    <w:p w14:paraId="420CDAEA">
      <w:pPr>
        <w:ind w:firstLine="420"/>
        <w:rPr>
          <w:rFonts w:ascii="宋体" w:hAnsi="宋体" w:eastAsia="宋体" w:cs="Times New Roman"/>
        </w:rPr>
      </w:pPr>
      <w:r>
        <w:rPr>
          <w:rFonts w:hint="eastAsia" w:ascii="宋体" w:hAnsi="宋体" w:eastAsia="宋体" w:cs="Times New Roman"/>
        </w:rPr>
        <w:t>2.电压过高、过低、熔断器熔断均能发出可见可闻信号。</w:t>
      </w:r>
    </w:p>
    <w:p w14:paraId="727E9441">
      <w:pPr>
        <w:ind w:firstLine="420"/>
        <w:rPr>
          <w:rFonts w:ascii="宋体" w:hAnsi="宋体" w:eastAsia="宋体" w:cs="Times New Roman"/>
        </w:rPr>
      </w:pPr>
      <w:r>
        <w:rPr>
          <w:rFonts w:hint="eastAsia" w:ascii="宋体" w:hAnsi="宋体" w:eastAsia="宋体" w:cs="Times New Roman"/>
        </w:rPr>
        <w:t>3.配电设备内部电压降应符合设计要求。（屏内放电回路压降不大于0.5V）。</w:t>
      </w:r>
    </w:p>
    <w:p w14:paraId="14AE5016">
      <w:pPr>
        <w:numPr>
          <w:ilvl w:val="0"/>
          <w:numId w:val="12"/>
        </w:numPr>
        <w:tabs>
          <w:tab w:val="left" w:pos="1320"/>
        </w:tabs>
        <w:ind w:left="0" w:firstLine="420"/>
        <w:rPr>
          <w:rFonts w:ascii="宋体" w:hAnsi="宋体" w:eastAsia="宋体" w:cs="Times New Roman"/>
        </w:rPr>
      </w:pPr>
      <w:r>
        <w:rPr>
          <w:rFonts w:hint="eastAsia" w:ascii="宋体" w:hAnsi="宋体" w:eastAsia="宋体" w:cs="Times New Roman"/>
        </w:rPr>
        <w:t>变换器设备通电检验：</w:t>
      </w:r>
    </w:p>
    <w:p w14:paraId="61A488D0">
      <w:pPr>
        <w:rPr>
          <w:rFonts w:ascii="宋体" w:hAnsi="宋体" w:eastAsia="宋体" w:cs="Times New Roman"/>
        </w:rPr>
      </w:pPr>
      <w:r>
        <w:rPr>
          <w:rFonts w:hint="eastAsia" w:ascii="宋体" w:hAnsi="宋体" w:eastAsia="宋体" w:cs="Times New Roman"/>
        </w:rPr>
        <w:t xml:space="preserve">    1.测试项目：变换器输出电压、电流、杂音电压、稳压精度、限流范围。</w:t>
      </w:r>
    </w:p>
    <w:p w14:paraId="430ED913">
      <w:pPr>
        <w:ind w:firstLine="420"/>
        <w:rPr>
          <w:rFonts w:ascii="宋体" w:hAnsi="宋体" w:eastAsia="宋体" w:cs="Times New Roman"/>
        </w:rPr>
      </w:pPr>
      <w:r>
        <w:rPr>
          <w:rFonts w:hint="eastAsia" w:ascii="宋体" w:hAnsi="宋体" w:eastAsia="宋体" w:cs="Times New Roman"/>
        </w:rPr>
        <w:t>2.变换器事故、过压、欠压、过流等保护动作可靠、告警电路工作正常。</w:t>
      </w:r>
    </w:p>
    <w:p w14:paraId="59888026">
      <w:pPr>
        <w:ind w:firstLine="420"/>
        <w:rPr>
          <w:rFonts w:ascii="宋体" w:hAnsi="宋体" w:eastAsia="宋体" w:cs="Times New Roman"/>
        </w:rPr>
      </w:pPr>
      <w:r>
        <w:rPr>
          <w:rFonts w:hint="eastAsia" w:ascii="宋体" w:hAnsi="宋体" w:eastAsia="宋体" w:cs="Times New Roman"/>
        </w:rPr>
        <w:t>3.主备用变换器具有自动均分负载性能，当其中一台故障时，另一台自动负担全部负载。</w:t>
      </w:r>
    </w:p>
    <w:p w14:paraId="05A81377">
      <w:pPr>
        <w:numPr>
          <w:ilvl w:val="0"/>
          <w:numId w:val="12"/>
        </w:numPr>
        <w:ind w:left="0" w:firstLine="420"/>
        <w:rPr>
          <w:rFonts w:ascii="宋体" w:hAnsi="宋体" w:eastAsia="宋体" w:cs="Times New Roman"/>
        </w:rPr>
      </w:pPr>
      <w:r>
        <w:rPr>
          <w:rFonts w:hint="eastAsia" w:ascii="宋体" w:hAnsi="宋体" w:eastAsia="宋体" w:cs="Times New Roman"/>
        </w:rPr>
        <w:t xml:space="preserve"> 逆变设备通电检验：</w:t>
      </w:r>
    </w:p>
    <w:p w14:paraId="1CF5AD0E">
      <w:pPr>
        <w:rPr>
          <w:rFonts w:ascii="宋体" w:hAnsi="宋体" w:eastAsia="宋体" w:cs="Times New Roman"/>
        </w:rPr>
      </w:pPr>
      <w:r>
        <w:rPr>
          <w:rFonts w:hint="eastAsia" w:ascii="宋体" w:hAnsi="宋体" w:eastAsia="宋体" w:cs="Times New Roman"/>
        </w:rPr>
        <w:t xml:space="preserve">    1.测试项目：变换器输入电压、输出电压、稳压精度。</w:t>
      </w:r>
    </w:p>
    <w:p w14:paraId="513F6483">
      <w:pPr>
        <w:ind w:firstLine="420"/>
        <w:rPr>
          <w:rFonts w:ascii="宋体" w:hAnsi="宋体" w:eastAsia="宋体" w:cs="Times New Roman"/>
        </w:rPr>
      </w:pPr>
      <w:r>
        <w:rPr>
          <w:rFonts w:hint="eastAsia" w:ascii="宋体" w:hAnsi="宋体" w:eastAsia="宋体" w:cs="Times New Roman"/>
        </w:rPr>
        <w:t>2.应有限流功能：限流定制可在105%～110％输出电流之间调整。</w:t>
      </w:r>
    </w:p>
    <w:p w14:paraId="50ED6EDF">
      <w:pPr>
        <w:ind w:firstLine="420"/>
        <w:rPr>
          <w:rFonts w:ascii="宋体" w:hAnsi="宋体" w:eastAsia="宋体" w:cs="Times New Roman"/>
        </w:rPr>
      </w:pPr>
      <w:r>
        <w:rPr>
          <w:rFonts w:hint="eastAsia" w:ascii="宋体" w:hAnsi="宋体" w:eastAsia="宋体" w:cs="Times New Roman"/>
        </w:rPr>
        <w:t xml:space="preserve">3.事故输入电压过高、过低、输出电压、欠压、过流、短路等保护动作可靠、告警电路工作正常。  </w:t>
      </w:r>
    </w:p>
    <w:p w14:paraId="5B50FD3D">
      <w:pPr>
        <w:numPr>
          <w:ilvl w:val="0"/>
          <w:numId w:val="12"/>
        </w:numPr>
        <w:tabs>
          <w:tab w:val="left" w:pos="1320"/>
        </w:tabs>
        <w:ind w:left="0" w:firstLine="420"/>
        <w:rPr>
          <w:rFonts w:ascii="宋体" w:hAnsi="宋体" w:eastAsia="宋体" w:cs="Times New Roman"/>
        </w:rPr>
      </w:pPr>
      <w:r>
        <w:rPr>
          <w:rFonts w:hint="eastAsia" w:ascii="宋体" w:hAnsi="宋体" w:eastAsia="宋体" w:cs="Times New Roman"/>
        </w:rPr>
        <w:t>开关电源设备通电检测：</w:t>
      </w:r>
    </w:p>
    <w:p w14:paraId="0171AAB9">
      <w:pPr>
        <w:ind w:firstLine="420"/>
        <w:rPr>
          <w:rFonts w:ascii="宋体" w:hAnsi="宋体" w:eastAsia="宋体" w:cs="Times New Roman"/>
        </w:rPr>
      </w:pPr>
      <w:r>
        <w:rPr>
          <w:rFonts w:hint="eastAsia" w:ascii="宋体" w:hAnsi="宋体" w:eastAsia="宋体" w:cs="Times New Roman"/>
        </w:rPr>
        <w:t xml:space="preserve">1.测试项目：交流输入电压，直流输出电压、电流，输出杂音，稳压精度，输入过压、欠压保护值，输出过压、过流保护值，输出限流特性，浮充、均充电压和自动转换性能。   </w:t>
      </w:r>
    </w:p>
    <w:p w14:paraId="3E0EBB5F">
      <w:pPr>
        <w:ind w:firstLine="420"/>
        <w:rPr>
          <w:rFonts w:ascii="宋体" w:hAnsi="宋体" w:eastAsia="宋体" w:cs="Times New Roman"/>
        </w:rPr>
      </w:pPr>
      <w:r>
        <w:rPr>
          <w:rFonts w:hint="eastAsia" w:ascii="宋体" w:hAnsi="宋体" w:eastAsia="宋体" w:cs="Times New Roman"/>
        </w:rPr>
        <w:t>2.检查各种告警功能，市电故障，熔丝故障，交流输入过压、欠压故障、缺相，输出过压、欠压故障，输出过流故障。</w:t>
      </w:r>
    </w:p>
    <w:p w14:paraId="2A5E56CB">
      <w:pPr>
        <w:numPr>
          <w:ilvl w:val="0"/>
          <w:numId w:val="26"/>
        </w:numPr>
        <w:ind w:firstLine="420"/>
        <w:rPr>
          <w:rFonts w:ascii="宋体" w:hAnsi="宋体" w:eastAsia="宋体" w:cs="Times New Roman"/>
        </w:rPr>
      </w:pPr>
      <w:r>
        <w:rPr>
          <w:rFonts w:hint="eastAsia" w:ascii="宋体" w:hAnsi="宋体" w:eastAsia="宋体" w:cs="Times New Roman"/>
        </w:rPr>
        <w:t xml:space="preserve">事故输入电压过高、过低、输出电压、欠压、过流、短路等保护动作可靠、告警电路工作正常。 </w:t>
      </w:r>
    </w:p>
    <w:p w14:paraId="7E2B1591">
      <w:pPr>
        <w:numPr>
          <w:ilvl w:val="0"/>
          <w:numId w:val="12"/>
        </w:numPr>
        <w:tabs>
          <w:tab w:val="left" w:pos="1320"/>
        </w:tabs>
        <w:ind w:left="0" w:firstLine="420"/>
        <w:rPr>
          <w:rFonts w:ascii="宋体" w:hAnsi="宋体" w:eastAsia="宋体" w:cs="Times New Roman"/>
        </w:rPr>
      </w:pPr>
      <w:r>
        <w:rPr>
          <w:rFonts w:hint="eastAsia" w:ascii="宋体" w:hAnsi="宋体" w:eastAsia="宋体" w:cs="Times New Roman"/>
        </w:rPr>
        <w:t>蓄电池设备检测：</w:t>
      </w:r>
    </w:p>
    <w:p w14:paraId="7971C5B0">
      <w:pPr>
        <w:rPr>
          <w:rFonts w:ascii="宋体" w:hAnsi="宋体" w:eastAsia="宋体" w:cs="Times New Roman"/>
        </w:rPr>
      </w:pPr>
      <w:r>
        <w:rPr>
          <w:rFonts w:hint="eastAsia" w:ascii="宋体" w:hAnsi="宋体" w:eastAsia="宋体" w:cs="Times New Roman"/>
        </w:rPr>
        <w:t xml:space="preserve">    1.对蓄电池应进行放电试验，放电试验应在蓄电池进行补充充电完毕，静置1个小时之后进行。</w:t>
      </w:r>
    </w:p>
    <w:p w14:paraId="7D692FB4">
      <w:pPr>
        <w:ind w:firstLine="420"/>
        <w:rPr>
          <w:rFonts w:ascii="宋体" w:hAnsi="宋体" w:eastAsia="宋体" w:cs="Times New Roman"/>
        </w:rPr>
      </w:pPr>
      <w:r>
        <w:rPr>
          <w:rFonts w:hint="eastAsia" w:ascii="宋体" w:hAnsi="宋体" w:eastAsia="宋体" w:cs="Times New Roman"/>
        </w:rPr>
        <w:t>2.应使用蓄电池放电设备对蓄电池进行恒流放电。</w:t>
      </w:r>
    </w:p>
    <w:p w14:paraId="67951D48">
      <w:pPr>
        <w:ind w:firstLine="420"/>
        <w:rPr>
          <w:rFonts w:ascii="宋体" w:hAnsi="宋体" w:eastAsia="宋体" w:cs="Times New Roman"/>
        </w:rPr>
      </w:pPr>
      <w:r>
        <w:rPr>
          <w:rFonts w:hint="eastAsia" w:ascii="宋体" w:hAnsi="宋体" w:eastAsia="宋体" w:cs="Times New Roman"/>
        </w:rPr>
        <w:t>3.铅酸蓄电池应按照10小时放电率进行恒流放电。</w:t>
      </w:r>
    </w:p>
    <w:p w14:paraId="22A8ADA3">
      <w:pPr>
        <w:ind w:firstLine="420"/>
        <w:rPr>
          <w:rFonts w:ascii="宋体" w:hAnsi="宋体" w:eastAsia="宋体" w:cs="Times New Roman"/>
        </w:rPr>
      </w:pPr>
      <w:r>
        <w:rPr>
          <w:rFonts w:hint="eastAsia" w:ascii="宋体" w:hAnsi="宋体" w:eastAsia="宋体" w:cs="Times New Roman"/>
        </w:rPr>
        <w:t>4.放电开始时应立即测试电池组总电压、总电流、单体电压、内阻，并记录开始时间。后每1小时进行标测，每2小时全测，但电压降至1.9V以下时，应每15分钟全测一次。</w:t>
      </w:r>
    </w:p>
    <w:p w14:paraId="697163AD">
      <w:pPr>
        <w:ind w:firstLine="420"/>
        <w:rPr>
          <w:rFonts w:ascii="宋体" w:hAnsi="宋体" w:eastAsia="宋体" w:cs="Times New Roman"/>
        </w:rPr>
      </w:pPr>
      <w:r>
        <w:rPr>
          <w:rFonts w:hint="eastAsia" w:ascii="宋体" w:hAnsi="宋体" w:eastAsia="宋体" w:cs="Times New Roman"/>
        </w:rPr>
        <w:t>5.铅酸蓄电池放电终止电压为1.8V。</w:t>
      </w:r>
    </w:p>
    <w:p w14:paraId="7339E0E1">
      <w:pPr>
        <w:ind w:firstLine="420"/>
        <w:rPr>
          <w:rFonts w:ascii="宋体" w:hAnsi="宋体" w:eastAsia="宋体" w:cs="Times New Roman"/>
        </w:rPr>
      </w:pPr>
      <w:r>
        <w:rPr>
          <w:rFonts w:hint="eastAsia" w:ascii="宋体" w:hAnsi="宋体" w:eastAsia="宋体" w:cs="Times New Roman"/>
        </w:rPr>
        <w:t>6.放电容量应大于或等于额定容量的95％。</w:t>
      </w:r>
    </w:p>
    <w:p w14:paraId="59349CE2">
      <w:pPr>
        <w:numPr>
          <w:ilvl w:val="0"/>
          <w:numId w:val="12"/>
        </w:numPr>
        <w:tabs>
          <w:tab w:val="left" w:pos="1320"/>
        </w:tabs>
        <w:ind w:left="0" w:firstLine="420"/>
        <w:rPr>
          <w:rFonts w:ascii="宋体" w:hAnsi="宋体" w:eastAsia="宋体" w:cs="Times New Roman"/>
        </w:rPr>
      </w:pPr>
      <w:r>
        <w:rPr>
          <w:rFonts w:hint="eastAsia" w:ascii="宋体" w:hAnsi="宋体" w:eastAsia="宋体" w:cs="Times New Roman"/>
        </w:rPr>
        <w:t>接地装置检测：</w:t>
      </w:r>
    </w:p>
    <w:p w14:paraId="3BA61265">
      <w:pPr>
        <w:ind w:firstLine="420"/>
        <w:rPr>
          <w:rFonts w:ascii="宋体" w:hAnsi="宋体" w:eastAsia="宋体" w:cs="Times New Roman"/>
        </w:rPr>
      </w:pPr>
      <w:r>
        <w:rPr>
          <w:rFonts w:hint="eastAsia" w:ascii="宋体" w:hAnsi="宋体" w:eastAsia="宋体" w:cs="Times New Roman"/>
        </w:rPr>
        <w:t>工程完工后，应对接地电阻值进行测试，接地电阻值应符合第63条的规定。</w:t>
      </w:r>
    </w:p>
    <w:p w14:paraId="28D2B724">
      <w:pPr>
        <w:numPr>
          <w:ilvl w:val="0"/>
          <w:numId w:val="12"/>
        </w:numPr>
        <w:tabs>
          <w:tab w:val="left" w:pos="1320"/>
        </w:tabs>
        <w:ind w:left="0" w:firstLine="420"/>
        <w:rPr>
          <w:rFonts w:ascii="宋体" w:hAnsi="宋体" w:eastAsia="宋体" w:cs="Times New Roman"/>
        </w:rPr>
      </w:pPr>
      <w:r>
        <w:rPr>
          <w:rFonts w:hint="eastAsia" w:ascii="宋体" w:hAnsi="宋体" w:eastAsia="宋体" w:cs="Times New Roman"/>
        </w:rPr>
        <w:t>电源安装工程竣工验收时，应提供下列文件及记录：</w:t>
      </w:r>
    </w:p>
    <w:p w14:paraId="2BBBCA5C">
      <w:pPr>
        <w:rPr>
          <w:rFonts w:ascii="宋体" w:hAnsi="宋体" w:eastAsia="宋体" w:cs="Times New Roman"/>
        </w:rPr>
      </w:pPr>
      <w:r>
        <w:rPr>
          <w:rFonts w:hint="eastAsia" w:ascii="宋体" w:hAnsi="宋体" w:eastAsia="宋体" w:cs="Times New Roman"/>
        </w:rPr>
        <w:t xml:space="preserve">    1.工程说明；</w:t>
      </w:r>
    </w:p>
    <w:p w14:paraId="7DC3FF89">
      <w:pPr>
        <w:ind w:firstLine="420"/>
        <w:rPr>
          <w:rFonts w:ascii="宋体" w:hAnsi="宋体" w:eastAsia="宋体" w:cs="Times New Roman"/>
        </w:rPr>
      </w:pPr>
      <w:r>
        <w:rPr>
          <w:rFonts w:hint="eastAsia" w:ascii="宋体" w:hAnsi="宋体" w:eastAsia="宋体" w:cs="Times New Roman"/>
        </w:rPr>
        <w:t>2.开工报告；</w:t>
      </w:r>
    </w:p>
    <w:p w14:paraId="57F2DFBE">
      <w:pPr>
        <w:ind w:firstLine="420"/>
        <w:rPr>
          <w:rFonts w:ascii="宋体" w:hAnsi="宋体" w:eastAsia="宋体" w:cs="Times New Roman"/>
        </w:rPr>
      </w:pPr>
      <w:r>
        <w:rPr>
          <w:rFonts w:hint="eastAsia" w:ascii="宋体" w:hAnsi="宋体" w:eastAsia="宋体" w:cs="Times New Roman"/>
        </w:rPr>
        <w:t>3.建筑安装工程量总表；</w:t>
      </w:r>
    </w:p>
    <w:p w14:paraId="2AD80AA6">
      <w:pPr>
        <w:ind w:firstLine="420"/>
        <w:rPr>
          <w:rFonts w:ascii="宋体" w:hAnsi="宋体" w:eastAsia="宋体" w:cs="Times New Roman"/>
        </w:rPr>
      </w:pPr>
      <w:r>
        <w:rPr>
          <w:rFonts w:hint="eastAsia" w:ascii="宋体" w:hAnsi="宋体" w:eastAsia="宋体" w:cs="Times New Roman"/>
        </w:rPr>
        <w:t>4.已安装的设备明细表；</w:t>
      </w:r>
    </w:p>
    <w:p w14:paraId="15C37166">
      <w:pPr>
        <w:ind w:firstLine="420"/>
        <w:rPr>
          <w:rFonts w:ascii="宋体" w:hAnsi="宋体" w:eastAsia="宋体" w:cs="Times New Roman"/>
        </w:rPr>
      </w:pPr>
      <w:r>
        <w:rPr>
          <w:rFonts w:hint="eastAsia" w:ascii="宋体" w:hAnsi="宋体" w:eastAsia="宋体" w:cs="Times New Roman"/>
        </w:rPr>
        <w:t>5.交工报告；</w:t>
      </w:r>
    </w:p>
    <w:p w14:paraId="63773485">
      <w:pPr>
        <w:ind w:firstLine="420"/>
        <w:rPr>
          <w:rFonts w:ascii="宋体" w:hAnsi="宋体" w:eastAsia="宋体" w:cs="Times New Roman"/>
        </w:rPr>
      </w:pPr>
      <w:r>
        <w:rPr>
          <w:rFonts w:hint="eastAsia" w:ascii="宋体" w:hAnsi="宋体" w:eastAsia="宋体" w:cs="Times New Roman"/>
        </w:rPr>
        <w:t>6.工程设计变更单；</w:t>
      </w:r>
    </w:p>
    <w:p w14:paraId="581CE7D4">
      <w:pPr>
        <w:ind w:firstLine="420"/>
        <w:rPr>
          <w:rFonts w:ascii="宋体" w:hAnsi="宋体" w:eastAsia="宋体" w:cs="Times New Roman"/>
        </w:rPr>
      </w:pPr>
      <w:r>
        <w:rPr>
          <w:rFonts w:hint="eastAsia" w:ascii="宋体" w:hAnsi="宋体" w:eastAsia="宋体" w:cs="Times New Roman"/>
        </w:rPr>
        <w:t>7.重大工程事故报告单；</w:t>
      </w:r>
    </w:p>
    <w:p w14:paraId="6ED1B4BC">
      <w:pPr>
        <w:ind w:firstLine="420"/>
        <w:rPr>
          <w:rFonts w:ascii="宋体" w:hAnsi="宋体" w:eastAsia="宋体" w:cs="Times New Roman"/>
        </w:rPr>
      </w:pPr>
      <w:r>
        <w:rPr>
          <w:rFonts w:hint="eastAsia" w:ascii="宋体" w:hAnsi="宋体" w:eastAsia="宋体" w:cs="Times New Roman"/>
        </w:rPr>
        <w:t>8.停（复）工通知；</w:t>
      </w:r>
    </w:p>
    <w:p w14:paraId="30AB416B">
      <w:pPr>
        <w:ind w:firstLine="420"/>
        <w:rPr>
          <w:rFonts w:ascii="宋体" w:hAnsi="宋体" w:eastAsia="宋体" w:cs="Times New Roman"/>
        </w:rPr>
      </w:pPr>
      <w:r>
        <w:rPr>
          <w:rFonts w:hint="eastAsia" w:ascii="宋体" w:hAnsi="宋体" w:eastAsia="宋体" w:cs="Times New Roman"/>
        </w:rPr>
        <w:t>9.验收证书；</w:t>
      </w:r>
    </w:p>
    <w:p w14:paraId="08E969F8">
      <w:pPr>
        <w:ind w:firstLine="420"/>
        <w:rPr>
          <w:rFonts w:ascii="宋体" w:hAnsi="宋体" w:eastAsia="宋体" w:cs="Times New Roman"/>
        </w:rPr>
      </w:pPr>
      <w:r>
        <w:rPr>
          <w:rFonts w:hint="eastAsia" w:ascii="宋体" w:hAnsi="宋体" w:eastAsia="宋体" w:cs="Times New Roman"/>
        </w:rPr>
        <w:t>10.交接书；</w:t>
      </w:r>
    </w:p>
    <w:p w14:paraId="38A99FB6">
      <w:pPr>
        <w:ind w:firstLine="420"/>
        <w:rPr>
          <w:rFonts w:ascii="宋体" w:hAnsi="宋体" w:eastAsia="宋体" w:cs="Times New Roman"/>
        </w:rPr>
      </w:pPr>
      <w:r>
        <w:rPr>
          <w:rFonts w:hint="eastAsia" w:ascii="宋体" w:hAnsi="宋体" w:eastAsia="宋体" w:cs="Times New Roman"/>
        </w:rPr>
        <w:t>11.随工检查和中间验收签证记录；</w:t>
      </w:r>
    </w:p>
    <w:p w14:paraId="5980A119">
      <w:pPr>
        <w:ind w:firstLine="420"/>
        <w:rPr>
          <w:rFonts w:ascii="宋体" w:hAnsi="宋体" w:eastAsia="宋体" w:cs="Times New Roman"/>
        </w:rPr>
      </w:pPr>
      <w:r>
        <w:rPr>
          <w:rFonts w:hint="eastAsia" w:ascii="宋体" w:hAnsi="宋体" w:eastAsia="宋体" w:cs="Times New Roman"/>
        </w:rPr>
        <w:t>12.竣工图纸；</w:t>
      </w:r>
    </w:p>
    <w:p w14:paraId="40CF4975">
      <w:pPr>
        <w:ind w:firstLine="420"/>
        <w:rPr>
          <w:rFonts w:ascii="宋体" w:hAnsi="宋体" w:eastAsia="宋体" w:cs="Times New Roman"/>
        </w:rPr>
      </w:pPr>
      <w:r>
        <w:rPr>
          <w:rFonts w:hint="eastAsia" w:ascii="宋体" w:hAnsi="宋体" w:eastAsia="宋体" w:cs="Times New Roman"/>
        </w:rPr>
        <w:t>13.测试记录。</w:t>
      </w:r>
    </w:p>
    <w:p w14:paraId="43D92B37">
      <w:pPr>
        <w:numPr>
          <w:ilvl w:val="0"/>
          <w:numId w:val="12"/>
        </w:numPr>
        <w:tabs>
          <w:tab w:val="left" w:pos="1320"/>
        </w:tabs>
        <w:ind w:left="0" w:firstLine="420"/>
        <w:rPr>
          <w:rFonts w:ascii="宋体" w:hAnsi="宋体" w:eastAsia="宋体" w:cs="Times New Roman"/>
        </w:rPr>
      </w:pPr>
      <w:r>
        <w:rPr>
          <w:rFonts w:hint="eastAsia" w:ascii="宋体" w:hAnsi="宋体" w:eastAsia="宋体" w:cs="Times New Roman"/>
        </w:rPr>
        <w:t>工程竣工图纸应包括：</w:t>
      </w:r>
    </w:p>
    <w:p w14:paraId="38733EA5">
      <w:pPr>
        <w:rPr>
          <w:rFonts w:ascii="宋体" w:hAnsi="宋体" w:eastAsia="宋体" w:cs="Times New Roman"/>
        </w:rPr>
      </w:pPr>
      <w:r>
        <w:rPr>
          <w:rFonts w:hint="eastAsia" w:ascii="宋体" w:hAnsi="宋体" w:eastAsia="宋体" w:cs="Times New Roman"/>
        </w:rPr>
        <w:t xml:space="preserve">    1.设备安装平面图；</w:t>
      </w:r>
    </w:p>
    <w:p w14:paraId="55EC5E9F">
      <w:pPr>
        <w:ind w:firstLine="420"/>
        <w:rPr>
          <w:rFonts w:ascii="宋体" w:hAnsi="宋体" w:eastAsia="宋体" w:cs="Times New Roman"/>
        </w:rPr>
      </w:pPr>
      <w:r>
        <w:rPr>
          <w:rFonts w:hint="eastAsia" w:ascii="宋体" w:hAnsi="宋体" w:eastAsia="宋体" w:cs="Times New Roman"/>
        </w:rPr>
        <w:t>2.信号线、电源线、母线路由图；</w:t>
      </w:r>
    </w:p>
    <w:p w14:paraId="009108DA">
      <w:pPr>
        <w:ind w:firstLine="420"/>
        <w:rPr>
          <w:rFonts w:ascii="宋体" w:hAnsi="宋体" w:eastAsia="宋体" w:cs="Times New Roman"/>
        </w:rPr>
      </w:pPr>
      <w:r>
        <w:rPr>
          <w:rFonts w:hint="eastAsia" w:ascii="宋体" w:hAnsi="宋体" w:eastAsia="宋体" w:cs="Times New Roman"/>
        </w:rPr>
        <w:t>3.设备系统连接图。</w:t>
      </w:r>
    </w:p>
    <w:p w14:paraId="37CA51A1">
      <w:pPr>
        <w:ind w:left="420" w:leftChars="200"/>
        <w:rPr>
          <w:rFonts w:ascii="Times New Roman" w:hAnsi="Times New Roman" w:eastAsia="宋体" w:cs="Times New Roman"/>
        </w:rPr>
      </w:pPr>
      <w:bookmarkStart w:id="1476" w:name="_Toc20597"/>
    </w:p>
    <w:p w14:paraId="1726FE84">
      <w:pPr>
        <w:ind w:left="420" w:leftChars="200"/>
        <w:rPr>
          <w:rFonts w:ascii="Times New Roman" w:hAnsi="Times New Roman" w:eastAsia="宋体" w:cs="Times New Roman"/>
        </w:rPr>
      </w:pPr>
      <w:r>
        <w:rPr>
          <w:rFonts w:hint="eastAsia" w:ascii="Times New Roman" w:hAnsi="Times New Roman" w:eastAsia="宋体" w:cs="Times New Roman"/>
        </w:rPr>
        <w:t xml:space="preserve">  维保售后服务</w:t>
      </w:r>
      <w:bookmarkEnd w:id="1476"/>
    </w:p>
    <w:p w14:paraId="06A53A34">
      <w:pPr>
        <w:numPr>
          <w:ilvl w:val="0"/>
          <w:numId w:val="12"/>
        </w:numPr>
        <w:tabs>
          <w:tab w:val="left" w:pos="1320"/>
        </w:tabs>
        <w:ind w:left="0" w:firstLine="420"/>
        <w:rPr>
          <w:rFonts w:ascii="宋体" w:hAnsi="宋体" w:eastAsia="宋体" w:cs="Times New Roman"/>
        </w:rPr>
      </w:pPr>
      <w:r>
        <w:rPr>
          <w:rFonts w:hint="eastAsia" w:ascii="Times New Roman" w:hAnsi="Times New Roman" w:eastAsia="宋体" w:cs="Times New Roman"/>
          <w:kern w:val="0"/>
        </w:rPr>
        <w:t>★全年24×365日全天候出勤抢修；</w:t>
      </w:r>
    </w:p>
    <w:p w14:paraId="6BA8F06F">
      <w:pPr>
        <w:numPr>
          <w:ilvl w:val="0"/>
          <w:numId w:val="12"/>
        </w:numPr>
        <w:tabs>
          <w:tab w:val="left" w:pos="1320"/>
        </w:tabs>
        <w:ind w:left="0" w:firstLine="420"/>
        <w:rPr>
          <w:rFonts w:ascii="宋体" w:hAnsi="宋体" w:eastAsia="宋体" w:cs="Times New Roman"/>
        </w:rPr>
      </w:pPr>
      <w:r>
        <w:rPr>
          <w:rFonts w:hint="eastAsia" w:ascii="Times New Roman" w:hAnsi="Times New Roman" w:eastAsia="宋体" w:cs="Times New Roman"/>
          <w:kern w:val="0"/>
        </w:rPr>
        <w:t>★定期对接入网机房内接入网通信设备及机房内供电设备进行维护清理（维护清理机房数量：按月选取机房总量的10%—20%）；</w:t>
      </w:r>
    </w:p>
    <w:p w14:paraId="5E083906">
      <w:pPr>
        <w:numPr>
          <w:ilvl w:val="0"/>
          <w:numId w:val="12"/>
        </w:numPr>
        <w:tabs>
          <w:tab w:val="left" w:pos="1320"/>
        </w:tabs>
        <w:ind w:left="0" w:firstLine="420"/>
        <w:rPr>
          <w:rFonts w:ascii="宋体" w:hAnsi="宋体" w:eastAsia="宋体" w:cs="Times New Roman"/>
        </w:rPr>
      </w:pPr>
      <w:r>
        <w:rPr>
          <w:rFonts w:hint="eastAsia" w:ascii="Times New Roman" w:hAnsi="Times New Roman" w:eastAsia="宋体" w:cs="Times New Roman"/>
          <w:kern w:val="0"/>
        </w:rPr>
        <w:t>★不定期的对接入网机房建设需要进行电源支撑和保障；</w:t>
      </w:r>
    </w:p>
    <w:p w14:paraId="7479B264">
      <w:pPr>
        <w:numPr>
          <w:ilvl w:val="0"/>
          <w:numId w:val="12"/>
        </w:numPr>
        <w:tabs>
          <w:tab w:val="left" w:pos="1320"/>
        </w:tabs>
        <w:ind w:left="0" w:firstLine="420"/>
        <w:rPr>
          <w:rFonts w:ascii="Times New Roman" w:hAnsi="Times New Roman" w:eastAsia="宋体" w:cs="Times New Roman"/>
        </w:rPr>
      </w:pPr>
      <w:r>
        <w:rPr>
          <w:rFonts w:hint="eastAsia" w:ascii="Times New Roman" w:hAnsi="Times New Roman" w:eastAsia="宋体" w:cs="Times New Roman"/>
          <w:kern w:val="0"/>
        </w:rPr>
        <w:t>★按月向主管出具抢修数量确认单（抢修报告）及接入网机房巡检维护工作报告；</w:t>
      </w:r>
    </w:p>
    <w:p w14:paraId="7207100D">
      <w:pPr>
        <w:numPr>
          <w:ilvl w:val="0"/>
          <w:numId w:val="12"/>
        </w:numPr>
        <w:tabs>
          <w:tab w:val="left" w:pos="1320"/>
        </w:tabs>
        <w:sectPr>
          <w:type w:val="continuous"/>
          <w:pgSz w:w="11906" w:h="16838"/>
          <w:pgMar w:top="1440" w:right="1800" w:bottom="1440" w:left="1800" w:header="851" w:footer="992" w:gutter="0"/>
          <w:cols w:space="425" w:num="1"/>
          <w:docGrid w:type="lines" w:linePitch="312" w:charSpace="0"/>
        </w:sectPr>
      </w:pPr>
      <w:r>
        <w:rPr>
          <w:rFonts w:hint="eastAsia" w:ascii="Times New Roman" w:hAnsi="Times New Roman" w:eastAsia="宋体" w:cs="Times New Roman"/>
          <w:kern w:val="0"/>
        </w:rPr>
        <w:t>★配合各站点电源类工作的现场查勘、设计、施工等相关工作。</w:t>
      </w:r>
    </w:p>
    <w:p w14:paraId="7F5A66A7">
      <w:pPr>
        <w:numPr>
          <w:ilvl w:val="0"/>
          <w:numId w:val="12"/>
        </w:numPr>
        <w:tabs>
          <w:tab w:val="left" w:pos="1320"/>
        </w:tabs>
        <w:ind w:left="0" w:firstLine="420"/>
        <w:rPr>
          <w:rFonts w:ascii="Times New Roman" w:hAnsi="Times New Roman" w:eastAsia="宋体" w:cs="Times New Roman"/>
        </w:rPr>
      </w:pPr>
      <w:r>
        <w:rPr>
          <w:rFonts w:ascii="Times New Roman" w:hAnsi="Times New Roman" w:eastAsia="宋体" w:cs="Times New Roman"/>
        </w:rPr>
        <w:br w:type="page"/>
      </w:r>
    </w:p>
    <w:p w14:paraId="752E8B5B">
      <w:pPr>
        <w:sectPr>
          <w:type w:val="continuous"/>
          <w:pgSz w:w="11906" w:h="16838"/>
          <w:pgMar w:top="1440" w:right="1800" w:bottom="1440" w:left="1800" w:header="851" w:footer="992" w:gutter="0"/>
          <w:cols w:space="425" w:num="1"/>
          <w:docGrid w:type="lines" w:linePitch="312" w:charSpace="0"/>
        </w:sectPr>
      </w:pPr>
    </w:p>
    <w:tbl>
      <w:tblPr>
        <w:tblStyle w:val="41"/>
        <w:tblW w:w="5000" w:type="pct"/>
        <w:tblInd w:w="0" w:type="dxa"/>
        <w:tblLayout w:type="autofit"/>
        <w:tblCellMar>
          <w:top w:w="0" w:type="dxa"/>
          <w:left w:w="108" w:type="dxa"/>
          <w:bottom w:w="0" w:type="dxa"/>
          <w:right w:w="108" w:type="dxa"/>
        </w:tblCellMar>
      </w:tblPr>
      <w:tblGrid>
        <w:gridCol w:w="436"/>
        <w:gridCol w:w="656"/>
        <w:gridCol w:w="583"/>
        <w:gridCol w:w="876"/>
        <w:gridCol w:w="1621"/>
        <w:gridCol w:w="986"/>
        <w:gridCol w:w="436"/>
        <w:gridCol w:w="437"/>
        <w:gridCol w:w="1245"/>
        <w:gridCol w:w="709"/>
        <w:gridCol w:w="537"/>
      </w:tblGrid>
      <w:tr w14:paraId="7BF0F754">
        <w:tblPrEx>
          <w:tblCellMar>
            <w:top w:w="0" w:type="dxa"/>
            <w:left w:w="108" w:type="dxa"/>
            <w:bottom w:w="0" w:type="dxa"/>
            <w:right w:w="108" w:type="dxa"/>
          </w:tblCellMar>
        </w:tblPrEx>
        <w:trPr>
          <w:trHeight w:val="118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395DE20">
            <w:pPr>
              <w:widowControl/>
              <w:jc w:val="center"/>
              <w:textAlignment w:val="center"/>
              <w:rPr>
                <w:rFonts w:ascii="等线" w:hAnsi="等线" w:eastAsia="等线" w:cs="等线"/>
                <w:b/>
                <w:bCs/>
                <w:color w:val="000000"/>
                <w:sz w:val="40"/>
                <w:szCs w:val="40"/>
              </w:rPr>
            </w:pPr>
            <w:r>
              <w:rPr>
                <w:rFonts w:hint="default" w:ascii="宋体" w:hAnsi="宋体" w:eastAsia="宋体" w:cs="宋体"/>
                <w:color w:val="000000"/>
                <w:sz w:val="20"/>
                <w:szCs w:val="20"/>
                <w:u w:val="none"/>
                <w:lang w:bidi="ar"/>
              </w:rPr>
              <w:t>电源维修服务月度考核评分表</w:t>
            </w:r>
            <w:r>
              <w:rPr>
                <w:rFonts w:hint="default" w:ascii="宋体" w:hAnsi="宋体" w:eastAsia="宋体" w:cs="宋体"/>
                <w:color w:val="000000"/>
                <w:sz w:val="20"/>
                <w:szCs w:val="20"/>
                <w:u w:val="none"/>
                <w:lang w:bidi="ar"/>
              </w:rPr>
              <w:br w:type="textWrapping"/>
            </w:r>
            <w:r>
              <w:rPr>
                <w:rFonts w:hint="default" w:ascii="宋体" w:hAnsi="宋体" w:eastAsia="宋体" w:cs="宋体"/>
                <w:color w:val="000000"/>
                <w:sz w:val="20"/>
                <w:szCs w:val="20"/>
                <w:u w:val="none"/>
                <w:lang w:bidi="ar"/>
              </w:rPr>
              <w:t>年  月</w:t>
            </w:r>
          </w:p>
        </w:tc>
      </w:tr>
      <w:tr w14:paraId="7E2C58B2">
        <w:tblPrEx>
          <w:tblCellMar>
            <w:top w:w="0" w:type="dxa"/>
            <w:left w:w="108" w:type="dxa"/>
            <w:bottom w:w="0" w:type="dxa"/>
            <w:right w:w="108" w:type="dxa"/>
          </w:tblCellMar>
        </w:tblPrEx>
        <w:trPr>
          <w:trHeight w:val="552" w:hRule="atLeast"/>
        </w:trPr>
        <w:tc>
          <w:tcPr>
            <w:tcW w:w="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792F1">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序号</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7730E">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指标类别</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A0992">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分值</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123B6">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考核指标名称</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DD7C7">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考核分项</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42767">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考核分值（次）</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CDC83">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扣分情况</w:t>
            </w:r>
          </w:p>
        </w:tc>
        <w:tc>
          <w:tcPr>
            <w:tcW w:w="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97DE">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实际分数</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6497D">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扣分原因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964C2">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检查标准</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46CD8">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备注</w:t>
            </w:r>
          </w:p>
        </w:tc>
      </w:tr>
      <w:tr w14:paraId="2DD4FE03">
        <w:tblPrEx>
          <w:tblCellMar>
            <w:top w:w="0" w:type="dxa"/>
            <w:left w:w="108" w:type="dxa"/>
            <w:bottom w:w="0" w:type="dxa"/>
            <w:right w:w="108" w:type="dxa"/>
          </w:tblCellMar>
        </w:tblPrEx>
        <w:trPr>
          <w:trHeight w:val="360" w:hRule="atLeast"/>
        </w:trPr>
        <w:tc>
          <w:tcPr>
            <w:tcW w:w="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28CC6">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50B19">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电子工单考核</w:t>
            </w: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6FA80">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E6EDD">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接单、回单超时考核</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7BB05">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接单超时</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371C8">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按云网同等考核</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3C50D">
            <w:pPr>
              <w:widowControl/>
              <w:jc w:val="righ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0</w:t>
            </w:r>
          </w:p>
        </w:tc>
        <w:tc>
          <w:tcPr>
            <w:tcW w:w="1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5C4CA">
            <w:pPr>
              <w:jc w:val="center"/>
              <w:rPr>
                <w:rFonts w:ascii="等线" w:hAnsi="等线" w:eastAsia="等线" w:cs="等线"/>
                <w:color w:val="000000"/>
                <w:sz w:val="22"/>
                <w:szCs w:val="22"/>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D811E">
            <w:pPr>
              <w:rPr>
                <w:rFonts w:ascii="等线" w:hAnsi="等线" w:eastAsia="等线" w:cs="等线"/>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A8355">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集告系统抽查</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456C9">
            <w:pPr>
              <w:rPr>
                <w:rFonts w:ascii="等线" w:hAnsi="等线" w:eastAsia="等线" w:cs="等线"/>
                <w:color w:val="000000"/>
                <w:sz w:val="22"/>
                <w:szCs w:val="22"/>
              </w:rPr>
            </w:pPr>
          </w:p>
        </w:tc>
      </w:tr>
      <w:tr w14:paraId="4773C55F">
        <w:tblPrEx>
          <w:tblCellMar>
            <w:top w:w="0" w:type="dxa"/>
            <w:left w:w="108" w:type="dxa"/>
            <w:bottom w:w="0" w:type="dxa"/>
            <w:right w:w="108" w:type="dxa"/>
          </w:tblCellMar>
        </w:tblPrEx>
        <w:trPr>
          <w:trHeight w:val="360" w:hRule="atLeast"/>
        </w:trPr>
        <w:tc>
          <w:tcPr>
            <w:tcW w:w="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59E57">
            <w:pPr>
              <w:jc w:val="center"/>
              <w:rPr>
                <w:rFonts w:ascii="等线" w:hAnsi="等线" w:eastAsia="等线" w:cs="等线"/>
                <w:color w:val="000000"/>
                <w:sz w:val="22"/>
                <w:szCs w:val="22"/>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877E7">
            <w:pPr>
              <w:jc w:val="center"/>
              <w:rPr>
                <w:rFonts w:ascii="等线" w:hAnsi="等线" w:eastAsia="等线" w:cs="等线"/>
                <w:color w:val="000000"/>
                <w:sz w:val="22"/>
                <w:szCs w:val="22"/>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6D668">
            <w:pPr>
              <w:jc w:val="center"/>
              <w:rPr>
                <w:rFonts w:ascii="等线" w:hAnsi="等线" w:eastAsia="等线" w:cs="等线"/>
                <w:color w:val="000000"/>
                <w:sz w:val="22"/>
                <w:szCs w:val="22"/>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AFD32">
            <w:pPr>
              <w:jc w:val="left"/>
              <w:rPr>
                <w:rFonts w:ascii="等线" w:hAnsi="等线" w:eastAsia="等线" w:cs="等线"/>
                <w:color w:val="000000"/>
                <w:sz w:val="22"/>
                <w:szCs w:val="22"/>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24CC9">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回单超时</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903DA">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按云网同等考核</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82422">
            <w:pPr>
              <w:widowControl/>
              <w:jc w:val="righ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0</w:t>
            </w:r>
          </w:p>
        </w:tc>
        <w:tc>
          <w:tcPr>
            <w:tcW w:w="1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B7E17">
            <w:pPr>
              <w:jc w:val="center"/>
              <w:rPr>
                <w:rFonts w:ascii="等线" w:hAnsi="等线" w:eastAsia="等线" w:cs="等线"/>
                <w:color w:val="000000"/>
                <w:sz w:val="22"/>
                <w:szCs w:val="22"/>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36A11">
            <w:pPr>
              <w:rPr>
                <w:rFonts w:ascii="等线" w:hAnsi="等线" w:eastAsia="等线" w:cs="等线"/>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3C6F9">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集告系统抽查</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6BE8F">
            <w:pPr>
              <w:rPr>
                <w:rFonts w:ascii="等线" w:hAnsi="等线" w:eastAsia="等线" w:cs="等线"/>
                <w:color w:val="000000"/>
                <w:sz w:val="22"/>
                <w:szCs w:val="22"/>
              </w:rPr>
            </w:pPr>
          </w:p>
        </w:tc>
      </w:tr>
      <w:tr w14:paraId="74692E07">
        <w:tblPrEx>
          <w:tblCellMar>
            <w:top w:w="0" w:type="dxa"/>
            <w:left w:w="108" w:type="dxa"/>
            <w:bottom w:w="0" w:type="dxa"/>
            <w:right w:w="108" w:type="dxa"/>
          </w:tblCellMar>
        </w:tblPrEx>
        <w:trPr>
          <w:trHeight w:val="360" w:hRule="atLeast"/>
        </w:trPr>
        <w:tc>
          <w:tcPr>
            <w:tcW w:w="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DF1AD">
            <w:pPr>
              <w:jc w:val="center"/>
              <w:rPr>
                <w:rFonts w:ascii="等线" w:hAnsi="等线" w:eastAsia="等线" w:cs="等线"/>
                <w:color w:val="000000"/>
                <w:sz w:val="22"/>
                <w:szCs w:val="22"/>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5DF88">
            <w:pPr>
              <w:jc w:val="center"/>
              <w:rPr>
                <w:rFonts w:ascii="等线" w:hAnsi="等线" w:eastAsia="等线" w:cs="等线"/>
                <w:color w:val="000000"/>
                <w:sz w:val="22"/>
                <w:szCs w:val="22"/>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AA2ED">
            <w:pPr>
              <w:jc w:val="center"/>
              <w:rPr>
                <w:rFonts w:ascii="等线" w:hAnsi="等线" w:eastAsia="等线" w:cs="等线"/>
                <w:color w:val="000000"/>
                <w:sz w:val="22"/>
                <w:szCs w:val="22"/>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43582">
            <w:pPr>
              <w:jc w:val="left"/>
              <w:rPr>
                <w:rFonts w:ascii="等线" w:hAnsi="等线" w:eastAsia="等线" w:cs="等线"/>
                <w:color w:val="000000"/>
                <w:sz w:val="22"/>
                <w:szCs w:val="22"/>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6EC79">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挂单超时（挂单时限内障碍未恢复）</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1A809">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按云网同等考核</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198AC">
            <w:pPr>
              <w:widowControl/>
              <w:jc w:val="righ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0</w:t>
            </w:r>
          </w:p>
        </w:tc>
        <w:tc>
          <w:tcPr>
            <w:tcW w:w="1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17B43">
            <w:pPr>
              <w:jc w:val="center"/>
              <w:rPr>
                <w:rFonts w:ascii="等线" w:hAnsi="等线" w:eastAsia="等线" w:cs="等线"/>
                <w:color w:val="000000"/>
                <w:sz w:val="22"/>
                <w:szCs w:val="22"/>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00E54">
            <w:pPr>
              <w:rPr>
                <w:rFonts w:ascii="等线" w:hAnsi="等线" w:eastAsia="等线" w:cs="等线"/>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924F1">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集告系统抽查</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703F5">
            <w:pPr>
              <w:rPr>
                <w:rFonts w:ascii="等线" w:hAnsi="等线" w:eastAsia="等线" w:cs="等线"/>
                <w:color w:val="000000"/>
                <w:sz w:val="22"/>
                <w:szCs w:val="22"/>
              </w:rPr>
            </w:pPr>
          </w:p>
        </w:tc>
      </w:tr>
      <w:tr w14:paraId="45542D30">
        <w:tblPrEx>
          <w:tblCellMar>
            <w:top w:w="0" w:type="dxa"/>
            <w:left w:w="108" w:type="dxa"/>
            <w:bottom w:w="0" w:type="dxa"/>
            <w:right w:w="108" w:type="dxa"/>
          </w:tblCellMar>
        </w:tblPrEx>
        <w:trPr>
          <w:trHeight w:val="360" w:hRule="atLeast"/>
        </w:trPr>
        <w:tc>
          <w:tcPr>
            <w:tcW w:w="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5DCEA">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3DB59">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故障处理、修复</w:t>
            </w:r>
          </w:p>
        </w:tc>
        <w:tc>
          <w:tcPr>
            <w:tcW w:w="333" w:type="pct"/>
            <w:vMerge w:val="restart"/>
            <w:tcBorders>
              <w:top w:val="single" w:color="000000" w:sz="4" w:space="0"/>
              <w:left w:val="single" w:color="000000" w:sz="4" w:space="0"/>
              <w:bottom w:val="nil"/>
              <w:right w:val="single" w:color="000000" w:sz="4" w:space="0"/>
            </w:tcBorders>
            <w:shd w:val="clear" w:color="auto" w:fill="auto"/>
            <w:vAlign w:val="center"/>
          </w:tcPr>
          <w:p w14:paraId="206B993F">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FEE3B">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一般故障</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DA9AF">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电源故障导致C类告警（超时）</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14FA1">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超时一次扣0.5分</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E156D">
            <w:pPr>
              <w:widowControl/>
              <w:jc w:val="righ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0</w:t>
            </w:r>
          </w:p>
        </w:tc>
        <w:tc>
          <w:tcPr>
            <w:tcW w:w="1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5CC13">
            <w:pPr>
              <w:jc w:val="center"/>
              <w:rPr>
                <w:rFonts w:ascii="等线" w:hAnsi="等线" w:eastAsia="等线" w:cs="等线"/>
                <w:color w:val="000000"/>
                <w:sz w:val="22"/>
                <w:szCs w:val="22"/>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BD6A0">
            <w:pPr>
              <w:rPr>
                <w:rFonts w:ascii="等线" w:hAnsi="等线" w:eastAsia="等线" w:cs="等线"/>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0BD73">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集告及短信</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C44A4">
            <w:pPr>
              <w:rPr>
                <w:rFonts w:ascii="等线" w:hAnsi="等线" w:eastAsia="等线" w:cs="等线"/>
                <w:color w:val="000000"/>
                <w:sz w:val="22"/>
                <w:szCs w:val="22"/>
              </w:rPr>
            </w:pPr>
          </w:p>
        </w:tc>
      </w:tr>
      <w:tr w14:paraId="7A2748F0">
        <w:tblPrEx>
          <w:tblCellMar>
            <w:top w:w="0" w:type="dxa"/>
            <w:left w:w="108" w:type="dxa"/>
            <w:bottom w:w="0" w:type="dxa"/>
            <w:right w:w="108" w:type="dxa"/>
          </w:tblCellMar>
        </w:tblPrEx>
        <w:trPr>
          <w:trHeight w:val="320" w:hRule="atLeast"/>
        </w:trPr>
        <w:tc>
          <w:tcPr>
            <w:tcW w:w="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E61A2">
            <w:pPr>
              <w:jc w:val="center"/>
              <w:rPr>
                <w:rFonts w:ascii="等线" w:hAnsi="等线" w:eastAsia="等线" w:cs="等线"/>
                <w:color w:val="000000"/>
                <w:sz w:val="22"/>
                <w:szCs w:val="22"/>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944E6">
            <w:pPr>
              <w:jc w:val="center"/>
              <w:rPr>
                <w:rFonts w:ascii="等线" w:hAnsi="等线" w:eastAsia="等线" w:cs="等线"/>
                <w:color w:val="000000"/>
                <w:sz w:val="22"/>
                <w:szCs w:val="22"/>
              </w:rPr>
            </w:pPr>
          </w:p>
        </w:tc>
        <w:tc>
          <w:tcPr>
            <w:tcW w:w="333" w:type="pct"/>
            <w:vMerge w:val="continue"/>
            <w:tcBorders>
              <w:top w:val="single" w:color="000000" w:sz="4" w:space="0"/>
              <w:left w:val="single" w:color="000000" w:sz="4" w:space="0"/>
              <w:bottom w:val="nil"/>
              <w:right w:val="single" w:color="000000" w:sz="4" w:space="0"/>
            </w:tcBorders>
            <w:shd w:val="clear" w:color="auto" w:fill="auto"/>
            <w:vAlign w:val="center"/>
          </w:tcPr>
          <w:p w14:paraId="6A3D74AB">
            <w:pPr>
              <w:jc w:val="center"/>
              <w:rPr>
                <w:rFonts w:ascii="等线" w:hAnsi="等线" w:eastAsia="等线" w:cs="等线"/>
                <w:color w:val="000000"/>
                <w:sz w:val="22"/>
                <w:szCs w:val="22"/>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8B80D">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电话接通率（次）</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C5879">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值班电话需处于随时接听状态（次）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1B806">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未响应扣0.2分</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9D60F">
            <w:pPr>
              <w:widowControl/>
              <w:jc w:val="righ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0</w:t>
            </w:r>
          </w:p>
        </w:tc>
        <w:tc>
          <w:tcPr>
            <w:tcW w:w="1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94030">
            <w:pPr>
              <w:jc w:val="center"/>
              <w:rPr>
                <w:rFonts w:ascii="等线" w:hAnsi="等线" w:eastAsia="等线" w:cs="等线"/>
                <w:color w:val="000000"/>
                <w:sz w:val="22"/>
                <w:szCs w:val="22"/>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A96B2">
            <w:pPr>
              <w:rPr>
                <w:rFonts w:ascii="等线" w:hAnsi="等线" w:eastAsia="等线" w:cs="等线"/>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CEF92">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接障电话10分钟内无应答</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AA860">
            <w:pPr>
              <w:rPr>
                <w:rFonts w:ascii="等线" w:hAnsi="等线" w:eastAsia="等线" w:cs="等线"/>
                <w:color w:val="000000"/>
                <w:sz w:val="22"/>
                <w:szCs w:val="22"/>
              </w:rPr>
            </w:pPr>
          </w:p>
        </w:tc>
      </w:tr>
      <w:tr w14:paraId="49783733">
        <w:tblPrEx>
          <w:tblCellMar>
            <w:top w:w="0" w:type="dxa"/>
            <w:left w:w="108" w:type="dxa"/>
            <w:bottom w:w="0" w:type="dxa"/>
            <w:right w:w="108" w:type="dxa"/>
          </w:tblCellMar>
        </w:tblPrEx>
        <w:trPr>
          <w:trHeight w:val="640" w:hRule="atLeast"/>
        </w:trPr>
        <w:tc>
          <w:tcPr>
            <w:tcW w:w="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C1EE4">
            <w:pPr>
              <w:jc w:val="center"/>
              <w:rPr>
                <w:rFonts w:ascii="等线" w:hAnsi="等线" w:eastAsia="等线" w:cs="等线"/>
                <w:color w:val="000000"/>
                <w:sz w:val="22"/>
                <w:szCs w:val="22"/>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9C3DE">
            <w:pPr>
              <w:jc w:val="center"/>
              <w:rPr>
                <w:rFonts w:ascii="等线" w:hAnsi="等线" w:eastAsia="等线" w:cs="等线"/>
                <w:color w:val="000000"/>
                <w:sz w:val="22"/>
                <w:szCs w:val="22"/>
              </w:rPr>
            </w:pPr>
          </w:p>
        </w:tc>
        <w:tc>
          <w:tcPr>
            <w:tcW w:w="333" w:type="pct"/>
            <w:vMerge w:val="continue"/>
            <w:tcBorders>
              <w:top w:val="single" w:color="000000" w:sz="4" w:space="0"/>
              <w:left w:val="single" w:color="000000" w:sz="4" w:space="0"/>
              <w:bottom w:val="nil"/>
              <w:right w:val="single" w:color="000000" w:sz="4" w:space="0"/>
            </w:tcBorders>
            <w:shd w:val="clear" w:color="auto" w:fill="auto"/>
            <w:vAlign w:val="center"/>
          </w:tcPr>
          <w:p w14:paraId="53E05703">
            <w:pPr>
              <w:jc w:val="center"/>
              <w:rPr>
                <w:rFonts w:ascii="等线" w:hAnsi="等线" w:eastAsia="等线" w:cs="等线"/>
                <w:color w:val="000000"/>
                <w:sz w:val="22"/>
                <w:szCs w:val="22"/>
              </w:rPr>
            </w:pP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B5366">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设备完好率</w:t>
            </w:r>
          </w:p>
        </w:tc>
        <w:tc>
          <w:tcPr>
            <w:tcW w:w="11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84746">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因电源故障导致在网设备中断（次）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D2BA0">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中断一次扣2分</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C417E">
            <w:pPr>
              <w:widowControl/>
              <w:jc w:val="righ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0</w:t>
            </w:r>
          </w:p>
        </w:tc>
        <w:tc>
          <w:tcPr>
            <w:tcW w:w="1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313DE">
            <w:pPr>
              <w:jc w:val="center"/>
              <w:rPr>
                <w:rFonts w:ascii="等线" w:hAnsi="等线" w:eastAsia="等线" w:cs="等线"/>
                <w:color w:val="000000"/>
                <w:sz w:val="22"/>
                <w:szCs w:val="22"/>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D6345">
            <w:pPr>
              <w:rPr>
                <w:rFonts w:ascii="等线" w:hAnsi="等线" w:eastAsia="等线" w:cs="等线"/>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20212">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集告系统抽查</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738C8">
            <w:pPr>
              <w:rPr>
                <w:rFonts w:ascii="等线" w:hAnsi="等线" w:eastAsia="等线" w:cs="等线"/>
                <w:color w:val="000000"/>
                <w:sz w:val="22"/>
                <w:szCs w:val="22"/>
              </w:rPr>
            </w:pPr>
          </w:p>
        </w:tc>
      </w:tr>
      <w:tr w14:paraId="2A9491AE">
        <w:tblPrEx>
          <w:tblCellMar>
            <w:top w:w="0" w:type="dxa"/>
            <w:left w:w="108" w:type="dxa"/>
            <w:bottom w:w="0" w:type="dxa"/>
            <w:right w:w="108" w:type="dxa"/>
          </w:tblCellMar>
        </w:tblPrEx>
        <w:trPr>
          <w:trHeight w:val="540" w:hRule="atLeast"/>
        </w:trPr>
        <w:tc>
          <w:tcPr>
            <w:tcW w:w="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9EF89">
            <w:pPr>
              <w:jc w:val="center"/>
              <w:rPr>
                <w:rFonts w:ascii="等线" w:hAnsi="等线" w:eastAsia="等线" w:cs="等线"/>
                <w:color w:val="000000"/>
                <w:sz w:val="22"/>
                <w:szCs w:val="22"/>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4FAFE">
            <w:pPr>
              <w:jc w:val="center"/>
              <w:rPr>
                <w:rFonts w:ascii="等线" w:hAnsi="等线" w:eastAsia="等线" w:cs="等线"/>
                <w:color w:val="000000"/>
                <w:sz w:val="22"/>
                <w:szCs w:val="22"/>
              </w:rPr>
            </w:pPr>
          </w:p>
        </w:tc>
        <w:tc>
          <w:tcPr>
            <w:tcW w:w="333" w:type="pct"/>
            <w:vMerge w:val="continue"/>
            <w:tcBorders>
              <w:top w:val="single" w:color="000000" w:sz="4" w:space="0"/>
              <w:left w:val="single" w:color="000000" w:sz="4" w:space="0"/>
              <w:bottom w:val="nil"/>
              <w:right w:val="single" w:color="000000" w:sz="4" w:space="0"/>
            </w:tcBorders>
            <w:shd w:val="clear" w:color="auto" w:fill="auto"/>
            <w:vAlign w:val="center"/>
          </w:tcPr>
          <w:p w14:paraId="759B3020">
            <w:pPr>
              <w:jc w:val="center"/>
              <w:rPr>
                <w:rFonts w:ascii="等线" w:hAnsi="等线" w:eastAsia="等线" w:cs="等线"/>
                <w:color w:val="000000"/>
                <w:sz w:val="22"/>
                <w:szCs w:val="22"/>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D8865">
            <w:pPr>
              <w:jc w:val="left"/>
              <w:rPr>
                <w:rFonts w:ascii="等线" w:hAnsi="等线" w:eastAsia="等线" w:cs="等线"/>
                <w:color w:val="000000"/>
                <w:sz w:val="22"/>
                <w:szCs w:val="22"/>
              </w:rPr>
            </w:pPr>
          </w:p>
        </w:tc>
        <w:tc>
          <w:tcPr>
            <w:tcW w:w="11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46A55">
            <w:pPr>
              <w:jc w:val="left"/>
              <w:rPr>
                <w:rFonts w:ascii="等线" w:hAnsi="等线" w:eastAsia="等线" w:cs="等线"/>
                <w:color w:val="000000"/>
                <w:sz w:val="22"/>
                <w:szCs w:val="22"/>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ABFD4">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重要站点（OTN及省、市政府等）中断扣5分</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02AC1">
            <w:pPr>
              <w:widowControl/>
              <w:jc w:val="righ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0</w:t>
            </w:r>
          </w:p>
        </w:tc>
        <w:tc>
          <w:tcPr>
            <w:tcW w:w="1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71B4D">
            <w:pPr>
              <w:jc w:val="center"/>
              <w:rPr>
                <w:rFonts w:ascii="等线" w:hAnsi="等线" w:eastAsia="等线" w:cs="等线"/>
                <w:color w:val="000000"/>
                <w:sz w:val="22"/>
                <w:szCs w:val="22"/>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6B9CD">
            <w:pPr>
              <w:rPr>
                <w:rFonts w:ascii="等线" w:hAnsi="等线" w:eastAsia="等线" w:cs="等线"/>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CEB2E">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集告系统抽查</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FCF9C">
            <w:pPr>
              <w:rPr>
                <w:rFonts w:ascii="等线" w:hAnsi="等线" w:eastAsia="等线" w:cs="等线"/>
                <w:color w:val="000000"/>
                <w:sz w:val="22"/>
                <w:szCs w:val="22"/>
              </w:rPr>
            </w:pPr>
          </w:p>
        </w:tc>
      </w:tr>
      <w:tr w14:paraId="30F05CD5">
        <w:tblPrEx>
          <w:tblCellMar>
            <w:top w:w="0" w:type="dxa"/>
            <w:left w:w="108" w:type="dxa"/>
            <w:bottom w:w="0" w:type="dxa"/>
            <w:right w:w="108" w:type="dxa"/>
          </w:tblCellMar>
        </w:tblPrEx>
        <w:trPr>
          <w:trHeight w:val="360" w:hRule="atLeast"/>
        </w:trPr>
        <w:tc>
          <w:tcPr>
            <w:tcW w:w="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859BC">
            <w:pPr>
              <w:jc w:val="center"/>
              <w:rPr>
                <w:rFonts w:ascii="等线" w:hAnsi="等线" w:eastAsia="等线" w:cs="等线"/>
                <w:color w:val="000000"/>
                <w:sz w:val="22"/>
                <w:szCs w:val="22"/>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08647">
            <w:pPr>
              <w:jc w:val="center"/>
              <w:rPr>
                <w:rFonts w:ascii="等线" w:hAnsi="等线" w:eastAsia="等线" w:cs="等线"/>
                <w:color w:val="000000"/>
                <w:sz w:val="22"/>
                <w:szCs w:val="22"/>
              </w:rPr>
            </w:pPr>
          </w:p>
        </w:tc>
        <w:tc>
          <w:tcPr>
            <w:tcW w:w="333" w:type="pct"/>
            <w:vMerge w:val="continue"/>
            <w:tcBorders>
              <w:top w:val="single" w:color="000000" w:sz="4" w:space="0"/>
              <w:left w:val="single" w:color="000000" w:sz="4" w:space="0"/>
              <w:bottom w:val="nil"/>
              <w:right w:val="single" w:color="000000" w:sz="4" w:space="0"/>
            </w:tcBorders>
            <w:shd w:val="clear" w:color="auto" w:fill="auto"/>
            <w:vAlign w:val="center"/>
          </w:tcPr>
          <w:p w14:paraId="6FC1E486">
            <w:pPr>
              <w:jc w:val="center"/>
              <w:rPr>
                <w:rFonts w:ascii="等线" w:hAnsi="等线" w:eastAsia="等线" w:cs="等线"/>
                <w:color w:val="000000"/>
                <w:sz w:val="22"/>
                <w:szCs w:val="22"/>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CA3A5">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电源故障发生率</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26BF2">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每月电源故障发生率应小于3%(实际障碍次数/149*3）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F2F1A">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每高1%扣1分</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15882">
            <w:pPr>
              <w:widowControl/>
              <w:jc w:val="righ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0</w:t>
            </w:r>
          </w:p>
        </w:tc>
        <w:tc>
          <w:tcPr>
            <w:tcW w:w="1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65D78">
            <w:pPr>
              <w:jc w:val="center"/>
              <w:rPr>
                <w:rFonts w:ascii="等线" w:hAnsi="等线" w:eastAsia="等线" w:cs="等线"/>
                <w:color w:val="000000"/>
                <w:sz w:val="22"/>
                <w:szCs w:val="22"/>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993D3">
            <w:pPr>
              <w:rPr>
                <w:rFonts w:ascii="等线" w:hAnsi="等线" w:eastAsia="等线" w:cs="等线"/>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8B75C">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集告系统抽查测算</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872D2">
            <w:pPr>
              <w:rPr>
                <w:rFonts w:ascii="等线" w:hAnsi="等线" w:eastAsia="等线" w:cs="等线"/>
                <w:color w:val="000000"/>
                <w:sz w:val="22"/>
                <w:szCs w:val="22"/>
              </w:rPr>
            </w:pPr>
          </w:p>
        </w:tc>
      </w:tr>
      <w:tr w14:paraId="453F67B2">
        <w:tblPrEx>
          <w:tblCellMar>
            <w:top w:w="0" w:type="dxa"/>
            <w:left w:w="108" w:type="dxa"/>
            <w:bottom w:w="0" w:type="dxa"/>
            <w:right w:w="108" w:type="dxa"/>
          </w:tblCellMar>
        </w:tblPrEx>
        <w:trPr>
          <w:trHeight w:val="560" w:hRule="atLeast"/>
        </w:trPr>
        <w:tc>
          <w:tcPr>
            <w:tcW w:w="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4C6B2">
            <w:pPr>
              <w:jc w:val="center"/>
              <w:rPr>
                <w:rFonts w:ascii="等线" w:hAnsi="等线" w:eastAsia="等线" w:cs="等线"/>
                <w:color w:val="000000"/>
                <w:sz w:val="22"/>
                <w:szCs w:val="22"/>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F648D">
            <w:pPr>
              <w:jc w:val="center"/>
              <w:rPr>
                <w:rFonts w:ascii="等线" w:hAnsi="等线" w:eastAsia="等线" w:cs="等线"/>
                <w:color w:val="000000"/>
                <w:sz w:val="22"/>
                <w:szCs w:val="22"/>
              </w:rPr>
            </w:pPr>
          </w:p>
        </w:tc>
        <w:tc>
          <w:tcPr>
            <w:tcW w:w="333" w:type="pct"/>
            <w:vMerge w:val="continue"/>
            <w:tcBorders>
              <w:top w:val="single" w:color="000000" w:sz="4" w:space="0"/>
              <w:left w:val="single" w:color="000000" w:sz="4" w:space="0"/>
              <w:bottom w:val="nil"/>
              <w:right w:val="single" w:color="000000" w:sz="4" w:space="0"/>
            </w:tcBorders>
            <w:shd w:val="clear" w:color="auto" w:fill="auto"/>
            <w:vAlign w:val="center"/>
          </w:tcPr>
          <w:p w14:paraId="1BB99304">
            <w:pPr>
              <w:jc w:val="center"/>
              <w:rPr>
                <w:rFonts w:ascii="等线" w:hAnsi="等线" w:eastAsia="等线" w:cs="等线"/>
                <w:color w:val="000000"/>
                <w:sz w:val="22"/>
                <w:szCs w:val="22"/>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ADFF8">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电源设备每月在网正常运行时间率</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07AB7">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每月各在网正常运行时间率应大于99%（单点单次故障时长/24H*30;多站点则时间累计）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6DACB">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每低0.1%扣1分</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7A3B6">
            <w:pPr>
              <w:widowControl/>
              <w:jc w:val="righ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0</w:t>
            </w:r>
          </w:p>
        </w:tc>
        <w:tc>
          <w:tcPr>
            <w:tcW w:w="1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8D0C5">
            <w:pPr>
              <w:jc w:val="center"/>
              <w:rPr>
                <w:rFonts w:ascii="等线" w:hAnsi="等线" w:eastAsia="等线" w:cs="等线"/>
                <w:color w:val="000000"/>
                <w:sz w:val="22"/>
                <w:szCs w:val="22"/>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DFDCE">
            <w:pPr>
              <w:rPr>
                <w:rFonts w:ascii="等线" w:hAnsi="等线" w:eastAsia="等线" w:cs="等线"/>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A3447">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集告系统抽查测算</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A0BDA">
            <w:pPr>
              <w:rPr>
                <w:rFonts w:ascii="等线" w:hAnsi="等线" w:eastAsia="等线" w:cs="等线"/>
                <w:color w:val="000000"/>
                <w:sz w:val="22"/>
                <w:szCs w:val="22"/>
              </w:rPr>
            </w:pPr>
          </w:p>
        </w:tc>
      </w:tr>
      <w:tr w14:paraId="66BF7EE3">
        <w:tblPrEx>
          <w:tblCellMar>
            <w:top w:w="0" w:type="dxa"/>
            <w:left w:w="108" w:type="dxa"/>
            <w:bottom w:w="0" w:type="dxa"/>
            <w:right w:w="108" w:type="dxa"/>
          </w:tblCellMar>
        </w:tblPrEx>
        <w:trPr>
          <w:trHeight w:val="360" w:hRule="atLeast"/>
        </w:trPr>
        <w:tc>
          <w:tcPr>
            <w:tcW w:w="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A9CA0">
            <w:pPr>
              <w:jc w:val="center"/>
              <w:rPr>
                <w:rFonts w:ascii="等线" w:hAnsi="等线" w:eastAsia="等线" w:cs="等线"/>
                <w:color w:val="000000"/>
                <w:sz w:val="22"/>
                <w:szCs w:val="22"/>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F404E">
            <w:pPr>
              <w:jc w:val="center"/>
              <w:rPr>
                <w:rFonts w:ascii="等线" w:hAnsi="等线" w:eastAsia="等线" w:cs="等线"/>
                <w:color w:val="000000"/>
                <w:sz w:val="22"/>
                <w:szCs w:val="22"/>
              </w:rPr>
            </w:pPr>
          </w:p>
        </w:tc>
        <w:tc>
          <w:tcPr>
            <w:tcW w:w="333" w:type="pct"/>
            <w:vMerge w:val="continue"/>
            <w:tcBorders>
              <w:top w:val="single" w:color="000000" w:sz="4" w:space="0"/>
              <w:left w:val="single" w:color="000000" w:sz="4" w:space="0"/>
              <w:bottom w:val="nil"/>
              <w:right w:val="single" w:color="000000" w:sz="4" w:space="0"/>
            </w:tcBorders>
            <w:shd w:val="clear" w:color="auto" w:fill="auto"/>
            <w:vAlign w:val="center"/>
          </w:tcPr>
          <w:p w14:paraId="565F8764">
            <w:pPr>
              <w:jc w:val="center"/>
              <w:rPr>
                <w:rFonts w:ascii="等线" w:hAnsi="等线" w:eastAsia="等线" w:cs="等线"/>
                <w:color w:val="000000"/>
                <w:sz w:val="22"/>
                <w:szCs w:val="22"/>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E7A8A">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电源故障处理及时率</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179DB">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处理时限为2.5小时内。每月电源故障处理及时率应为100%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FD464">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超时1次扣2分</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0B8CF">
            <w:pPr>
              <w:widowControl/>
              <w:jc w:val="righ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0</w:t>
            </w:r>
          </w:p>
        </w:tc>
        <w:tc>
          <w:tcPr>
            <w:tcW w:w="1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93B03">
            <w:pPr>
              <w:jc w:val="center"/>
              <w:rPr>
                <w:rFonts w:ascii="等线" w:hAnsi="等线" w:eastAsia="等线" w:cs="等线"/>
                <w:color w:val="000000"/>
                <w:sz w:val="22"/>
                <w:szCs w:val="22"/>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BD87E">
            <w:pPr>
              <w:rPr>
                <w:rFonts w:ascii="等线" w:hAnsi="等线" w:eastAsia="等线" w:cs="等线"/>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427D5">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集告系统抽查</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164AA">
            <w:pPr>
              <w:rPr>
                <w:rFonts w:ascii="等线" w:hAnsi="等线" w:eastAsia="等线" w:cs="等线"/>
                <w:color w:val="000000"/>
                <w:sz w:val="22"/>
                <w:szCs w:val="22"/>
              </w:rPr>
            </w:pPr>
          </w:p>
        </w:tc>
      </w:tr>
      <w:tr w14:paraId="2FFFA633">
        <w:tblPrEx>
          <w:tblCellMar>
            <w:top w:w="0" w:type="dxa"/>
            <w:left w:w="108" w:type="dxa"/>
            <w:bottom w:w="0" w:type="dxa"/>
            <w:right w:w="108" w:type="dxa"/>
          </w:tblCellMar>
        </w:tblPrEx>
        <w:trPr>
          <w:trHeight w:val="360" w:hRule="atLeast"/>
        </w:trPr>
        <w:tc>
          <w:tcPr>
            <w:tcW w:w="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E5B61">
            <w:pPr>
              <w:jc w:val="center"/>
              <w:rPr>
                <w:rFonts w:ascii="等线" w:hAnsi="等线" w:eastAsia="等线" w:cs="等线"/>
                <w:color w:val="000000"/>
                <w:sz w:val="22"/>
                <w:szCs w:val="22"/>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E2312">
            <w:pPr>
              <w:jc w:val="center"/>
              <w:rPr>
                <w:rFonts w:ascii="等线" w:hAnsi="等线" w:eastAsia="等线" w:cs="等线"/>
                <w:color w:val="000000"/>
                <w:sz w:val="22"/>
                <w:szCs w:val="22"/>
              </w:rPr>
            </w:pPr>
          </w:p>
        </w:tc>
        <w:tc>
          <w:tcPr>
            <w:tcW w:w="333" w:type="pct"/>
            <w:vMerge w:val="continue"/>
            <w:tcBorders>
              <w:top w:val="single" w:color="000000" w:sz="4" w:space="0"/>
              <w:left w:val="single" w:color="000000" w:sz="4" w:space="0"/>
              <w:bottom w:val="nil"/>
              <w:right w:val="single" w:color="000000" w:sz="4" w:space="0"/>
            </w:tcBorders>
            <w:shd w:val="clear" w:color="auto" w:fill="auto"/>
            <w:vAlign w:val="center"/>
          </w:tcPr>
          <w:p w14:paraId="27B35339">
            <w:pPr>
              <w:jc w:val="center"/>
              <w:rPr>
                <w:rFonts w:ascii="等线" w:hAnsi="等线" w:eastAsia="等线" w:cs="等线"/>
                <w:color w:val="000000"/>
                <w:sz w:val="22"/>
                <w:szCs w:val="22"/>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53DB9">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电源设备重复障碍发生次数</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1FA28">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每月重复障碍发生次数小于等于2次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F317D">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每超1次扣1分</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F39B4">
            <w:pPr>
              <w:widowControl/>
              <w:jc w:val="righ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0</w:t>
            </w:r>
          </w:p>
        </w:tc>
        <w:tc>
          <w:tcPr>
            <w:tcW w:w="1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26D93">
            <w:pPr>
              <w:jc w:val="center"/>
              <w:rPr>
                <w:rFonts w:ascii="等线" w:hAnsi="等线" w:eastAsia="等线" w:cs="等线"/>
                <w:color w:val="000000"/>
                <w:sz w:val="22"/>
                <w:szCs w:val="22"/>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75768">
            <w:pPr>
              <w:rPr>
                <w:rFonts w:ascii="等线" w:hAnsi="等线" w:eastAsia="等线" w:cs="等线"/>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45CAC">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集告系统抽查</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2E87E">
            <w:pPr>
              <w:rPr>
                <w:rFonts w:ascii="等线" w:hAnsi="等线" w:eastAsia="等线" w:cs="等线"/>
                <w:color w:val="000000"/>
                <w:sz w:val="22"/>
                <w:szCs w:val="22"/>
              </w:rPr>
            </w:pPr>
          </w:p>
        </w:tc>
      </w:tr>
      <w:tr w14:paraId="4856209B">
        <w:tblPrEx>
          <w:tblCellMar>
            <w:top w:w="0" w:type="dxa"/>
            <w:left w:w="108" w:type="dxa"/>
            <w:bottom w:w="0" w:type="dxa"/>
            <w:right w:w="108" w:type="dxa"/>
          </w:tblCellMar>
        </w:tblPrEx>
        <w:trPr>
          <w:trHeight w:val="800" w:hRule="atLeast"/>
        </w:trPr>
        <w:tc>
          <w:tcPr>
            <w:tcW w:w="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BCB80">
            <w:pPr>
              <w:jc w:val="center"/>
              <w:rPr>
                <w:rFonts w:ascii="等线" w:hAnsi="等线" w:eastAsia="等线" w:cs="等线"/>
                <w:color w:val="000000"/>
                <w:sz w:val="22"/>
                <w:szCs w:val="22"/>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367C3">
            <w:pPr>
              <w:jc w:val="center"/>
              <w:rPr>
                <w:rFonts w:ascii="等线" w:hAnsi="等线" w:eastAsia="等线" w:cs="等线"/>
                <w:color w:val="000000"/>
                <w:sz w:val="22"/>
                <w:szCs w:val="22"/>
              </w:rPr>
            </w:pPr>
          </w:p>
        </w:tc>
        <w:tc>
          <w:tcPr>
            <w:tcW w:w="333" w:type="pct"/>
            <w:vMerge w:val="continue"/>
            <w:tcBorders>
              <w:top w:val="single" w:color="000000" w:sz="4" w:space="0"/>
              <w:left w:val="single" w:color="000000" w:sz="4" w:space="0"/>
              <w:bottom w:val="nil"/>
              <w:right w:val="single" w:color="000000" w:sz="4" w:space="0"/>
            </w:tcBorders>
            <w:shd w:val="clear" w:color="auto" w:fill="auto"/>
            <w:vAlign w:val="center"/>
          </w:tcPr>
          <w:p w14:paraId="31299D5A">
            <w:pPr>
              <w:jc w:val="center"/>
              <w:rPr>
                <w:rFonts w:ascii="等线" w:hAnsi="等线" w:eastAsia="等线" w:cs="等线"/>
                <w:color w:val="000000"/>
                <w:sz w:val="22"/>
                <w:szCs w:val="22"/>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2F8F0">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发电</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14BAE">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通知后2小时内发电成功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D53E2">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每超1小时扣1分导致设备中断扣2重要站点中断扣5分分</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1CE57">
            <w:pPr>
              <w:widowControl/>
              <w:jc w:val="righ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0</w:t>
            </w:r>
          </w:p>
        </w:tc>
        <w:tc>
          <w:tcPr>
            <w:tcW w:w="1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46E77">
            <w:pPr>
              <w:jc w:val="center"/>
              <w:rPr>
                <w:rFonts w:ascii="等线" w:hAnsi="等线" w:eastAsia="等线" w:cs="等线"/>
                <w:color w:val="000000"/>
                <w:sz w:val="22"/>
                <w:szCs w:val="22"/>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82E49">
            <w:pPr>
              <w:rPr>
                <w:rFonts w:ascii="等线" w:hAnsi="等线" w:eastAsia="等线" w:cs="等线"/>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D2916">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集告系统抽查</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A4C84">
            <w:pPr>
              <w:rPr>
                <w:rFonts w:ascii="等线" w:hAnsi="等线" w:eastAsia="等线" w:cs="等线"/>
                <w:color w:val="000000"/>
                <w:sz w:val="22"/>
                <w:szCs w:val="22"/>
              </w:rPr>
            </w:pPr>
          </w:p>
        </w:tc>
      </w:tr>
      <w:tr w14:paraId="4B8CC440">
        <w:tblPrEx>
          <w:tblCellMar>
            <w:top w:w="0" w:type="dxa"/>
            <w:left w:w="108" w:type="dxa"/>
            <w:bottom w:w="0" w:type="dxa"/>
            <w:right w:w="108" w:type="dxa"/>
          </w:tblCellMar>
        </w:tblPrEx>
        <w:trPr>
          <w:trHeight w:val="360" w:hRule="atLeast"/>
        </w:trPr>
        <w:tc>
          <w:tcPr>
            <w:tcW w:w="90" w:type="pct"/>
            <w:vMerge w:val="restart"/>
            <w:tcBorders>
              <w:top w:val="nil"/>
              <w:left w:val="single" w:color="000000" w:sz="4" w:space="0"/>
              <w:bottom w:val="single" w:color="000000" w:sz="4" w:space="0"/>
              <w:right w:val="single" w:color="000000" w:sz="4" w:space="0"/>
            </w:tcBorders>
            <w:shd w:val="clear" w:color="auto" w:fill="auto"/>
            <w:vAlign w:val="center"/>
          </w:tcPr>
          <w:p w14:paraId="21FF3ADE">
            <w:pPr>
              <w:jc w:val="center"/>
              <w:rPr>
                <w:rFonts w:ascii="等线" w:hAnsi="等线" w:eastAsia="等线" w:cs="等线"/>
                <w:color w:val="000000"/>
                <w:sz w:val="22"/>
                <w:szCs w:val="22"/>
              </w:rPr>
            </w:pP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7291A">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巡检、支撑</w:t>
            </w:r>
          </w:p>
        </w:tc>
        <w:tc>
          <w:tcPr>
            <w:tcW w:w="333" w:type="pct"/>
            <w:vMerge w:val="restart"/>
            <w:tcBorders>
              <w:top w:val="nil"/>
              <w:left w:val="single" w:color="000000" w:sz="4" w:space="0"/>
              <w:bottom w:val="single" w:color="000000" w:sz="4" w:space="0"/>
              <w:right w:val="single" w:color="000000" w:sz="4" w:space="0"/>
            </w:tcBorders>
            <w:shd w:val="clear" w:color="auto" w:fill="auto"/>
            <w:vAlign w:val="center"/>
          </w:tcPr>
          <w:p w14:paraId="16842344">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88827">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 xml:space="preserve">电源设备测试记录                      </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4A7F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巡检记录不完整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179A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每次扣1分            </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E0F3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1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AABD7">
            <w:pPr>
              <w:jc w:val="center"/>
              <w:rPr>
                <w:rFonts w:ascii="宋体" w:hAnsi="宋体" w:eastAsia="宋体" w:cs="宋体"/>
                <w:color w:val="000000"/>
                <w:sz w:val="22"/>
                <w:szCs w:val="22"/>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B5723">
            <w:pPr>
              <w:rPr>
                <w:rFonts w:ascii="宋体" w:hAnsi="宋体" w:eastAsia="宋体" w:cs="宋体"/>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90BF6">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按月检查</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15A8E">
            <w:pPr>
              <w:rPr>
                <w:rFonts w:ascii="等线" w:hAnsi="等线" w:eastAsia="等线" w:cs="等线"/>
                <w:color w:val="000000"/>
                <w:sz w:val="22"/>
                <w:szCs w:val="22"/>
              </w:rPr>
            </w:pPr>
          </w:p>
        </w:tc>
      </w:tr>
      <w:tr w14:paraId="53438934">
        <w:tblPrEx>
          <w:tblCellMar>
            <w:top w:w="0" w:type="dxa"/>
            <w:left w:w="108" w:type="dxa"/>
            <w:bottom w:w="0" w:type="dxa"/>
            <w:right w:w="108" w:type="dxa"/>
          </w:tblCellMar>
        </w:tblPrEx>
        <w:trPr>
          <w:trHeight w:val="360" w:hRule="atLeast"/>
        </w:trPr>
        <w:tc>
          <w:tcPr>
            <w:tcW w:w="90" w:type="pct"/>
            <w:vMerge w:val="continue"/>
            <w:tcBorders>
              <w:top w:val="nil"/>
              <w:left w:val="single" w:color="000000" w:sz="4" w:space="0"/>
              <w:bottom w:val="single" w:color="000000" w:sz="4" w:space="0"/>
              <w:right w:val="single" w:color="000000" w:sz="4" w:space="0"/>
            </w:tcBorders>
            <w:shd w:val="clear" w:color="auto" w:fill="auto"/>
            <w:vAlign w:val="center"/>
          </w:tcPr>
          <w:p w14:paraId="0DD31B4A">
            <w:pPr>
              <w:jc w:val="center"/>
              <w:rPr>
                <w:rFonts w:ascii="等线" w:hAnsi="等线" w:eastAsia="等线" w:cs="等线"/>
                <w:color w:val="000000"/>
                <w:sz w:val="22"/>
                <w:szCs w:val="22"/>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28479">
            <w:pPr>
              <w:jc w:val="center"/>
              <w:rPr>
                <w:rFonts w:ascii="等线" w:hAnsi="等线" w:eastAsia="等线" w:cs="等线"/>
                <w:color w:val="000000"/>
                <w:sz w:val="22"/>
                <w:szCs w:val="22"/>
              </w:rPr>
            </w:pPr>
          </w:p>
        </w:tc>
        <w:tc>
          <w:tcPr>
            <w:tcW w:w="333" w:type="pct"/>
            <w:vMerge w:val="continue"/>
            <w:tcBorders>
              <w:top w:val="nil"/>
              <w:left w:val="single" w:color="000000" w:sz="4" w:space="0"/>
              <w:bottom w:val="single" w:color="000000" w:sz="4" w:space="0"/>
              <w:right w:val="single" w:color="000000" w:sz="4" w:space="0"/>
            </w:tcBorders>
            <w:shd w:val="clear" w:color="auto" w:fill="auto"/>
            <w:vAlign w:val="center"/>
          </w:tcPr>
          <w:p w14:paraId="1002827C">
            <w:pPr>
              <w:jc w:val="center"/>
              <w:rPr>
                <w:rFonts w:ascii="等线" w:hAnsi="等线" w:eastAsia="等线" w:cs="等线"/>
                <w:color w:val="000000"/>
                <w:sz w:val="22"/>
                <w:szCs w:val="22"/>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A5E4A">
            <w:pPr>
              <w:jc w:val="left"/>
              <w:rPr>
                <w:rFonts w:ascii="等线" w:hAnsi="等线" w:eastAsia="等线" w:cs="等线"/>
                <w:color w:val="000000"/>
                <w:sz w:val="22"/>
                <w:szCs w:val="22"/>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5A8C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未提供巡检记录</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474E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每次扣2分            </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8821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1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A32EE">
            <w:pPr>
              <w:jc w:val="center"/>
              <w:rPr>
                <w:rFonts w:ascii="宋体" w:hAnsi="宋体" w:eastAsia="宋体" w:cs="宋体"/>
                <w:color w:val="000000"/>
                <w:sz w:val="22"/>
                <w:szCs w:val="22"/>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A05FB">
            <w:pPr>
              <w:rPr>
                <w:rFonts w:ascii="宋体" w:hAnsi="宋体" w:eastAsia="宋体" w:cs="宋体"/>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F5868">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按月检查</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8A02B">
            <w:pPr>
              <w:rPr>
                <w:rFonts w:ascii="等线" w:hAnsi="等线" w:eastAsia="等线" w:cs="等线"/>
                <w:color w:val="000000"/>
                <w:sz w:val="22"/>
                <w:szCs w:val="22"/>
              </w:rPr>
            </w:pPr>
          </w:p>
        </w:tc>
      </w:tr>
      <w:tr w14:paraId="7D67B9FA">
        <w:tblPrEx>
          <w:tblCellMar>
            <w:top w:w="0" w:type="dxa"/>
            <w:left w:w="108" w:type="dxa"/>
            <w:bottom w:w="0" w:type="dxa"/>
            <w:right w:w="108" w:type="dxa"/>
          </w:tblCellMar>
        </w:tblPrEx>
        <w:trPr>
          <w:trHeight w:val="360" w:hRule="atLeast"/>
        </w:trPr>
        <w:tc>
          <w:tcPr>
            <w:tcW w:w="90" w:type="pct"/>
            <w:vMerge w:val="continue"/>
            <w:tcBorders>
              <w:top w:val="nil"/>
              <w:left w:val="single" w:color="000000" w:sz="4" w:space="0"/>
              <w:bottom w:val="single" w:color="000000" w:sz="4" w:space="0"/>
              <w:right w:val="single" w:color="000000" w:sz="4" w:space="0"/>
            </w:tcBorders>
            <w:shd w:val="clear" w:color="auto" w:fill="auto"/>
            <w:vAlign w:val="center"/>
          </w:tcPr>
          <w:p w14:paraId="4F971650">
            <w:pPr>
              <w:jc w:val="center"/>
              <w:rPr>
                <w:rFonts w:ascii="等线" w:hAnsi="等线" w:eastAsia="等线" w:cs="等线"/>
                <w:color w:val="000000"/>
                <w:sz w:val="22"/>
                <w:szCs w:val="22"/>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63E46">
            <w:pPr>
              <w:jc w:val="center"/>
              <w:rPr>
                <w:rFonts w:ascii="等线" w:hAnsi="等线" w:eastAsia="等线" w:cs="等线"/>
                <w:color w:val="000000"/>
                <w:sz w:val="22"/>
                <w:szCs w:val="22"/>
              </w:rPr>
            </w:pPr>
          </w:p>
        </w:tc>
        <w:tc>
          <w:tcPr>
            <w:tcW w:w="333" w:type="pct"/>
            <w:vMerge w:val="continue"/>
            <w:tcBorders>
              <w:top w:val="nil"/>
              <w:left w:val="single" w:color="000000" w:sz="4" w:space="0"/>
              <w:bottom w:val="single" w:color="000000" w:sz="4" w:space="0"/>
              <w:right w:val="single" w:color="000000" w:sz="4" w:space="0"/>
            </w:tcBorders>
            <w:shd w:val="clear" w:color="auto" w:fill="auto"/>
            <w:vAlign w:val="center"/>
          </w:tcPr>
          <w:p w14:paraId="1D746BBA">
            <w:pPr>
              <w:jc w:val="center"/>
              <w:rPr>
                <w:rFonts w:ascii="等线" w:hAnsi="等线" w:eastAsia="等线" w:cs="等线"/>
                <w:color w:val="000000"/>
                <w:sz w:val="22"/>
                <w:szCs w:val="22"/>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57059">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 xml:space="preserve">电源设备及机房环境卫生                       </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E3654">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 xml:space="preserve">电源设备及机房环境应保持整洁达标     </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73C59">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一次不达标扣1分；</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EEE67">
            <w:pPr>
              <w:widowControl/>
              <w:jc w:val="righ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0</w:t>
            </w:r>
          </w:p>
        </w:tc>
        <w:tc>
          <w:tcPr>
            <w:tcW w:w="1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7F1D6">
            <w:pPr>
              <w:jc w:val="center"/>
              <w:rPr>
                <w:rFonts w:ascii="宋体" w:hAnsi="宋体" w:eastAsia="宋体" w:cs="宋体"/>
                <w:color w:val="000000"/>
                <w:sz w:val="22"/>
                <w:szCs w:val="22"/>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8DF6D">
            <w:pPr>
              <w:rPr>
                <w:rFonts w:ascii="等线" w:hAnsi="等线" w:eastAsia="等线" w:cs="等线"/>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AFF6">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按月检查</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485A1">
            <w:pPr>
              <w:rPr>
                <w:rFonts w:ascii="等线" w:hAnsi="等线" w:eastAsia="等线" w:cs="等线"/>
                <w:color w:val="000000"/>
                <w:sz w:val="22"/>
                <w:szCs w:val="22"/>
              </w:rPr>
            </w:pPr>
          </w:p>
        </w:tc>
      </w:tr>
      <w:tr w14:paraId="48A321F9">
        <w:tblPrEx>
          <w:tblCellMar>
            <w:top w:w="0" w:type="dxa"/>
            <w:left w:w="108" w:type="dxa"/>
            <w:bottom w:w="0" w:type="dxa"/>
            <w:right w:w="108" w:type="dxa"/>
          </w:tblCellMar>
        </w:tblPrEx>
        <w:trPr>
          <w:trHeight w:val="640" w:hRule="atLeast"/>
        </w:trPr>
        <w:tc>
          <w:tcPr>
            <w:tcW w:w="90" w:type="pct"/>
            <w:vMerge w:val="continue"/>
            <w:tcBorders>
              <w:top w:val="nil"/>
              <w:left w:val="single" w:color="000000" w:sz="4" w:space="0"/>
              <w:bottom w:val="single" w:color="000000" w:sz="4" w:space="0"/>
              <w:right w:val="single" w:color="000000" w:sz="4" w:space="0"/>
            </w:tcBorders>
            <w:shd w:val="clear" w:color="auto" w:fill="auto"/>
            <w:vAlign w:val="center"/>
          </w:tcPr>
          <w:p w14:paraId="612A093B">
            <w:pPr>
              <w:jc w:val="center"/>
              <w:rPr>
                <w:rFonts w:ascii="等线" w:hAnsi="等线" w:eastAsia="等线" w:cs="等线"/>
                <w:color w:val="000000"/>
                <w:sz w:val="22"/>
                <w:szCs w:val="22"/>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4D31F">
            <w:pPr>
              <w:jc w:val="center"/>
              <w:rPr>
                <w:rFonts w:ascii="等线" w:hAnsi="等线" w:eastAsia="等线" w:cs="等线"/>
                <w:color w:val="000000"/>
                <w:sz w:val="22"/>
                <w:szCs w:val="22"/>
              </w:rPr>
            </w:pPr>
          </w:p>
        </w:tc>
        <w:tc>
          <w:tcPr>
            <w:tcW w:w="333" w:type="pct"/>
            <w:vMerge w:val="continue"/>
            <w:tcBorders>
              <w:top w:val="nil"/>
              <w:left w:val="single" w:color="000000" w:sz="4" w:space="0"/>
              <w:bottom w:val="single" w:color="000000" w:sz="4" w:space="0"/>
              <w:right w:val="single" w:color="000000" w:sz="4" w:space="0"/>
            </w:tcBorders>
            <w:shd w:val="clear" w:color="auto" w:fill="auto"/>
            <w:vAlign w:val="center"/>
          </w:tcPr>
          <w:p w14:paraId="031694F3">
            <w:pPr>
              <w:jc w:val="center"/>
              <w:rPr>
                <w:rFonts w:ascii="等线" w:hAnsi="等线" w:eastAsia="等线" w:cs="等线"/>
                <w:color w:val="000000"/>
                <w:sz w:val="22"/>
                <w:szCs w:val="22"/>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1E6C2">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 xml:space="preserve">蓄电池及防雷装置定期测试记录 </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C9DAC">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蓄电池及防雷装置应定期做测试</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73F56">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未按期做测试，每检查发现一次扣1分；</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8BA0B">
            <w:pPr>
              <w:widowControl/>
              <w:jc w:val="righ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0</w:t>
            </w:r>
          </w:p>
        </w:tc>
        <w:tc>
          <w:tcPr>
            <w:tcW w:w="1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648AD">
            <w:pPr>
              <w:jc w:val="center"/>
              <w:rPr>
                <w:rFonts w:ascii="宋体" w:hAnsi="宋体" w:eastAsia="宋体" w:cs="宋体"/>
                <w:color w:val="000000"/>
                <w:sz w:val="22"/>
                <w:szCs w:val="22"/>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B72F3">
            <w:pPr>
              <w:rPr>
                <w:rFonts w:ascii="等线" w:hAnsi="等线" w:eastAsia="等线" w:cs="等线"/>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7593F">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定期年度检查</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8EA85">
            <w:pPr>
              <w:rPr>
                <w:rFonts w:ascii="等线" w:hAnsi="等线" w:eastAsia="等线" w:cs="等线"/>
                <w:color w:val="000000"/>
                <w:sz w:val="22"/>
                <w:szCs w:val="22"/>
              </w:rPr>
            </w:pPr>
          </w:p>
        </w:tc>
      </w:tr>
      <w:tr w14:paraId="53CAE5D2">
        <w:tblPrEx>
          <w:tblCellMar>
            <w:top w:w="0" w:type="dxa"/>
            <w:left w:w="108" w:type="dxa"/>
            <w:bottom w:w="0" w:type="dxa"/>
            <w:right w:w="108" w:type="dxa"/>
          </w:tblCellMar>
        </w:tblPrEx>
        <w:trPr>
          <w:trHeight w:val="360" w:hRule="atLeast"/>
        </w:trPr>
        <w:tc>
          <w:tcPr>
            <w:tcW w:w="90" w:type="pct"/>
            <w:vMerge w:val="continue"/>
            <w:tcBorders>
              <w:top w:val="nil"/>
              <w:left w:val="single" w:color="000000" w:sz="4" w:space="0"/>
              <w:bottom w:val="single" w:color="000000" w:sz="4" w:space="0"/>
              <w:right w:val="single" w:color="000000" w:sz="4" w:space="0"/>
            </w:tcBorders>
            <w:shd w:val="clear" w:color="auto" w:fill="auto"/>
            <w:vAlign w:val="center"/>
          </w:tcPr>
          <w:p w14:paraId="3DAF81C3">
            <w:pPr>
              <w:jc w:val="center"/>
              <w:rPr>
                <w:rFonts w:ascii="等线" w:hAnsi="等线" w:eastAsia="等线" w:cs="等线"/>
                <w:color w:val="000000"/>
                <w:sz w:val="22"/>
                <w:szCs w:val="22"/>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3B1AA">
            <w:pPr>
              <w:jc w:val="center"/>
              <w:rPr>
                <w:rFonts w:ascii="等线" w:hAnsi="等线" w:eastAsia="等线" w:cs="等线"/>
                <w:color w:val="000000"/>
                <w:sz w:val="22"/>
                <w:szCs w:val="22"/>
              </w:rPr>
            </w:pPr>
          </w:p>
        </w:tc>
        <w:tc>
          <w:tcPr>
            <w:tcW w:w="333" w:type="pct"/>
            <w:vMerge w:val="continue"/>
            <w:tcBorders>
              <w:top w:val="nil"/>
              <w:left w:val="single" w:color="000000" w:sz="4" w:space="0"/>
              <w:bottom w:val="single" w:color="000000" w:sz="4" w:space="0"/>
              <w:right w:val="single" w:color="000000" w:sz="4" w:space="0"/>
            </w:tcBorders>
            <w:shd w:val="clear" w:color="auto" w:fill="auto"/>
            <w:vAlign w:val="center"/>
          </w:tcPr>
          <w:p w14:paraId="125765F0">
            <w:pPr>
              <w:jc w:val="center"/>
              <w:rPr>
                <w:rFonts w:ascii="等线" w:hAnsi="等线" w:eastAsia="等线" w:cs="等线"/>
                <w:color w:val="000000"/>
                <w:sz w:val="22"/>
                <w:szCs w:val="22"/>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03F41">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OTN重点机房</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6E42D">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每月固定巡检一次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EAD42">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未按期巡检，每检查发现一次扣1分；</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D7CF0">
            <w:pPr>
              <w:widowControl/>
              <w:jc w:val="righ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0</w:t>
            </w:r>
          </w:p>
        </w:tc>
        <w:tc>
          <w:tcPr>
            <w:tcW w:w="1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B28B1">
            <w:pPr>
              <w:jc w:val="center"/>
              <w:rPr>
                <w:rFonts w:ascii="宋体" w:hAnsi="宋体" w:eastAsia="宋体" w:cs="宋体"/>
                <w:color w:val="000000"/>
                <w:sz w:val="22"/>
                <w:szCs w:val="22"/>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03C68">
            <w:pPr>
              <w:rPr>
                <w:rFonts w:ascii="等线" w:hAnsi="等线" w:eastAsia="等线" w:cs="等线"/>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27BF7">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按月检查</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06A72">
            <w:pPr>
              <w:rPr>
                <w:rFonts w:ascii="等线" w:hAnsi="等线" w:eastAsia="等线" w:cs="等线"/>
                <w:color w:val="000000"/>
                <w:sz w:val="22"/>
                <w:szCs w:val="22"/>
              </w:rPr>
            </w:pPr>
          </w:p>
        </w:tc>
      </w:tr>
      <w:tr w14:paraId="579A76FA">
        <w:tblPrEx>
          <w:tblCellMar>
            <w:top w:w="0" w:type="dxa"/>
            <w:left w:w="108" w:type="dxa"/>
            <w:bottom w:w="0" w:type="dxa"/>
            <w:right w:w="108" w:type="dxa"/>
          </w:tblCellMar>
        </w:tblPrEx>
        <w:trPr>
          <w:trHeight w:val="360" w:hRule="atLeast"/>
        </w:trPr>
        <w:tc>
          <w:tcPr>
            <w:tcW w:w="90" w:type="pct"/>
            <w:vMerge w:val="continue"/>
            <w:tcBorders>
              <w:top w:val="nil"/>
              <w:left w:val="single" w:color="000000" w:sz="4" w:space="0"/>
              <w:bottom w:val="single" w:color="000000" w:sz="4" w:space="0"/>
              <w:right w:val="single" w:color="000000" w:sz="4" w:space="0"/>
            </w:tcBorders>
            <w:shd w:val="clear" w:color="auto" w:fill="auto"/>
            <w:vAlign w:val="center"/>
          </w:tcPr>
          <w:p w14:paraId="44B82013">
            <w:pPr>
              <w:jc w:val="center"/>
              <w:rPr>
                <w:rFonts w:ascii="等线" w:hAnsi="等线" w:eastAsia="等线" w:cs="等线"/>
                <w:color w:val="000000"/>
                <w:sz w:val="22"/>
                <w:szCs w:val="22"/>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8CEAB">
            <w:pPr>
              <w:jc w:val="center"/>
              <w:rPr>
                <w:rFonts w:ascii="等线" w:hAnsi="等线" w:eastAsia="等线" w:cs="等线"/>
                <w:color w:val="000000"/>
                <w:sz w:val="22"/>
                <w:szCs w:val="22"/>
              </w:rPr>
            </w:pPr>
          </w:p>
        </w:tc>
        <w:tc>
          <w:tcPr>
            <w:tcW w:w="333" w:type="pct"/>
            <w:vMerge w:val="continue"/>
            <w:tcBorders>
              <w:top w:val="nil"/>
              <w:left w:val="single" w:color="000000" w:sz="4" w:space="0"/>
              <w:bottom w:val="single" w:color="000000" w:sz="4" w:space="0"/>
              <w:right w:val="single" w:color="000000" w:sz="4" w:space="0"/>
            </w:tcBorders>
            <w:shd w:val="clear" w:color="auto" w:fill="auto"/>
            <w:vAlign w:val="center"/>
          </w:tcPr>
          <w:p w14:paraId="64B92EAE">
            <w:pPr>
              <w:jc w:val="center"/>
              <w:rPr>
                <w:rFonts w:ascii="等线" w:hAnsi="等线" w:eastAsia="等线" w:cs="等线"/>
                <w:color w:val="000000"/>
                <w:sz w:val="22"/>
                <w:szCs w:val="22"/>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EAF3C">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OTN重点机房</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B1C00">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按A类局站标准每半年蓄电池组测试一次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AB906">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未按期做测试，每检查发现一次扣2分；</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75596">
            <w:pPr>
              <w:widowControl/>
              <w:jc w:val="righ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0</w:t>
            </w:r>
          </w:p>
        </w:tc>
        <w:tc>
          <w:tcPr>
            <w:tcW w:w="1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E9889">
            <w:pPr>
              <w:jc w:val="center"/>
              <w:rPr>
                <w:rFonts w:ascii="宋体" w:hAnsi="宋体" w:eastAsia="宋体" w:cs="宋体"/>
                <w:color w:val="000000"/>
                <w:sz w:val="22"/>
                <w:szCs w:val="22"/>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244A4">
            <w:pPr>
              <w:rPr>
                <w:rFonts w:ascii="等线" w:hAnsi="等线" w:eastAsia="等线" w:cs="等线"/>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0F172">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半年检查</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4ED86">
            <w:pPr>
              <w:rPr>
                <w:rFonts w:ascii="等线" w:hAnsi="等线" w:eastAsia="等线" w:cs="等线"/>
                <w:color w:val="000000"/>
                <w:sz w:val="22"/>
                <w:szCs w:val="22"/>
              </w:rPr>
            </w:pPr>
          </w:p>
        </w:tc>
      </w:tr>
      <w:tr w14:paraId="319EBE55">
        <w:tblPrEx>
          <w:tblCellMar>
            <w:top w:w="0" w:type="dxa"/>
            <w:left w:w="108" w:type="dxa"/>
            <w:bottom w:w="0" w:type="dxa"/>
            <w:right w:w="108" w:type="dxa"/>
          </w:tblCellMar>
        </w:tblPrEx>
        <w:trPr>
          <w:trHeight w:val="580" w:hRule="atLeast"/>
        </w:trPr>
        <w:tc>
          <w:tcPr>
            <w:tcW w:w="90" w:type="pct"/>
            <w:vMerge w:val="continue"/>
            <w:tcBorders>
              <w:top w:val="nil"/>
              <w:left w:val="single" w:color="000000" w:sz="4" w:space="0"/>
              <w:bottom w:val="single" w:color="000000" w:sz="4" w:space="0"/>
              <w:right w:val="single" w:color="000000" w:sz="4" w:space="0"/>
            </w:tcBorders>
            <w:shd w:val="clear" w:color="auto" w:fill="auto"/>
            <w:vAlign w:val="center"/>
          </w:tcPr>
          <w:p w14:paraId="02410EFE">
            <w:pPr>
              <w:jc w:val="center"/>
              <w:rPr>
                <w:rFonts w:ascii="等线" w:hAnsi="等线" w:eastAsia="等线" w:cs="等线"/>
                <w:color w:val="000000"/>
                <w:sz w:val="22"/>
                <w:szCs w:val="22"/>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4E196">
            <w:pPr>
              <w:jc w:val="center"/>
              <w:rPr>
                <w:rFonts w:ascii="等线" w:hAnsi="等线" w:eastAsia="等线" w:cs="等线"/>
                <w:color w:val="000000"/>
                <w:sz w:val="22"/>
                <w:szCs w:val="22"/>
              </w:rPr>
            </w:pPr>
          </w:p>
        </w:tc>
        <w:tc>
          <w:tcPr>
            <w:tcW w:w="333" w:type="pct"/>
            <w:vMerge w:val="continue"/>
            <w:tcBorders>
              <w:top w:val="nil"/>
              <w:left w:val="single" w:color="000000" w:sz="4" w:space="0"/>
              <w:bottom w:val="single" w:color="000000" w:sz="4" w:space="0"/>
              <w:right w:val="single" w:color="000000" w:sz="4" w:space="0"/>
            </w:tcBorders>
            <w:shd w:val="clear" w:color="auto" w:fill="auto"/>
            <w:vAlign w:val="center"/>
          </w:tcPr>
          <w:p w14:paraId="2838D236">
            <w:pPr>
              <w:jc w:val="center"/>
              <w:rPr>
                <w:rFonts w:ascii="等线" w:hAnsi="等线" w:eastAsia="等线" w:cs="等线"/>
                <w:color w:val="000000"/>
                <w:sz w:val="22"/>
                <w:szCs w:val="22"/>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F12B8">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技术支撑</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18C92">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应配合机房电源设备加电及做好应急保障任务及支撑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C44C7">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维护人员未按要求配置到位，每次扣5分； 维护界面外支撑酌情加分</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BAB1F">
            <w:pPr>
              <w:widowControl/>
              <w:jc w:val="righ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0</w:t>
            </w:r>
          </w:p>
        </w:tc>
        <w:tc>
          <w:tcPr>
            <w:tcW w:w="1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1C81A">
            <w:pPr>
              <w:jc w:val="center"/>
              <w:rPr>
                <w:rFonts w:ascii="宋体" w:hAnsi="宋体" w:eastAsia="宋体" w:cs="宋体"/>
                <w:color w:val="000000"/>
                <w:sz w:val="22"/>
                <w:szCs w:val="22"/>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19C50">
            <w:pPr>
              <w:rPr>
                <w:rFonts w:ascii="等线" w:hAnsi="等线" w:eastAsia="等线" w:cs="等线"/>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A00F0">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现场检查</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380F0">
            <w:pPr>
              <w:rPr>
                <w:rFonts w:ascii="等线" w:hAnsi="等线" w:eastAsia="等线" w:cs="等线"/>
                <w:color w:val="000000"/>
                <w:sz w:val="22"/>
                <w:szCs w:val="22"/>
              </w:rPr>
            </w:pPr>
          </w:p>
        </w:tc>
      </w:tr>
      <w:tr w14:paraId="13B602F4">
        <w:tblPrEx>
          <w:tblCellMar>
            <w:top w:w="0" w:type="dxa"/>
            <w:left w:w="108" w:type="dxa"/>
            <w:bottom w:w="0" w:type="dxa"/>
            <w:right w:w="108" w:type="dxa"/>
          </w:tblCellMar>
        </w:tblPrEx>
        <w:trPr>
          <w:trHeight w:val="560" w:hRule="atLeast"/>
        </w:trPr>
        <w:tc>
          <w:tcPr>
            <w:tcW w:w="90" w:type="pct"/>
            <w:vMerge w:val="continue"/>
            <w:tcBorders>
              <w:top w:val="nil"/>
              <w:left w:val="single" w:color="000000" w:sz="4" w:space="0"/>
              <w:bottom w:val="single" w:color="000000" w:sz="4" w:space="0"/>
              <w:right w:val="single" w:color="000000" w:sz="4" w:space="0"/>
            </w:tcBorders>
            <w:shd w:val="clear" w:color="auto" w:fill="auto"/>
            <w:vAlign w:val="center"/>
          </w:tcPr>
          <w:p w14:paraId="218FD98C">
            <w:pPr>
              <w:jc w:val="center"/>
              <w:rPr>
                <w:rFonts w:ascii="等线" w:hAnsi="等线" w:eastAsia="等线" w:cs="等线"/>
                <w:color w:val="000000"/>
                <w:sz w:val="22"/>
                <w:szCs w:val="22"/>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B922B">
            <w:pPr>
              <w:jc w:val="center"/>
              <w:rPr>
                <w:rFonts w:ascii="等线" w:hAnsi="等线" w:eastAsia="等线" w:cs="等线"/>
                <w:color w:val="000000"/>
                <w:sz w:val="22"/>
                <w:szCs w:val="22"/>
              </w:rPr>
            </w:pPr>
          </w:p>
        </w:tc>
        <w:tc>
          <w:tcPr>
            <w:tcW w:w="333" w:type="pct"/>
            <w:vMerge w:val="continue"/>
            <w:tcBorders>
              <w:top w:val="nil"/>
              <w:left w:val="single" w:color="000000" w:sz="4" w:space="0"/>
              <w:bottom w:val="single" w:color="000000" w:sz="4" w:space="0"/>
              <w:right w:val="single" w:color="000000" w:sz="4" w:space="0"/>
            </w:tcBorders>
            <w:shd w:val="clear" w:color="auto" w:fill="auto"/>
            <w:vAlign w:val="center"/>
          </w:tcPr>
          <w:p w14:paraId="51C34E60">
            <w:pPr>
              <w:jc w:val="center"/>
              <w:rPr>
                <w:rFonts w:ascii="等线" w:hAnsi="等线" w:eastAsia="等线" w:cs="等线"/>
                <w:color w:val="000000"/>
                <w:sz w:val="22"/>
                <w:szCs w:val="22"/>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04E29">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巡检报告</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1A183">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按月定时提供巡检报告（重点机房每月必检）</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3CEE1">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未提交每次扣5分；报告不合格酌情扣0.5—3分</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A37AA">
            <w:pPr>
              <w:widowControl/>
              <w:jc w:val="righ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0</w:t>
            </w:r>
          </w:p>
        </w:tc>
        <w:tc>
          <w:tcPr>
            <w:tcW w:w="1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A780A">
            <w:pPr>
              <w:jc w:val="center"/>
              <w:rPr>
                <w:rFonts w:ascii="宋体" w:hAnsi="宋体" w:eastAsia="宋体" w:cs="宋体"/>
                <w:color w:val="000000"/>
                <w:sz w:val="22"/>
                <w:szCs w:val="22"/>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B2DDB">
            <w:pPr>
              <w:rPr>
                <w:rFonts w:ascii="等线" w:hAnsi="等线" w:eastAsia="等线" w:cs="等线"/>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7D085">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按月检查</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7FB56">
            <w:pPr>
              <w:rPr>
                <w:rFonts w:ascii="等线" w:hAnsi="等线" w:eastAsia="等线" w:cs="等线"/>
                <w:color w:val="000000"/>
                <w:sz w:val="22"/>
                <w:szCs w:val="22"/>
              </w:rPr>
            </w:pPr>
          </w:p>
        </w:tc>
      </w:tr>
      <w:tr w14:paraId="78C19BF6">
        <w:tblPrEx>
          <w:tblCellMar>
            <w:top w:w="0" w:type="dxa"/>
            <w:left w:w="108" w:type="dxa"/>
            <w:bottom w:w="0" w:type="dxa"/>
            <w:right w:w="108" w:type="dxa"/>
          </w:tblCellMar>
        </w:tblPrEx>
        <w:trPr>
          <w:trHeight w:val="580" w:hRule="atLeast"/>
        </w:trPr>
        <w:tc>
          <w:tcPr>
            <w:tcW w:w="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844C8">
            <w:pPr>
              <w:jc w:val="center"/>
              <w:rPr>
                <w:rFonts w:ascii="等线" w:hAnsi="等线" w:eastAsia="等线" w:cs="等线"/>
                <w:color w:val="000000"/>
                <w:sz w:val="22"/>
                <w:szCs w:val="22"/>
              </w:rPr>
            </w:pPr>
          </w:p>
        </w:tc>
        <w:tc>
          <w:tcPr>
            <w:tcW w:w="334" w:type="pct"/>
            <w:tcBorders>
              <w:top w:val="single" w:color="000000" w:sz="4" w:space="0"/>
              <w:left w:val="single" w:color="000000" w:sz="4" w:space="0"/>
              <w:bottom w:val="single" w:color="000000" w:sz="4" w:space="0"/>
              <w:right w:val="nil"/>
            </w:tcBorders>
            <w:shd w:val="clear" w:color="auto" w:fill="auto"/>
            <w:vAlign w:val="center"/>
          </w:tcPr>
          <w:p w14:paraId="1C2A89FF">
            <w:pPr>
              <w:widowControl/>
              <w:jc w:val="left"/>
              <w:textAlignment w:val="center"/>
              <w:rPr>
                <w:rFonts w:ascii="等线" w:hAnsi="等线" w:eastAsia="等线" w:cs="等线"/>
                <w:b/>
                <w:bCs/>
                <w:color w:val="000000"/>
                <w:sz w:val="22"/>
                <w:szCs w:val="22"/>
              </w:rPr>
            </w:pPr>
            <w:r>
              <w:rPr>
                <w:rFonts w:hint="eastAsia" w:ascii="等线" w:hAnsi="等线" w:eastAsia="等线" w:cs="等线"/>
                <w:b/>
                <w:bCs/>
                <w:color w:val="000000"/>
                <w:kern w:val="0"/>
                <w:sz w:val="22"/>
                <w:szCs w:val="22"/>
                <w:lang w:bidi="ar"/>
              </w:rPr>
              <w:t>总分合计：</w:t>
            </w:r>
          </w:p>
        </w:tc>
        <w:tc>
          <w:tcPr>
            <w:tcW w:w="333" w:type="pct"/>
            <w:tcBorders>
              <w:top w:val="single" w:color="000000" w:sz="4" w:space="0"/>
              <w:left w:val="nil"/>
              <w:bottom w:val="single" w:color="000000" w:sz="4" w:space="0"/>
              <w:right w:val="nil"/>
            </w:tcBorders>
            <w:shd w:val="clear" w:color="auto" w:fill="auto"/>
            <w:vAlign w:val="center"/>
          </w:tcPr>
          <w:p w14:paraId="386240E9">
            <w:pPr>
              <w:widowControl/>
              <w:jc w:val="right"/>
              <w:textAlignment w:val="center"/>
              <w:rPr>
                <w:rFonts w:ascii="等线" w:hAnsi="等线" w:eastAsia="等线" w:cs="等线"/>
                <w:b/>
                <w:bCs/>
                <w:color w:val="000000"/>
                <w:sz w:val="22"/>
                <w:szCs w:val="22"/>
              </w:rPr>
            </w:pPr>
            <w:r>
              <w:rPr>
                <w:rFonts w:hint="eastAsia" w:ascii="等线" w:hAnsi="等线" w:eastAsia="等线" w:cs="等线"/>
                <w:b/>
                <w:bCs/>
                <w:color w:val="000000"/>
                <w:kern w:val="0"/>
                <w:sz w:val="22"/>
                <w:szCs w:val="22"/>
                <w:lang w:bidi="ar"/>
              </w:rPr>
              <w:t>100</w:t>
            </w:r>
          </w:p>
        </w:tc>
        <w:tc>
          <w:tcPr>
            <w:tcW w:w="521" w:type="pct"/>
            <w:tcBorders>
              <w:top w:val="single" w:color="000000" w:sz="4" w:space="0"/>
              <w:left w:val="nil"/>
              <w:bottom w:val="single" w:color="000000" w:sz="4" w:space="0"/>
              <w:right w:val="nil"/>
            </w:tcBorders>
            <w:shd w:val="clear" w:color="auto" w:fill="auto"/>
            <w:vAlign w:val="center"/>
          </w:tcPr>
          <w:p w14:paraId="6BAF909A">
            <w:pPr>
              <w:rPr>
                <w:rFonts w:ascii="等线" w:hAnsi="等线" w:eastAsia="等线" w:cs="等线"/>
                <w:b/>
                <w:bCs/>
                <w:color w:val="000000"/>
                <w:sz w:val="22"/>
                <w:szCs w:val="22"/>
              </w:rPr>
            </w:pPr>
          </w:p>
        </w:tc>
        <w:tc>
          <w:tcPr>
            <w:tcW w:w="1105" w:type="pct"/>
            <w:tcBorders>
              <w:top w:val="single" w:color="000000" w:sz="4" w:space="0"/>
              <w:left w:val="nil"/>
              <w:bottom w:val="single" w:color="000000" w:sz="4" w:space="0"/>
              <w:right w:val="nil"/>
            </w:tcBorders>
            <w:shd w:val="clear" w:color="auto" w:fill="auto"/>
            <w:vAlign w:val="center"/>
          </w:tcPr>
          <w:p w14:paraId="3EDFE8B3">
            <w:pPr>
              <w:rPr>
                <w:rFonts w:ascii="等线" w:hAnsi="等线" w:eastAsia="等线" w:cs="等线"/>
                <w:b/>
                <w:bCs/>
                <w:color w:val="000000"/>
                <w:sz w:val="22"/>
                <w:szCs w:val="22"/>
              </w:rPr>
            </w:pPr>
          </w:p>
        </w:tc>
        <w:tc>
          <w:tcPr>
            <w:tcW w:w="659" w:type="pct"/>
            <w:tcBorders>
              <w:top w:val="single" w:color="000000" w:sz="4" w:space="0"/>
              <w:left w:val="nil"/>
              <w:bottom w:val="single" w:color="000000" w:sz="4" w:space="0"/>
              <w:right w:val="nil"/>
            </w:tcBorders>
            <w:shd w:val="clear" w:color="auto" w:fill="auto"/>
            <w:vAlign w:val="center"/>
          </w:tcPr>
          <w:p w14:paraId="403298FF">
            <w:pPr>
              <w:rPr>
                <w:rFonts w:ascii="等线" w:hAnsi="等线" w:eastAsia="等线" w:cs="等线"/>
                <w:b/>
                <w:bCs/>
                <w:color w:val="000000"/>
                <w:sz w:val="22"/>
                <w:szCs w:val="22"/>
              </w:rPr>
            </w:pPr>
          </w:p>
        </w:tc>
        <w:tc>
          <w:tcPr>
            <w:tcW w:w="131" w:type="pct"/>
            <w:tcBorders>
              <w:top w:val="single" w:color="000000" w:sz="4" w:space="0"/>
              <w:left w:val="nil"/>
              <w:bottom w:val="single" w:color="000000" w:sz="4" w:space="0"/>
              <w:right w:val="single" w:color="000000" w:sz="4" w:space="0"/>
            </w:tcBorders>
            <w:shd w:val="clear" w:color="auto" w:fill="auto"/>
            <w:vAlign w:val="center"/>
          </w:tcPr>
          <w:p w14:paraId="4142B0B9">
            <w:pPr>
              <w:rPr>
                <w:rFonts w:ascii="等线" w:hAnsi="等线" w:eastAsia="等线" w:cs="等线"/>
                <w:b/>
                <w:bCs/>
                <w:color w:val="000000"/>
                <w:sz w:val="22"/>
                <w:szCs w:val="22"/>
              </w:rPr>
            </w:pPr>
          </w:p>
        </w:tc>
        <w:tc>
          <w:tcPr>
            <w:tcW w:w="126" w:type="pct"/>
            <w:tcBorders>
              <w:top w:val="single" w:color="000000" w:sz="4" w:space="0"/>
              <w:left w:val="nil"/>
              <w:bottom w:val="single" w:color="000000" w:sz="4" w:space="0"/>
              <w:right w:val="single" w:color="000000" w:sz="4" w:space="0"/>
            </w:tcBorders>
            <w:shd w:val="clear" w:color="auto" w:fill="auto"/>
            <w:vAlign w:val="center"/>
          </w:tcPr>
          <w:p w14:paraId="1B55C7B7">
            <w:pPr>
              <w:jc w:val="center"/>
              <w:rPr>
                <w:rFonts w:ascii="等线" w:hAnsi="等线" w:eastAsia="等线" w:cs="等线"/>
                <w:b/>
                <w:bCs/>
                <w:color w:val="000000"/>
                <w:sz w:val="22"/>
                <w:szCs w:val="22"/>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CDCE0">
            <w:pPr>
              <w:rPr>
                <w:rFonts w:ascii="等线" w:hAnsi="等线" w:eastAsia="等线" w:cs="等线"/>
                <w:color w:val="000000"/>
                <w:sz w:val="22"/>
                <w:szCs w:val="22"/>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7893B">
            <w:pPr>
              <w:rPr>
                <w:rFonts w:ascii="等线" w:hAnsi="等线" w:eastAsia="等线" w:cs="等线"/>
                <w:color w:val="000000"/>
                <w:sz w:val="22"/>
                <w:szCs w:val="22"/>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DF89C">
            <w:pPr>
              <w:rPr>
                <w:rFonts w:ascii="等线" w:hAnsi="等线" w:eastAsia="等线" w:cs="等线"/>
                <w:color w:val="000000"/>
                <w:sz w:val="22"/>
                <w:szCs w:val="22"/>
              </w:rPr>
            </w:pPr>
          </w:p>
        </w:tc>
      </w:tr>
      <w:tr w14:paraId="10C3BC4C">
        <w:tblPrEx>
          <w:tblCellMar>
            <w:top w:w="0" w:type="dxa"/>
            <w:left w:w="108" w:type="dxa"/>
            <w:bottom w:w="0" w:type="dxa"/>
            <w:right w:w="108" w:type="dxa"/>
          </w:tblCellMar>
        </w:tblPrEx>
        <w:trPr>
          <w:trHeight w:val="276"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2B2C08D">
            <w:pPr>
              <w:widowControl/>
              <w:jc w:val="center"/>
              <w:textAlignment w:val="center"/>
              <w:rPr>
                <w:rFonts w:ascii="等线" w:hAnsi="等线" w:eastAsia="等线" w:cs="等线"/>
                <w:b/>
                <w:bCs/>
                <w:color w:val="FF0000"/>
                <w:sz w:val="22"/>
                <w:szCs w:val="22"/>
              </w:rPr>
            </w:pPr>
            <w:r>
              <w:rPr>
                <w:rFonts w:hint="eastAsia" w:ascii="等线" w:hAnsi="等线" w:eastAsia="等线" w:cs="等线"/>
                <w:b/>
                <w:bCs/>
                <w:kern w:val="0"/>
                <w:sz w:val="22"/>
                <w:szCs w:val="22"/>
                <w:lang w:bidi="ar"/>
              </w:rPr>
              <w:t>月度考评分95分为基准分，每低一分考核当月总维护费用0.5个百分点，如因维护原因导致故障按省网加倍考核视情况可全额考核并取消维护资格，加分项可冲抵；如发生重大故障按国家相关规定或行业规范追究其相关法律责任</w:t>
            </w:r>
          </w:p>
        </w:tc>
      </w:tr>
    </w:tbl>
    <w:p w14:paraId="1FB2626D">
      <w:pPr>
        <w:rPr>
          <w:rFonts w:ascii="Times New Roman" w:hAnsi="Times New Roman" w:eastAsia="宋体" w:cs="Times New Roman"/>
        </w:rPr>
      </w:pPr>
    </w:p>
    <w:p w14:paraId="69201B6C">
      <w:pPr>
        <w:widowControl w:val="0"/>
        <w:ind w:firstLine="480" w:firstLineChars="200"/>
        <w:jc w:val="both"/>
        <w:rPr>
          <w:rFonts w:ascii="宋体" w:hAnsi="宋体" w:eastAsia="宋体" w:cs="宋体"/>
          <w:kern w:val="2"/>
          <w:sz w:val="24"/>
          <w:szCs w:val="24"/>
          <w:lang w:val="en-US" w:eastAsia="zh-CN" w:bidi="ar-SA"/>
        </w:rPr>
      </w:pPr>
    </w:p>
    <w:p w14:paraId="2B26AAC2">
      <w:pPr>
        <w:widowControl w:val="0"/>
        <w:ind w:firstLine="0"/>
        <w:jc w:val="both"/>
        <w:rPr>
          <w:rFonts w:ascii="Calibri" w:hAnsi="Calibri" w:eastAsia="宋体" w:cs="黑体"/>
          <w:kern w:val="2"/>
          <w:sz w:val="21"/>
          <w:szCs w:val="21"/>
          <w:lang w:val="en-US" w:eastAsia="zh-CN" w:bidi="ar-SA"/>
        </w:rPr>
      </w:pPr>
    </w:p>
    <w:p w14:paraId="74215FD2">
      <w:pPr>
        <w:rPr>
          <w:rFonts w:ascii="Times New Roman" w:hAnsi="Times New Roman" w:eastAsia="宋体" w:cs="Times New Roman"/>
          <w:sz w:val="24"/>
        </w:rPr>
      </w:pPr>
    </w:p>
    <w:p w14:paraId="1E6B0BC6">
      <w:pPr>
        <w:jc w:val="left"/>
        <w:rPr>
          <w:rFonts w:hint="eastAsia" w:ascii="宋体" w:hAnsi="宋体" w:eastAsia="宋体" w:cs="宋体"/>
          <w:color w:val="auto"/>
          <w:sz w:val="18"/>
          <w:szCs w:val="18"/>
          <w:lang w:val="en-US" w:eastAsia="zh-CN"/>
        </w:rPr>
      </w:pPr>
    </w:p>
    <w:p w14:paraId="7AEEC077">
      <w:pPr>
        <w:pageBreakBefore w:val="0"/>
        <w:kinsoku/>
        <w:overflowPunct/>
        <w:bidi w:val="0"/>
        <w:spacing w:line="360" w:lineRule="auto"/>
        <w:rPr>
          <w:rFonts w:hint="eastAsia" w:ascii="宋体" w:hAnsi="宋体" w:eastAsia="宋体" w:cs="宋体"/>
          <w:color w:val="auto"/>
          <w:sz w:val="18"/>
          <w:szCs w:val="21"/>
          <w:lang w:val="zh-CN"/>
        </w:rPr>
      </w:pPr>
      <w:r>
        <w:rPr>
          <w:rFonts w:hint="eastAsia" w:ascii="宋体" w:hAnsi="宋体" w:eastAsia="宋体" w:cs="宋体"/>
          <w:b/>
          <w:color w:val="auto"/>
          <w:spacing w:val="-3"/>
          <w:kern w:val="0"/>
          <w:sz w:val="21"/>
          <w:szCs w:val="21"/>
          <w:lang w:val="zh-CN" w:bidi="zh-CN"/>
        </w:rPr>
        <w:t xml:space="preserve">投标人在投标文件中针对技术规范书每项内容逐一进行点对点应答。 </w:t>
      </w:r>
      <w:r>
        <w:rPr>
          <w:rFonts w:hint="eastAsia" w:ascii="宋体" w:hAnsi="宋体" w:eastAsia="宋体" w:cs="宋体"/>
          <w:b/>
          <w:color w:val="auto"/>
          <w:kern w:val="0"/>
          <w:sz w:val="21"/>
          <w:szCs w:val="21"/>
          <w:lang w:val="zh-CN" w:bidi="zh-CN"/>
        </w:rPr>
        <w:t>其中带</w:t>
      </w:r>
      <w:r>
        <w:rPr>
          <w:rFonts w:hint="eastAsia" w:ascii="宋体" w:hAnsi="宋体" w:eastAsia="宋体" w:cs="宋体"/>
          <w:color w:val="auto"/>
          <w:kern w:val="2"/>
          <w:sz w:val="21"/>
          <w:szCs w:val="21"/>
          <w:lang w:val="en-US" w:eastAsia="zh-CN" w:bidi="ar-SA"/>
        </w:rPr>
        <w:t>★</w:t>
      </w:r>
      <w:r>
        <w:rPr>
          <w:rFonts w:hint="eastAsia" w:ascii="宋体" w:hAnsi="宋体" w:eastAsia="宋体" w:cs="宋体"/>
          <w:b/>
          <w:color w:val="auto"/>
          <w:kern w:val="0"/>
          <w:sz w:val="21"/>
          <w:szCs w:val="21"/>
          <w:lang w:val="zh-CN" w:bidi="zh-CN"/>
        </w:rPr>
        <w:t xml:space="preserve">的条款为关键性条款,必须应答满足，不满足或部分满足其投标将被否决。 </w:t>
      </w:r>
    </w:p>
    <w:p w14:paraId="4CE32153">
      <w:pPr>
        <w:pageBreakBefore w:val="0"/>
        <w:kinsoku/>
        <w:overflowPunct/>
        <w:bidi w:val="0"/>
        <w:adjustRightInd w:val="0"/>
        <w:snapToGrid w:val="0"/>
        <w:spacing w:line="360" w:lineRule="auto"/>
        <w:ind w:firstLine="420" w:firstLineChars="200"/>
        <w:rPr>
          <w:rFonts w:hint="eastAsia" w:ascii="宋体" w:hAnsi="宋体" w:eastAsia="宋体" w:cs="宋体"/>
          <w:color w:val="auto"/>
          <w:kern w:val="0"/>
          <w:sz w:val="21"/>
          <w:szCs w:val="21"/>
          <w:lang w:val="en-US" w:eastAsia="zh-CN"/>
        </w:rPr>
      </w:pPr>
    </w:p>
    <w:p w14:paraId="407F3E48">
      <w:pPr>
        <w:pageBreakBefore w:val="0"/>
        <w:kinsoku/>
        <w:overflowPunct/>
        <w:bidi w:val="0"/>
        <w:spacing w:line="360" w:lineRule="auto"/>
        <w:rPr>
          <w:rFonts w:hint="eastAsia" w:ascii="宋体" w:hAnsi="宋体" w:eastAsia="宋体" w:cs="宋体"/>
          <w:b/>
          <w:bCs w:val="0"/>
          <w:color w:val="auto"/>
          <w:kern w:val="0"/>
          <w:sz w:val="28"/>
          <w:szCs w:val="28"/>
        </w:rPr>
      </w:pPr>
    </w:p>
    <w:p w14:paraId="6FCD7731">
      <w:pPr>
        <w:rPr>
          <w:rFonts w:hint="eastAsia" w:ascii="宋体" w:hAnsi="宋体" w:eastAsia="宋体" w:cs="宋体"/>
          <w:b/>
          <w:bCs w:val="0"/>
          <w:color w:val="auto"/>
          <w:kern w:val="0"/>
          <w:sz w:val="28"/>
          <w:szCs w:val="28"/>
        </w:rPr>
      </w:pPr>
      <w:bookmarkStart w:id="1477" w:name="_Toc13382"/>
      <w:r>
        <w:rPr>
          <w:rFonts w:hint="eastAsia" w:ascii="宋体" w:hAnsi="宋体" w:eastAsia="宋体" w:cs="宋体"/>
          <w:b/>
          <w:bCs w:val="0"/>
          <w:color w:val="auto"/>
          <w:kern w:val="0"/>
          <w:sz w:val="28"/>
          <w:szCs w:val="28"/>
        </w:rPr>
        <w:br w:type="page"/>
      </w:r>
    </w:p>
    <w:p w14:paraId="5B0FE24C">
      <w:pPr>
        <w:pStyle w:val="50"/>
        <w:pageBreakBefore w:val="0"/>
        <w:kinsoku/>
        <w:overflowPunct/>
        <w:bidi w:val="0"/>
        <w:spacing w:before="240" w:after="120" w:line="360" w:lineRule="auto"/>
        <w:rPr>
          <w:rFonts w:hint="eastAsia" w:ascii="宋体" w:hAnsi="宋体" w:eastAsia="宋体" w:cs="宋体"/>
          <w:color w:val="auto"/>
          <w:szCs w:val="21"/>
        </w:rPr>
      </w:pPr>
      <w:r>
        <w:rPr>
          <w:rFonts w:hint="eastAsia" w:ascii="宋体" w:hAnsi="宋体" w:eastAsia="宋体" w:cs="宋体"/>
          <w:b/>
          <w:bCs w:val="0"/>
          <w:color w:val="auto"/>
          <w:kern w:val="0"/>
          <w:sz w:val="28"/>
          <w:szCs w:val="28"/>
        </w:rPr>
        <w:t>第六章  投标文件格式</w:t>
      </w:r>
      <w:bookmarkEnd w:id="1428"/>
      <w:bookmarkEnd w:id="1429"/>
      <w:bookmarkEnd w:id="1430"/>
      <w:bookmarkEnd w:id="1436"/>
      <w:bookmarkEnd w:id="1477"/>
    </w:p>
    <w:p w14:paraId="060C5732">
      <w:pPr>
        <w:pStyle w:val="51"/>
        <w:pageBreakBefore w:val="0"/>
        <w:tabs>
          <w:tab w:val="left" w:pos="567"/>
          <w:tab w:val="left" w:pos="795"/>
        </w:tabs>
        <w:kinsoku/>
        <w:overflowPunct/>
        <w:bidi w:val="0"/>
        <w:adjustRightInd w:val="0"/>
        <w:snapToGrid w:val="0"/>
        <w:spacing w:line="360" w:lineRule="auto"/>
        <w:ind w:firstLine="0" w:firstLineChars="0"/>
        <w:jc w:val="left"/>
        <w:rPr>
          <w:rFonts w:hint="eastAsia" w:ascii="宋体" w:hAnsi="宋体" w:eastAsia="宋体" w:cs="宋体"/>
          <w:b/>
          <w:color w:val="auto"/>
          <w:szCs w:val="21"/>
        </w:rPr>
      </w:pPr>
      <w:r>
        <w:rPr>
          <w:rFonts w:hint="eastAsia" w:ascii="宋体" w:hAnsi="宋体" w:eastAsia="宋体" w:cs="宋体"/>
          <w:b/>
          <w:color w:val="auto"/>
          <w:szCs w:val="21"/>
        </w:rPr>
        <w:t>第一分册 商务投标文件</w:t>
      </w:r>
    </w:p>
    <w:p w14:paraId="08288C25">
      <w:pPr>
        <w:pStyle w:val="51"/>
        <w:pageBreakBefore w:val="0"/>
        <w:numPr>
          <w:ilvl w:val="0"/>
          <w:numId w:val="27"/>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商务投标文件封面</w:t>
      </w:r>
    </w:p>
    <w:p w14:paraId="0DACC6E1">
      <w:pPr>
        <w:pStyle w:val="51"/>
        <w:pageBreakBefore w:val="0"/>
        <w:numPr>
          <w:ilvl w:val="0"/>
          <w:numId w:val="27"/>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初步评审索引表</w:t>
      </w:r>
    </w:p>
    <w:p w14:paraId="007B5067">
      <w:pPr>
        <w:pStyle w:val="51"/>
        <w:pageBreakBefore w:val="0"/>
        <w:numPr>
          <w:ilvl w:val="0"/>
          <w:numId w:val="27"/>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商务评审索引表</w:t>
      </w:r>
    </w:p>
    <w:p w14:paraId="67F4CE1A">
      <w:pPr>
        <w:pStyle w:val="51"/>
        <w:pageBreakBefore w:val="0"/>
        <w:numPr>
          <w:ilvl w:val="0"/>
          <w:numId w:val="27"/>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投标专用印章授权函（如有）</w:t>
      </w:r>
    </w:p>
    <w:p w14:paraId="0E5C5325">
      <w:pPr>
        <w:pStyle w:val="51"/>
        <w:pageBreakBefore w:val="0"/>
        <w:numPr>
          <w:ilvl w:val="0"/>
          <w:numId w:val="27"/>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 xml:space="preserve">投标函 </w:t>
      </w:r>
    </w:p>
    <w:p w14:paraId="215C0581">
      <w:pPr>
        <w:pStyle w:val="51"/>
        <w:pageBreakBefore w:val="0"/>
        <w:numPr>
          <w:ilvl w:val="0"/>
          <w:numId w:val="27"/>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法定代表人/负责人身份证明</w:t>
      </w:r>
    </w:p>
    <w:p w14:paraId="54A5833E">
      <w:pPr>
        <w:pStyle w:val="51"/>
        <w:pageBreakBefore w:val="0"/>
        <w:numPr>
          <w:ilvl w:val="0"/>
          <w:numId w:val="27"/>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法定代表人/负责人授权委托书</w:t>
      </w:r>
    </w:p>
    <w:p w14:paraId="745AF133">
      <w:pPr>
        <w:pStyle w:val="51"/>
        <w:pageBreakBefore w:val="0"/>
        <w:numPr>
          <w:ilvl w:val="0"/>
          <w:numId w:val="27"/>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廉洁投标承诺书</w:t>
      </w:r>
    </w:p>
    <w:p w14:paraId="5484488D">
      <w:pPr>
        <w:pStyle w:val="51"/>
        <w:pageBreakBefore w:val="0"/>
        <w:numPr>
          <w:ilvl w:val="0"/>
          <w:numId w:val="27"/>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特定关系信息收集表</w:t>
      </w:r>
    </w:p>
    <w:p w14:paraId="796F3A5F">
      <w:pPr>
        <w:pStyle w:val="51"/>
        <w:pageBreakBefore w:val="0"/>
        <w:numPr>
          <w:ilvl w:val="0"/>
          <w:numId w:val="27"/>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近【五】年发生的诉讼及仲裁情况</w:t>
      </w:r>
    </w:p>
    <w:p w14:paraId="5FA62561">
      <w:pPr>
        <w:pStyle w:val="51"/>
        <w:pageBreakBefore w:val="0"/>
        <w:numPr>
          <w:ilvl w:val="0"/>
          <w:numId w:val="27"/>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招标代理服务费支付承诺函</w:t>
      </w:r>
    </w:p>
    <w:p w14:paraId="404BE858">
      <w:pPr>
        <w:pStyle w:val="51"/>
        <w:pageBreakBefore w:val="0"/>
        <w:numPr>
          <w:ilvl w:val="0"/>
          <w:numId w:val="27"/>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资格审查资料</w:t>
      </w:r>
    </w:p>
    <w:p w14:paraId="7463BB04">
      <w:pPr>
        <w:pStyle w:val="51"/>
        <w:pageBreakBefore w:val="0"/>
        <w:numPr>
          <w:ilvl w:val="0"/>
          <w:numId w:val="27"/>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投标人控股及管理关系情况申报表</w:t>
      </w:r>
    </w:p>
    <w:p w14:paraId="1A11CBD1">
      <w:pPr>
        <w:pStyle w:val="51"/>
        <w:pageBreakBefore w:val="0"/>
        <w:numPr>
          <w:ilvl w:val="0"/>
          <w:numId w:val="27"/>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合同条款偏离表</w:t>
      </w:r>
    </w:p>
    <w:p w14:paraId="4DA23E28">
      <w:pPr>
        <w:pStyle w:val="51"/>
        <w:pageBreakBefore w:val="0"/>
        <w:numPr>
          <w:ilvl w:val="0"/>
          <w:numId w:val="27"/>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网络及信息安全承诺书</w:t>
      </w:r>
    </w:p>
    <w:p w14:paraId="58F8AF5E">
      <w:pPr>
        <w:pStyle w:val="51"/>
        <w:pageBreakBefore w:val="0"/>
        <w:numPr>
          <w:ilvl w:val="0"/>
          <w:numId w:val="27"/>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投标</w:t>
      </w:r>
      <w:r>
        <w:rPr>
          <w:rFonts w:hint="eastAsia" w:ascii="宋体" w:hAnsi="宋体" w:eastAsia="宋体" w:cs="宋体"/>
          <w:color w:val="auto"/>
          <w:szCs w:val="21"/>
          <w:lang w:val="en-US" w:eastAsia="zh-CN"/>
        </w:rPr>
        <w:t>保证金</w:t>
      </w:r>
    </w:p>
    <w:p w14:paraId="5BF24771">
      <w:pPr>
        <w:pStyle w:val="51"/>
        <w:pageBreakBefore w:val="0"/>
        <w:numPr>
          <w:ilvl w:val="0"/>
          <w:numId w:val="27"/>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基本开户银行情况</w:t>
      </w:r>
    </w:p>
    <w:p w14:paraId="404CD14D">
      <w:pPr>
        <w:pStyle w:val="51"/>
        <w:pageBreakBefore w:val="0"/>
        <w:numPr>
          <w:ilvl w:val="0"/>
          <w:numId w:val="27"/>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lang w:val="en-US" w:eastAsia="zh-CN"/>
        </w:rPr>
        <w:t>知识产权不侵权承诺函</w:t>
      </w:r>
    </w:p>
    <w:p w14:paraId="0CD96617">
      <w:pPr>
        <w:pStyle w:val="51"/>
        <w:pageBreakBefore w:val="0"/>
        <w:numPr>
          <w:ilvl w:val="0"/>
          <w:numId w:val="27"/>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主要股东和高管人员信息表</w:t>
      </w:r>
    </w:p>
    <w:p w14:paraId="193A8074">
      <w:pPr>
        <w:pStyle w:val="51"/>
        <w:pageBreakBefore w:val="0"/>
        <w:numPr>
          <w:ilvl w:val="0"/>
          <w:numId w:val="27"/>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lang w:val="en-US" w:eastAsia="zh-CN"/>
        </w:rPr>
        <w:t>不得存在的情形（承诺函）</w:t>
      </w:r>
    </w:p>
    <w:p w14:paraId="23CDE8BC">
      <w:pPr>
        <w:pStyle w:val="51"/>
        <w:pageBreakBefore w:val="0"/>
        <w:numPr>
          <w:ilvl w:val="0"/>
          <w:numId w:val="27"/>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投标人提供的其他商务及服务部分资料</w:t>
      </w:r>
    </w:p>
    <w:p w14:paraId="5E9BA33A">
      <w:pPr>
        <w:pStyle w:val="51"/>
        <w:pageBreakBefore w:val="0"/>
        <w:tabs>
          <w:tab w:val="left" w:pos="567"/>
          <w:tab w:val="left" w:pos="795"/>
        </w:tabs>
        <w:kinsoku/>
        <w:overflowPunct/>
        <w:bidi w:val="0"/>
        <w:adjustRightInd w:val="0"/>
        <w:snapToGrid w:val="0"/>
        <w:spacing w:line="360" w:lineRule="auto"/>
        <w:ind w:firstLine="0" w:firstLineChars="0"/>
        <w:jc w:val="left"/>
        <w:rPr>
          <w:rFonts w:hint="eastAsia" w:ascii="宋体" w:hAnsi="宋体" w:eastAsia="宋体" w:cs="宋体"/>
          <w:b/>
          <w:color w:val="auto"/>
          <w:szCs w:val="21"/>
        </w:rPr>
      </w:pPr>
      <w:r>
        <w:rPr>
          <w:rFonts w:hint="eastAsia" w:ascii="宋体" w:hAnsi="宋体" w:eastAsia="宋体" w:cs="宋体"/>
          <w:b/>
          <w:color w:val="auto"/>
          <w:szCs w:val="21"/>
        </w:rPr>
        <w:t>第二分册 技术投标文件</w:t>
      </w:r>
    </w:p>
    <w:p w14:paraId="27F2A0EA">
      <w:pPr>
        <w:pStyle w:val="51"/>
        <w:pageBreakBefore w:val="0"/>
        <w:numPr>
          <w:ilvl w:val="0"/>
          <w:numId w:val="27"/>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技术投标文件封面</w:t>
      </w:r>
    </w:p>
    <w:p w14:paraId="3A3A5E45">
      <w:pPr>
        <w:pStyle w:val="51"/>
        <w:pageBreakBefore w:val="0"/>
        <w:numPr>
          <w:ilvl w:val="0"/>
          <w:numId w:val="27"/>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技术服务评审索引表</w:t>
      </w:r>
    </w:p>
    <w:p w14:paraId="53755245">
      <w:pPr>
        <w:pStyle w:val="51"/>
        <w:pageBreakBefore w:val="0"/>
        <w:numPr>
          <w:ilvl w:val="0"/>
          <w:numId w:val="27"/>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技术规范书偏离表</w:t>
      </w:r>
    </w:p>
    <w:p w14:paraId="67FC6C69">
      <w:pPr>
        <w:pStyle w:val="51"/>
        <w:pageBreakBefore w:val="0"/>
        <w:numPr>
          <w:ilvl w:val="0"/>
          <w:numId w:val="27"/>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技术规范书点对点应答</w:t>
      </w:r>
    </w:p>
    <w:p w14:paraId="6D274F34">
      <w:pPr>
        <w:pStyle w:val="51"/>
        <w:pageBreakBefore w:val="0"/>
        <w:numPr>
          <w:ilvl w:val="0"/>
          <w:numId w:val="27"/>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技术建议书</w:t>
      </w:r>
    </w:p>
    <w:p w14:paraId="16CAF5C3">
      <w:pPr>
        <w:pStyle w:val="51"/>
        <w:pageBreakBefore w:val="0"/>
        <w:numPr>
          <w:ilvl w:val="0"/>
          <w:numId w:val="27"/>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技术规范书中明确要求投标人提供的其他文件</w:t>
      </w:r>
    </w:p>
    <w:p w14:paraId="5DD79365">
      <w:pPr>
        <w:pStyle w:val="51"/>
        <w:pageBreakBefore w:val="0"/>
        <w:tabs>
          <w:tab w:val="left" w:pos="567"/>
          <w:tab w:val="left" w:pos="795"/>
        </w:tabs>
        <w:kinsoku/>
        <w:overflowPunct/>
        <w:bidi w:val="0"/>
        <w:adjustRightInd w:val="0"/>
        <w:snapToGrid w:val="0"/>
        <w:spacing w:line="360" w:lineRule="auto"/>
        <w:ind w:firstLine="0" w:firstLineChars="0"/>
        <w:jc w:val="left"/>
        <w:rPr>
          <w:rFonts w:hint="eastAsia" w:ascii="宋体" w:hAnsi="宋体" w:eastAsia="宋体" w:cs="宋体"/>
          <w:b/>
          <w:color w:val="auto"/>
          <w:szCs w:val="21"/>
        </w:rPr>
      </w:pPr>
      <w:r>
        <w:rPr>
          <w:rFonts w:hint="eastAsia" w:ascii="宋体" w:hAnsi="宋体" w:eastAsia="宋体" w:cs="宋体"/>
          <w:b/>
          <w:color w:val="auto"/>
          <w:szCs w:val="21"/>
        </w:rPr>
        <w:t>第三分册 报价文件</w:t>
      </w:r>
    </w:p>
    <w:p w14:paraId="42168B9E">
      <w:pPr>
        <w:pStyle w:val="51"/>
        <w:pageBreakBefore w:val="0"/>
        <w:numPr>
          <w:ilvl w:val="0"/>
          <w:numId w:val="27"/>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报价文件封面</w:t>
      </w:r>
    </w:p>
    <w:p w14:paraId="62EFF15C">
      <w:pPr>
        <w:pStyle w:val="51"/>
        <w:pageBreakBefore w:val="0"/>
        <w:numPr>
          <w:ilvl w:val="0"/>
          <w:numId w:val="27"/>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投标一览表</w:t>
      </w:r>
    </w:p>
    <w:p w14:paraId="4BCC4BD5">
      <w:pPr>
        <w:pStyle w:val="51"/>
        <w:pageBreakBefore w:val="0"/>
        <w:numPr>
          <w:ilvl w:val="0"/>
          <w:numId w:val="28"/>
        </w:numPr>
        <w:tabs>
          <w:tab w:val="left" w:pos="567"/>
        </w:tabs>
        <w:kinsoku/>
        <w:overflowPunct/>
        <w:bidi w:val="0"/>
        <w:adjustRightInd w:val="0"/>
        <w:snapToGrid w:val="0"/>
        <w:spacing w:line="360" w:lineRule="auto"/>
        <w:ind w:firstLineChars="0"/>
        <w:rPr>
          <w:rFonts w:hint="eastAsia" w:ascii="宋体" w:hAnsi="宋体" w:eastAsia="宋体" w:cs="宋体"/>
          <w:color w:val="auto"/>
          <w:szCs w:val="21"/>
        </w:rPr>
        <w:sectPr>
          <w:headerReference r:id="rId13" w:type="default"/>
          <w:footerReference r:id="rId14" w:type="default"/>
          <w:type w:val="continuous"/>
          <w:pgSz w:w="11906" w:h="16838"/>
          <w:pgMar w:top="1440" w:right="1800" w:bottom="1440" w:left="1800" w:header="851" w:footer="992" w:gutter="0"/>
          <w:pgNumType w:fmt="decimal"/>
          <w:cols w:space="425" w:num="1"/>
          <w:docGrid w:type="lines" w:linePitch="312" w:charSpace="0"/>
        </w:sectPr>
      </w:pPr>
    </w:p>
    <w:p w14:paraId="1E794770">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478" w:name="_Toc30151"/>
      <w:bookmarkStart w:id="1479" w:name="_Toc38008076"/>
      <w:bookmarkStart w:id="1480" w:name="_Toc475472670"/>
      <w:r>
        <w:rPr>
          <w:rFonts w:hint="eastAsia" w:ascii="宋体" w:hAnsi="宋体" w:eastAsia="宋体" w:cs="宋体"/>
          <w:color w:val="auto"/>
          <w:sz w:val="24"/>
          <w:szCs w:val="24"/>
        </w:rPr>
        <w:t>第一分册 商务投标文件</w:t>
      </w:r>
      <w:bookmarkEnd w:id="1478"/>
      <w:bookmarkEnd w:id="1479"/>
    </w:p>
    <w:p w14:paraId="37DDB58B">
      <w:pPr>
        <w:pStyle w:val="39"/>
        <w:pageBreakBefore w:val="0"/>
        <w:numPr>
          <w:ilvl w:val="0"/>
          <w:numId w:val="29"/>
        </w:numPr>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481" w:name="_Toc38008077"/>
      <w:bookmarkStart w:id="1482" w:name="_Toc19347"/>
      <w:r>
        <w:rPr>
          <w:rFonts w:hint="eastAsia" w:ascii="宋体" w:hAnsi="宋体" w:eastAsia="宋体" w:cs="宋体"/>
          <w:color w:val="auto"/>
          <w:sz w:val="24"/>
          <w:szCs w:val="24"/>
        </w:rPr>
        <w:t>商务投标文件封面</w:t>
      </w:r>
      <w:bookmarkEnd w:id="1480"/>
      <w:bookmarkEnd w:id="1481"/>
      <w:bookmarkEnd w:id="1482"/>
    </w:p>
    <w:p w14:paraId="4A925A0A">
      <w:pPr>
        <w:pageBreakBefore w:val="0"/>
        <w:kinsoku/>
        <w:overflowPunct/>
        <w:bidi w:val="0"/>
        <w:spacing w:after="120" w:line="360" w:lineRule="auto"/>
        <w:jc w:val="center"/>
        <w:rPr>
          <w:rFonts w:hint="eastAsia" w:ascii="宋体" w:hAnsi="宋体" w:eastAsia="宋体" w:cs="宋体"/>
          <w:color w:val="auto"/>
          <w:sz w:val="32"/>
          <w:szCs w:val="32"/>
          <w:u w:val="single"/>
        </w:rPr>
      </w:pPr>
    </w:p>
    <w:p w14:paraId="72AB3762">
      <w:pPr>
        <w:pageBreakBefore w:val="0"/>
        <w:kinsoku/>
        <w:overflowPunct/>
        <w:bidi w:val="0"/>
        <w:spacing w:after="120" w:line="360" w:lineRule="auto"/>
        <w:jc w:val="center"/>
        <w:rPr>
          <w:rFonts w:hint="eastAsia" w:ascii="宋体" w:hAnsi="宋体" w:eastAsia="宋体" w:cs="宋体"/>
          <w:color w:val="auto"/>
          <w:sz w:val="32"/>
          <w:szCs w:val="32"/>
          <w:u w:val="single"/>
        </w:rPr>
      </w:pPr>
    </w:p>
    <w:p w14:paraId="39D34D5A">
      <w:pPr>
        <w:pageBreakBefore w:val="0"/>
        <w:kinsoku/>
        <w:overflowPunct/>
        <w:bidi w:val="0"/>
        <w:spacing w:after="120" w:line="360" w:lineRule="auto"/>
        <w:jc w:val="center"/>
        <w:rPr>
          <w:rFonts w:hint="eastAsia" w:ascii="宋体" w:hAnsi="宋体" w:eastAsia="宋体" w:cs="宋体"/>
          <w:b/>
          <w:color w:val="auto"/>
          <w:sz w:val="30"/>
          <w:szCs w:val="30"/>
        </w:rPr>
      </w:pPr>
      <w:r>
        <w:rPr>
          <w:rFonts w:hint="eastAsia" w:ascii="宋体" w:hAnsi="宋体" w:eastAsia="宋体" w:cs="宋体"/>
          <w:color w:val="auto"/>
          <w:sz w:val="28"/>
          <w:szCs w:val="28"/>
        </w:rPr>
        <w:t>（项目名称）</w:t>
      </w:r>
    </w:p>
    <w:p w14:paraId="4BDAB522">
      <w:pPr>
        <w:pageBreakBefore w:val="0"/>
        <w:kinsoku/>
        <w:overflowPunct/>
        <w:bidi w:val="0"/>
        <w:spacing w:line="360" w:lineRule="auto"/>
        <w:jc w:val="center"/>
        <w:rPr>
          <w:rFonts w:hint="eastAsia" w:ascii="宋体" w:hAnsi="宋体" w:eastAsia="宋体" w:cs="宋体"/>
          <w:color w:val="auto"/>
          <w:sz w:val="28"/>
          <w:szCs w:val="28"/>
        </w:rPr>
      </w:pPr>
    </w:p>
    <w:p w14:paraId="63A0BF46">
      <w:pPr>
        <w:pageBreakBefore w:val="0"/>
        <w:kinsoku/>
        <w:overflowPunct/>
        <w:bidi w:val="0"/>
        <w:spacing w:line="360" w:lineRule="auto"/>
        <w:jc w:val="center"/>
        <w:rPr>
          <w:rFonts w:hint="eastAsia" w:ascii="宋体" w:hAnsi="宋体" w:eastAsia="宋体" w:cs="宋体"/>
          <w:color w:val="auto"/>
          <w:szCs w:val="21"/>
        </w:rPr>
      </w:pPr>
    </w:p>
    <w:p w14:paraId="5A124838">
      <w:pPr>
        <w:pageBreakBefore w:val="0"/>
        <w:kinsoku/>
        <w:overflowPunct/>
        <w:bidi w:val="0"/>
        <w:spacing w:line="360" w:lineRule="auto"/>
        <w:jc w:val="center"/>
        <w:rPr>
          <w:rFonts w:hint="eastAsia" w:ascii="宋体" w:hAnsi="宋体" w:eastAsia="宋体" w:cs="宋体"/>
          <w:color w:val="auto"/>
          <w:szCs w:val="21"/>
        </w:rPr>
      </w:pPr>
    </w:p>
    <w:p w14:paraId="2B28070E">
      <w:pPr>
        <w:pageBreakBefore w:val="0"/>
        <w:kinsoku/>
        <w:overflowPunct/>
        <w:bidi w:val="0"/>
        <w:spacing w:line="360" w:lineRule="auto"/>
        <w:jc w:val="center"/>
        <w:rPr>
          <w:rFonts w:hint="eastAsia" w:ascii="宋体" w:hAnsi="宋体" w:eastAsia="宋体" w:cs="宋体"/>
          <w:color w:val="auto"/>
          <w:szCs w:val="21"/>
        </w:rPr>
      </w:pPr>
    </w:p>
    <w:p w14:paraId="124EA7DF">
      <w:pPr>
        <w:pageBreakBefore w:val="0"/>
        <w:kinsoku/>
        <w:overflowPunct/>
        <w:bidi w:val="0"/>
        <w:spacing w:after="120"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投标文件【商务投标文件】部分</w:t>
      </w:r>
    </w:p>
    <w:p w14:paraId="38F1C093">
      <w:pPr>
        <w:pageBreakBefore w:val="0"/>
        <w:kinsoku/>
        <w:overflowPunct/>
        <w:bidi w:val="0"/>
        <w:spacing w:after="120" w:line="360" w:lineRule="auto"/>
        <w:jc w:val="center"/>
        <w:rPr>
          <w:rFonts w:hint="eastAsia" w:ascii="宋体" w:hAnsi="宋体" w:eastAsia="宋体" w:cs="宋体"/>
          <w:b/>
          <w:color w:val="auto"/>
          <w:sz w:val="32"/>
          <w:szCs w:val="32"/>
        </w:rPr>
      </w:pPr>
    </w:p>
    <w:p w14:paraId="2E86A616">
      <w:pPr>
        <w:pageBreakBefore w:val="0"/>
        <w:kinsoku/>
        <w:overflowPunct/>
        <w:bidi w:val="0"/>
        <w:spacing w:after="120" w:line="360" w:lineRule="auto"/>
        <w:jc w:val="center"/>
        <w:rPr>
          <w:rFonts w:hint="eastAsia" w:ascii="宋体" w:hAnsi="宋体" w:eastAsia="宋体" w:cs="宋体"/>
          <w:b/>
          <w:color w:val="auto"/>
          <w:sz w:val="32"/>
          <w:szCs w:val="32"/>
        </w:rPr>
      </w:pPr>
    </w:p>
    <w:p w14:paraId="088C9F0A">
      <w:pPr>
        <w:pageBreakBefore w:val="0"/>
        <w:kinsoku/>
        <w:overflowPunct/>
        <w:bidi w:val="0"/>
        <w:spacing w:after="120" w:line="360" w:lineRule="auto"/>
        <w:jc w:val="center"/>
        <w:rPr>
          <w:rFonts w:hint="eastAsia" w:ascii="宋体" w:hAnsi="宋体" w:eastAsia="宋体" w:cs="宋体"/>
          <w:b/>
          <w:color w:val="auto"/>
          <w:sz w:val="32"/>
          <w:szCs w:val="32"/>
        </w:rPr>
      </w:pPr>
    </w:p>
    <w:p w14:paraId="47DB3820">
      <w:pPr>
        <w:pageBreakBefore w:val="0"/>
        <w:kinsoku/>
        <w:overflowPunct/>
        <w:bidi w:val="0"/>
        <w:spacing w:after="120" w:line="360" w:lineRule="auto"/>
        <w:jc w:val="center"/>
        <w:rPr>
          <w:rFonts w:hint="eastAsia" w:ascii="宋体" w:hAnsi="宋体" w:eastAsia="宋体" w:cs="宋体"/>
          <w:b/>
          <w:color w:val="auto"/>
          <w:sz w:val="32"/>
          <w:szCs w:val="32"/>
        </w:rPr>
      </w:pPr>
    </w:p>
    <w:p w14:paraId="5CB7C707">
      <w:pPr>
        <w:pageBreakBefore w:val="0"/>
        <w:kinsoku/>
        <w:overflowPunct/>
        <w:bidi w:val="0"/>
        <w:spacing w:after="120" w:line="360" w:lineRule="auto"/>
        <w:jc w:val="center"/>
        <w:rPr>
          <w:rFonts w:hint="eastAsia" w:ascii="宋体" w:hAnsi="宋体" w:eastAsia="宋体" w:cs="宋体"/>
          <w:b/>
          <w:color w:val="auto"/>
          <w:sz w:val="32"/>
          <w:szCs w:val="32"/>
        </w:rPr>
      </w:pPr>
    </w:p>
    <w:p w14:paraId="2ECCC519">
      <w:pPr>
        <w:pageBreakBefore w:val="0"/>
        <w:kinsoku/>
        <w:overflowPunct/>
        <w:bidi w:val="0"/>
        <w:spacing w:after="120" w:line="360" w:lineRule="auto"/>
        <w:jc w:val="center"/>
        <w:rPr>
          <w:rFonts w:hint="eastAsia" w:ascii="宋体" w:hAnsi="宋体" w:eastAsia="宋体" w:cs="宋体"/>
          <w:b/>
          <w:color w:val="auto"/>
          <w:sz w:val="32"/>
          <w:szCs w:val="32"/>
        </w:rPr>
      </w:pPr>
    </w:p>
    <w:p w14:paraId="791EAB6F">
      <w:pPr>
        <w:pageBreakBefore w:val="0"/>
        <w:kinsoku/>
        <w:overflowPunct/>
        <w:bidi w:val="0"/>
        <w:spacing w:line="360" w:lineRule="auto"/>
        <w:ind w:firstLine="566" w:firstLineChars="236"/>
        <w:rPr>
          <w:rFonts w:hint="eastAsia" w:ascii="宋体" w:hAnsi="宋体" w:eastAsia="宋体" w:cs="宋体"/>
          <w:color w:val="auto"/>
          <w:sz w:val="24"/>
          <w:szCs w:val="21"/>
        </w:rPr>
      </w:pPr>
      <w:r>
        <w:rPr>
          <w:rFonts w:hint="eastAsia" w:ascii="宋体" w:hAnsi="宋体" w:eastAsia="宋体" w:cs="宋体"/>
          <w:color w:val="auto"/>
          <w:sz w:val="24"/>
          <w:szCs w:val="21"/>
        </w:rPr>
        <w:t>投标人名称：</w:t>
      </w:r>
      <w:r>
        <w:rPr>
          <w:rFonts w:hint="eastAsia" w:ascii="宋体" w:hAnsi="宋体" w:eastAsia="宋体" w:cs="宋体"/>
          <w:color w:val="auto"/>
          <w:sz w:val="24"/>
          <w:szCs w:val="21"/>
          <w:u w:val="single"/>
        </w:rPr>
        <w:t xml:space="preserve">　　　　　　　　                 </w:t>
      </w:r>
    </w:p>
    <w:p w14:paraId="70502521">
      <w:pPr>
        <w:pageBreakBefore w:val="0"/>
        <w:kinsoku/>
        <w:overflowPunct/>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u w:val="single"/>
        </w:rPr>
        <w:t xml:space="preserve">_    __ </w:t>
      </w:r>
      <w:r>
        <w:rPr>
          <w:rFonts w:hint="eastAsia" w:ascii="宋体" w:hAnsi="宋体" w:eastAsia="宋体" w:cs="宋体"/>
          <w:color w:val="auto"/>
          <w:sz w:val="24"/>
        </w:rPr>
        <w:t>年</w:t>
      </w:r>
      <w:r>
        <w:rPr>
          <w:rFonts w:hint="eastAsia" w:ascii="宋体" w:hAnsi="宋体" w:eastAsia="宋体" w:cs="宋体"/>
          <w:color w:val="auto"/>
          <w:sz w:val="24"/>
          <w:u w:val="single"/>
        </w:rPr>
        <w:t>_    __</w:t>
      </w:r>
      <w:r>
        <w:rPr>
          <w:rFonts w:hint="eastAsia" w:ascii="宋体" w:hAnsi="宋体" w:eastAsia="宋体" w:cs="宋体"/>
          <w:color w:val="auto"/>
          <w:sz w:val="24"/>
        </w:rPr>
        <w:t>月</w:t>
      </w:r>
      <w:r>
        <w:rPr>
          <w:rFonts w:hint="eastAsia" w:ascii="宋体" w:hAnsi="宋体" w:eastAsia="宋体" w:cs="宋体"/>
          <w:color w:val="auto"/>
          <w:sz w:val="24"/>
          <w:u w:val="single"/>
        </w:rPr>
        <w:t>_    __</w:t>
      </w:r>
      <w:r>
        <w:rPr>
          <w:rFonts w:hint="eastAsia" w:ascii="宋体" w:hAnsi="宋体" w:eastAsia="宋体" w:cs="宋体"/>
          <w:color w:val="auto"/>
          <w:sz w:val="24"/>
        </w:rPr>
        <w:t>日</w:t>
      </w:r>
    </w:p>
    <w:p w14:paraId="416F8135">
      <w:pPr>
        <w:pageBreakBefore w:val="0"/>
        <w:kinsoku/>
        <w:overflowPunct/>
        <w:bidi w:val="0"/>
        <w:adjustRightInd w:val="0"/>
        <w:snapToGrid w:val="0"/>
        <w:spacing w:line="360" w:lineRule="auto"/>
        <w:jc w:val="center"/>
        <w:rPr>
          <w:rFonts w:hint="eastAsia" w:ascii="宋体" w:hAnsi="宋体" w:eastAsia="宋体" w:cs="宋体"/>
          <w:color w:val="auto"/>
          <w:sz w:val="24"/>
        </w:rPr>
      </w:pPr>
    </w:p>
    <w:p w14:paraId="063436E0">
      <w:pPr>
        <w:pageBreakBefore w:val="0"/>
        <w:kinsoku/>
        <w:overflowPunct/>
        <w:bidi w:val="0"/>
        <w:adjustRightInd w:val="0"/>
        <w:snapToGrid w:val="0"/>
        <w:spacing w:line="360" w:lineRule="auto"/>
        <w:jc w:val="center"/>
        <w:rPr>
          <w:rFonts w:hint="eastAsia" w:ascii="宋体" w:hAnsi="宋体" w:eastAsia="宋体" w:cs="宋体"/>
          <w:color w:val="auto"/>
        </w:rPr>
      </w:pPr>
    </w:p>
    <w:p w14:paraId="633F8599">
      <w:pPr>
        <w:pageBreakBefore w:val="0"/>
        <w:kinsoku/>
        <w:overflowPunct/>
        <w:topLinePunct/>
        <w:bidi w:val="0"/>
        <w:spacing w:line="360" w:lineRule="auto"/>
        <w:jc w:val="left"/>
        <w:rPr>
          <w:rFonts w:hint="eastAsia" w:ascii="宋体" w:hAnsi="宋体" w:eastAsia="宋体" w:cs="宋体"/>
          <w:color w:val="auto"/>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color w:val="auto"/>
        </w:rPr>
        <w:t>编制要求</w:t>
      </w:r>
      <w:r>
        <w:rPr>
          <w:rFonts w:hint="eastAsia" w:ascii="宋体" w:hAnsi="宋体" w:eastAsia="宋体" w:cs="宋体"/>
          <w:color w:val="auto"/>
        </w:rPr>
        <w:t>：投标人可以根据实际情况对本文件进行调整和修改，但应满足招标文件对本文件的要求。</w:t>
      </w:r>
    </w:p>
    <w:p w14:paraId="4B729341">
      <w:pPr>
        <w:pStyle w:val="39"/>
        <w:pageBreakBefore w:val="0"/>
        <w:numPr>
          <w:ilvl w:val="0"/>
          <w:numId w:val="29"/>
        </w:numPr>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483" w:name="_Toc3764"/>
      <w:bookmarkStart w:id="1484" w:name="_Toc475472671"/>
      <w:bookmarkStart w:id="1485" w:name="_Toc38008078"/>
      <w:bookmarkStart w:id="1486" w:name="_Toc447265603"/>
      <w:bookmarkStart w:id="1487" w:name="_Toc447265317"/>
      <w:bookmarkStart w:id="1488" w:name="_Toc438052118"/>
      <w:r>
        <w:rPr>
          <w:rFonts w:hint="eastAsia" w:ascii="宋体" w:hAnsi="宋体" w:eastAsia="宋体" w:cs="宋体"/>
          <w:color w:val="auto"/>
          <w:sz w:val="24"/>
          <w:szCs w:val="24"/>
        </w:rPr>
        <w:t>初步评审索引表</w:t>
      </w:r>
      <w:bookmarkEnd w:id="1483"/>
    </w:p>
    <w:p w14:paraId="3BDE66D2">
      <w:pPr>
        <w:pageBreakBefore w:val="0"/>
        <w:kinsoku/>
        <w:overflowPunct/>
        <w:bidi w:val="0"/>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初步评审索引表</w:t>
      </w:r>
    </w:p>
    <w:p w14:paraId="454AB7FC">
      <w:pPr>
        <w:pageBreakBefore w:val="0"/>
        <w:kinsoku/>
        <w:overflowPunct/>
        <w:bidi w:val="0"/>
        <w:spacing w:line="360" w:lineRule="auto"/>
        <w:jc w:val="center"/>
        <w:rPr>
          <w:rFonts w:hint="eastAsia" w:ascii="宋体" w:hAnsi="宋体" w:eastAsia="宋体" w:cs="宋体"/>
          <w:b/>
          <w:color w:val="auto"/>
        </w:rPr>
      </w:pPr>
    </w:p>
    <w:p w14:paraId="5EDB76BF">
      <w:pPr>
        <w:pageBreakBefore w:val="0"/>
        <w:kinsoku/>
        <w:overflowPunct/>
        <w:bidi w:val="0"/>
        <w:spacing w:line="360" w:lineRule="auto"/>
        <w:jc w:val="left"/>
        <w:rPr>
          <w:rFonts w:hint="eastAsia" w:ascii="宋体" w:hAnsi="宋体" w:eastAsia="宋体" w:cs="宋体"/>
          <w:b/>
          <w:color w:val="auto"/>
        </w:rPr>
      </w:pPr>
      <w:r>
        <w:rPr>
          <w:rFonts w:hint="eastAsia" w:ascii="宋体" w:hAnsi="宋体" w:eastAsia="宋体" w:cs="宋体"/>
          <w:color w:val="auto"/>
          <w:szCs w:val="21"/>
        </w:rPr>
        <w:t>【此部分内容建议按照第三章评标办法中的评审标准的顺序一一罗列】</w:t>
      </w:r>
    </w:p>
    <w:tbl>
      <w:tblPr>
        <w:tblStyle w:val="41"/>
        <w:tblW w:w="8397"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2551"/>
        <w:gridCol w:w="1985"/>
        <w:gridCol w:w="1275"/>
        <w:gridCol w:w="1560"/>
      </w:tblGrid>
      <w:tr w14:paraId="2AC3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5DB665F1">
            <w:pPr>
              <w:pageBreakBefore w:val="0"/>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条款号</w:t>
            </w:r>
          </w:p>
        </w:tc>
        <w:tc>
          <w:tcPr>
            <w:tcW w:w="2551" w:type="dxa"/>
            <w:vAlign w:val="center"/>
          </w:tcPr>
          <w:p w14:paraId="1973BD67">
            <w:pPr>
              <w:pageBreakBefore w:val="0"/>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评审因素</w:t>
            </w:r>
          </w:p>
        </w:tc>
        <w:tc>
          <w:tcPr>
            <w:tcW w:w="1985" w:type="dxa"/>
            <w:vAlign w:val="center"/>
          </w:tcPr>
          <w:p w14:paraId="5C510F98">
            <w:pPr>
              <w:pageBreakBefore w:val="0"/>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投标文件组成</w:t>
            </w:r>
          </w:p>
        </w:tc>
        <w:tc>
          <w:tcPr>
            <w:tcW w:w="1275" w:type="dxa"/>
            <w:vAlign w:val="center"/>
          </w:tcPr>
          <w:p w14:paraId="4D382B61">
            <w:pPr>
              <w:pageBreakBefore w:val="0"/>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对应页码</w:t>
            </w:r>
          </w:p>
        </w:tc>
        <w:tc>
          <w:tcPr>
            <w:tcW w:w="1560" w:type="dxa"/>
            <w:vAlign w:val="center"/>
          </w:tcPr>
          <w:p w14:paraId="62F2DB30">
            <w:pPr>
              <w:pageBreakBefore w:val="0"/>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备注或者说明</w:t>
            </w:r>
          </w:p>
        </w:tc>
      </w:tr>
      <w:tr w14:paraId="2181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4A3D620A">
            <w:pPr>
              <w:pageBreakBefore w:val="0"/>
              <w:tabs>
                <w:tab w:val="left" w:pos="720"/>
              </w:tabs>
              <w:kinsoku/>
              <w:overflowPunct/>
              <w:bidi w:val="0"/>
              <w:spacing w:line="360" w:lineRule="auto"/>
              <w:ind w:left="-2" w:firstLine="1"/>
              <w:jc w:val="center"/>
              <w:rPr>
                <w:rFonts w:hint="eastAsia" w:ascii="宋体" w:hAnsi="宋体" w:eastAsia="宋体" w:cs="宋体"/>
                <w:color w:val="auto"/>
                <w:szCs w:val="21"/>
              </w:rPr>
            </w:pPr>
          </w:p>
        </w:tc>
        <w:tc>
          <w:tcPr>
            <w:tcW w:w="2551" w:type="dxa"/>
            <w:vAlign w:val="center"/>
          </w:tcPr>
          <w:p w14:paraId="6BCBDA3A">
            <w:pPr>
              <w:pageBreakBefore w:val="0"/>
              <w:tabs>
                <w:tab w:val="left" w:pos="720"/>
              </w:tabs>
              <w:kinsoku/>
              <w:overflowPunct/>
              <w:bidi w:val="0"/>
              <w:spacing w:line="360" w:lineRule="auto"/>
              <w:ind w:left="-2" w:firstLine="1"/>
              <w:jc w:val="center"/>
              <w:rPr>
                <w:rFonts w:hint="eastAsia" w:ascii="宋体" w:hAnsi="宋体" w:eastAsia="宋体" w:cs="宋体"/>
                <w:color w:val="auto"/>
                <w:szCs w:val="21"/>
              </w:rPr>
            </w:pPr>
          </w:p>
        </w:tc>
        <w:tc>
          <w:tcPr>
            <w:tcW w:w="1985" w:type="dxa"/>
          </w:tcPr>
          <w:p w14:paraId="51A00329">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275" w:type="dxa"/>
            <w:vAlign w:val="center"/>
          </w:tcPr>
          <w:p w14:paraId="3BBFEE44">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560" w:type="dxa"/>
            <w:vAlign w:val="center"/>
          </w:tcPr>
          <w:p w14:paraId="25469A06">
            <w:pPr>
              <w:pageBreakBefore w:val="0"/>
              <w:tabs>
                <w:tab w:val="left" w:pos="720"/>
              </w:tabs>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w:t>
            </w:r>
          </w:p>
        </w:tc>
      </w:tr>
      <w:tr w14:paraId="6503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6403DE70">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2551" w:type="dxa"/>
            <w:vAlign w:val="center"/>
          </w:tcPr>
          <w:p w14:paraId="04F8FC68">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985" w:type="dxa"/>
          </w:tcPr>
          <w:p w14:paraId="261E6329">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275" w:type="dxa"/>
            <w:vAlign w:val="center"/>
          </w:tcPr>
          <w:p w14:paraId="1132C2B5">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560" w:type="dxa"/>
            <w:vAlign w:val="center"/>
          </w:tcPr>
          <w:p w14:paraId="7E6CB6DA">
            <w:pPr>
              <w:pageBreakBefore w:val="0"/>
              <w:tabs>
                <w:tab w:val="left" w:pos="720"/>
              </w:tabs>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w:t>
            </w:r>
          </w:p>
        </w:tc>
      </w:tr>
      <w:tr w14:paraId="77D3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2CA35CF0">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2551" w:type="dxa"/>
            <w:vAlign w:val="center"/>
          </w:tcPr>
          <w:p w14:paraId="1BA07F24">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985" w:type="dxa"/>
          </w:tcPr>
          <w:p w14:paraId="36408974">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275" w:type="dxa"/>
            <w:vAlign w:val="center"/>
          </w:tcPr>
          <w:p w14:paraId="41184A67">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560" w:type="dxa"/>
            <w:vAlign w:val="center"/>
          </w:tcPr>
          <w:p w14:paraId="2D464088">
            <w:pPr>
              <w:pageBreakBefore w:val="0"/>
              <w:tabs>
                <w:tab w:val="left" w:pos="720"/>
              </w:tabs>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w:t>
            </w:r>
          </w:p>
        </w:tc>
      </w:tr>
      <w:tr w14:paraId="55E3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55845847">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2551" w:type="dxa"/>
            <w:vAlign w:val="center"/>
          </w:tcPr>
          <w:p w14:paraId="2072B84B">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985" w:type="dxa"/>
          </w:tcPr>
          <w:p w14:paraId="7621B71A">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275" w:type="dxa"/>
            <w:vAlign w:val="center"/>
          </w:tcPr>
          <w:p w14:paraId="1383C7FF">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560" w:type="dxa"/>
            <w:vAlign w:val="center"/>
          </w:tcPr>
          <w:p w14:paraId="7C74F26E">
            <w:pPr>
              <w:pageBreakBefore w:val="0"/>
              <w:tabs>
                <w:tab w:val="left" w:pos="720"/>
              </w:tabs>
              <w:kinsoku/>
              <w:overflowPunct/>
              <w:bidi w:val="0"/>
              <w:spacing w:line="360" w:lineRule="auto"/>
              <w:jc w:val="center"/>
              <w:rPr>
                <w:rFonts w:hint="eastAsia" w:ascii="宋体" w:hAnsi="宋体" w:eastAsia="宋体" w:cs="宋体"/>
                <w:color w:val="auto"/>
                <w:szCs w:val="21"/>
              </w:rPr>
            </w:pPr>
          </w:p>
        </w:tc>
      </w:tr>
      <w:tr w14:paraId="643C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17AE839E">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2551" w:type="dxa"/>
            <w:vAlign w:val="center"/>
          </w:tcPr>
          <w:p w14:paraId="4B1E5AAE">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985" w:type="dxa"/>
          </w:tcPr>
          <w:p w14:paraId="0BEDEA92">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275" w:type="dxa"/>
            <w:vAlign w:val="center"/>
          </w:tcPr>
          <w:p w14:paraId="244DFD9F">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560" w:type="dxa"/>
            <w:vAlign w:val="center"/>
          </w:tcPr>
          <w:p w14:paraId="577274A4">
            <w:pPr>
              <w:pageBreakBefore w:val="0"/>
              <w:tabs>
                <w:tab w:val="left" w:pos="720"/>
              </w:tabs>
              <w:kinsoku/>
              <w:overflowPunct/>
              <w:bidi w:val="0"/>
              <w:spacing w:line="360" w:lineRule="auto"/>
              <w:jc w:val="center"/>
              <w:rPr>
                <w:rFonts w:hint="eastAsia" w:ascii="宋体" w:hAnsi="宋体" w:eastAsia="宋体" w:cs="宋体"/>
                <w:color w:val="auto"/>
                <w:szCs w:val="21"/>
              </w:rPr>
            </w:pPr>
          </w:p>
        </w:tc>
      </w:tr>
      <w:tr w14:paraId="4727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14F9BAE4">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2551" w:type="dxa"/>
            <w:vAlign w:val="center"/>
          </w:tcPr>
          <w:p w14:paraId="561857CC">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985" w:type="dxa"/>
          </w:tcPr>
          <w:p w14:paraId="6432D6C6">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275" w:type="dxa"/>
            <w:vAlign w:val="center"/>
          </w:tcPr>
          <w:p w14:paraId="0DC20359">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560" w:type="dxa"/>
            <w:vAlign w:val="center"/>
          </w:tcPr>
          <w:p w14:paraId="7E56BF3F">
            <w:pPr>
              <w:pageBreakBefore w:val="0"/>
              <w:tabs>
                <w:tab w:val="left" w:pos="720"/>
              </w:tabs>
              <w:kinsoku/>
              <w:overflowPunct/>
              <w:bidi w:val="0"/>
              <w:spacing w:line="360" w:lineRule="auto"/>
              <w:jc w:val="center"/>
              <w:rPr>
                <w:rFonts w:hint="eastAsia" w:ascii="宋体" w:hAnsi="宋体" w:eastAsia="宋体" w:cs="宋体"/>
                <w:color w:val="auto"/>
                <w:szCs w:val="21"/>
              </w:rPr>
            </w:pPr>
          </w:p>
        </w:tc>
      </w:tr>
      <w:tr w14:paraId="43EC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7F7C60F1">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2551" w:type="dxa"/>
            <w:vAlign w:val="center"/>
          </w:tcPr>
          <w:p w14:paraId="20DAA0F4">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985" w:type="dxa"/>
          </w:tcPr>
          <w:p w14:paraId="5DAE3508">
            <w:pPr>
              <w:pageBreakBefore w:val="0"/>
              <w:tabs>
                <w:tab w:val="left" w:pos="720"/>
              </w:tabs>
              <w:kinsoku/>
              <w:overflowPunct/>
              <w:bidi w:val="0"/>
              <w:spacing w:line="360" w:lineRule="auto"/>
              <w:ind w:left="420"/>
              <w:jc w:val="center"/>
              <w:rPr>
                <w:rFonts w:hint="eastAsia" w:ascii="宋体" w:hAnsi="宋体" w:eastAsia="宋体" w:cs="宋体"/>
                <w:color w:val="auto"/>
                <w:szCs w:val="21"/>
              </w:rPr>
            </w:pPr>
          </w:p>
        </w:tc>
        <w:tc>
          <w:tcPr>
            <w:tcW w:w="1275" w:type="dxa"/>
            <w:vAlign w:val="center"/>
          </w:tcPr>
          <w:p w14:paraId="75A6C200">
            <w:pPr>
              <w:pageBreakBefore w:val="0"/>
              <w:tabs>
                <w:tab w:val="left" w:pos="720"/>
              </w:tabs>
              <w:kinsoku/>
              <w:overflowPunct/>
              <w:bidi w:val="0"/>
              <w:spacing w:line="360" w:lineRule="auto"/>
              <w:ind w:left="420"/>
              <w:jc w:val="center"/>
              <w:rPr>
                <w:rFonts w:hint="eastAsia" w:ascii="宋体" w:hAnsi="宋体" w:eastAsia="宋体" w:cs="宋体"/>
                <w:color w:val="auto"/>
                <w:szCs w:val="21"/>
              </w:rPr>
            </w:pPr>
          </w:p>
        </w:tc>
        <w:tc>
          <w:tcPr>
            <w:tcW w:w="1560" w:type="dxa"/>
            <w:vAlign w:val="center"/>
          </w:tcPr>
          <w:p w14:paraId="359A1478">
            <w:pPr>
              <w:pageBreakBefore w:val="0"/>
              <w:tabs>
                <w:tab w:val="left" w:pos="720"/>
              </w:tabs>
              <w:kinsoku/>
              <w:overflowPunct/>
              <w:bidi w:val="0"/>
              <w:spacing w:line="360" w:lineRule="auto"/>
              <w:ind w:left="420"/>
              <w:jc w:val="center"/>
              <w:rPr>
                <w:rFonts w:hint="eastAsia" w:ascii="宋体" w:hAnsi="宋体" w:eastAsia="宋体" w:cs="宋体"/>
                <w:color w:val="auto"/>
                <w:szCs w:val="21"/>
              </w:rPr>
            </w:pPr>
          </w:p>
        </w:tc>
      </w:tr>
      <w:tr w14:paraId="0421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508B34CA">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2551" w:type="dxa"/>
            <w:vAlign w:val="center"/>
          </w:tcPr>
          <w:p w14:paraId="1B09ED51">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985" w:type="dxa"/>
          </w:tcPr>
          <w:p w14:paraId="45E5CF27">
            <w:pPr>
              <w:pageBreakBefore w:val="0"/>
              <w:tabs>
                <w:tab w:val="left" w:pos="720"/>
              </w:tabs>
              <w:kinsoku/>
              <w:overflowPunct/>
              <w:bidi w:val="0"/>
              <w:spacing w:line="360" w:lineRule="auto"/>
              <w:ind w:left="420"/>
              <w:jc w:val="center"/>
              <w:rPr>
                <w:rFonts w:hint="eastAsia" w:ascii="宋体" w:hAnsi="宋体" w:eastAsia="宋体" w:cs="宋体"/>
                <w:color w:val="auto"/>
                <w:szCs w:val="21"/>
              </w:rPr>
            </w:pPr>
          </w:p>
        </w:tc>
        <w:tc>
          <w:tcPr>
            <w:tcW w:w="1275" w:type="dxa"/>
            <w:vAlign w:val="center"/>
          </w:tcPr>
          <w:p w14:paraId="543F5D69">
            <w:pPr>
              <w:pageBreakBefore w:val="0"/>
              <w:tabs>
                <w:tab w:val="left" w:pos="720"/>
              </w:tabs>
              <w:kinsoku/>
              <w:overflowPunct/>
              <w:bidi w:val="0"/>
              <w:spacing w:line="360" w:lineRule="auto"/>
              <w:ind w:left="420"/>
              <w:jc w:val="center"/>
              <w:rPr>
                <w:rFonts w:hint="eastAsia" w:ascii="宋体" w:hAnsi="宋体" w:eastAsia="宋体" w:cs="宋体"/>
                <w:color w:val="auto"/>
                <w:szCs w:val="21"/>
              </w:rPr>
            </w:pPr>
          </w:p>
        </w:tc>
        <w:tc>
          <w:tcPr>
            <w:tcW w:w="1560" w:type="dxa"/>
            <w:vAlign w:val="center"/>
          </w:tcPr>
          <w:p w14:paraId="1FA24C0E">
            <w:pPr>
              <w:pageBreakBefore w:val="0"/>
              <w:tabs>
                <w:tab w:val="left" w:pos="720"/>
              </w:tabs>
              <w:kinsoku/>
              <w:overflowPunct/>
              <w:bidi w:val="0"/>
              <w:spacing w:line="360" w:lineRule="auto"/>
              <w:jc w:val="center"/>
              <w:rPr>
                <w:rFonts w:hint="eastAsia" w:ascii="宋体" w:hAnsi="宋体" w:eastAsia="宋体" w:cs="宋体"/>
                <w:color w:val="auto"/>
                <w:szCs w:val="21"/>
              </w:rPr>
            </w:pPr>
          </w:p>
        </w:tc>
      </w:tr>
      <w:tr w14:paraId="5ED8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7939A355">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2551" w:type="dxa"/>
            <w:vAlign w:val="center"/>
          </w:tcPr>
          <w:p w14:paraId="7827EB2F">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985" w:type="dxa"/>
          </w:tcPr>
          <w:p w14:paraId="52D97024">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275" w:type="dxa"/>
            <w:vAlign w:val="center"/>
          </w:tcPr>
          <w:p w14:paraId="60E39F47">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560" w:type="dxa"/>
            <w:vAlign w:val="center"/>
          </w:tcPr>
          <w:p w14:paraId="6FEE8C17">
            <w:pPr>
              <w:pageBreakBefore w:val="0"/>
              <w:tabs>
                <w:tab w:val="left" w:pos="720"/>
              </w:tabs>
              <w:kinsoku/>
              <w:overflowPunct/>
              <w:bidi w:val="0"/>
              <w:spacing w:line="360" w:lineRule="auto"/>
              <w:jc w:val="center"/>
              <w:rPr>
                <w:rFonts w:hint="eastAsia" w:ascii="宋体" w:hAnsi="宋体" w:eastAsia="宋体" w:cs="宋体"/>
                <w:color w:val="auto"/>
                <w:szCs w:val="21"/>
              </w:rPr>
            </w:pPr>
          </w:p>
        </w:tc>
      </w:tr>
      <w:tr w14:paraId="3891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37B59E25">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2551" w:type="dxa"/>
            <w:vAlign w:val="center"/>
          </w:tcPr>
          <w:p w14:paraId="07686EC0">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985" w:type="dxa"/>
          </w:tcPr>
          <w:p w14:paraId="0DE35C33">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275" w:type="dxa"/>
            <w:vAlign w:val="center"/>
          </w:tcPr>
          <w:p w14:paraId="2B5F7855">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560" w:type="dxa"/>
            <w:vAlign w:val="center"/>
          </w:tcPr>
          <w:p w14:paraId="12282538">
            <w:pPr>
              <w:pageBreakBefore w:val="0"/>
              <w:tabs>
                <w:tab w:val="left" w:pos="720"/>
              </w:tabs>
              <w:kinsoku/>
              <w:overflowPunct/>
              <w:bidi w:val="0"/>
              <w:spacing w:line="360" w:lineRule="auto"/>
              <w:jc w:val="center"/>
              <w:rPr>
                <w:rFonts w:hint="eastAsia" w:ascii="宋体" w:hAnsi="宋体" w:eastAsia="宋体" w:cs="宋体"/>
                <w:color w:val="auto"/>
                <w:szCs w:val="21"/>
              </w:rPr>
            </w:pPr>
          </w:p>
        </w:tc>
      </w:tr>
      <w:tr w14:paraId="5588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201F29CF">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2551" w:type="dxa"/>
            <w:vAlign w:val="center"/>
          </w:tcPr>
          <w:p w14:paraId="4A3FB1B0">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985" w:type="dxa"/>
          </w:tcPr>
          <w:p w14:paraId="56830A90">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275" w:type="dxa"/>
            <w:vAlign w:val="center"/>
          </w:tcPr>
          <w:p w14:paraId="0E7BD2F8">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560" w:type="dxa"/>
            <w:vAlign w:val="center"/>
          </w:tcPr>
          <w:p w14:paraId="48E8E4F4">
            <w:pPr>
              <w:pageBreakBefore w:val="0"/>
              <w:tabs>
                <w:tab w:val="left" w:pos="720"/>
              </w:tabs>
              <w:kinsoku/>
              <w:overflowPunct/>
              <w:bidi w:val="0"/>
              <w:spacing w:line="360" w:lineRule="auto"/>
              <w:jc w:val="center"/>
              <w:rPr>
                <w:rFonts w:hint="eastAsia" w:ascii="宋体" w:hAnsi="宋体" w:eastAsia="宋体" w:cs="宋体"/>
                <w:color w:val="auto"/>
                <w:szCs w:val="21"/>
              </w:rPr>
            </w:pPr>
          </w:p>
        </w:tc>
      </w:tr>
      <w:tr w14:paraId="51FE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7E82A3F8">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2551" w:type="dxa"/>
            <w:vAlign w:val="center"/>
          </w:tcPr>
          <w:p w14:paraId="7BB3EE84">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985" w:type="dxa"/>
          </w:tcPr>
          <w:p w14:paraId="04B6806A">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275" w:type="dxa"/>
            <w:vAlign w:val="center"/>
          </w:tcPr>
          <w:p w14:paraId="71C693C6">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560" w:type="dxa"/>
            <w:vAlign w:val="center"/>
          </w:tcPr>
          <w:p w14:paraId="18E99D08">
            <w:pPr>
              <w:pageBreakBefore w:val="0"/>
              <w:tabs>
                <w:tab w:val="left" w:pos="720"/>
              </w:tabs>
              <w:kinsoku/>
              <w:overflowPunct/>
              <w:bidi w:val="0"/>
              <w:spacing w:line="360" w:lineRule="auto"/>
              <w:jc w:val="center"/>
              <w:rPr>
                <w:rFonts w:hint="eastAsia" w:ascii="宋体" w:hAnsi="宋体" w:eastAsia="宋体" w:cs="宋体"/>
                <w:color w:val="auto"/>
                <w:szCs w:val="21"/>
              </w:rPr>
            </w:pPr>
          </w:p>
        </w:tc>
      </w:tr>
      <w:tr w14:paraId="2C39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656B5DD0">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2551" w:type="dxa"/>
            <w:vAlign w:val="center"/>
          </w:tcPr>
          <w:p w14:paraId="7A9C38E2">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985" w:type="dxa"/>
          </w:tcPr>
          <w:p w14:paraId="73C28D85">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275" w:type="dxa"/>
            <w:vAlign w:val="center"/>
          </w:tcPr>
          <w:p w14:paraId="23C4CFF1">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560" w:type="dxa"/>
            <w:vAlign w:val="center"/>
          </w:tcPr>
          <w:p w14:paraId="2189C764">
            <w:pPr>
              <w:pageBreakBefore w:val="0"/>
              <w:tabs>
                <w:tab w:val="left" w:pos="720"/>
              </w:tabs>
              <w:kinsoku/>
              <w:overflowPunct/>
              <w:bidi w:val="0"/>
              <w:spacing w:line="360" w:lineRule="auto"/>
              <w:jc w:val="center"/>
              <w:rPr>
                <w:rFonts w:hint="eastAsia" w:ascii="宋体" w:hAnsi="宋体" w:eastAsia="宋体" w:cs="宋体"/>
                <w:color w:val="auto"/>
                <w:szCs w:val="21"/>
              </w:rPr>
            </w:pPr>
          </w:p>
        </w:tc>
      </w:tr>
      <w:tr w14:paraId="637D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74FBE5ED">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2551" w:type="dxa"/>
            <w:vAlign w:val="center"/>
          </w:tcPr>
          <w:p w14:paraId="499CFB35">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985" w:type="dxa"/>
          </w:tcPr>
          <w:p w14:paraId="31955650">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275" w:type="dxa"/>
            <w:vAlign w:val="center"/>
          </w:tcPr>
          <w:p w14:paraId="7ECD27A2">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560" w:type="dxa"/>
            <w:vAlign w:val="center"/>
          </w:tcPr>
          <w:p w14:paraId="4B43D188">
            <w:pPr>
              <w:pageBreakBefore w:val="0"/>
              <w:tabs>
                <w:tab w:val="left" w:pos="720"/>
              </w:tabs>
              <w:kinsoku/>
              <w:overflowPunct/>
              <w:bidi w:val="0"/>
              <w:spacing w:line="360" w:lineRule="auto"/>
              <w:jc w:val="center"/>
              <w:rPr>
                <w:rFonts w:hint="eastAsia" w:ascii="宋体" w:hAnsi="宋体" w:eastAsia="宋体" w:cs="宋体"/>
                <w:color w:val="auto"/>
                <w:szCs w:val="21"/>
              </w:rPr>
            </w:pPr>
          </w:p>
        </w:tc>
      </w:tr>
      <w:tr w14:paraId="0135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684980A1">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2551" w:type="dxa"/>
            <w:vAlign w:val="center"/>
          </w:tcPr>
          <w:p w14:paraId="43BE8442">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985" w:type="dxa"/>
          </w:tcPr>
          <w:p w14:paraId="43C5A926">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275" w:type="dxa"/>
            <w:vAlign w:val="center"/>
          </w:tcPr>
          <w:p w14:paraId="567C28C1">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560" w:type="dxa"/>
            <w:vAlign w:val="center"/>
          </w:tcPr>
          <w:p w14:paraId="77C60AB6">
            <w:pPr>
              <w:pageBreakBefore w:val="0"/>
              <w:tabs>
                <w:tab w:val="left" w:pos="720"/>
              </w:tabs>
              <w:kinsoku/>
              <w:overflowPunct/>
              <w:bidi w:val="0"/>
              <w:spacing w:line="360" w:lineRule="auto"/>
              <w:jc w:val="center"/>
              <w:rPr>
                <w:rFonts w:hint="eastAsia" w:ascii="宋体" w:hAnsi="宋体" w:eastAsia="宋体" w:cs="宋体"/>
                <w:color w:val="auto"/>
                <w:szCs w:val="21"/>
              </w:rPr>
            </w:pPr>
          </w:p>
        </w:tc>
      </w:tr>
      <w:tr w14:paraId="41789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1AAF68F7">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2551" w:type="dxa"/>
            <w:vAlign w:val="center"/>
          </w:tcPr>
          <w:p w14:paraId="5566A8E0">
            <w:pPr>
              <w:pageBreakBefore w:val="0"/>
              <w:tabs>
                <w:tab w:val="left" w:pos="720"/>
              </w:tabs>
              <w:kinsoku/>
              <w:overflowPunct/>
              <w:bidi w:val="0"/>
              <w:spacing w:line="360" w:lineRule="auto"/>
              <w:jc w:val="center"/>
              <w:rPr>
                <w:rFonts w:hint="eastAsia" w:ascii="宋体" w:hAnsi="宋体" w:eastAsia="宋体" w:cs="宋体"/>
                <w:color w:val="auto"/>
                <w:kern w:val="0"/>
                <w:szCs w:val="21"/>
              </w:rPr>
            </w:pPr>
          </w:p>
        </w:tc>
        <w:tc>
          <w:tcPr>
            <w:tcW w:w="1985" w:type="dxa"/>
          </w:tcPr>
          <w:p w14:paraId="63F38F75">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275" w:type="dxa"/>
            <w:vAlign w:val="center"/>
          </w:tcPr>
          <w:p w14:paraId="347BDFDC">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560" w:type="dxa"/>
            <w:vAlign w:val="center"/>
          </w:tcPr>
          <w:p w14:paraId="31F6D325">
            <w:pPr>
              <w:pageBreakBefore w:val="0"/>
              <w:tabs>
                <w:tab w:val="left" w:pos="720"/>
              </w:tabs>
              <w:kinsoku/>
              <w:overflowPunct/>
              <w:bidi w:val="0"/>
              <w:spacing w:line="360" w:lineRule="auto"/>
              <w:jc w:val="center"/>
              <w:rPr>
                <w:rFonts w:hint="eastAsia" w:ascii="宋体" w:hAnsi="宋体" w:eastAsia="宋体" w:cs="宋体"/>
                <w:color w:val="auto"/>
                <w:szCs w:val="21"/>
              </w:rPr>
            </w:pPr>
          </w:p>
        </w:tc>
      </w:tr>
      <w:tr w14:paraId="48CA7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1BDDEDF3">
            <w:pPr>
              <w:pageBreakBefore w:val="0"/>
              <w:tabs>
                <w:tab w:val="left" w:pos="720"/>
              </w:tabs>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w:t>
            </w:r>
          </w:p>
        </w:tc>
        <w:tc>
          <w:tcPr>
            <w:tcW w:w="2551" w:type="dxa"/>
            <w:vAlign w:val="center"/>
          </w:tcPr>
          <w:p w14:paraId="716A730E">
            <w:pPr>
              <w:pageBreakBefore w:val="0"/>
              <w:tabs>
                <w:tab w:val="left" w:pos="720"/>
              </w:tabs>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color w:val="auto"/>
                <w:kern w:val="0"/>
                <w:szCs w:val="21"/>
              </w:rPr>
              <w:t>…</w:t>
            </w:r>
          </w:p>
        </w:tc>
        <w:tc>
          <w:tcPr>
            <w:tcW w:w="1985" w:type="dxa"/>
          </w:tcPr>
          <w:p w14:paraId="526C353D">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275" w:type="dxa"/>
            <w:vAlign w:val="center"/>
          </w:tcPr>
          <w:p w14:paraId="1857E224">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560" w:type="dxa"/>
            <w:vAlign w:val="center"/>
          </w:tcPr>
          <w:p w14:paraId="7B92F3C6">
            <w:pPr>
              <w:pageBreakBefore w:val="0"/>
              <w:tabs>
                <w:tab w:val="left" w:pos="720"/>
              </w:tabs>
              <w:kinsoku/>
              <w:overflowPunct/>
              <w:bidi w:val="0"/>
              <w:spacing w:line="360" w:lineRule="auto"/>
              <w:jc w:val="center"/>
              <w:rPr>
                <w:rFonts w:hint="eastAsia" w:ascii="宋体" w:hAnsi="宋体" w:eastAsia="宋体" w:cs="宋体"/>
                <w:color w:val="auto"/>
                <w:szCs w:val="21"/>
              </w:rPr>
            </w:pPr>
          </w:p>
        </w:tc>
      </w:tr>
    </w:tbl>
    <w:p w14:paraId="2B32B648">
      <w:pPr>
        <w:pageBreakBefore w:val="0"/>
        <w:widowControl/>
        <w:kinsoku/>
        <w:overflowPunct/>
        <w:bidi w:val="0"/>
        <w:spacing w:line="360" w:lineRule="auto"/>
        <w:jc w:val="left"/>
        <w:rPr>
          <w:rFonts w:hint="eastAsia" w:ascii="宋体" w:hAnsi="宋体" w:eastAsia="宋体" w:cs="宋体"/>
          <w:b/>
          <w:bCs/>
          <w:color w:val="auto"/>
          <w:sz w:val="24"/>
        </w:rPr>
      </w:pPr>
    </w:p>
    <w:p w14:paraId="5B8BB1AF">
      <w:pPr>
        <w:pageBreakBefore w:val="0"/>
        <w:kinsoku/>
        <w:overflowPunct/>
        <w:bidi w:val="0"/>
        <w:spacing w:line="360" w:lineRule="auto"/>
        <w:rPr>
          <w:rFonts w:hint="eastAsia" w:ascii="宋体" w:hAnsi="宋体" w:eastAsia="宋体" w:cs="宋体"/>
          <w:color w:val="auto"/>
        </w:rPr>
      </w:pPr>
    </w:p>
    <w:p w14:paraId="242872A8">
      <w:pPr>
        <w:pageBreakBefore w:val="0"/>
        <w:kinsoku/>
        <w:overflowPunct/>
        <w:bidi w:val="0"/>
        <w:spacing w:line="360" w:lineRule="auto"/>
        <w:rPr>
          <w:rFonts w:hint="eastAsia" w:ascii="宋体" w:hAnsi="宋体" w:eastAsia="宋体" w:cs="宋体"/>
          <w:color w:val="auto"/>
        </w:rPr>
      </w:pPr>
    </w:p>
    <w:p w14:paraId="1B8240F9">
      <w:pPr>
        <w:pageBreakBefore w:val="0"/>
        <w:kinsoku/>
        <w:overflowPunct/>
        <w:topLinePunct/>
        <w:bidi w:val="0"/>
        <w:spacing w:line="360" w:lineRule="auto"/>
        <w:jc w:val="left"/>
        <w:rPr>
          <w:rFonts w:hint="eastAsia" w:ascii="宋体" w:hAnsi="宋体" w:eastAsia="宋体" w:cs="宋体"/>
          <w:b/>
          <w:bCs/>
          <w:color w:val="auto"/>
          <w:sz w:val="24"/>
        </w:rPr>
      </w:pPr>
      <w:r>
        <w:rPr>
          <w:rFonts w:hint="eastAsia" w:ascii="宋体" w:hAnsi="宋体" w:eastAsia="宋体" w:cs="宋体"/>
          <w:b/>
          <w:color w:val="auto"/>
        </w:rPr>
        <w:t>编制要求</w:t>
      </w:r>
      <w:r>
        <w:rPr>
          <w:rFonts w:hint="eastAsia" w:ascii="宋体" w:hAnsi="宋体" w:eastAsia="宋体" w:cs="宋体"/>
          <w:color w:val="auto"/>
        </w:rPr>
        <w:t>：投标人可以根据实际情况对本文件进行调整和修改，但应满足招标文件对本文件的要求。</w:t>
      </w:r>
    </w:p>
    <w:p w14:paraId="42300FF1">
      <w:pPr>
        <w:pageBreakBefore w:val="0"/>
        <w:widowControl/>
        <w:kinsoku/>
        <w:overflowPunct/>
        <w:bidi w:val="0"/>
        <w:spacing w:line="360" w:lineRule="auto"/>
        <w:jc w:val="left"/>
        <w:rPr>
          <w:rFonts w:hint="eastAsia" w:ascii="宋体" w:hAnsi="宋体" w:eastAsia="宋体" w:cs="宋体"/>
          <w:b/>
          <w:bCs/>
          <w:color w:val="auto"/>
          <w:sz w:val="24"/>
        </w:rPr>
      </w:pPr>
    </w:p>
    <w:p w14:paraId="4CD81BE7">
      <w:pPr>
        <w:pageBreakBefore w:val="0"/>
        <w:widowControl/>
        <w:kinsoku/>
        <w:overflowPunct/>
        <w:bidi w:val="0"/>
        <w:spacing w:line="360" w:lineRule="auto"/>
        <w:jc w:val="left"/>
        <w:rPr>
          <w:rFonts w:hint="eastAsia" w:ascii="宋体" w:hAnsi="宋体" w:eastAsia="宋体" w:cs="宋体"/>
          <w:b/>
          <w:bCs/>
          <w:color w:val="auto"/>
          <w:sz w:val="24"/>
        </w:rPr>
      </w:pPr>
    </w:p>
    <w:p w14:paraId="411A6FCF">
      <w:pPr>
        <w:pageBreakBefore w:val="0"/>
        <w:widowControl/>
        <w:kinsoku/>
        <w:overflowPunct/>
        <w:bidi w:val="0"/>
        <w:spacing w:line="360" w:lineRule="auto"/>
        <w:jc w:val="left"/>
        <w:rPr>
          <w:rFonts w:hint="eastAsia" w:ascii="宋体" w:hAnsi="宋体" w:eastAsia="宋体" w:cs="宋体"/>
          <w:b/>
          <w:bCs/>
          <w:color w:val="auto"/>
          <w:sz w:val="24"/>
        </w:rPr>
      </w:pPr>
      <w:r>
        <w:rPr>
          <w:rFonts w:hint="eastAsia" w:ascii="宋体" w:hAnsi="宋体" w:eastAsia="宋体" w:cs="宋体"/>
          <w:color w:val="auto"/>
          <w:sz w:val="24"/>
        </w:rPr>
        <w:br w:type="page"/>
      </w:r>
    </w:p>
    <w:p w14:paraId="20702CC2">
      <w:pPr>
        <w:pStyle w:val="39"/>
        <w:pageBreakBefore w:val="0"/>
        <w:numPr>
          <w:ilvl w:val="0"/>
          <w:numId w:val="29"/>
        </w:numPr>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489" w:name="_Toc32112"/>
      <w:r>
        <w:rPr>
          <w:rFonts w:hint="eastAsia" w:ascii="宋体" w:hAnsi="宋体" w:eastAsia="宋体" w:cs="宋体"/>
          <w:color w:val="auto"/>
          <w:sz w:val="24"/>
          <w:szCs w:val="24"/>
        </w:rPr>
        <w:t>商务评审索引表</w:t>
      </w:r>
      <w:bookmarkEnd w:id="1484"/>
      <w:bookmarkEnd w:id="1485"/>
      <w:bookmarkEnd w:id="1489"/>
    </w:p>
    <w:p w14:paraId="5BA9CA32">
      <w:pPr>
        <w:pageBreakBefore w:val="0"/>
        <w:kinsoku/>
        <w:overflowPunct/>
        <w:bidi w:val="0"/>
        <w:spacing w:line="360" w:lineRule="auto"/>
        <w:rPr>
          <w:rFonts w:hint="eastAsia" w:ascii="宋体" w:hAnsi="宋体" w:eastAsia="宋体" w:cs="宋体"/>
          <w:color w:val="auto"/>
        </w:rPr>
      </w:pPr>
    </w:p>
    <w:p w14:paraId="2A178A45">
      <w:pPr>
        <w:pageBreakBefore w:val="0"/>
        <w:kinsoku/>
        <w:overflowPunct/>
        <w:bidi w:val="0"/>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商务评审索引表</w:t>
      </w:r>
    </w:p>
    <w:p w14:paraId="54367BFB">
      <w:pPr>
        <w:pageBreakBefore w:val="0"/>
        <w:kinsoku/>
        <w:overflowPunct/>
        <w:bidi w:val="0"/>
        <w:spacing w:line="360" w:lineRule="auto"/>
        <w:jc w:val="center"/>
        <w:rPr>
          <w:rFonts w:hint="eastAsia" w:ascii="宋体" w:hAnsi="宋体" w:eastAsia="宋体" w:cs="宋体"/>
          <w:b/>
          <w:color w:val="auto"/>
        </w:rPr>
      </w:pPr>
    </w:p>
    <w:p w14:paraId="5D8DBAA8">
      <w:pPr>
        <w:pageBreakBefore w:val="0"/>
        <w:kinsoku/>
        <w:overflowPunct/>
        <w:bidi w:val="0"/>
        <w:spacing w:line="360" w:lineRule="auto"/>
        <w:jc w:val="left"/>
        <w:rPr>
          <w:rFonts w:hint="eastAsia" w:ascii="宋体" w:hAnsi="宋体" w:eastAsia="宋体" w:cs="宋体"/>
          <w:b/>
          <w:color w:val="auto"/>
        </w:rPr>
      </w:pPr>
      <w:r>
        <w:rPr>
          <w:rFonts w:hint="eastAsia" w:ascii="宋体" w:hAnsi="宋体" w:eastAsia="宋体" w:cs="宋体"/>
          <w:color w:val="auto"/>
          <w:szCs w:val="21"/>
        </w:rPr>
        <w:t>【此部分内容建议按照第三章评标办法中的评审标准的顺序一一罗列】</w:t>
      </w:r>
    </w:p>
    <w:bookmarkEnd w:id="1486"/>
    <w:bookmarkEnd w:id="1487"/>
    <w:bookmarkEnd w:id="1488"/>
    <w:tbl>
      <w:tblPr>
        <w:tblStyle w:val="4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2020"/>
        <w:gridCol w:w="1883"/>
        <w:gridCol w:w="2028"/>
        <w:gridCol w:w="1579"/>
      </w:tblGrid>
      <w:tr w14:paraId="756DA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92" w:type="pct"/>
            <w:vAlign w:val="center"/>
          </w:tcPr>
          <w:p w14:paraId="059CFC85">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条款号</w:t>
            </w:r>
          </w:p>
        </w:tc>
        <w:tc>
          <w:tcPr>
            <w:tcW w:w="1185" w:type="pct"/>
            <w:vAlign w:val="center"/>
          </w:tcPr>
          <w:p w14:paraId="20CA6015">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评审因素</w:t>
            </w:r>
          </w:p>
        </w:tc>
        <w:tc>
          <w:tcPr>
            <w:tcW w:w="1105" w:type="pct"/>
            <w:vAlign w:val="center"/>
          </w:tcPr>
          <w:p w14:paraId="084F2F18">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投标文件组成</w:t>
            </w:r>
          </w:p>
        </w:tc>
        <w:tc>
          <w:tcPr>
            <w:tcW w:w="1190" w:type="pct"/>
            <w:vAlign w:val="center"/>
          </w:tcPr>
          <w:p w14:paraId="4E48486F">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对应页码</w:t>
            </w:r>
          </w:p>
        </w:tc>
        <w:tc>
          <w:tcPr>
            <w:tcW w:w="926" w:type="pct"/>
            <w:vAlign w:val="center"/>
          </w:tcPr>
          <w:p w14:paraId="5F3779CC">
            <w:pPr>
              <w:pageBreakBefore w:val="0"/>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备注或者说明</w:t>
            </w:r>
          </w:p>
        </w:tc>
      </w:tr>
      <w:tr w14:paraId="4C61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92" w:type="pct"/>
            <w:vAlign w:val="center"/>
          </w:tcPr>
          <w:p w14:paraId="5549074F">
            <w:pPr>
              <w:pageBreakBefore w:val="0"/>
              <w:tabs>
                <w:tab w:val="left" w:pos="720"/>
              </w:tabs>
              <w:kinsoku/>
              <w:overflowPunct/>
              <w:bidi w:val="0"/>
              <w:spacing w:line="360" w:lineRule="auto"/>
              <w:ind w:left="-2" w:firstLine="1"/>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85" w:type="pct"/>
            <w:vAlign w:val="center"/>
          </w:tcPr>
          <w:p w14:paraId="5396D433">
            <w:pPr>
              <w:pageBreakBefore w:val="0"/>
              <w:kinsoku/>
              <w:overflowPunct/>
              <w:bidi w:val="0"/>
              <w:spacing w:line="360" w:lineRule="auto"/>
              <w:jc w:val="center"/>
              <w:rPr>
                <w:rFonts w:hint="eastAsia" w:ascii="宋体" w:hAnsi="宋体" w:eastAsia="宋体" w:cs="宋体"/>
                <w:color w:val="auto"/>
                <w:sz w:val="21"/>
                <w:szCs w:val="21"/>
                <w:lang w:val="en-US" w:eastAsia="zh-CN"/>
              </w:rPr>
            </w:pPr>
          </w:p>
        </w:tc>
        <w:tc>
          <w:tcPr>
            <w:tcW w:w="1105" w:type="pct"/>
          </w:tcPr>
          <w:p w14:paraId="023F1DEC">
            <w:pPr>
              <w:pageBreakBefore w:val="0"/>
              <w:tabs>
                <w:tab w:val="left" w:pos="720"/>
              </w:tabs>
              <w:kinsoku/>
              <w:overflowPunct/>
              <w:bidi w:val="0"/>
              <w:spacing w:line="360" w:lineRule="auto"/>
              <w:jc w:val="center"/>
              <w:rPr>
                <w:rFonts w:hint="eastAsia" w:ascii="宋体" w:hAnsi="宋体" w:eastAsia="宋体" w:cs="宋体"/>
                <w:color w:val="auto"/>
                <w:sz w:val="21"/>
                <w:szCs w:val="21"/>
              </w:rPr>
            </w:pPr>
          </w:p>
        </w:tc>
        <w:tc>
          <w:tcPr>
            <w:tcW w:w="1190" w:type="pct"/>
            <w:vAlign w:val="center"/>
          </w:tcPr>
          <w:p w14:paraId="7CD0DE6B">
            <w:pPr>
              <w:pageBreakBefore w:val="0"/>
              <w:tabs>
                <w:tab w:val="left" w:pos="720"/>
              </w:tabs>
              <w:kinsoku/>
              <w:overflowPunct/>
              <w:bidi w:val="0"/>
              <w:spacing w:line="360" w:lineRule="auto"/>
              <w:jc w:val="center"/>
              <w:rPr>
                <w:rFonts w:hint="eastAsia" w:ascii="宋体" w:hAnsi="宋体" w:eastAsia="宋体" w:cs="宋体"/>
                <w:color w:val="auto"/>
                <w:sz w:val="21"/>
                <w:szCs w:val="21"/>
              </w:rPr>
            </w:pPr>
          </w:p>
        </w:tc>
        <w:tc>
          <w:tcPr>
            <w:tcW w:w="926" w:type="pct"/>
            <w:vAlign w:val="center"/>
          </w:tcPr>
          <w:p w14:paraId="0B7354F5">
            <w:pPr>
              <w:pageBreakBefore w:val="0"/>
              <w:tabs>
                <w:tab w:val="left" w:pos="720"/>
              </w:tabs>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14:paraId="2D44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592" w:type="pct"/>
            <w:vAlign w:val="center"/>
          </w:tcPr>
          <w:p w14:paraId="341C2CCD">
            <w:pPr>
              <w:pageBreakBefore w:val="0"/>
              <w:tabs>
                <w:tab w:val="left" w:pos="720"/>
              </w:tabs>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185" w:type="pct"/>
            <w:vAlign w:val="center"/>
          </w:tcPr>
          <w:p w14:paraId="200A363D">
            <w:pPr>
              <w:pageBreakBefore w:val="0"/>
              <w:kinsoku/>
              <w:overflowPunct/>
              <w:bidi w:val="0"/>
              <w:spacing w:line="360" w:lineRule="auto"/>
              <w:jc w:val="center"/>
              <w:rPr>
                <w:rFonts w:hint="eastAsia" w:ascii="宋体" w:hAnsi="宋体" w:eastAsia="宋体" w:cs="宋体"/>
                <w:color w:val="auto"/>
                <w:sz w:val="21"/>
                <w:szCs w:val="21"/>
                <w:lang w:val="en-US" w:eastAsia="zh-CN"/>
              </w:rPr>
            </w:pPr>
          </w:p>
        </w:tc>
        <w:tc>
          <w:tcPr>
            <w:tcW w:w="1105" w:type="pct"/>
          </w:tcPr>
          <w:p w14:paraId="7C9397C8">
            <w:pPr>
              <w:pageBreakBefore w:val="0"/>
              <w:tabs>
                <w:tab w:val="left" w:pos="720"/>
              </w:tabs>
              <w:kinsoku/>
              <w:overflowPunct/>
              <w:bidi w:val="0"/>
              <w:spacing w:line="360" w:lineRule="auto"/>
              <w:jc w:val="center"/>
              <w:rPr>
                <w:rFonts w:hint="eastAsia" w:ascii="宋体" w:hAnsi="宋体" w:eastAsia="宋体" w:cs="宋体"/>
                <w:color w:val="auto"/>
                <w:sz w:val="21"/>
                <w:szCs w:val="21"/>
              </w:rPr>
            </w:pPr>
          </w:p>
        </w:tc>
        <w:tc>
          <w:tcPr>
            <w:tcW w:w="1190" w:type="pct"/>
            <w:vAlign w:val="center"/>
          </w:tcPr>
          <w:p w14:paraId="1A864D00">
            <w:pPr>
              <w:pageBreakBefore w:val="0"/>
              <w:tabs>
                <w:tab w:val="left" w:pos="720"/>
              </w:tabs>
              <w:kinsoku/>
              <w:overflowPunct/>
              <w:bidi w:val="0"/>
              <w:spacing w:line="360" w:lineRule="auto"/>
              <w:jc w:val="center"/>
              <w:rPr>
                <w:rFonts w:hint="eastAsia" w:ascii="宋体" w:hAnsi="宋体" w:eastAsia="宋体" w:cs="宋体"/>
                <w:color w:val="auto"/>
                <w:sz w:val="21"/>
                <w:szCs w:val="21"/>
              </w:rPr>
            </w:pPr>
          </w:p>
        </w:tc>
        <w:tc>
          <w:tcPr>
            <w:tcW w:w="926" w:type="pct"/>
            <w:vAlign w:val="center"/>
          </w:tcPr>
          <w:p w14:paraId="686F5DBF">
            <w:pPr>
              <w:pageBreakBefore w:val="0"/>
              <w:tabs>
                <w:tab w:val="left" w:pos="720"/>
              </w:tabs>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14:paraId="07B9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trPr>
        <w:tc>
          <w:tcPr>
            <w:tcW w:w="592" w:type="pct"/>
            <w:vAlign w:val="center"/>
          </w:tcPr>
          <w:p w14:paraId="5E5C5561">
            <w:pPr>
              <w:pageBreakBefore w:val="0"/>
              <w:tabs>
                <w:tab w:val="left" w:pos="720"/>
              </w:tabs>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185" w:type="pct"/>
            <w:vAlign w:val="center"/>
          </w:tcPr>
          <w:p w14:paraId="2AA153B9">
            <w:pPr>
              <w:pageBreakBefore w:val="0"/>
              <w:kinsoku/>
              <w:overflowPunct/>
              <w:bidi w:val="0"/>
              <w:spacing w:line="360" w:lineRule="auto"/>
              <w:jc w:val="center"/>
              <w:rPr>
                <w:rFonts w:hint="eastAsia" w:ascii="宋体" w:hAnsi="宋体" w:eastAsia="宋体" w:cs="宋体"/>
                <w:color w:val="auto"/>
                <w:sz w:val="21"/>
                <w:szCs w:val="21"/>
                <w:lang w:val="en-US" w:eastAsia="zh-CN"/>
              </w:rPr>
            </w:pPr>
          </w:p>
        </w:tc>
        <w:tc>
          <w:tcPr>
            <w:tcW w:w="1105" w:type="pct"/>
          </w:tcPr>
          <w:p w14:paraId="3EC0FC0D">
            <w:pPr>
              <w:pageBreakBefore w:val="0"/>
              <w:tabs>
                <w:tab w:val="left" w:pos="720"/>
              </w:tabs>
              <w:kinsoku/>
              <w:overflowPunct/>
              <w:bidi w:val="0"/>
              <w:spacing w:line="360" w:lineRule="auto"/>
              <w:jc w:val="center"/>
              <w:rPr>
                <w:rFonts w:hint="eastAsia" w:ascii="宋体" w:hAnsi="宋体" w:eastAsia="宋体" w:cs="宋体"/>
                <w:color w:val="auto"/>
                <w:sz w:val="21"/>
                <w:szCs w:val="21"/>
              </w:rPr>
            </w:pPr>
          </w:p>
        </w:tc>
        <w:tc>
          <w:tcPr>
            <w:tcW w:w="1190" w:type="pct"/>
            <w:vAlign w:val="center"/>
          </w:tcPr>
          <w:p w14:paraId="02C68611">
            <w:pPr>
              <w:pageBreakBefore w:val="0"/>
              <w:tabs>
                <w:tab w:val="left" w:pos="720"/>
              </w:tabs>
              <w:kinsoku/>
              <w:overflowPunct/>
              <w:bidi w:val="0"/>
              <w:spacing w:line="360" w:lineRule="auto"/>
              <w:jc w:val="center"/>
              <w:rPr>
                <w:rFonts w:hint="eastAsia" w:ascii="宋体" w:hAnsi="宋体" w:eastAsia="宋体" w:cs="宋体"/>
                <w:color w:val="auto"/>
                <w:sz w:val="21"/>
                <w:szCs w:val="21"/>
              </w:rPr>
            </w:pPr>
          </w:p>
        </w:tc>
        <w:tc>
          <w:tcPr>
            <w:tcW w:w="926" w:type="pct"/>
            <w:vAlign w:val="center"/>
          </w:tcPr>
          <w:p w14:paraId="3A45F21B">
            <w:pPr>
              <w:pageBreakBefore w:val="0"/>
              <w:tabs>
                <w:tab w:val="left" w:pos="720"/>
              </w:tabs>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14:paraId="5CAE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592" w:type="pct"/>
            <w:vAlign w:val="center"/>
          </w:tcPr>
          <w:p w14:paraId="4FD5E3CE">
            <w:pPr>
              <w:pageBreakBefore w:val="0"/>
              <w:kinsoku/>
              <w:overflowPunct/>
              <w:bidi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4</w:t>
            </w:r>
          </w:p>
        </w:tc>
        <w:tc>
          <w:tcPr>
            <w:tcW w:w="1185" w:type="pct"/>
            <w:vAlign w:val="center"/>
          </w:tcPr>
          <w:p w14:paraId="6CCF6D4D">
            <w:pPr>
              <w:pageBreakBefore w:val="0"/>
              <w:kinsoku/>
              <w:overflowPunct/>
              <w:bidi w:val="0"/>
              <w:spacing w:line="360" w:lineRule="auto"/>
              <w:jc w:val="center"/>
              <w:rPr>
                <w:rFonts w:hint="eastAsia" w:ascii="宋体" w:hAnsi="宋体" w:eastAsia="宋体" w:cs="宋体"/>
                <w:color w:val="auto"/>
                <w:sz w:val="21"/>
                <w:szCs w:val="21"/>
                <w:lang w:val="en-US" w:eastAsia="zh-CN"/>
              </w:rPr>
            </w:pPr>
          </w:p>
        </w:tc>
        <w:tc>
          <w:tcPr>
            <w:tcW w:w="1105" w:type="pct"/>
          </w:tcPr>
          <w:p w14:paraId="2D964EFB">
            <w:pPr>
              <w:pageBreakBefore w:val="0"/>
              <w:tabs>
                <w:tab w:val="left" w:pos="720"/>
              </w:tabs>
              <w:kinsoku/>
              <w:overflowPunct/>
              <w:bidi w:val="0"/>
              <w:spacing w:line="360" w:lineRule="auto"/>
              <w:jc w:val="center"/>
              <w:rPr>
                <w:rFonts w:hint="eastAsia" w:ascii="宋体" w:hAnsi="宋体" w:eastAsia="宋体" w:cs="宋体"/>
                <w:color w:val="auto"/>
                <w:sz w:val="21"/>
                <w:szCs w:val="21"/>
              </w:rPr>
            </w:pPr>
          </w:p>
        </w:tc>
        <w:tc>
          <w:tcPr>
            <w:tcW w:w="1190" w:type="pct"/>
            <w:vAlign w:val="center"/>
          </w:tcPr>
          <w:p w14:paraId="5A9F0B02">
            <w:pPr>
              <w:pageBreakBefore w:val="0"/>
              <w:tabs>
                <w:tab w:val="left" w:pos="720"/>
              </w:tabs>
              <w:kinsoku/>
              <w:overflowPunct/>
              <w:bidi w:val="0"/>
              <w:spacing w:line="360" w:lineRule="auto"/>
              <w:jc w:val="center"/>
              <w:rPr>
                <w:rFonts w:hint="eastAsia" w:ascii="宋体" w:hAnsi="宋体" w:eastAsia="宋体" w:cs="宋体"/>
                <w:color w:val="auto"/>
                <w:sz w:val="21"/>
                <w:szCs w:val="21"/>
              </w:rPr>
            </w:pPr>
          </w:p>
        </w:tc>
        <w:tc>
          <w:tcPr>
            <w:tcW w:w="926" w:type="pct"/>
            <w:vAlign w:val="center"/>
          </w:tcPr>
          <w:p w14:paraId="0F0BFCD5">
            <w:pPr>
              <w:pageBreakBefore w:val="0"/>
              <w:tabs>
                <w:tab w:val="left" w:pos="720"/>
              </w:tabs>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14:paraId="7086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exact"/>
        </w:trPr>
        <w:tc>
          <w:tcPr>
            <w:tcW w:w="592" w:type="pct"/>
            <w:vAlign w:val="center"/>
          </w:tcPr>
          <w:p w14:paraId="037C02C1">
            <w:pPr>
              <w:pageBreakBefore w:val="0"/>
              <w:tabs>
                <w:tab w:val="left" w:pos="720"/>
              </w:tabs>
              <w:kinsoku/>
              <w:overflowPunct/>
              <w:bidi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5</w:t>
            </w:r>
          </w:p>
        </w:tc>
        <w:tc>
          <w:tcPr>
            <w:tcW w:w="1185" w:type="pct"/>
            <w:vAlign w:val="center"/>
          </w:tcPr>
          <w:p w14:paraId="23880408">
            <w:pPr>
              <w:pageBreakBefore w:val="0"/>
              <w:kinsoku/>
              <w:overflowPunct/>
              <w:bidi w:val="0"/>
              <w:spacing w:line="360" w:lineRule="auto"/>
              <w:jc w:val="center"/>
              <w:rPr>
                <w:rFonts w:hint="eastAsia" w:ascii="宋体" w:hAnsi="宋体" w:eastAsia="宋体" w:cs="宋体"/>
                <w:color w:val="auto"/>
                <w:sz w:val="21"/>
                <w:szCs w:val="21"/>
                <w:lang w:val="en-US" w:eastAsia="zh-CN"/>
              </w:rPr>
            </w:pPr>
          </w:p>
        </w:tc>
        <w:tc>
          <w:tcPr>
            <w:tcW w:w="1105" w:type="pct"/>
          </w:tcPr>
          <w:p w14:paraId="02C9B825">
            <w:pPr>
              <w:pageBreakBefore w:val="0"/>
              <w:tabs>
                <w:tab w:val="left" w:pos="720"/>
              </w:tabs>
              <w:kinsoku/>
              <w:overflowPunct/>
              <w:bidi w:val="0"/>
              <w:spacing w:line="360" w:lineRule="auto"/>
              <w:jc w:val="center"/>
              <w:rPr>
                <w:rFonts w:hint="eastAsia" w:ascii="宋体" w:hAnsi="宋体" w:eastAsia="宋体" w:cs="宋体"/>
                <w:color w:val="auto"/>
                <w:sz w:val="21"/>
                <w:szCs w:val="21"/>
              </w:rPr>
            </w:pPr>
          </w:p>
        </w:tc>
        <w:tc>
          <w:tcPr>
            <w:tcW w:w="1190" w:type="pct"/>
            <w:vAlign w:val="center"/>
          </w:tcPr>
          <w:p w14:paraId="746FEA9C">
            <w:pPr>
              <w:pageBreakBefore w:val="0"/>
              <w:tabs>
                <w:tab w:val="left" w:pos="720"/>
              </w:tabs>
              <w:kinsoku/>
              <w:overflowPunct/>
              <w:bidi w:val="0"/>
              <w:spacing w:line="360" w:lineRule="auto"/>
              <w:jc w:val="center"/>
              <w:rPr>
                <w:rFonts w:hint="eastAsia" w:ascii="宋体" w:hAnsi="宋体" w:eastAsia="宋体" w:cs="宋体"/>
                <w:color w:val="auto"/>
                <w:sz w:val="21"/>
                <w:szCs w:val="21"/>
              </w:rPr>
            </w:pPr>
          </w:p>
        </w:tc>
        <w:tc>
          <w:tcPr>
            <w:tcW w:w="926" w:type="pct"/>
            <w:vAlign w:val="center"/>
          </w:tcPr>
          <w:p w14:paraId="5095A510">
            <w:pPr>
              <w:pageBreakBefore w:val="0"/>
              <w:tabs>
                <w:tab w:val="left" w:pos="720"/>
              </w:tabs>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14:paraId="1B303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92" w:type="pct"/>
            <w:vAlign w:val="center"/>
          </w:tcPr>
          <w:p w14:paraId="2BFEB1C7">
            <w:pPr>
              <w:pageBreakBefore w:val="0"/>
              <w:tabs>
                <w:tab w:val="left" w:pos="720"/>
              </w:tabs>
              <w:kinsoku/>
              <w:overflowPunct/>
              <w:bidi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6</w:t>
            </w:r>
          </w:p>
        </w:tc>
        <w:tc>
          <w:tcPr>
            <w:tcW w:w="1185" w:type="pct"/>
            <w:vAlign w:val="center"/>
          </w:tcPr>
          <w:p w14:paraId="1D9665B2">
            <w:pPr>
              <w:pageBreakBefore w:val="0"/>
              <w:kinsoku/>
              <w:overflowPunct/>
              <w:bidi w:val="0"/>
              <w:spacing w:line="360" w:lineRule="auto"/>
              <w:jc w:val="center"/>
              <w:rPr>
                <w:rFonts w:hint="eastAsia" w:ascii="宋体" w:hAnsi="宋体" w:eastAsia="宋体" w:cs="宋体"/>
                <w:color w:val="auto"/>
                <w:sz w:val="21"/>
                <w:szCs w:val="21"/>
                <w:lang w:val="en-US" w:eastAsia="zh-CN"/>
              </w:rPr>
            </w:pPr>
          </w:p>
        </w:tc>
        <w:tc>
          <w:tcPr>
            <w:tcW w:w="1105" w:type="pct"/>
          </w:tcPr>
          <w:p w14:paraId="167F68A8">
            <w:pPr>
              <w:pageBreakBefore w:val="0"/>
              <w:tabs>
                <w:tab w:val="left" w:pos="720"/>
              </w:tabs>
              <w:kinsoku/>
              <w:overflowPunct/>
              <w:bidi w:val="0"/>
              <w:spacing w:line="360" w:lineRule="auto"/>
              <w:jc w:val="center"/>
              <w:rPr>
                <w:rFonts w:hint="eastAsia" w:ascii="宋体" w:hAnsi="宋体" w:eastAsia="宋体" w:cs="宋体"/>
                <w:color w:val="auto"/>
                <w:sz w:val="21"/>
                <w:szCs w:val="21"/>
              </w:rPr>
            </w:pPr>
          </w:p>
        </w:tc>
        <w:tc>
          <w:tcPr>
            <w:tcW w:w="1190" w:type="pct"/>
            <w:vAlign w:val="center"/>
          </w:tcPr>
          <w:p w14:paraId="4D8021F9">
            <w:pPr>
              <w:pageBreakBefore w:val="0"/>
              <w:tabs>
                <w:tab w:val="left" w:pos="720"/>
              </w:tabs>
              <w:kinsoku/>
              <w:overflowPunct/>
              <w:bidi w:val="0"/>
              <w:spacing w:line="360" w:lineRule="auto"/>
              <w:jc w:val="center"/>
              <w:rPr>
                <w:rFonts w:hint="eastAsia" w:ascii="宋体" w:hAnsi="宋体" w:eastAsia="宋体" w:cs="宋体"/>
                <w:color w:val="auto"/>
                <w:sz w:val="21"/>
                <w:szCs w:val="21"/>
              </w:rPr>
            </w:pPr>
          </w:p>
        </w:tc>
        <w:tc>
          <w:tcPr>
            <w:tcW w:w="926" w:type="pct"/>
            <w:vAlign w:val="center"/>
          </w:tcPr>
          <w:p w14:paraId="47533786">
            <w:pPr>
              <w:pageBreakBefore w:val="0"/>
              <w:tabs>
                <w:tab w:val="left" w:pos="720"/>
              </w:tabs>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14:paraId="08335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592" w:type="pct"/>
            <w:vAlign w:val="center"/>
          </w:tcPr>
          <w:p w14:paraId="463A646B">
            <w:pPr>
              <w:pageBreakBefore w:val="0"/>
              <w:tabs>
                <w:tab w:val="left" w:pos="720"/>
              </w:tabs>
              <w:kinsoku/>
              <w:overflowPunct/>
              <w:bidi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7</w:t>
            </w:r>
          </w:p>
        </w:tc>
        <w:tc>
          <w:tcPr>
            <w:tcW w:w="1185" w:type="pct"/>
            <w:vAlign w:val="center"/>
          </w:tcPr>
          <w:p w14:paraId="70FE7DCE">
            <w:pPr>
              <w:pageBreakBefore w:val="0"/>
              <w:kinsoku/>
              <w:overflowPunct/>
              <w:bidi w:val="0"/>
              <w:spacing w:line="360" w:lineRule="auto"/>
              <w:jc w:val="center"/>
              <w:rPr>
                <w:rFonts w:hint="eastAsia" w:ascii="宋体" w:hAnsi="宋体" w:eastAsia="宋体" w:cs="宋体"/>
                <w:color w:val="auto"/>
                <w:kern w:val="2"/>
                <w:sz w:val="21"/>
                <w:szCs w:val="21"/>
                <w:lang w:val="en-US" w:eastAsia="zh-CN" w:bidi="ar-SA"/>
              </w:rPr>
            </w:pPr>
          </w:p>
        </w:tc>
        <w:tc>
          <w:tcPr>
            <w:tcW w:w="1105" w:type="pct"/>
          </w:tcPr>
          <w:p w14:paraId="591875E8">
            <w:pPr>
              <w:pageBreakBefore w:val="0"/>
              <w:tabs>
                <w:tab w:val="left" w:pos="720"/>
              </w:tabs>
              <w:kinsoku/>
              <w:overflowPunct/>
              <w:bidi w:val="0"/>
              <w:spacing w:line="360" w:lineRule="auto"/>
              <w:ind w:left="420"/>
              <w:jc w:val="center"/>
              <w:rPr>
                <w:rFonts w:hint="eastAsia" w:ascii="宋体" w:hAnsi="宋体" w:eastAsia="宋体" w:cs="宋体"/>
                <w:color w:val="auto"/>
                <w:sz w:val="21"/>
                <w:szCs w:val="21"/>
              </w:rPr>
            </w:pPr>
          </w:p>
        </w:tc>
        <w:tc>
          <w:tcPr>
            <w:tcW w:w="1190" w:type="pct"/>
            <w:vAlign w:val="center"/>
          </w:tcPr>
          <w:p w14:paraId="7F0EED20">
            <w:pPr>
              <w:pageBreakBefore w:val="0"/>
              <w:tabs>
                <w:tab w:val="left" w:pos="720"/>
              </w:tabs>
              <w:kinsoku/>
              <w:overflowPunct/>
              <w:bidi w:val="0"/>
              <w:spacing w:line="360" w:lineRule="auto"/>
              <w:ind w:left="420"/>
              <w:jc w:val="center"/>
              <w:rPr>
                <w:rFonts w:hint="eastAsia" w:ascii="宋体" w:hAnsi="宋体" w:eastAsia="宋体" w:cs="宋体"/>
                <w:color w:val="auto"/>
                <w:sz w:val="21"/>
                <w:szCs w:val="21"/>
              </w:rPr>
            </w:pPr>
          </w:p>
        </w:tc>
        <w:tc>
          <w:tcPr>
            <w:tcW w:w="926" w:type="pct"/>
            <w:vAlign w:val="center"/>
          </w:tcPr>
          <w:p w14:paraId="1187E564">
            <w:pPr>
              <w:pageBreakBefore w:val="0"/>
              <w:tabs>
                <w:tab w:val="left" w:pos="720"/>
              </w:tabs>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14:paraId="3072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592" w:type="pct"/>
            <w:vAlign w:val="center"/>
          </w:tcPr>
          <w:p w14:paraId="2C98AD5B">
            <w:pPr>
              <w:pageBreakBefore w:val="0"/>
              <w:tabs>
                <w:tab w:val="left" w:pos="720"/>
              </w:tabs>
              <w:kinsoku/>
              <w:overflowPunct/>
              <w:bidi w:val="0"/>
              <w:spacing w:line="360" w:lineRule="auto"/>
              <w:jc w:val="center"/>
              <w:rPr>
                <w:rFonts w:hint="eastAsia" w:ascii="宋体" w:hAnsi="宋体" w:eastAsia="宋体" w:cs="宋体"/>
                <w:color w:val="auto"/>
                <w:sz w:val="21"/>
                <w:szCs w:val="21"/>
                <w:lang w:val="en-US" w:eastAsia="zh-CN"/>
              </w:rPr>
            </w:pPr>
          </w:p>
        </w:tc>
        <w:tc>
          <w:tcPr>
            <w:tcW w:w="1185" w:type="pct"/>
            <w:vAlign w:val="center"/>
          </w:tcPr>
          <w:p w14:paraId="1F48CDB7">
            <w:pPr>
              <w:pageBreakBefore w:val="0"/>
              <w:kinsoku/>
              <w:overflowPunct/>
              <w:bidi w:val="0"/>
              <w:spacing w:line="360" w:lineRule="auto"/>
              <w:jc w:val="center"/>
              <w:rPr>
                <w:rFonts w:hint="eastAsia" w:ascii="宋体" w:hAnsi="宋体" w:eastAsia="宋体" w:cs="宋体"/>
                <w:color w:val="auto"/>
                <w:kern w:val="2"/>
                <w:sz w:val="21"/>
                <w:szCs w:val="21"/>
                <w:lang w:val="en-US" w:eastAsia="zh-CN" w:bidi="ar-SA"/>
              </w:rPr>
            </w:pPr>
          </w:p>
        </w:tc>
        <w:tc>
          <w:tcPr>
            <w:tcW w:w="1105" w:type="pct"/>
            <w:vAlign w:val="top"/>
          </w:tcPr>
          <w:p w14:paraId="14E5A6CC">
            <w:pPr>
              <w:pageBreakBefore w:val="0"/>
              <w:tabs>
                <w:tab w:val="left" w:pos="720"/>
              </w:tabs>
              <w:kinsoku/>
              <w:overflowPunct/>
              <w:bidi w:val="0"/>
              <w:spacing w:line="360" w:lineRule="auto"/>
              <w:jc w:val="center"/>
              <w:rPr>
                <w:rFonts w:hint="eastAsia" w:ascii="宋体" w:hAnsi="宋体" w:eastAsia="宋体" w:cs="宋体"/>
                <w:color w:val="auto"/>
                <w:sz w:val="21"/>
                <w:szCs w:val="21"/>
              </w:rPr>
            </w:pPr>
          </w:p>
        </w:tc>
        <w:tc>
          <w:tcPr>
            <w:tcW w:w="1190" w:type="pct"/>
            <w:vAlign w:val="center"/>
          </w:tcPr>
          <w:p w14:paraId="3CCBBF88">
            <w:pPr>
              <w:pageBreakBefore w:val="0"/>
              <w:tabs>
                <w:tab w:val="left" w:pos="720"/>
              </w:tabs>
              <w:kinsoku/>
              <w:overflowPunct/>
              <w:bidi w:val="0"/>
              <w:spacing w:line="360" w:lineRule="auto"/>
              <w:jc w:val="center"/>
              <w:rPr>
                <w:rFonts w:hint="eastAsia" w:ascii="宋体" w:hAnsi="宋体" w:eastAsia="宋体" w:cs="宋体"/>
                <w:color w:val="auto"/>
                <w:sz w:val="21"/>
                <w:szCs w:val="21"/>
              </w:rPr>
            </w:pPr>
          </w:p>
        </w:tc>
        <w:tc>
          <w:tcPr>
            <w:tcW w:w="926" w:type="pct"/>
            <w:vAlign w:val="center"/>
          </w:tcPr>
          <w:p w14:paraId="1D9F96E1">
            <w:pPr>
              <w:pageBreakBefore w:val="0"/>
              <w:tabs>
                <w:tab w:val="left" w:pos="720"/>
              </w:tabs>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14:paraId="2F23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92" w:type="pct"/>
            <w:vAlign w:val="center"/>
          </w:tcPr>
          <w:p w14:paraId="3B1A1890">
            <w:pPr>
              <w:pageBreakBefore w:val="0"/>
              <w:tabs>
                <w:tab w:val="left" w:pos="720"/>
              </w:tabs>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185" w:type="pct"/>
            <w:vAlign w:val="center"/>
          </w:tcPr>
          <w:p w14:paraId="1C3BF1F3">
            <w:pPr>
              <w:pageBreakBefore w:val="0"/>
              <w:tabs>
                <w:tab w:val="left" w:pos="720"/>
              </w:tabs>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105" w:type="pct"/>
            <w:vAlign w:val="top"/>
          </w:tcPr>
          <w:p w14:paraId="61014F2D">
            <w:pPr>
              <w:pageBreakBefore w:val="0"/>
              <w:tabs>
                <w:tab w:val="left" w:pos="720"/>
              </w:tabs>
              <w:kinsoku/>
              <w:overflowPunct/>
              <w:bidi w:val="0"/>
              <w:spacing w:line="360" w:lineRule="auto"/>
              <w:jc w:val="center"/>
              <w:rPr>
                <w:rFonts w:hint="eastAsia" w:ascii="宋体" w:hAnsi="宋体" w:eastAsia="宋体" w:cs="宋体"/>
                <w:color w:val="auto"/>
                <w:sz w:val="21"/>
                <w:szCs w:val="21"/>
              </w:rPr>
            </w:pPr>
          </w:p>
        </w:tc>
        <w:tc>
          <w:tcPr>
            <w:tcW w:w="1190" w:type="pct"/>
            <w:vAlign w:val="center"/>
          </w:tcPr>
          <w:p w14:paraId="739C7F87">
            <w:pPr>
              <w:pageBreakBefore w:val="0"/>
              <w:tabs>
                <w:tab w:val="left" w:pos="720"/>
              </w:tabs>
              <w:kinsoku/>
              <w:overflowPunct/>
              <w:bidi w:val="0"/>
              <w:spacing w:line="360" w:lineRule="auto"/>
              <w:jc w:val="center"/>
              <w:rPr>
                <w:rFonts w:hint="eastAsia" w:ascii="宋体" w:hAnsi="宋体" w:eastAsia="宋体" w:cs="宋体"/>
                <w:color w:val="auto"/>
                <w:sz w:val="21"/>
                <w:szCs w:val="21"/>
              </w:rPr>
            </w:pPr>
          </w:p>
        </w:tc>
        <w:tc>
          <w:tcPr>
            <w:tcW w:w="926" w:type="pct"/>
            <w:vAlign w:val="center"/>
          </w:tcPr>
          <w:p w14:paraId="027DBBEA">
            <w:pPr>
              <w:pageBreakBefore w:val="0"/>
              <w:tabs>
                <w:tab w:val="left" w:pos="720"/>
              </w:tabs>
              <w:kinsoku/>
              <w:overflowPunct/>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r>
    </w:tbl>
    <w:p w14:paraId="6F21EC1B">
      <w:pPr>
        <w:pageBreakBefore w:val="0"/>
        <w:kinsoku/>
        <w:overflowPunct/>
        <w:topLinePunct/>
        <w:bidi w:val="0"/>
        <w:spacing w:line="360" w:lineRule="auto"/>
        <w:jc w:val="left"/>
        <w:rPr>
          <w:rFonts w:hint="eastAsia" w:ascii="宋体" w:hAnsi="宋体" w:eastAsia="宋体" w:cs="宋体"/>
          <w:b/>
          <w:color w:val="auto"/>
        </w:rPr>
      </w:pPr>
    </w:p>
    <w:p w14:paraId="15CD094E">
      <w:pPr>
        <w:pageBreakBefore w:val="0"/>
        <w:kinsoku/>
        <w:overflowPunct/>
        <w:topLinePunct/>
        <w:bidi w:val="0"/>
        <w:spacing w:line="360" w:lineRule="auto"/>
        <w:jc w:val="left"/>
        <w:rPr>
          <w:rFonts w:hint="eastAsia" w:ascii="宋体" w:hAnsi="宋体" w:eastAsia="宋体" w:cs="宋体"/>
          <w:b/>
          <w:color w:val="auto"/>
        </w:rPr>
      </w:pPr>
    </w:p>
    <w:p w14:paraId="7928B6F9">
      <w:pPr>
        <w:pageBreakBefore w:val="0"/>
        <w:kinsoku/>
        <w:overflowPunct/>
        <w:topLinePunct/>
        <w:bidi w:val="0"/>
        <w:spacing w:line="360" w:lineRule="auto"/>
        <w:jc w:val="left"/>
        <w:rPr>
          <w:rFonts w:hint="eastAsia" w:ascii="宋体" w:hAnsi="宋体" w:eastAsia="宋体" w:cs="宋体"/>
          <w:b/>
          <w:color w:val="auto"/>
        </w:rPr>
      </w:pPr>
    </w:p>
    <w:p w14:paraId="651D1010">
      <w:pPr>
        <w:pageBreakBefore w:val="0"/>
        <w:kinsoku/>
        <w:overflowPunct/>
        <w:topLinePunct/>
        <w:bidi w:val="0"/>
        <w:spacing w:line="360" w:lineRule="auto"/>
        <w:jc w:val="left"/>
        <w:rPr>
          <w:rFonts w:hint="eastAsia" w:ascii="宋体" w:hAnsi="宋体" w:eastAsia="宋体" w:cs="宋体"/>
          <w:b/>
          <w:bCs/>
          <w:color w:val="auto"/>
          <w:sz w:val="24"/>
        </w:rPr>
      </w:pPr>
      <w:r>
        <w:rPr>
          <w:rFonts w:hint="eastAsia" w:ascii="宋体" w:hAnsi="宋体" w:eastAsia="宋体" w:cs="宋体"/>
          <w:b/>
          <w:color w:val="auto"/>
        </w:rPr>
        <w:t>编制要求</w:t>
      </w:r>
      <w:r>
        <w:rPr>
          <w:rFonts w:hint="eastAsia" w:ascii="宋体" w:hAnsi="宋体" w:eastAsia="宋体" w:cs="宋体"/>
          <w:color w:val="auto"/>
        </w:rPr>
        <w:t>：投标人可以根据实际情况对本文件进行调整和修改，但应满足招标文件对本文件的要求。</w:t>
      </w:r>
    </w:p>
    <w:p w14:paraId="6735268A">
      <w:pPr>
        <w:pageBreakBefore w:val="0"/>
        <w:kinsoku/>
        <w:overflowPunct/>
        <w:topLinePunct/>
        <w:bidi w:val="0"/>
        <w:spacing w:line="360" w:lineRule="auto"/>
        <w:jc w:val="left"/>
        <w:rPr>
          <w:rFonts w:hint="eastAsia" w:ascii="宋体" w:hAnsi="宋体" w:eastAsia="宋体" w:cs="宋体"/>
          <w:color w:val="auto"/>
          <w:szCs w:val="21"/>
        </w:rPr>
        <w:sectPr>
          <w:pgSz w:w="11906" w:h="16838"/>
          <w:pgMar w:top="1440" w:right="1800" w:bottom="1440" w:left="1800" w:header="851" w:footer="992" w:gutter="0"/>
          <w:pgNumType w:fmt="decimal"/>
          <w:cols w:space="425" w:num="1"/>
          <w:docGrid w:type="lines" w:linePitch="312" w:charSpace="0"/>
        </w:sectPr>
      </w:pPr>
    </w:p>
    <w:p w14:paraId="7CD7A32B">
      <w:pPr>
        <w:pStyle w:val="39"/>
        <w:pageBreakBefore w:val="0"/>
        <w:numPr>
          <w:ilvl w:val="0"/>
          <w:numId w:val="29"/>
        </w:numPr>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490" w:name="_Toc38008079"/>
      <w:bookmarkStart w:id="1491" w:name="_Toc14288"/>
      <w:bookmarkStart w:id="1492" w:name="_Toc475891555"/>
      <w:bookmarkStart w:id="1493" w:name="_Toc476245699"/>
      <w:bookmarkStart w:id="1494" w:name="_Toc438052120"/>
      <w:bookmarkStart w:id="1495" w:name="_Toc475472672"/>
      <w:bookmarkStart w:id="1496" w:name="_Toc38008080"/>
      <w:r>
        <w:rPr>
          <w:rFonts w:hint="eastAsia" w:ascii="宋体" w:hAnsi="宋体" w:eastAsia="宋体" w:cs="宋体"/>
          <w:color w:val="auto"/>
          <w:sz w:val="24"/>
          <w:szCs w:val="24"/>
        </w:rPr>
        <w:t>投标专用印章授权函（如有）</w:t>
      </w:r>
      <w:bookmarkEnd w:id="1490"/>
      <w:bookmarkEnd w:id="1491"/>
    </w:p>
    <w:bookmarkEnd w:id="1492"/>
    <w:bookmarkEnd w:id="1493"/>
    <w:p w14:paraId="4A87D174">
      <w:pPr>
        <w:pageBreakBefore w:val="0"/>
        <w:kinsoku/>
        <w:overflowPunct/>
        <w:bidi w:val="0"/>
        <w:spacing w:line="360" w:lineRule="auto"/>
        <w:jc w:val="center"/>
        <w:rPr>
          <w:rFonts w:hint="eastAsia" w:ascii="宋体" w:hAnsi="宋体" w:eastAsia="宋体" w:cs="宋体"/>
          <w:b/>
          <w:color w:val="auto"/>
          <w:sz w:val="24"/>
        </w:rPr>
      </w:pPr>
    </w:p>
    <w:p w14:paraId="63D403FF">
      <w:pPr>
        <w:pageBreakBefore w:val="0"/>
        <w:kinsoku/>
        <w:overflowPunct/>
        <w:bidi w:val="0"/>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投标专用印章授权函</w:t>
      </w:r>
    </w:p>
    <w:p w14:paraId="5CB2C84A">
      <w:pPr>
        <w:pageBreakBefore w:val="0"/>
        <w:kinsoku/>
        <w:overflowPunct/>
        <w:bidi w:val="0"/>
        <w:spacing w:line="360" w:lineRule="auto"/>
        <w:jc w:val="center"/>
        <w:rPr>
          <w:rFonts w:hint="eastAsia" w:ascii="宋体" w:hAnsi="宋体" w:eastAsia="宋体" w:cs="宋体"/>
          <w:color w:val="auto"/>
          <w:szCs w:val="21"/>
          <w:u w:val="single"/>
        </w:rPr>
      </w:pPr>
    </w:p>
    <w:p w14:paraId="63031678">
      <w:pPr>
        <w:pageBreakBefore w:val="0"/>
        <w:kinsoku/>
        <w:overflowPunct/>
        <w:bidi w:val="0"/>
        <w:spacing w:line="360" w:lineRule="auto"/>
        <w:rPr>
          <w:rFonts w:hint="eastAsia" w:ascii="宋体" w:hAnsi="宋体" w:eastAsia="宋体" w:cs="宋体"/>
          <w:color w:val="auto"/>
          <w:szCs w:val="21"/>
        </w:rPr>
      </w:pPr>
    </w:p>
    <w:p w14:paraId="0318C1B5">
      <w:pPr>
        <w:pageBreakBefore w:val="0"/>
        <w:kinsoku/>
        <w:overflowPunct/>
        <w:bidi w:val="0"/>
        <w:spacing w:line="360" w:lineRule="auto"/>
        <w:rPr>
          <w:rFonts w:hint="eastAsia" w:ascii="宋体" w:hAnsi="宋体" w:eastAsia="宋体" w:cs="宋体"/>
          <w:color w:val="auto"/>
          <w:sz w:val="24"/>
        </w:rPr>
      </w:pPr>
    </w:p>
    <w:p w14:paraId="2AF814E7">
      <w:pPr>
        <w:pageBreakBefore w:val="0"/>
        <w:kinsoku/>
        <w:overflowPunct/>
        <w:bidi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我单位特授权在</w:t>
      </w:r>
      <w:r>
        <w:rPr>
          <w:rFonts w:hint="eastAsia" w:ascii="宋体" w:hAnsi="宋体" w:eastAsia="宋体" w:cs="宋体"/>
          <w:color w:val="auto"/>
          <w:szCs w:val="21"/>
          <w:u w:val="single"/>
        </w:rPr>
        <w:t>（采购项目名称）</w:t>
      </w:r>
      <w:r>
        <w:rPr>
          <w:rFonts w:hint="eastAsia" w:ascii="宋体" w:hAnsi="宋体" w:eastAsia="宋体" w:cs="宋体"/>
          <w:color w:val="auto"/>
          <w:szCs w:val="21"/>
        </w:rPr>
        <w:t>的资格审查、投标活动中使用“</w:t>
      </w:r>
      <w:r>
        <w:rPr>
          <w:rFonts w:hint="eastAsia" w:ascii="宋体" w:hAnsi="宋体" w:eastAsia="宋体" w:cs="宋体"/>
          <w:color w:val="auto"/>
          <w:szCs w:val="21"/>
          <w:u w:val="single"/>
        </w:rPr>
        <w:t>（被授权印章名称）</w:t>
      </w:r>
      <w:r>
        <w:rPr>
          <w:rFonts w:hint="eastAsia" w:ascii="宋体" w:hAnsi="宋体" w:eastAsia="宋体" w:cs="宋体"/>
          <w:color w:val="auto"/>
          <w:szCs w:val="21"/>
        </w:rPr>
        <w:t>”，</w:t>
      </w:r>
      <w:r>
        <w:rPr>
          <w:rFonts w:hint="eastAsia" w:ascii="宋体" w:hAnsi="宋体" w:eastAsia="宋体" w:cs="宋体"/>
          <w:color w:val="auto"/>
          <w:szCs w:val="21"/>
          <w:u w:val="single"/>
        </w:rPr>
        <w:t>（被授权印章名称）</w:t>
      </w:r>
      <w:r>
        <w:rPr>
          <w:rFonts w:hint="eastAsia" w:ascii="宋体" w:hAnsi="宋体" w:eastAsia="宋体" w:cs="宋体"/>
          <w:color w:val="auto"/>
          <w:szCs w:val="21"/>
        </w:rPr>
        <w:t>与我公司公章具有同等法律效力。因使用“</w:t>
      </w:r>
      <w:r>
        <w:rPr>
          <w:rFonts w:hint="eastAsia" w:ascii="宋体" w:hAnsi="宋体" w:eastAsia="宋体" w:cs="宋体"/>
          <w:color w:val="auto"/>
          <w:szCs w:val="21"/>
          <w:u w:val="single"/>
        </w:rPr>
        <w:t>（被授权印章名称）</w:t>
      </w:r>
      <w:r>
        <w:rPr>
          <w:rFonts w:hint="eastAsia" w:ascii="宋体" w:hAnsi="宋体" w:eastAsia="宋体" w:cs="宋体"/>
          <w:color w:val="auto"/>
          <w:szCs w:val="21"/>
        </w:rPr>
        <w:t>”所引起的法律后果由我单位承担。</w:t>
      </w:r>
    </w:p>
    <w:p w14:paraId="21060CF4">
      <w:pPr>
        <w:pageBreakBefore w:val="0"/>
        <w:kinsoku/>
        <w:overflowPunct/>
        <w:bidi w:val="0"/>
        <w:spacing w:line="360" w:lineRule="auto"/>
        <w:ind w:firstLine="420" w:firstLineChars="200"/>
        <w:jc w:val="left"/>
        <w:rPr>
          <w:rFonts w:hint="eastAsia" w:ascii="宋体" w:hAnsi="宋体" w:eastAsia="宋体" w:cs="宋体"/>
          <w:color w:val="auto"/>
          <w:szCs w:val="21"/>
        </w:rPr>
      </w:pPr>
    </w:p>
    <w:p w14:paraId="0E18094A">
      <w:pPr>
        <w:pageBreakBefore w:val="0"/>
        <w:kinsoku/>
        <w:overflowPunct/>
        <w:bidi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特此证明。</w:t>
      </w:r>
    </w:p>
    <w:p w14:paraId="127C7776">
      <w:pPr>
        <w:pageBreakBefore w:val="0"/>
        <w:kinsoku/>
        <w:overflowPunct/>
        <w:bidi w:val="0"/>
        <w:spacing w:line="360" w:lineRule="auto"/>
        <w:ind w:firstLine="422" w:firstLineChars="200"/>
        <w:rPr>
          <w:rFonts w:hint="eastAsia" w:ascii="宋体" w:hAnsi="宋体" w:eastAsia="宋体" w:cs="宋体"/>
          <w:b/>
          <w:color w:val="auto"/>
          <w:szCs w:val="21"/>
        </w:rPr>
      </w:pPr>
    </w:p>
    <w:p w14:paraId="41ADDE69">
      <w:pPr>
        <w:pageBreakBefore w:val="0"/>
        <w:kinsoku/>
        <w:overflowPunct/>
        <w:bidi w:val="0"/>
        <w:spacing w:line="360" w:lineRule="auto"/>
        <w:ind w:firstLine="422" w:firstLineChars="200"/>
        <w:rPr>
          <w:rFonts w:hint="eastAsia" w:ascii="宋体" w:hAnsi="宋体" w:eastAsia="宋体" w:cs="宋体"/>
          <w:b/>
          <w:color w:val="auto"/>
          <w:szCs w:val="21"/>
        </w:rPr>
      </w:pPr>
    </w:p>
    <w:p w14:paraId="0F884E25">
      <w:pPr>
        <w:pageBreakBefore w:val="0"/>
        <w:kinsoku/>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投标人被授权印章：                            </w:t>
      </w:r>
    </w:p>
    <w:p w14:paraId="2DD2718D">
      <w:pPr>
        <w:pageBreakBefore w:val="0"/>
        <w:kinsoku/>
        <w:overflowPunct/>
        <w:bidi w:val="0"/>
        <w:spacing w:line="360" w:lineRule="auto"/>
        <w:rPr>
          <w:rFonts w:hint="eastAsia" w:ascii="宋体" w:hAnsi="宋体" w:eastAsia="宋体" w:cs="宋体"/>
          <w:color w:val="auto"/>
          <w:szCs w:val="21"/>
        </w:rPr>
      </w:pPr>
      <w:r>
        <w:rPr>
          <w:rFonts w:hint="eastAsia" w:ascii="宋体" w:hAnsi="宋体" w:eastAsia="宋体" w:cs="宋体"/>
          <w:color w:val="auto"/>
          <w:szCs w:val="21"/>
        </w:rPr>
        <mc:AlternateContent>
          <mc:Choice Requires="wps">
            <w:drawing>
              <wp:anchor distT="0" distB="0" distL="114300" distR="114300" simplePos="0" relativeHeight="251663360" behindDoc="0" locked="0" layoutInCell="1" allowOverlap="1">
                <wp:simplePos x="0" y="0"/>
                <wp:positionH relativeFrom="column">
                  <wp:posOffset>209550</wp:posOffset>
                </wp:positionH>
                <wp:positionV relativeFrom="paragraph">
                  <wp:posOffset>89535</wp:posOffset>
                </wp:positionV>
                <wp:extent cx="2339975" cy="2339975"/>
                <wp:effectExtent l="0" t="0" r="22225" b="22225"/>
                <wp:wrapNone/>
                <wp:docPr id="17" name="矩形 2"/>
                <wp:cNvGraphicFramePr/>
                <a:graphic xmlns:a="http://schemas.openxmlformats.org/drawingml/2006/main">
                  <a:graphicData uri="http://schemas.microsoft.com/office/word/2010/wordprocessingShape">
                    <wps:wsp>
                      <wps:cNvSpPr>
                        <a:spLocks noChangeArrowheads="1"/>
                      </wps:cNvSpPr>
                      <wps:spPr bwMode="auto">
                        <a:xfrm>
                          <a:off x="0" y="0"/>
                          <a:ext cx="2339975" cy="2339975"/>
                        </a:xfrm>
                        <a:prstGeom prst="rect">
                          <a:avLst/>
                        </a:prstGeom>
                        <a:solidFill>
                          <a:srgbClr val="FFFFFF"/>
                        </a:solidFill>
                        <a:ln w="9525">
                          <a:solidFill>
                            <a:srgbClr val="000000"/>
                          </a:solidFill>
                          <a:miter lim="800000"/>
                        </a:ln>
                      </wps:spPr>
                      <wps:txbx>
                        <w:txbxContent>
                          <w:p w14:paraId="0BBD8511">
                            <w:r>
                              <w:rPr>
                                <w:rFonts w:hint="eastAsia"/>
                              </w:rPr>
                              <w:t>（在</w:t>
                            </w:r>
                            <w:r>
                              <w:t>此盖章）</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16.5pt;margin-top:7.05pt;height:184.25pt;width:184.25pt;z-index:251663360;mso-width-relative:page;mso-height-relative:page;" fillcolor="#FFFFFF" filled="t" stroked="t" coordsize="21600,21600" o:gfxdata="UEsDBAoAAAAAAIdO4kAAAAAAAAAAAAAAAAAEAAAAZHJzL1BLAwQUAAAACACHTuJAygMHGdcAAAAJ&#10;AQAADwAAAGRycy9kb3ducmV2LnhtbE2PwU7DMAyG70i8Q2QkbixpO6ZRmu4AGhLHrbtwc5vQFhqn&#10;atKt8PSYExztz/r9/cVucYM42yn0njQkKwXCUuNNT62GU7W/24IIEcng4Mlq+LIBduX1VYG58Rc6&#10;2PMxtoJDKOSooYtxzKUMTWcdhpUfLTF795PDyOPUSjPhhcPdIFOlNtJhT/yhw9E+dbb5PM5OQ92n&#10;J/w+VC/KPeyz+LpUH/Pbs9a3N4l6BBHtEv+O4Vef1aFkp9rPZIIYNGQZV4m8XycgmK9Vcg+iZrBN&#10;NyDLQv5vUP4AUEsDBBQAAAAIAIdO4kBiQNsyNgIAAHwEAAAOAAAAZHJzL2Uyb0RvYy54bWytVMFu&#10;EzEQvSPxD5bvZJM0oc0qm6pKFIRUoFLhAxyvN2the8zYySb8DBK3fgSfg/gNZr1JSAuHHtiD5fGM&#10;n+e9mdnp9c4atlUYNLiCD3p9zpSTUGq3Lvinj8tXV5yFKFwpDDhV8L0K/Hr28sW08bkaQg2mVMgI&#10;xIW88QWvY/R5lgVZKytCD7xy5KwArYhk4jorUTSEbk027PdfZw1g6RGkCoFOF52THxDxOYBQVVqq&#10;BciNVS52qKiMiEQp1NoHPkvZVpWS8UNVBRWZKTgxjWmlR2i/atdsNhX5GoWvtTykIJ6TwhNOVmhH&#10;j56gFiIKtkH9F5TVEiFAFXsSbNYRSYoQi0H/iTb3tfAqcSGpgz+JHv4frHy/vUOmS+qES86csFTx&#10;X98efv74zoatOI0POcXc+zts6QV/C/JzYA7mtXBrdYMITa1ESSkN2vjs0YXWCHSVrZp3UBK02ERI&#10;Ou0qtC0gKcB2qRz7UznULjJJh8OLi8nkcsyZJN/RaN8Q+fG6xxDfKLCs3RQcqd4JXmxvQ+xCjyEp&#10;fTC6XGpjkoHr1dwg2wrqjWX6EgNieR5mHGsKPhkPxwn5kS+cQ/TT9y8IqyONjNG24FfnQcYdBGs1&#10;6rSOu9XuIPsKyj1Jh9A1LY0sbWrAr5w11LAFD182AhVn5q0j+SeD0ajt8GSMxpdDMvDcszr3CCcJ&#10;quCRs247j91UbDzqdU0vDRJdBzdUskonMdtydlkd8qamTOU4DFDb9ed2ivrz05j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oDBxnXAAAACQEAAA8AAAAAAAAAAQAgAAAAIgAAAGRycy9kb3ducmV2&#10;LnhtbFBLAQIUABQAAAAIAIdO4kBiQNsyNgIAAHwEAAAOAAAAAAAAAAEAIAAAACYBAABkcnMvZTJv&#10;RG9jLnhtbFBLBQYAAAAABgAGAFkBAADOBQAAAAA=&#10;">
                <v:fill on="t" focussize="0,0"/>
                <v:stroke color="#000000" miterlimit="8" joinstyle="miter"/>
                <v:imagedata o:title=""/>
                <o:lock v:ext="edit" aspectratio="f"/>
                <v:textbox>
                  <w:txbxContent>
                    <w:p w14:paraId="0BBD8511">
                      <w:r>
                        <w:rPr>
                          <w:rFonts w:hint="eastAsia"/>
                        </w:rPr>
                        <w:t>（在</w:t>
                      </w:r>
                      <w:r>
                        <w:t>此盖章）</w:t>
                      </w:r>
                    </w:p>
                  </w:txbxContent>
                </v:textbox>
              </v:rect>
            </w:pict>
          </mc:Fallback>
        </mc:AlternateContent>
      </w:r>
    </w:p>
    <w:p w14:paraId="6809BC45">
      <w:pPr>
        <w:pageBreakBefore w:val="0"/>
        <w:kinsoku/>
        <w:overflowPunct/>
        <w:bidi w:val="0"/>
        <w:spacing w:line="360" w:lineRule="auto"/>
        <w:rPr>
          <w:rFonts w:hint="eastAsia" w:ascii="宋体" w:hAnsi="宋体" w:eastAsia="宋体" w:cs="宋体"/>
          <w:color w:val="auto"/>
          <w:szCs w:val="21"/>
        </w:rPr>
      </w:pPr>
    </w:p>
    <w:p w14:paraId="0700078D">
      <w:pPr>
        <w:pageBreakBefore w:val="0"/>
        <w:kinsoku/>
        <w:overflowPunct/>
        <w:bidi w:val="0"/>
        <w:spacing w:line="360" w:lineRule="auto"/>
        <w:rPr>
          <w:rFonts w:hint="eastAsia" w:ascii="宋体" w:hAnsi="宋体" w:eastAsia="宋体" w:cs="宋体"/>
          <w:color w:val="auto"/>
          <w:szCs w:val="21"/>
        </w:rPr>
      </w:pPr>
    </w:p>
    <w:p w14:paraId="7210F55F">
      <w:pPr>
        <w:pageBreakBefore w:val="0"/>
        <w:kinsoku/>
        <w:overflowPunct/>
        <w:bidi w:val="0"/>
        <w:spacing w:line="360" w:lineRule="auto"/>
        <w:rPr>
          <w:rFonts w:hint="eastAsia" w:ascii="宋体" w:hAnsi="宋体" w:eastAsia="宋体" w:cs="宋体"/>
          <w:color w:val="auto"/>
          <w:szCs w:val="21"/>
        </w:rPr>
      </w:pPr>
    </w:p>
    <w:p w14:paraId="6564D9E1">
      <w:pPr>
        <w:pageBreakBefore w:val="0"/>
        <w:kinsoku/>
        <w:overflowPunct/>
        <w:bidi w:val="0"/>
        <w:spacing w:line="360" w:lineRule="auto"/>
        <w:rPr>
          <w:rFonts w:hint="eastAsia" w:ascii="宋体" w:hAnsi="宋体" w:eastAsia="宋体" w:cs="宋体"/>
          <w:color w:val="auto"/>
          <w:szCs w:val="21"/>
        </w:rPr>
      </w:pPr>
    </w:p>
    <w:p w14:paraId="318B49FB">
      <w:pPr>
        <w:pageBreakBefore w:val="0"/>
        <w:kinsoku/>
        <w:overflowPunct/>
        <w:bidi w:val="0"/>
        <w:spacing w:line="360" w:lineRule="auto"/>
        <w:ind w:firstLine="1259" w:firstLineChars="597"/>
        <w:rPr>
          <w:rFonts w:hint="eastAsia" w:ascii="宋体" w:hAnsi="宋体" w:eastAsia="宋体" w:cs="宋体"/>
          <w:b/>
          <w:color w:val="auto"/>
          <w:szCs w:val="21"/>
        </w:rPr>
      </w:pPr>
    </w:p>
    <w:p w14:paraId="4E61B0FE">
      <w:pPr>
        <w:pageBreakBefore w:val="0"/>
        <w:kinsoku/>
        <w:overflowPunct/>
        <w:bidi w:val="0"/>
        <w:spacing w:line="360" w:lineRule="auto"/>
        <w:ind w:right="18" w:firstLine="4676" w:firstLineChars="2227"/>
        <w:rPr>
          <w:rFonts w:hint="eastAsia" w:ascii="宋体" w:hAnsi="宋体" w:eastAsia="宋体" w:cs="宋体"/>
          <w:color w:val="auto"/>
          <w:szCs w:val="21"/>
        </w:rPr>
      </w:pPr>
    </w:p>
    <w:p w14:paraId="06F711CD">
      <w:pPr>
        <w:pageBreakBefore w:val="0"/>
        <w:kinsoku/>
        <w:overflowPunct/>
        <w:bidi w:val="0"/>
        <w:spacing w:line="360" w:lineRule="auto"/>
        <w:ind w:right="18" w:firstLine="4676" w:firstLineChars="2227"/>
        <w:rPr>
          <w:rFonts w:hint="eastAsia" w:ascii="宋体" w:hAnsi="宋体" w:eastAsia="宋体" w:cs="宋体"/>
          <w:color w:val="auto"/>
          <w:szCs w:val="21"/>
        </w:rPr>
      </w:pPr>
    </w:p>
    <w:p w14:paraId="19CDC6FE">
      <w:pPr>
        <w:pageBreakBefore w:val="0"/>
        <w:kinsoku/>
        <w:overflowPunct/>
        <w:bidi w:val="0"/>
        <w:spacing w:line="360" w:lineRule="auto"/>
        <w:ind w:right="18"/>
        <w:rPr>
          <w:rFonts w:hint="eastAsia" w:ascii="宋体" w:hAnsi="宋体" w:eastAsia="宋体" w:cs="宋体"/>
          <w:color w:val="auto"/>
          <w:szCs w:val="21"/>
        </w:rPr>
      </w:pPr>
    </w:p>
    <w:p w14:paraId="6B898594">
      <w:pPr>
        <w:pageBreakBefore w:val="0"/>
        <w:kinsoku/>
        <w:overflowPunct/>
        <w:bidi w:val="0"/>
        <w:spacing w:line="360" w:lineRule="auto"/>
        <w:ind w:firstLine="1274" w:firstLineChars="607"/>
        <w:rPr>
          <w:rFonts w:hint="eastAsia" w:ascii="宋体" w:hAnsi="宋体" w:eastAsia="宋体" w:cs="宋体"/>
          <w:color w:val="auto"/>
          <w:szCs w:val="21"/>
        </w:rPr>
      </w:pPr>
      <w:r>
        <w:rPr>
          <w:rFonts w:hint="eastAsia" w:ascii="宋体" w:hAnsi="宋体" w:eastAsia="宋体" w:cs="宋体"/>
          <w:color w:val="auto"/>
          <w:szCs w:val="21"/>
        </w:rPr>
        <w:t>投标人名称：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（盖单位公章）</w:t>
      </w:r>
    </w:p>
    <w:p w14:paraId="083919B1">
      <w:pPr>
        <w:pageBreakBefore w:val="0"/>
        <w:kinsoku/>
        <w:overflowPunct/>
        <w:bidi w:val="0"/>
        <w:spacing w:line="360" w:lineRule="auto"/>
        <w:ind w:firstLine="1274" w:firstLineChars="607"/>
        <w:jc w:val="left"/>
        <w:rPr>
          <w:rFonts w:hint="eastAsia" w:ascii="宋体" w:hAnsi="宋体" w:eastAsia="宋体" w:cs="宋体"/>
          <w:color w:val="auto"/>
          <w:szCs w:val="21"/>
        </w:rPr>
      </w:pPr>
      <w:r>
        <w:rPr>
          <w:rFonts w:hint="eastAsia" w:ascii="宋体" w:hAnsi="宋体" w:eastAsia="宋体" w:cs="宋体"/>
          <w:color w:val="auto"/>
        </w:rPr>
        <w:t>日期：</w:t>
      </w:r>
      <w:r>
        <w:rPr>
          <w:rFonts w:hint="eastAsia" w:ascii="宋体" w:hAnsi="宋体" w:eastAsia="宋体" w:cs="宋体"/>
          <w:color w:val="auto"/>
          <w:u w:val="single"/>
        </w:rPr>
        <w:t xml:space="preserve">_     __ </w:t>
      </w:r>
      <w:r>
        <w:rPr>
          <w:rFonts w:hint="eastAsia" w:ascii="宋体" w:hAnsi="宋体" w:eastAsia="宋体" w:cs="宋体"/>
          <w:color w:val="auto"/>
        </w:rPr>
        <w:t>年</w:t>
      </w:r>
      <w:r>
        <w:rPr>
          <w:rFonts w:hint="eastAsia" w:ascii="宋体" w:hAnsi="宋体" w:eastAsia="宋体" w:cs="宋体"/>
          <w:color w:val="auto"/>
          <w:u w:val="single"/>
        </w:rPr>
        <w:t>_     __</w:t>
      </w:r>
      <w:r>
        <w:rPr>
          <w:rFonts w:hint="eastAsia" w:ascii="宋体" w:hAnsi="宋体" w:eastAsia="宋体" w:cs="宋体"/>
          <w:color w:val="auto"/>
        </w:rPr>
        <w:t>月</w:t>
      </w:r>
      <w:r>
        <w:rPr>
          <w:rFonts w:hint="eastAsia" w:ascii="宋体" w:hAnsi="宋体" w:eastAsia="宋体" w:cs="宋体"/>
          <w:color w:val="auto"/>
          <w:u w:val="single"/>
        </w:rPr>
        <w:t>_    _ _</w:t>
      </w:r>
      <w:r>
        <w:rPr>
          <w:rFonts w:hint="eastAsia" w:ascii="宋体" w:hAnsi="宋体" w:eastAsia="宋体" w:cs="宋体"/>
          <w:color w:val="auto"/>
        </w:rPr>
        <w:t>日</w:t>
      </w:r>
    </w:p>
    <w:p w14:paraId="1CEF4C77">
      <w:pPr>
        <w:pageBreakBefore w:val="0"/>
        <w:kinsoku/>
        <w:overflowPunct/>
        <w:bidi w:val="0"/>
        <w:spacing w:line="360" w:lineRule="auto"/>
        <w:ind w:right="18" w:firstLine="4676" w:firstLineChars="2227"/>
        <w:rPr>
          <w:rFonts w:hint="eastAsia" w:ascii="宋体" w:hAnsi="宋体" w:eastAsia="宋体" w:cs="宋体"/>
          <w:color w:val="auto"/>
          <w:szCs w:val="21"/>
        </w:rPr>
      </w:pPr>
    </w:p>
    <w:p w14:paraId="7FDB4200">
      <w:pPr>
        <w:pageBreakBefore w:val="0"/>
        <w:kinsoku/>
        <w:overflowPunct/>
        <w:topLinePunct/>
        <w:bidi w:val="0"/>
        <w:spacing w:line="360" w:lineRule="auto"/>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b/>
          <w:color w:val="auto"/>
        </w:rPr>
        <w:t>编制要求</w:t>
      </w:r>
      <w:r>
        <w:rPr>
          <w:rFonts w:hint="eastAsia" w:ascii="宋体" w:hAnsi="宋体" w:eastAsia="宋体" w:cs="宋体"/>
          <w:color w:val="auto"/>
        </w:rPr>
        <w:t>：</w:t>
      </w:r>
    </w:p>
    <w:p w14:paraId="749D117D">
      <w:pPr>
        <w:pageBreakBefore w:val="0"/>
        <w:kinsoku/>
        <w:overflowPunct/>
        <w:topLinePunct/>
        <w:bidi w:val="0"/>
        <w:spacing w:line="360" w:lineRule="auto"/>
        <w:jc w:val="left"/>
        <w:rPr>
          <w:rFonts w:hint="eastAsia" w:ascii="宋体" w:hAnsi="宋体" w:eastAsia="宋体" w:cs="宋体"/>
          <w:color w:val="auto"/>
        </w:rPr>
      </w:pPr>
      <w:r>
        <w:rPr>
          <w:rFonts w:hint="eastAsia" w:ascii="宋体" w:hAnsi="宋体" w:eastAsia="宋体" w:cs="宋体"/>
          <w:color w:val="auto"/>
        </w:rPr>
        <w:t>1.本文件仅适用于</w:t>
      </w:r>
      <w:r>
        <w:rPr>
          <w:rFonts w:hint="eastAsia" w:ascii="宋体" w:hAnsi="宋体" w:eastAsia="宋体" w:cs="宋体"/>
          <w:color w:val="auto"/>
          <w:szCs w:val="21"/>
        </w:rPr>
        <w:t>要求递交加盖印章扫描件的情形</w:t>
      </w:r>
      <w:r>
        <w:rPr>
          <w:rFonts w:hint="eastAsia" w:ascii="宋体" w:hAnsi="宋体" w:eastAsia="宋体" w:cs="宋体"/>
          <w:color w:val="auto"/>
        </w:rPr>
        <w:t>。</w:t>
      </w:r>
    </w:p>
    <w:p w14:paraId="5F06D1BE">
      <w:pPr>
        <w:pageBreakBefore w:val="0"/>
        <w:kinsoku/>
        <w:overflowPunct/>
        <w:topLinePunct/>
        <w:bidi w:val="0"/>
        <w:spacing w:line="360" w:lineRule="auto"/>
        <w:jc w:val="left"/>
        <w:rPr>
          <w:rFonts w:hint="eastAsia" w:ascii="宋体" w:hAnsi="宋体" w:eastAsia="宋体" w:cs="宋体"/>
          <w:color w:val="auto"/>
          <w:szCs w:val="21"/>
        </w:rPr>
      </w:pPr>
      <w:r>
        <w:rPr>
          <w:rFonts w:hint="eastAsia" w:ascii="宋体" w:hAnsi="宋体" w:eastAsia="宋体" w:cs="宋体"/>
          <w:color w:val="auto"/>
        </w:rPr>
        <w:t>2.除本文件允许投标人进行填写的内容以外，投标人不得对本文件进行修改。</w:t>
      </w:r>
    </w:p>
    <w:p w14:paraId="63855203">
      <w:pPr>
        <w:pageBreakBefore w:val="0"/>
        <w:widowControl/>
        <w:kinsoku/>
        <w:overflowPunct/>
        <w:bidi w:val="0"/>
        <w:spacing w:line="360" w:lineRule="auto"/>
        <w:jc w:val="left"/>
        <w:rPr>
          <w:rFonts w:hint="eastAsia" w:ascii="宋体" w:hAnsi="宋体" w:eastAsia="宋体" w:cs="宋体"/>
          <w:b/>
          <w:bCs/>
          <w:color w:val="auto"/>
          <w:sz w:val="24"/>
        </w:rPr>
      </w:pPr>
      <w:r>
        <w:rPr>
          <w:rFonts w:hint="eastAsia" w:ascii="宋体" w:hAnsi="宋体" w:eastAsia="宋体" w:cs="宋体"/>
          <w:color w:val="auto"/>
          <w:sz w:val="24"/>
        </w:rPr>
        <w:br w:type="page"/>
      </w:r>
    </w:p>
    <w:p w14:paraId="64E33DB5">
      <w:pPr>
        <w:pStyle w:val="39"/>
        <w:pageBreakBefore w:val="0"/>
        <w:numPr>
          <w:ilvl w:val="0"/>
          <w:numId w:val="29"/>
        </w:numPr>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497" w:name="_Toc10278"/>
      <w:r>
        <w:rPr>
          <w:rFonts w:hint="eastAsia" w:ascii="宋体" w:hAnsi="宋体" w:eastAsia="宋体" w:cs="宋体"/>
          <w:color w:val="auto"/>
          <w:sz w:val="24"/>
          <w:szCs w:val="24"/>
        </w:rPr>
        <w:t>投标函</w:t>
      </w:r>
      <w:bookmarkEnd w:id="1494"/>
      <w:bookmarkEnd w:id="1495"/>
      <w:bookmarkEnd w:id="1496"/>
      <w:bookmarkEnd w:id="1497"/>
    </w:p>
    <w:p w14:paraId="205C7FC5">
      <w:pPr>
        <w:pStyle w:val="51"/>
        <w:pageBreakBefore w:val="0"/>
        <w:kinsoku/>
        <w:overflowPunct/>
        <w:bidi w:val="0"/>
        <w:spacing w:line="360" w:lineRule="auto"/>
        <w:ind w:firstLine="0" w:firstLineChars="0"/>
        <w:jc w:val="center"/>
        <w:rPr>
          <w:rFonts w:hint="eastAsia" w:ascii="宋体" w:hAnsi="宋体" w:eastAsia="宋体" w:cs="宋体"/>
          <w:b/>
          <w:color w:val="auto"/>
          <w:sz w:val="24"/>
        </w:rPr>
      </w:pPr>
      <w:r>
        <w:rPr>
          <w:rFonts w:hint="eastAsia" w:ascii="宋体" w:hAnsi="宋体" w:eastAsia="宋体" w:cs="宋体"/>
          <w:b/>
          <w:color w:val="auto"/>
          <w:sz w:val="24"/>
        </w:rPr>
        <w:t>投  标  函</w:t>
      </w:r>
    </w:p>
    <w:p w14:paraId="0FEB261B">
      <w:pPr>
        <w:pageBreakBefore w:val="0"/>
        <w:kinsoku/>
        <w:overflowPunct/>
        <w:bidi w:val="0"/>
        <w:adjustRightInd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致：【</w:t>
      </w:r>
      <w:r>
        <w:rPr>
          <w:rFonts w:hint="eastAsia" w:ascii="宋体" w:hAnsi="宋体" w:eastAsia="宋体" w:cs="宋体"/>
          <w:color w:val="auto"/>
          <w:u w:val="single"/>
        </w:rPr>
        <w:t>XX公司[招标人名称]</w:t>
      </w:r>
      <w:r>
        <w:rPr>
          <w:rFonts w:hint="eastAsia" w:ascii="宋体" w:hAnsi="宋体" w:eastAsia="宋体" w:cs="宋体"/>
          <w:color w:val="auto"/>
          <w:szCs w:val="21"/>
        </w:rPr>
        <w:t>】：</w:t>
      </w:r>
    </w:p>
    <w:p w14:paraId="1251478E">
      <w:pPr>
        <w:pageBreakBefore w:val="0"/>
        <w:kinsoku/>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u w:val="single"/>
        </w:rPr>
        <w:t xml:space="preserve">      （投标人名称）</w:t>
      </w:r>
      <w:r>
        <w:rPr>
          <w:rFonts w:hint="eastAsia" w:ascii="宋体" w:hAnsi="宋体" w:eastAsia="宋体" w:cs="宋体"/>
          <w:color w:val="auto"/>
          <w:szCs w:val="21"/>
        </w:rPr>
        <w:t>（以下称“我方”）已仔细研究了</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w:t>
      </w:r>
      <w:r>
        <w:rPr>
          <w:rFonts w:hint="eastAsia" w:ascii="宋体" w:hAnsi="宋体" w:eastAsia="宋体" w:cs="宋体"/>
          <w:color w:val="auto"/>
          <w:szCs w:val="21"/>
        </w:rPr>
        <w:t>招标项目名称）标包（招标编号：</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）招标文件的全部内容，</w:t>
      </w:r>
      <w:r>
        <w:rPr>
          <w:rFonts w:hint="eastAsia" w:ascii="宋体" w:hAnsi="宋体" w:eastAsia="宋体" w:cs="宋体"/>
          <w:bCs/>
          <w:color w:val="auto"/>
          <w:szCs w:val="21"/>
        </w:rPr>
        <w:t>包括澄清或者修改文件以及有关附件</w:t>
      </w:r>
      <w:r>
        <w:rPr>
          <w:rFonts w:hint="eastAsia" w:ascii="宋体" w:hAnsi="宋体" w:eastAsia="宋体" w:cs="宋体"/>
          <w:color w:val="auto"/>
          <w:szCs w:val="21"/>
        </w:rPr>
        <w:t>，我方将严格按照招标文件要求递交符合要求的全部投标文件。</w:t>
      </w:r>
    </w:p>
    <w:p w14:paraId="1B297856">
      <w:pPr>
        <w:pageBreakBefore w:val="0"/>
        <w:kinsoku/>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我方承诺如下内容：</w:t>
      </w:r>
    </w:p>
    <w:p w14:paraId="5C266DAB">
      <w:pPr>
        <w:pStyle w:val="51"/>
        <w:pageBreakBefore w:val="0"/>
        <w:numPr>
          <w:ilvl w:val="3"/>
          <w:numId w:val="30"/>
        </w:numPr>
        <w:tabs>
          <w:tab w:val="left" w:pos="709"/>
        </w:tabs>
        <w:kinsoku/>
        <w:overflowPunct/>
        <w:bidi w:val="0"/>
        <w:spacing w:line="360" w:lineRule="auto"/>
        <w:ind w:left="0" w:firstLine="424" w:firstLineChars="202"/>
        <w:rPr>
          <w:rFonts w:hint="eastAsia" w:ascii="宋体" w:hAnsi="宋体" w:eastAsia="宋体" w:cs="宋体"/>
          <w:color w:val="auto"/>
          <w:szCs w:val="21"/>
        </w:rPr>
      </w:pPr>
      <w:r>
        <w:rPr>
          <w:rFonts w:hint="eastAsia" w:ascii="宋体" w:hAnsi="宋体" w:eastAsia="宋体" w:cs="宋体"/>
          <w:color w:val="auto"/>
          <w:szCs w:val="21"/>
        </w:rPr>
        <w:t>我方的投标文件包含第二章“投标人须知”第3.1款规定的全部内容。</w:t>
      </w:r>
    </w:p>
    <w:p w14:paraId="3EF15CF8">
      <w:pPr>
        <w:pStyle w:val="51"/>
        <w:pageBreakBefore w:val="0"/>
        <w:numPr>
          <w:ilvl w:val="3"/>
          <w:numId w:val="30"/>
        </w:numPr>
        <w:tabs>
          <w:tab w:val="left" w:pos="709"/>
        </w:tabs>
        <w:kinsoku/>
        <w:overflowPunct/>
        <w:bidi w:val="0"/>
        <w:spacing w:line="360" w:lineRule="auto"/>
        <w:ind w:left="0" w:firstLine="424" w:firstLineChars="202"/>
        <w:rPr>
          <w:rFonts w:hint="eastAsia" w:ascii="宋体" w:hAnsi="宋体" w:eastAsia="宋体" w:cs="宋体"/>
          <w:color w:val="auto"/>
          <w:szCs w:val="21"/>
        </w:rPr>
      </w:pPr>
      <w:r>
        <w:rPr>
          <w:rFonts w:hint="eastAsia" w:ascii="宋体" w:hAnsi="宋体" w:eastAsia="宋体" w:cs="宋体"/>
          <w:color w:val="auto"/>
          <w:szCs w:val="21"/>
        </w:rPr>
        <w:t>我方承诺在招标文件规定的投标有效期内不修改、撤销投标文件。</w:t>
      </w:r>
    </w:p>
    <w:p w14:paraId="04A522D1">
      <w:pPr>
        <w:pStyle w:val="51"/>
        <w:pageBreakBefore w:val="0"/>
        <w:numPr>
          <w:ilvl w:val="3"/>
          <w:numId w:val="30"/>
        </w:numPr>
        <w:tabs>
          <w:tab w:val="left" w:pos="709"/>
        </w:tabs>
        <w:kinsoku/>
        <w:overflowPunct/>
        <w:bidi w:val="0"/>
        <w:spacing w:line="360" w:lineRule="auto"/>
        <w:ind w:left="0" w:firstLine="424" w:firstLineChars="202"/>
        <w:rPr>
          <w:rFonts w:hint="eastAsia" w:ascii="宋体" w:hAnsi="宋体" w:eastAsia="宋体" w:cs="宋体"/>
          <w:color w:val="auto"/>
          <w:szCs w:val="21"/>
        </w:rPr>
      </w:pPr>
      <w:r>
        <w:rPr>
          <w:rFonts w:hint="eastAsia" w:ascii="宋体" w:hAnsi="宋体" w:eastAsia="宋体" w:cs="宋体"/>
          <w:color w:val="auto"/>
          <w:szCs w:val="21"/>
        </w:rPr>
        <w:t>随同本投标函递交投标保证金一份，金额为人民币</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（大写）（¥ ）</w:t>
      </w:r>
      <w:r>
        <w:rPr>
          <w:rFonts w:hint="eastAsia" w:ascii="宋体" w:hAnsi="宋体" w:eastAsia="宋体" w:cs="宋体"/>
          <w:color w:val="auto"/>
          <w:szCs w:val="21"/>
        </w:rPr>
        <w:t>。</w:t>
      </w:r>
    </w:p>
    <w:p w14:paraId="37158EC9">
      <w:pPr>
        <w:pStyle w:val="51"/>
        <w:pageBreakBefore w:val="0"/>
        <w:numPr>
          <w:ilvl w:val="3"/>
          <w:numId w:val="30"/>
        </w:numPr>
        <w:tabs>
          <w:tab w:val="left" w:pos="709"/>
        </w:tabs>
        <w:kinsoku/>
        <w:overflowPunct/>
        <w:bidi w:val="0"/>
        <w:spacing w:line="360" w:lineRule="auto"/>
        <w:ind w:left="0" w:firstLine="424" w:firstLineChars="202"/>
        <w:rPr>
          <w:rFonts w:hint="eastAsia" w:ascii="宋体" w:hAnsi="宋体" w:eastAsia="宋体" w:cs="宋体"/>
          <w:color w:val="auto"/>
          <w:szCs w:val="21"/>
        </w:rPr>
      </w:pPr>
      <w:r>
        <w:rPr>
          <w:rFonts w:hint="eastAsia" w:ascii="宋体" w:hAnsi="宋体" w:eastAsia="宋体" w:cs="宋体"/>
          <w:color w:val="auto"/>
          <w:szCs w:val="21"/>
        </w:rPr>
        <w:t>我方承诺如果在规定的开标时间后，在投标有效期内撤销投标，我方自愿接受招标人做出的不予退还我方投标保证金的决定。</w:t>
      </w:r>
    </w:p>
    <w:p w14:paraId="5D5D5444">
      <w:pPr>
        <w:pStyle w:val="51"/>
        <w:pageBreakBefore w:val="0"/>
        <w:numPr>
          <w:ilvl w:val="3"/>
          <w:numId w:val="30"/>
        </w:numPr>
        <w:tabs>
          <w:tab w:val="left" w:pos="709"/>
        </w:tabs>
        <w:kinsoku/>
        <w:overflowPunct/>
        <w:bidi w:val="0"/>
        <w:spacing w:line="360" w:lineRule="auto"/>
        <w:ind w:left="0" w:firstLine="424" w:firstLineChars="202"/>
        <w:rPr>
          <w:rFonts w:hint="eastAsia" w:ascii="宋体" w:hAnsi="宋体" w:eastAsia="宋体" w:cs="宋体"/>
          <w:color w:val="auto"/>
          <w:szCs w:val="21"/>
        </w:rPr>
      </w:pPr>
      <w:r>
        <w:rPr>
          <w:rFonts w:hint="eastAsia" w:ascii="宋体" w:hAnsi="宋体" w:eastAsia="宋体" w:cs="宋体"/>
          <w:color w:val="auto"/>
          <w:szCs w:val="21"/>
        </w:rPr>
        <w:t>我方在评标过程中根据评标委员会要求提供的符合相关规定的澄清文件，构成投标文件的组成部分。</w:t>
      </w:r>
    </w:p>
    <w:p w14:paraId="4C6FFE0A">
      <w:pPr>
        <w:pStyle w:val="51"/>
        <w:pageBreakBefore w:val="0"/>
        <w:numPr>
          <w:ilvl w:val="3"/>
          <w:numId w:val="30"/>
        </w:numPr>
        <w:tabs>
          <w:tab w:val="left" w:pos="709"/>
        </w:tabs>
        <w:kinsoku/>
        <w:overflowPunct/>
        <w:bidi w:val="0"/>
        <w:spacing w:line="360" w:lineRule="auto"/>
        <w:ind w:left="0" w:firstLine="424" w:firstLineChars="202"/>
        <w:rPr>
          <w:rFonts w:hint="eastAsia" w:ascii="宋体" w:hAnsi="宋体" w:eastAsia="宋体" w:cs="宋体"/>
          <w:color w:val="auto"/>
          <w:szCs w:val="21"/>
        </w:rPr>
      </w:pPr>
      <w:r>
        <w:rPr>
          <w:rFonts w:hint="eastAsia" w:ascii="宋体" w:hAnsi="宋体" w:eastAsia="宋体" w:cs="宋体"/>
          <w:color w:val="auto"/>
          <w:szCs w:val="21"/>
        </w:rPr>
        <w:t>我方同意提供贵方可能要求的与投标有关的一切数据或者资料，并完全理解贵方不一定接受最低价的投标。</w:t>
      </w:r>
    </w:p>
    <w:p w14:paraId="168116FB">
      <w:pPr>
        <w:pStyle w:val="51"/>
        <w:pageBreakBefore w:val="0"/>
        <w:numPr>
          <w:ilvl w:val="3"/>
          <w:numId w:val="30"/>
        </w:numPr>
        <w:tabs>
          <w:tab w:val="left" w:pos="709"/>
        </w:tabs>
        <w:kinsoku/>
        <w:overflowPunct/>
        <w:bidi w:val="0"/>
        <w:spacing w:line="360" w:lineRule="auto"/>
        <w:ind w:left="0" w:firstLine="424" w:firstLineChars="202"/>
        <w:rPr>
          <w:rFonts w:hint="eastAsia" w:ascii="宋体" w:hAnsi="宋体" w:eastAsia="宋体" w:cs="宋体"/>
          <w:color w:val="auto"/>
          <w:szCs w:val="21"/>
        </w:rPr>
      </w:pPr>
      <w:r>
        <w:rPr>
          <w:rFonts w:hint="eastAsia" w:ascii="宋体" w:hAnsi="宋体" w:eastAsia="宋体" w:cs="宋体"/>
          <w:color w:val="auto"/>
          <w:szCs w:val="21"/>
        </w:rPr>
        <w:t>我方承诺不向第三方透露与招标相关的所有信息。</w:t>
      </w:r>
    </w:p>
    <w:p w14:paraId="67839FA7">
      <w:pPr>
        <w:pStyle w:val="51"/>
        <w:pageBreakBefore w:val="0"/>
        <w:numPr>
          <w:ilvl w:val="3"/>
          <w:numId w:val="30"/>
        </w:numPr>
        <w:tabs>
          <w:tab w:val="left" w:pos="709"/>
        </w:tabs>
        <w:kinsoku/>
        <w:overflowPunct/>
        <w:bidi w:val="0"/>
        <w:spacing w:line="360" w:lineRule="auto"/>
        <w:ind w:left="0" w:firstLine="424" w:firstLineChars="202"/>
        <w:rPr>
          <w:rFonts w:hint="eastAsia" w:ascii="宋体" w:hAnsi="宋体" w:eastAsia="宋体" w:cs="宋体"/>
          <w:color w:val="auto"/>
          <w:szCs w:val="21"/>
        </w:rPr>
      </w:pPr>
      <w:r>
        <w:rPr>
          <w:rFonts w:hint="eastAsia" w:ascii="宋体" w:hAnsi="宋体" w:eastAsia="宋体" w:cs="宋体"/>
          <w:color w:val="auto"/>
          <w:szCs w:val="21"/>
        </w:rPr>
        <w:t>【我方承诺接受最新的《</w:t>
      </w:r>
      <w:r>
        <w:rPr>
          <w:rFonts w:hint="eastAsia" w:ascii="宋体" w:hAnsi="宋体" w:eastAsia="宋体" w:cs="宋体"/>
          <w:color w:val="auto"/>
          <w:szCs w:val="21"/>
          <w:lang w:eastAsia="zh-CN"/>
        </w:rPr>
        <w:t>中国电信集团供应商不良行为管理规则</w:t>
      </w:r>
      <w:r>
        <w:rPr>
          <w:rFonts w:hint="eastAsia" w:ascii="宋体" w:hAnsi="宋体" w:eastAsia="宋体" w:cs="宋体"/>
          <w:color w:val="auto"/>
          <w:szCs w:val="21"/>
        </w:rPr>
        <w:t>》，内容详见：招标文件第七章。本项承诺自本函签署之日起生效，长期有效，不受投标有效期的约束，其效力独立存在，不可撤销。】</w:t>
      </w:r>
    </w:p>
    <w:p w14:paraId="22AA06F0">
      <w:pPr>
        <w:pStyle w:val="51"/>
        <w:pageBreakBefore w:val="0"/>
        <w:numPr>
          <w:ilvl w:val="3"/>
          <w:numId w:val="30"/>
        </w:numPr>
        <w:tabs>
          <w:tab w:val="left" w:pos="709"/>
        </w:tabs>
        <w:kinsoku/>
        <w:overflowPunct/>
        <w:bidi w:val="0"/>
        <w:spacing w:line="360" w:lineRule="auto"/>
        <w:ind w:left="0" w:firstLine="424" w:firstLineChars="202"/>
        <w:rPr>
          <w:rFonts w:hint="eastAsia" w:ascii="宋体" w:hAnsi="宋体" w:eastAsia="宋体" w:cs="宋体"/>
          <w:color w:val="auto"/>
          <w:szCs w:val="21"/>
        </w:rPr>
      </w:pPr>
      <w:r>
        <w:rPr>
          <w:rFonts w:hint="eastAsia" w:ascii="宋体" w:hAnsi="宋体" w:eastAsia="宋体" w:cs="宋体"/>
          <w:color w:val="auto"/>
          <w:szCs w:val="21"/>
        </w:rPr>
        <w:t>如我方中标：</w:t>
      </w:r>
    </w:p>
    <w:p w14:paraId="5825C06F">
      <w:pPr>
        <w:pStyle w:val="51"/>
        <w:pageBreakBefore w:val="0"/>
        <w:numPr>
          <w:ilvl w:val="0"/>
          <w:numId w:val="31"/>
        </w:numPr>
        <w:tabs>
          <w:tab w:val="left" w:pos="993"/>
        </w:tabs>
        <w:kinsoku/>
        <w:overflowPunct/>
        <w:bidi w:val="0"/>
        <w:spacing w:line="360" w:lineRule="auto"/>
        <w:ind w:left="0" w:firstLine="426" w:firstLineChars="0"/>
        <w:rPr>
          <w:rFonts w:hint="eastAsia" w:ascii="宋体" w:hAnsi="宋体" w:eastAsia="宋体" w:cs="宋体"/>
          <w:color w:val="auto"/>
          <w:szCs w:val="21"/>
        </w:rPr>
      </w:pPr>
      <w:r>
        <w:rPr>
          <w:rFonts w:hint="eastAsia" w:ascii="宋体" w:hAnsi="宋体" w:eastAsia="宋体" w:cs="宋体"/>
          <w:color w:val="auto"/>
          <w:szCs w:val="21"/>
        </w:rPr>
        <w:t>我方承诺在收到中标通知书后，在中标通知书规定的期限内与你方签订合同。</w:t>
      </w:r>
    </w:p>
    <w:p w14:paraId="16E7F4EE">
      <w:pPr>
        <w:pStyle w:val="51"/>
        <w:pageBreakBefore w:val="0"/>
        <w:numPr>
          <w:ilvl w:val="0"/>
          <w:numId w:val="31"/>
        </w:numPr>
        <w:tabs>
          <w:tab w:val="left" w:pos="993"/>
        </w:tabs>
        <w:kinsoku/>
        <w:overflowPunct/>
        <w:bidi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我方承诺不在签订合同时提出任何附加条件。</w:t>
      </w:r>
    </w:p>
    <w:p w14:paraId="456F2E29">
      <w:pPr>
        <w:pStyle w:val="51"/>
        <w:pageBreakBefore w:val="0"/>
        <w:numPr>
          <w:ilvl w:val="0"/>
          <w:numId w:val="31"/>
        </w:numPr>
        <w:tabs>
          <w:tab w:val="left" w:pos="993"/>
        </w:tabs>
        <w:kinsoku/>
        <w:overflowPunct/>
        <w:bidi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我方承诺按照招标文件规定递交履约保证金或履约保函、支付招标代理服务费。</w:t>
      </w:r>
    </w:p>
    <w:p w14:paraId="1CFDD193">
      <w:pPr>
        <w:pStyle w:val="51"/>
        <w:pageBreakBefore w:val="0"/>
        <w:numPr>
          <w:ilvl w:val="0"/>
          <w:numId w:val="31"/>
        </w:numPr>
        <w:tabs>
          <w:tab w:val="left" w:pos="993"/>
        </w:tabs>
        <w:kinsoku/>
        <w:overflowPunct/>
        <w:bidi w:val="0"/>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我方承诺按照招标文件的规定及合同约定履行相关责任和义务,不将中标项目转包、违法分包。</w:t>
      </w:r>
    </w:p>
    <w:p w14:paraId="79783858">
      <w:pPr>
        <w:pStyle w:val="51"/>
        <w:pageBreakBefore w:val="0"/>
        <w:numPr>
          <w:ilvl w:val="3"/>
          <w:numId w:val="30"/>
        </w:numPr>
        <w:tabs>
          <w:tab w:val="left" w:pos="709"/>
        </w:tabs>
        <w:kinsoku/>
        <w:overflowPunct/>
        <w:bidi w:val="0"/>
        <w:spacing w:line="360" w:lineRule="auto"/>
        <w:ind w:left="0" w:firstLine="424" w:firstLineChars="202"/>
        <w:rPr>
          <w:rFonts w:hint="eastAsia" w:ascii="宋体" w:hAnsi="宋体" w:eastAsia="宋体" w:cs="宋体"/>
          <w:color w:val="auto"/>
          <w:szCs w:val="21"/>
        </w:rPr>
      </w:pPr>
      <w:r>
        <w:rPr>
          <w:rFonts w:hint="eastAsia" w:ascii="宋体" w:hAnsi="宋体" w:eastAsia="宋体" w:cs="宋体"/>
          <w:color w:val="auto"/>
          <w:szCs w:val="21"/>
        </w:rPr>
        <w:t>我方承诺如有外国投资者直接或者间接对本单位投资的，投资者或本单位已经按照《中华人民共和国外商投资法》（中华人民共和国主席令 第26号）和《外商投资安全审查办法》（发展改革委 商务部令 第37号）等相关法律法规主动向国家外商投资安全审查工作机制办公室申报，并被允许实施投资。</w:t>
      </w:r>
    </w:p>
    <w:p w14:paraId="3C177991">
      <w:pPr>
        <w:pageBreakBefore w:val="0"/>
        <w:kinsoku/>
        <w:overflow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我方在此声明，所递交的投标文件及有关资料内容完整、真实和准确，且不存在第二章“投标人须知”第1.8款规定的任何一种情形。如有弄虚作假，将承担相应的法律责任，并赔偿由此造成的一切损失。</w:t>
      </w:r>
    </w:p>
    <w:p w14:paraId="603CEEFF">
      <w:pPr>
        <w:pStyle w:val="51"/>
        <w:pageBreakBefore w:val="0"/>
        <w:numPr>
          <w:ilvl w:val="3"/>
          <w:numId w:val="30"/>
        </w:numPr>
        <w:tabs>
          <w:tab w:val="left" w:pos="709"/>
        </w:tabs>
        <w:kinsoku/>
        <w:overflowPunct/>
        <w:bidi w:val="0"/>
        <w:spacing w:line="360" w:lineRule="auto"/>
        <w:ind w:left="0" w:firstLine="424" w:firstLineChars="202"/>
        <w:rPr>
          <w:rFonts w:hint="eastAsia" w:ascii="宋体" w:hAnsi="宋体" w:eastAsia="宋体" w:cs="宋体"/>
          <w:color w:val="auto"/>
          <w:szCs w:val="21"/>
        </w:rPr>
      </w:pPr>
      <w:r>
        <w:rPr>
          <w:rFonts w:hint="eastAsia" w:ascii="宋体" w:hAnsi="宋体" w:eastAsia="宋体" w:cs="宋体"/>
          <w:color w:val="auto"/>
          <w:szCs w:val="21"/>
        </w:rPr>
        <w:t>其他补充说明：【我方承诺按照招标人要求在</w:t>
      </w:r>
      <w:r>
        <w:rPr>
          <w:rFonts w:hint="eastAsia" w:ascii="宋体" w:hAnsi="宋体" w:eastAsia="宋体" w:cs="宋体"/>
          <w:color w:val="auto"/>
        </w:rPr>
        <w:t>中国电信阳光采购网</w:t>
      </w:r>
      <w:r>
        <w:rPr>
          <w:rFonts w:hint="eastAsia" w:ascii="宋体" w:hAnsi="宋体" w:eastAsia="宋体" w:cs="宋体"/>
          <w:color w:val="auto"/>
          <w:szCs w:val="21"/>
        </w:rPr>
        <w:t>进行供应商注册。/</w:t>
      </w:r>
      <w:r>
        <w:rPr>
          <w:rFonts w:hint="eastAsia" w:ascii="宋体" w:hAnsi="宋体" w:eastAsia="宋体" w:cs="宋体"/>
          <w:color w:val="auto"/>
        </w:rPr>
        <w:t>无/具体的其他说明或要求</w:t>
      </w:r>
      <w:r>
        <w:rPr>
          <w:rFonts w:hint="eastAsia" w:ascii="宋体" w:hAnsi="宋体" w:eastAsia="宋体" w:cs="宋体"/>
          <w:color w:val="auto"/>
          <w:szCs w:val="21"/>
        </w:rPr>
        <w:t>】</w:t>
      </w:r>
    </w:p>
    <w:p w14:paraId="7D9CF45E">
      <w:pPr>
        <w:pStyle w:val="51"/>
        <w:pageBreakBefore w:val="0"/>
        <w:numPr>
          <w:ilvl w:val="3"/>
          <w:numId w:val="30"/>
        </w:numPr>
        <w:tabs>
          <w:tab w:val="left" w:pos="709"/>
        </w:tabs>
        <w:kinsoku/>
        <w:overflowPunct/>
        <w:bidi w:val="0"/>
        <w:spacing w:line="360" w:lineRule="auto"/>
        <w:ind w:left="0" w:firstLine="424" w:firstLineChars="202"/>
        <w:rPr>
          <w:rFonts w:hint="eastAsia" w:ascii="宋体" w:hAnsi="宋体" w:eastAsia="宋体" w:cs="宋体"/>
          <w:color w:val="auto"/>
          <w:szCs w:val="21"/>
        </w:rPr>
      </w:pPr>
      <w:r>
        <w:rPr>
          <w:rFonts w:hint="eastAsia" w:ascii="宋体" w:hAnsi="宋体" w:eastAsia="宋体" w:cs="宋体"/>
          <w:color w:val="auto"/>
          <w:szCs w:val="21"/>
          <w:lang w:val="en-US" w:eastAsia="zh-CN"/>
        </w:rPr>
        <w:t>投标有效期：120天。</w:t>
      </w:r>
    </w:p>
    <w:p w14:paraId="0B36A1F2">
      <w:pPr>
        <w:pStyle w:val="51"/>
        <w:pageBreakBefore w:val="0"/>
        <w:tabs>
          <w:tab w:val="left" w:pos="709"/>
        </w:tabs>
        <w:kinsoku/>
        <w:overflowPunct/>
        <w:bidi w:val="0"/>
        <w:spacing w:line="360" w:lineRule="auto"/>
        <w:ind w:left="424" w:firstLine="0" w:firstLineChars="0"/>
        <w:rPr>
          <w:rFonts w:hint="eastAsia" w:ascii="宋体" w:hAnsi="宋体" w:eastAsia="宋体" w:cs="宋体"/>
          <w:color w:val="auto"/>
          <w:szCs w:val="21"/>
        </w:rPr>
      </w:pPr>
    </w:p>
    <w:p w14:paraId="3924E4EE">
      <w:pPr>
        <w:pageBreakBefore w:val="0"/>
        <w:kinsoku/>
        <w:overflowPunct/>
        <w:bidi w:val="0"/>
        <w:spacing w:line="360" w:lineRule="auto"/>
        <w:ind w:firstLine="1134" w:firstLineChars="540"/>
        <w:rPr>
          <w:rFonts w:hint="eastAsia" w:ascii="宋体" w:hAnsi="宋体" w:eastAsia="宋体" w:cs="宋体"/>
          <w:color w:val="auto"/>
          <w:szCs w:val="21"/>
        </w:rPr>
      </w:pPr>
      <w:r>
        <w:rPr>
          <w:rFonts w:hint="eastAsia" w:ascii="宋体" w:hAnsi="宋体" w:eastAsia="宋体" w:cs="宋体"/>
          <w:color w:val="auto"/>
          <w:szCs w:val="21"/>
        </w:rPr>
        <w:t>投标人名称：</w:t>
      </w:r>
      <w:r>
        <w:rPr>
          <w:rFonts w:hint="eastAsia" w:ascii="宋体" w:hAnsi="宋体" w:eastAsia="宋体" w:cs="宋体"/>
          <w:color w:val="auto"/>
          <w:szCs w:val="21"/>
          <w:u w:val="single"/>
        </w:rPr>
        <w:t xml:space="preserve">　　　　　　　　               </w:t>
      </w:r>
    </w:p>
    <w:p w14:paraId="0B3F22F0">
      <w:pPr>
        <w:pageBreakBefore w:val="0"/>
        <w:kinsoku/>
        <w:overflowPunct/>
        <w:bidi w:val="0"/>
        <w:spacing w:line="360" w:lineRule="auto"/>
        <w:ind w:firstLine="1134" w:firstLineChars="540"/>
        <w:rPr>
          <w:rFonts w:hint="eastAsia" w:ascii="宋体" w:hAnsi="宋体" w:eastAsia="宋体" w:cs="宋体"/>
          <w:color w:val="auto"/>
          <w:szCs w:val="21"/>
          <w:u w:val="single"/>
        </w:rPr>
      </w:pPr>
      <w:r>
        <w:rPr>
          <w:rFonts w:hint="eastAsia" w:ascii="宋体" w:hAnsi="宋体" w:eastAsia="宋体" w:cs="宋体"/>
          <w:color w:val="auto"/>
          <w:szCs w:val="21"/>
        </w:rPr>
        <w:t>地址：</w:t>
      </w:r>
      <w:r>
        <w:rPr>
          <w:rFonts w:hint="eastAsia" w:ascii="宋体" w:hAnsi="宋体" w:eastAsia="宋体" w:cs="宋体"/>
          <w:color w:val="auto"/>
          <w:szCs w:val="21"/>
          <w:u w:val="single"/>
        </w:rPr>
        <w:t xml:space="preserve">                                     </w:t>
      </w:r>
    </w:p>
    <w:p w14:paraId="3D631A37">
      <w:pPr>
        <w:pageBreakBefore w:val="0"/>
        <w:kinsoku/>
        <w:overflowPunct/>
        <w:bidi w:val="0"/>
        <w:spacing w:line="360" w:lineRule="auto"/>
        <w:ind w:firstLine="1134" w:firstLineChars="540"/>
        <w:rPr>
          <w:rFonts w:hint="eastAsia" w:ascii="宋体" w:hAnsi="宋体" w:eastAsia="宋体" w:cs="宋体"/>
          <w:color w:val="auto"/>
          <w:szCs w:val="21"/>
        </w:rPr>
      </w:pPr>
      <w:r>
        <w:rPr>
          <w:rFonts w:hint="eastAsia" w:ascii="宋体" w:hAnsi="宋体" w:eastAsia="宋体" w:cs="宋体"/>
          <w:color w:val="auto"/>
          <w:szCs w:val="21"/>
        </w:rPr>
        <w:t>邮政编码：</w:t>
      </w:r>
      <w:r>
        <w:rPr>
          <w:rFonts w:hint="eastAsia" w:ascii="宋体" w:hAnsi="宋体" w:eastAsia="宋体" w:cs="宋体"/>
          <w:color w:val="auto"/>
          <w:szCs w:val="21"/>
          <w:u w:val="single"/>
        </w:rPr>
        <w:t xml:space="preserve">                                 </w:t>
      </w:r>
    </w:p>
    <w:p w14:paraId="790C68CF">
      <w:pPr>
        <w:pageBreakBefore w:val="0"/>
        <w:kinsoku/>
        <w:overflowPunct/>
        <w:bidi w:val="0"/>
        <w:spacing w:line="360" w:lineRule="auto"/>
        <w:ind w:firstLine="1134" w:firstLineChars="540"/>
        <w:rPr>
          <w:rFonts w:hint="eastAsia" w:ascii="宋体" w:hAnsi="宋体" w:eastAsia="宋体" w:cs="宋体"/>
          <w:color w:val="auto"/>
          <w:szCs w:val="21"/>
        </w:rPr>
      </w:pPr>
      <w:r>
        <w:rPr>
          <w:rFonts w:hint="eastAsia" w:ascii="宋体" w:hAnsi="宋体" w:eastAsia="宋体" w:cs="宋体"/>
          <w:color w:val="auto"/>
          <w:szCs w:val="21"/>
        </w:rPr>
        <w:t>电话：</w:t>
      </w:r>
      <w:r>
        <w:rPr>
          <w:rFonts w:hint="eastAsia" w:ascii="宋体" w:hAnsi="宋体" w:eastAsia="宋体" w:cs="宋体"/>
          <w:color w:val="auto"/>
          <w:szCs w:val="21"/>
          <w:u w:val="single"/>
        </w:rPr>
        <w:t xml:space="preserve">                                     </w:t>
      </w:r>
    </w:p>
    <w:p w14:paraId="2791D99E">
      <w:pPr>
        <w:pageBreakBefore w:val="0"/>
        <w:kinsoku/>
        <w:overflowPunct/>
        <w:bidi w:val="0"/>
        <w:spacing w:line="360" w:lineRule="auto"/>
        <w:ind w:firstLine="1134" w:firstLineChars="540"/>
        <w:rPr>
          <w:rFonts w:hint="eastAsia" w:ascii="宋体" w:hAnsi="宋体" w:eastAsia="宋体" w:cs="宋体"/>
          <w:color w:val="auto"/>
          <w:szCs w:val="21"/>
        </w:rPr>
      </w:pPr>
      <w:r>
        <w:rPr>
          <w:rFonts w:hint="eastAsia" w:ascii="宋体" w:hAnsi="宋体" w:eastAsia="宋体" w:cs="宋体"/>
          <w:color w:val="auto"/>
          <w:szCs w:val="21"/>
        </w:rPr>
        <w:t>电子邮箱：</w:t>
      </w:r>
      <w:r>
        <w:rPr>
          <w:rFonts w:hint="eastAsia" w:ascii="宋体" w:hAnsi="宋体" w:eastAsia="宋体" w:cs="宋体"/>
          <w:color w:val="auto"/>
          <w:szCs w:val="21"/>
          <w:u w:val="single"/>
        </w:rPr>
        <w:t xml:space="preserve">                                 </w:t>
      </w:r>
    </w:p>
    <w:p w14:paraId="34843DCD">
      <w:pPr>
        <w:pageBreakBefore w:val="0"/>
        <w:kinsoku/>
        <w:overflowPunct/>
        <w:bidi w:val="0"/>
        <w:spacing w:line="360" w:lineRule="auto"/>
        <w:ind w:firstLine="1134" w:firstLineChars="540"/>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14:paraId="6E357B13">
      <w:pPr>
        <w:pageBreakBefore w:val="0"/>
        <w:kinsoku/>
        <w:overflowPunct/>
        <w:bidi w:val="0"/>
        <w:spacing w:line="360" w:lineRule="auto"/>
        <w:ind w:firstLine="1134" w:firstLineChars="540"/>
        <w:rPr>
          <w:rFonts w:hint="eastAsia" w:ascii="宋体" w:hAnsi="宋体" w:eastAsia="宋体" w:cs="宋体"/>
          <w:color w:val="auto"/>
        </w:rPr>
      </w:pPr>
    </w:p>
    <w:p w14:paraId="6296EA39">
      <w:pPr>
        <w:pageBreakBefore w:val="0"/>
        <w:kinsoku/>
        <w:overflowPunct/>
        <w:bidi w:val="0"/>
        <w:spacing w:line="360" w:lineRule="auto"/>
        <w:ind w:firstLine="2835" w:firstLineChars="1350"/>
        <w:rPr>
          <w:rFonts w:hint="eastAsia" w:ascii="宋体" w:hAnsi="宋体" w:eastAsia="宋体" w:cs="宋体"/>
          <w:color w:val="auto"/>
        </w:rPr>
      </w:pPr>
    </w:p>
    <w:p w14:paraId="317A3268">
      <w:pPr>
        <w:pageBreakBefore w:val="0"/>
        <w:kinsoku/>
        <w:overflowPunct/>
        <w:topLinePunct/>
        <w:bidi w:val="0"/>
        <w:spacing w:line="360" w:lineRule="auto"/>
        <w:jc w:val="left"/>
        <w:rPr>
          <w:rFonts w:hint="eastAsia" w:ascii="宋体" w:hAnsi="宋体" w:eastAsia="宋体" w:cs="宋体"/>
          <w:color w:val="auto"/>
          <w:lang w:eastAsia="zh-CN"/>
        </w:rPr>
      </w:pPr>
    </w:p>
    <w:p w14:paraId="55F02A20">
      <w:pPr>
        <w:pageBreakBefore w:val="0"/>
        <w:kinsoku/>
        <w:overflowPunct/>
        <w:topLinePunct/>
        <w:bidi w:val="0"/>
        <w:spacing w:line="360" w:lineRule="auto"/>
        <w:jc w:val="left"/>
        <w:rPr>
          <w:rFonts w:hint="eastAsia" w:ascii="宋体" w:hAnsi="宋体" w:eastAsia="宋体" w:cs="宋体"/>
          <w:color w:val="auto"/>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color w:val="auto"/>
        </w:rPr>
        <w:t>编制要求</w:t>
      </w:r>
      <w:r>
        <w:rPr>
          <w:rFonts w:hint="eastAsia" w:ascii="宋体" w:hAnsi="宋体" w:eastAsia="宋体" w:cs="宋体"/>
          <w:color w:val="auto"/>
        </w:rPr>
        <w:t>：除本文件允许投标人进行填写的内容以外，投标人不得对本文件进行修改。</w:t>
      </w:r>
    </w:p>
    <w:p w14:paraId="276C6702">
      <w:pPr>
        <w:pStyle w:val="39"/>
        <w:pageBreakBefore w:val="0"/>
        <w:numPr>
          <w:ilvl w:val="0"/>
          <w:numId w:val="29"/>
        </w:numPr>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498" w:name="_Toc11936"/>
      <w:bookmarkStart w:id="1499" w:name="_Toc475472674"/>
      <w:bookmarkStart w:id="1500" w:name="_Toc38008082"/>
      <w:r>
        <w:rPr>
          <w:rFonts w:hint="eastAsia" w:ascii="宋体" w:hAnsi="宋体" w:eastAsia="宋体" w:cs="宋体"/>
          <w:color w:val="auto"/>
          <w:sz w:val="24"/>
          <w:szCs w:val="24"/>
        </w:rPr>
        <w:t>法定代表人/负责人身份证明</w:t>
      </w:r>
      <w:bookmarkEnd w:id="1498"/>
      <w:bookmarkEnd w:id="1499"/>
      <w:bookmarkEnd w:id="1500"/>
    </w:p>
    <w:p w14:paraId="385AA92E">
      <w:pPr>
        <w:pageBreakBefore w:val="0"/>
        <w:kinsoku/>
        <w:overflowPunct/>
        <w:bidi w:val="0"/>
        <w:spacing w:line="360" w:lineRule="auto"/>
        <w:jc w:val="center"/>
        <w:rPr>
          <w:rFonts w:hint="eastAsia" w:ascii="宋体" w:hAnsi="宋体" w:eastAsia="宋体" w:cs="宋体"/>
          <w:b/>
          <w:color w:val="auto"/>
          <w:sz w:val="24"/>
        </w:rPr>
      </w:pPr>
    </w:p>
    <w:p w14:paraId="07CB22AE">
      <w:pPr>
        <w:pageBreakBefore w:val="0"/>
        <w:kinsoku/>
        <w:overflowPunct/>
        <w:bidi w:val="0"/>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法定代表人/负责人身份证明</w:t>
      </w:r>
    </w:p>
    <w:p w14:paraId="611ABCBB">
      <w:pPr>
        <w:pageBreakBefore w:val="0"/>
        <w:kinsoku/>
        <w:overflowPunct/>
        <w:bidi w:val="0"/>
        <w:spacing w:line="360" w:lineRule="auto"/>
        <w:rPr>
          <w:rFonts w:hint="eastAsia" w:ascii="宋体" w:hAnsi="宋体" w:eastAsia="宋体" w:cs="宋体"/>
          <w:color w:val="auto"/>
          <w:szCs w:val="21"/>
        </w:rPr>
      </w:pPr>
    </w:p>
    <w:p w14:paraId="55155ABD">
      <w:pPr>
        <w:pageBreakBefore w:val="0"/>
        <w:kinsoku/>
        <w:overflowPunct/>
        <w:topLinePunct/>
        <w:bidi w:val="0"/>
        <w:snapToGrid w:val="0"/>
        <w:spacing w:line="360" w:lineRule="auto"/>
        <w:rPr>
          <w:rFonts w:hint="eastAsia" w:ascii="宋体" w:hAnsi="宋体" w:eastAsia="宋体" w:cs="宋体"/>
          <w:bCs/>
          <w:color w:val="auto"/>
          <w:szCs w:val="21"/>
          <w:u w:val="single"/>
        </w:rPr>
      </w:pPr>
      <w:r>
        <w:rPr>
          <w:rFonts w:hint="eastAsia" w:ascii="宋体" w:hAnsi="宋体" w:eastAsia="宋体" w:cs="宋体"/>
          <w:bCs/>
          <w:color w:val="auto"/>
          <w:szCs w:val="21"/>
        </w:rPr>
        <w:t>投标人名称：</w:t>
      </w:r>
      <w:r>
        <w:rPr>
          <w:rFonts w:hint="eastAsia" w:ascii="宋体" w:hAnsi="宋体" w:eastAsia="宋体" w:cs="宋体"/>
          <w:bCs/>
          <w:color w:val="auto"/>
          <w:szCs w:val="21"/>
          <w:u w:val="single"/>
        </w:rPr>
        <w:t xml:space="preserve">                       </w:t>
      </w:r>
    </w:p>
    <w:p w14:paraId="00F17CA1">
      <w:pPr>
        <w:pageBreakBefore w:val="0"/>
        <w:kinsoku/>
        <w:overflowPunct/>
        <w:topLinePunct/>
        <w:bidi w:val="0"/>
        <w:snapToGrid w:val="0"/>
        <w:spacing w:line="360" w:lineRule="auto"/>
        <w:rPr>
          <w:rFonts w:hint="eastAsia" w:ascii="宋体" w:hAnsi="宋体" w:eastAsia="宋体" w:cs="宋体"/>
          <w:bCs/>
          <w:color w:val="auto"/>
          <w:szCs w:val="21"/>
        </w:rPr>
      </w:pPr>
      <w:r>
        <w:rPr>
          <w:rFonts w:hint="eastAsia" w:ascii="宋体" w:hAnsi="宋体" w:eastAsia="宋体" w:cs="宋体"/>
          <w:bCs/>
          <w:color w:val="auto"/>
          <w:szCs w:val="21"/>
        </w:rPr>
        <w:t>单位性质：</w:t>
      </w:r>
      <w:r>
        <w:rPr>
          <w:rFonts w:hint="eastAsia" w:ascii="宋体" w:hAnsi="宋体" w:eastAsia="宋体" w:cs="宋体"/>
          <w:bCs/>
          <w:color w:val="auto"/>
          <w:szCs w:val="21"/>
          <w:u w:val="single"/>
        </w:rPr>
        <w:t xml:space="preserve">                         </w:t>
      </w:r>
    </w:p>
    <w:p w14:paraId="2C010B32">
      <w:pPr>
        <w:pageBreakBefore w:val="0"/>
        <w:kinsoku/>
        <w:overflowPunct/>
        <w:topLinePunct/>
        <w:bidi w:val="0"/>
        <w:snapToGrid w:val="0"/>
        <w:spacing w:line="360" w:lineRule="auto"/>
        <w:rPr>
          <w:rFonts w:hint="eastAsia" w:ascii="宋体" w:hAnsi="宋体" w:eastAsia="宋体" w:cs="宋体"/>
          <w:bCs/>
          <w:color w:val="auto"/>
          <w:szCs w:val="21"/>
        </w:rPr>
      </w:pPr>
      <w:r>
        <w:rPr>
          <w:rFonts w:hint="eastAsia" w:ascii="宋体" w:hAnsi="宋体" w:eastAsia="宋体" w:cs="宋体"/>
          <w:bCs/>
          <w:color w:val="auto"/>
          <w:szCs w:val="21"/>
        </w:rPr>
        <w:t>成立时间：</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年</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月</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日</w:t>
      </w:r>
    </w:p>
    <w:p w14:paraId="20CC16EA">
      <w:pPr>
        <w:pageBreakBefore w:val="0"/>
        <w:kinsoku/>
        <w:overflowPunct/>
        <w:topLinePunct/>
        <w:bidi w:val="0"/>
        <w:snapToGrid w:val="0"/>
        <w:spacing w:line="360" w:lineRule="auto"/>
        <w:rPr>
          <w:rFonts w:hint="eastAsia" w:ascii="宋体" w:hAnsi="宋体" w:eastAsia="宋体" w:cs="宋体"/>
          <w:bCs/>
          <w:color w:val="auto"/>
          <w:szCs w:val="21"/>
        </w:rPr>
      </w:pPr>
      <w:r>
        <w:rPr>
          <w:rFonts w:hint="eastAsia" w:ascii="宋体" w:hAnsi="宋体" w:eastAsia="宋体" w:cs="宋体"/>
          <w:bCs/>
          <w:color w:val="auto"/>
          <w:szCs w:val="21"/>
        </w:rPr>
        <w:t>经营期限：</w:t>
      </w:r>
      <w:r>
        <w:rPr>
          <w:rFonts w:hint="eastAsia" w:ascii="宋体" w:hAnsi="宋体" w:eastAsia="宋体" w:cs="宋体"/>
          <w:bCs/>
          <w:color w:val="auto"/>
          <w:szCs w:val="21"/>
          <w:u w:val="single"/>
        </w:rPr>
        <w:t xml:space="preserve">             </w:t>
      </w:r>
    </w:p>
    <w:p w14:paraId="677F5448">
      <w:pPr>
        <w:pageBreakBefore w:val="0"/>
        <w:kinsoku/>
        <w:overflowPunct/>
        <w:topLinePunct/>
        <w:bidi w:val="0"/>
        <w:snapToGrid w:val="0"/>
        <w:spacing w:line="360" w:lineRule="auto"/>
        <w:rPr>
          <w:rFonts w:hint="eastAsia" w:ascii="宋体" w:hAnsi="宋体" w:eastAsia="宋体" w:cs="宋体"/>
          <w:bCs/>
          <w:color w:val="auto"/>
          <w:szCs w:val="21"/>
          <w:u w:val="single"/>
        </w:rPr>
      </w:pPr>
      <w:r>
        <w:rPr>
          <w:rFonts w:hint="eastAsia" w:ascii="宋体" w:hAnsi="宋体" w:eastAsia="宋体" w:cs="宋体"/>
          <w:bCs/>
          <w:color w:val="auto"/>
          <w:szCs w:val="21"/>
        </w:rPr>
        <w:t>姓名：</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性别：</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年龄：</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职务：</w:t>
      </w:r>
      <w:r>
        <w:rPr>
          <w:rFonts w:hint="eastAsia" w:ascii="宋体" w:hAnsi="宋体" w:eastAsia="宋体" w:cs="宋体"/>
          <w:bCs/>
          <w:color w:val="auto"/>
          <w:szCs w:val="21"/>
          <w:u w:val="single"/>
        </w:rPr>
        <w:t xml:space="preserve">          </w:t>
      </w:r>
    </w:p>
    <w:p w14:paraId="1C055323">
      <w:pPr>
        <w:pageBreakBefore w:val="0"/>
        <w:kinsoku/>
        <w:overflowPunct/>
        <w:topLinePunct/>
        <w:bidi w:val="0"/>
        <w:snapToGrid w:val="0"/>
        <w:spacing w:line="360" w:lineRule="auto"/>
        <w:rPr>
          <w:rFonts w:hint="eastAsia" w:ascii="宋体" w:hAnsi="宋体" w:eastAsia="宋体" w:cs="宋体"/>
          <w:bCs/>
          <w:color w:val="auto"/>
          <w:szCs w:val="21"/>
        </w:rPr>
      </w:pPr>
      <w:r>
        <w:rPr>
          <w:rFonts w:hint="eastAsia" w:ascii="宋体" w:hAnsi="宋体" w:eastAsia="宋体" w:cs="宋体"/>
          <w:bCs/>
          <w:color w:val="auto"/>
          <w:szCs w:val="21"/>
        </w:rPr>
        <w:t>系</w:t>
      </w:r>
      <w:r>
        <w:rPr>
          <w:rFonts w:hint="eastAsia" w:ascii="宋体" w:hAnsi="宋体" w:eastAsia="宋体" w:cs="宋体"/>
          <w:color w:val="auto"/>
          <w:u w:val="single"/>
        </w:rPr>
        <w:t>【XX公司</w:t>
      </w:r>
      <w:r>
        <w:rPr>
          <w:rFonts w:hint="eastAsia" w:ascii="宋体" w:hAnsi="宋体" w:eastAsia="宋体" w:cs="宋体"/>
          <w:color w:val="auto"/>
          <w:szCs w:val="21"/>
          <w:u w:val="single"/>
        </w:rPr>
        <w:t>[投标人单位名称]</w:t>
      </w:r>
      <w:r>
        <w:rPr>
          <w:rFonts w:hint="eastAsia" w:ascii="宋体" w:hAnsi="宋体" w:eastAsia="宋体" w:cs="宋体"/>
          <w:color w:val="auto"/>
          <w:u w:val="single"/>
        </w:rPr>
        <w:t>】</w:t>
      </w:r>
      <w:r>
        <w:rPr>
          <w:rFonts w:hint="eastAsia" w:ascii="宋体" w:hAnsi="宋体" w:eastAsia="宋体" w:cs="宋体"/>
          <w:bCs/>
          <w:color w:val="auto"/>
          <w:szCs w:val="21"/>
        </w:rPr>
        <w:t>的法定代表人/负责人。</w:t>
      </w:r>
    </w:p>
    <w:p w14:paraId="38E9F297">
      <w:pPr>
        <w:pageBreakBefore w:val="0"/>
        <w:kinsoku/>
        <w:overflowPunct/>
        <w:topLinePunct/>
        <w:bidi w:val="0"/>
        <w:snapToGrid w:val="0"/>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特此证明。</w:t>
      </w:r>
    </w:p>
    <w:p w14:paraId="4083BF90">
      <w:pPr>
        <w:pageBreakBefore w:val="0"/>
        <w:kinsoku/>
        <w:overflowPunct/>
        <w:topLinePunct/>
        <w:bidi w:val="0"/>
        <w:snapToGrid w:val="0"/>
        <w:spacing w:line="360" w:lineRule="auto"/>
        <w:ind w:firstLine="420" w:firstLineChars="200"/>
        <w:rPr>
          <w:rFonts w:hint="eastAsia" w:ascii="宋体" w:hAnsi="宋体" w:eastAsia="宋体" w:cs="宋体"/>
          <w:bCs/>
          <w:color w:val="auto"/>
          <w:szCs w:val="21"/>
        </w:rPr>
      </w:pPr>
    </w:p>
    <w:p w14:paraId="0D1432CE">
      <w:pPr>
        <w:pageBreakBefore w:val="0"/>
        <w:kinsoku/>
        <w:overflowPunct/>
        <w:topLinePunct/>
        <w:bidi w:val="0"/>
        <w:snapToGrid w:val="0"/>
        <w:spacing w:line="360" w:lineRule="auto"/>
        <w:rPr>
          <w:rFonts w:hint="eastAsia" w:ascii="宋体" w:hAnsi="宋体" w:eastAsia="宋体" w:cs="宋体"/>
          <w:color w:val="auto"/>
        </w:rPr>
      </w:pPr>
      <w:r>
        <w:rPr>
          <w:rFonts w:hint="eastAsia" w:ascii="宋体" w:hAnsi="宋体" w:eastAsia="宋体" w:cs="宋体"/>
          <w:color w:val="auto"/>
        </w:rPr>
        <w:t>附：法定代表人/负责人的合法有效身份证明复印件或扫描件</w:t>
      </w:r>
      <w:r>
        <w:rPr>
          <w:rFonts w:hint="eastAsia" w:ascii="宋体" w:hAnsi="宋体" w:eastAsia="宋体" w:cs="宋体"/>
          <w:bCs/>
          <w:color w:val="auto"/>
          <w:szCs w:val="21"/>
        </w:rPr>
        <w:t>(如提供中华人民共和国居民身份证的，需同时提供国徽面及人像面)</w:t>
      </w:r>
    </w:p>
    <w:p w14:paraId="3E7DB1D6">
      <w:pPr>
        <w:pageBreakBefore w:val="0"/>
        <w:kinsoku/>
        <w:overflowPunct/>
        <w:bidi w:val="0"/>
        <w:spacing w:line="360" w:lineRule="auto"/>
        <w:rPr>
          <w:rFonts w:hint="eastAsia" w:ascii="宋体" w:hAnsi="宋体" w:eastAsia="宋体" w:cs="宋体"/>
          <w:color w:val="auto"/>
          <w:szCs w:val="21"/>
        </w:rPr>
      </w:pPr>
    </w:p>
    <w:p w14:paraId="36F679CA">
      <w:pPr>
        <w:pageBreakBefore w:val="0"/>
        <w:kinsoku/>
        <w:overflowPunct/>
        <w:bidi w:val="0"/>
        <w:spacing w:line="360" w:lineRule="auto"/>
        <w:rPr>
          <w:rFonts w:hint="eastAsia" w:ascii="宋体" w:hAnsi="宋体" w:eastAsia="宋体" w:cs="宋体"/>
          <w:color w:val="auto"/>
          <w:szCs w:val="21"/>
        </w:rPr>
      </w:pPr>
      <w:r>
        <w:rPr>
          <w:rFonts w:hint="eastAsia" w:ascii="宋体" w:hAnsi="宋体" w:eastAsia="宋体" w:cs="宋体"/>
          <w:color w:val="auto"/>
          <w:szCs w:val="21"/>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0" t="0" r="17145" b="19685"/>
                <wp:wrapNone/>
                <wp:docPr id="10" name="流程图: 可选过程 10"/>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wps:spPr>
                      <wps:txbx>
                        <w:txbxContent>
                          <w:p w14:paraId="3C763F9E">
                            <w:pPr>
                              <w:jc w:val="center"/>
                              <w:rPr>
                                <w:rFonts w:asciiTheme="minorEastAsia" w:hAnsiTheme="minorEastAsia" w:eastAsiaTheme="minorEastAsia"/>
                                <w:bCs/>
                                <w:szCs w:val="21"/>
                              </w:rPr>
                            </w:pPr>
                            <w:r>
                              <w:rPr>
                                <w:rFonts w:hint="eastAsia"/>
                                <w:szCs w:val="21"/>
                              </w:rPr>
                              <w:t>法定代表人的</w:t>
                            </w:r>
                            <w:r>
                              <w:rPr>
                                <w:rFonts w:hint="eastAsia" w:asciiTheme="minorEastAsia" w:hAnsiTheme="minorEastAsia" w:eastAsiaTheme="minorEastAsia"/>
                              </w:rPr>
                              <w:t>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p>
                          <w:p w14:paraId="2D471F2A">
                            <w:pPr>
                              <w:jc w:val="center"/>
                              <w:rPr>
                                <w:szCs w:val="21"/>
                              </w:rPr>
                            </w:pPr>
                            <w:r>
                              <w:rPr>
                                <w:rFonts w:hint="eastAsia"/>
                                <w:szCs w:val="21"/>
                              </w:rPr>
                              <w:t>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LIqoi2ECAACjBAAADgAAAGRycy9lMm9Eb2MueG1srVTN&#10;btQwEL4j8Q6W7zSbbUO7UbNV1aoIqcBKhQfwOs7GwvGYsXez5QSnCnHgAXgBbpy4wtOUn7dg4qRl&#10;Wzj0QA6WxzPzzcw3M9k/WDeGrRR6Dbbg6daIM2UllNouCv7i+cmDPc58ELYUBqwq+Lny/GB6/95+&#10;63I1hhpMqZARiPV56wpeh+DyJPGyVo3wW+CUJWUF2IhAIi6SEkVL6I1JxqPRw6QFLB2CVN7T63Gv&#10;5AMi3gUQqkpLdQxy2SgbelRURgQqydfaeT6N2VaVkuFZVXkVmCk4VRriSUHoPu/OZLov8gUKV2s5&#10;pCDuksKtmhqhLQW9hjoWQbAl6r+gGi0RPFRhS0KT9IVERqiKdHSLm7NaOBVrIaq9uybd/z9Y+XQ1&#10;Q6ZLmgSixIqGOv79y9sfn95ffvyas8sPn3+9effz2wU9MLIgulrnc/I6czPsCvbuFORLzywc1cIu&#10;1CEitLUSJSWZdvbJDYdO8OTK5u0TKCmYWAaIzK0rbDpA4oStY4POrxuk1oFJetweT3azLONMkm6c&#10;ptuTNIsxRH7l7tCHRwoa1l0KXhloKTEMhyYotCKoWT96MaZYnfrQ5SjyK79YExhdnmhjooCL+ZFB&#10;thI0QifxG0L6TTNjWVvwSTbOIvINnd+EGMXvXxCNphSZ0U3B9zaNjB1Y7IjrGxDW8/XQizmU58Qn&#10;Qj/btNl0qQFfc9bSXBfcv1oKVJyZx5Z6Mkl3drpFiMJOtjsmATc1802NsJKgCh44669HoV+epUO9&#10;qClSGsu1cEh9rHQks+txn9WQN81u5HjYs245NuVo9effMv0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wAIl+NgAAAAKAQAADwAAAAAAAAABACAAAAAiAAAAZHJzL2Rvd25yZXYueG1sUEsBAhQAFAAA&#10;AAgAh07iQCyKqIthAgAAowQAAA4AAAAAAAAAAQAgAAAAJwEAAGRycy9lMm9Eb2MueG1sUEsFBgAA&#10;AAAGAAYAWQEAAPoFAAAAAA==&#10;">
                <v:fill on="t" focussize="0,0"/>
                <v:stroke color="#000000" miterlimit="8" joinstyle="miter"/>
                <v:imagedata o:title=""/>
                <o:lock v:ext="edit" aspectratio="f"/>
                <v:textbox>
                  <w:txbxContent>
                    <w:p w14:paraId="3C763F9E">
                      <w:pPr>
                        <w:jc w:val="center"/>
                        <w:rPr>
                          <w:rFonts w:asciiTheme="minorEastAsia" w:hAnsiTheme="minorEastAsia" w:eastAsiaTheme="minorEastAsia"/>
                          <w:bCs/>
                          <w:szCs w:val="21"/>
                        </w:rPr>
                      </w:pPr>
                      <w:r>
                        <w:rPr>
                          <w:rFonts w:hint="eastAsia"/>
                          <w:szCs w:val="21"/>
                        </w:rPr>
                        <w:t>法定代表人的</w:t>
                      </w:r>
                      <w:r>
                        <w:rPr>
                          <w:rFonts w:hint="eastAsia" w:asciiTheme="minorEastAsia" w:hAnsiTheme="minorEastAsia" w:eastAsiaTheme="minorEastAsia"/>
                        </w:rPr>
                        <w:t>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p>
                    <w:p w14:paraId="2D471F2A">
                      <w:pPr>
                        <w:jc w:val="center"/>
                        <w:rPr>
                          <w:szCs w:val="21"/>
                        </w:rPr>
                      </w:pPr>
                      <w:r>
                        <w:rPr>
                          <w:rFonts w:hint="eastAsia"/>
                          <w:szCs w:val="21"/>
                        </w:rPr>
                        <w:t>粘贴处</w:t>
                      </w:r>
                    </w:p>
                  </w:txbxContent>
                </v:textbox>
              </v:shape>
            </w:pict>
          </mc:Fallback>
        </mc:AlternateContent>
      </w:r>
      <w:r>
        <w:rPr>
          <w:rFonts w:hint="eastAsia" w:ascii="宋体" w:hAnsi="宋体" w:eastAsia="宋体" w:cs="宋体"/>
          <w:color w:val="auto"/>
          <w:szCs w:val="21"/>
        </w:rP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0" t="0" r="17145" b="19685"/>
                <wp:wrapNone/>
                <wp:docPr id="9"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wps:spPr>
                      <wps:txbx>
                        <w:txbxContent>
                          <w:p w14:paraId="55A82208">
                            <w:pPr>
                              <w:jc w:val="center"/>
                              <w:rPr>
                                <w:rFonts w:asciiTheme="minorEastAsia" w:hAnsiTheme="minorEastAsia" w:eastAsiaTheme="minorEastAsia"/>
                                <w:bCs/>
                                <w:szCs w:val="21"/>
                              </w:rPr>
                            </w:pPr>
                            <w:r>
                              <w:rPr>
                                <w:rFonts w:hint="eastAsia"/>
                                <w:szCs w:val="21"/>
                              </w:rPr>
                              <w:t>法定代表人的</w:t>
                            </w:r>
                            <w:r>
                              <w:rPr>
                                <w:rFonts w:hint="eastAsia" w:asciiTheme="minorEastAsia" w:hAnsiTheme="minorEastAsia" w:eastAsiaTheme="minorEastAsia"/>
                              </w:rPr>
                              <w:t>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p>
                          <w:p w14:paraId="225E4327">
                            <w:pPr>
                              <w:jc w:val="center"/>
                              <w:rPr>
                                <w:szCs w:val="21"/>
                              </w:rPr>
                            </w:pPr>
                            <w:r>
                              <w:rPr>
                                <w:rFonts w:hint="eastAsia"/>
                                <w:szCs w:val="21"/>
                              </w:rPr>
                              <w:t>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E/ScbZgAgAAoQQAAA4AAABkcnMvZTJvRG9jLnhtbK1U&#10;zW7UMBC+I/EOlu80m21Du1GzVdWqCKnASoUH8DrOxsLxmLF3s+UEpwpx4AF4AW6cuMLTlJ+3YOKk&#10;ZVs49EAOlscz883MNzPZP1g3hq0Ueg224OnWiDNlJZTaLgr+4vnJgz3OfBC2FAasKvi58vxgev/e&#10;futyNYYaTKmQEYj1eesKXofg8iTxslaN8FvglCVlBdiIQCIukhJFS+iNScaj0cOkBSwdglTe0+tx&#10;r+QDIt4FEKpKS3UMctkoG3pUVEYEKsnX2nk+jdlWlZLhWVV5FZgpOFUa4klB6D7vzmS6L/IFCldr&#10;OaQg7pLCrZoaoS0FvYY6FkGwJeq/oBotETxUYUtCk/SFREaoinR0i5uzWjgVayGqvbsm3f8/WPl0&#10;NUOmy4JPOLOioYZ///L2x6f3lx+/5uzyw+dfb979/HZBD2zSkdU6n5PPmZthV653pyBfembhqBZ2&#10;oQ4Roa2VKCnFtLNPbjh0gidXNm+fQEmxxDJA5G1dYdMBEiNsHdtzft0etQ5M0uP2eLKbZRlnknTj&#10;NN2epFmMIfIrd4c+PFLQsO5S8MpAS4lhODRBoRVBzfrBizHF6tSHLkeRX/nFmsDo8kQbEwVczI8M&#10;spWgATqJ3xDSb5oZy1qiMBtnEfmGzm9CjOL3L4hGU4rM6Kbge5tGxg4sdsT1DQjr+XroxRzKc+IT&#10;oZ9s2mu61ICvOWtpqgvuXy0FKs7MY0s9maQ7O90aRGEn2x2TgJua+aZGWElQBQ+c9dej0K/O0qFe&#10;1BQpjeVaOKQ+VjqS2fW4z2rImyY3cjxsWbcam3K0+vNnmf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gIJXNkAAAALAQAADwAAAAAAAAABACAAAAAiAAAAZHJzL2Rvd25yZXYueG1sUEsBAhQAFAAA&#10;AAgAh07iQE/ScbZgAgAAoQQAAA4AAAAAAAAAAQAgAAAAKAEAAGRycy9lMm9Eb2MueG1sUEsFBgAA&#10;AAAGAAYAWQEAAPoFAAAAAA==&#10;">
                <v:fill on="t" focussize="0,0"/>
                <v:stroke color="#000000" miterlimit="8" joinstyle="miter"/>
                <v:imagedata o:title=""/>
                <o:lock v:ext="edit" aspectratio="f"/>
                <v:textbox>
                  <w:txbxContent>
                    <w:p w14:paraId="55A82208">
                      <w:pPr>
                        <w:jc w:val="center"/>
                        <w:rPr>
                          <w:rFonts w:asciiTheme="minorEastAsia" w:hAnsiTheme="minorEastAsia" w:eastAsiaTheme="minorEastAsia"/>
                          <w:bCs/>
                          <w:szCs w:val="21"/>
                        </w:rPr>
                      </w:pPr>
                      <w:r>
                        <w:rPr>
                          <w:rFonts w:hint="eastAsia"/>
                          <w:szCs w:val="21"/>
                        </w:rPr>
                        <w:t>法定代表人的</w:t>
                      </w:r>
                      <w:r>
                        <w:rPr>
                          <w:rFonts w:hint="eastAsia" w:asciiTheme="minorEastAsia" w:hAnsiTheme="minorEastAsia" w:eastAsiaTheme="minorEastAsia"/>
                        </w:rPr>
                        <w:t>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p>
                    <w:p w14:paraId="225E4327">
                      <w:pPr>
                        <w:jc w:val="center"/>
                        <w:rPr>
                          <w:szCs w:val="21"/>
                        </w:rPr>
                      </w:pPr>
                      <w:r>
                        <w:rPr>
                          <w:rFonts w:hint="eastAsia"/>
                          <w:szCs w:val="21"/>
                        </w:rPr>
                        <w:t>粘贴处</w:t>
                      </w:r>
                    </w:p>
                  </w:txbxContent>
                </v:textbox>
              </v:shape>
            </w:pict>
          </mc:Fallback>
        </mc:AlternateContent>
      </w:r>
    </w:p>
    <w:p w14:paraId="78E9F00D">
      <w:pPr>
        <w:pageBreakBefore w:val="0"/>
        <w:kinsoku/>
        <w:overflowPunct/>
        <w:bidi w:val="0"/>
        <w:spacing w:line="360" w:lineRule="auto"/>
        <w:rPr>
          <w:rFonts w:hint="eastAsia" w:ascii="宋体" w:hAnsi="宋体" w:eastAsia="宋体" w:cs="宋体"/>
          <w:color w:val="auto"/>
          <w:szCs w:val="21"/>
        </w:rPr>
      </w:pPr>
    </w:p>
    <w:p w14:paraId="463AE594">
      <w:pPr>
        <w:pageBreakBefore w:val="0"/>
        <w:kinsoku/>
        <w:overflowPunct/>
        <w:bidi w:val="0"/>
        <w:spacing w:line="360" w:lineRule="auto"/>
        <w:rPr>
          <w:rFonts w:hint="eastAsia" w:ascii="宋体" w:hAnsi="宋体" w:eastAsia="宋体" w:cs="宋体"/>
          <w:color w:val="auto"/>
          <w:szCs w:val="21"/>
        </w:rPr>
      </w:pPr>
    </w:p>
    <w:p w14:paraId="52864EA2">
      <w:pPr>
        <w:pageBreakBefore w:val="0"/>
        <w:kinsoku/>
        <w:overflowPunct/>
        <w:bidi w:val="0"/>
        <w:spacing w:line="360" w:lineRule="auto"/>
        <w:rPr>
          <w:rFonts w:hint="eastAsia" w:ascii="宋体" w:hAnsi="宋体" w:eastAsia="宋体" w:cs="宋体"/>
          <w:color w:val="auto"/>
          <w:szCs w:val="21"/>
        </w:rPr>
      </w:pPr>
    </w:p>
    <w:p w14:paraId="777B7D89">
      <w:pPr>
        <w:pageBreakBefore w:val="0"/>
        <w:kinsoku/>
        <w:overflowPunct/>
        <w:bidi w:val="0"/>
        <w:spacing w:line="360" w:lineRule="auto"/>
        <w:rPr>
          <w:rFonts w:hint="eastAsia" w:ascii="宋体" w:hAnsi="宋体" w:eastAsia="宋体" w:cs="宋体"/>
          <w:color w:val="auto"/>
          <w:szCs w:val="21"/>
        </w:rPr>
      </w:pPr>
    </w:p>
    <w:p w14:paraId="4E9CA2E6">
      <w:pPr>
        <w:pageBreakBefore w:val="0"/>
        <w:kinsoku/>
        <w:overflowPunct/>
        <w:bidi w:val="0"/>
        <w:spacing w:line="360" w:lineRule="auto"/>
        <w:rPr>
          <w:rFonts w:hint="eastAsia" w:ascii="宋体" w:hAnsi="宋体" w:eastAsia="宋体" w:cs="宋体"/>
          <w:color w:val="auto"/>
          <w:szCs w:val="21"/>
        </w:rPr>
      </w:pPr>
    </w:p>
    <w:p w14:paraId="46911F9A">
      <w:pPr>
        <w:pageBreakBefore w:val="0"/>
        <w:kinsoku/>
        <w:overflowPunct/>
        <w:bidi w:val="0"/>
        <w:spacing w:line="360" w:lineRule="auto"/>
        <w:rPr>
          <w:rFonts w:hint="eastAsia" w:ascii="宋体" w:hAnsi="宋体" w:eastAsia="宋体" w:cs="宋体"/>
          <w:color w:val="auto"/>
          <w:szCs w:val="21"/>
        </w:rPr>
      </w:pPr>
    </w:p>
    <w:p w14:paraId="127337CF">
      <w:pPr>
        <w:pageBreakBefore w:val="0"/>
        <w:kinsoku/>
        <w:overflowPunct/>
        <w:bidi w:val="0"/>
        <w:spacing w:line="360" w:lineRule="auto"/>
        <w:rPr>
          <w:rFonts w:hint="eastAsia" w:ascii="宋体" w:hAnsi="宋体" w:eastAsia="宋体" w:cs="宋体"/>
          <w:color w:val="auto"/>
          <w:szCs w:val="21"/>
        </w:rPr>
      </w:pPr>
    </w:p>
    <w:p w14:paraId="7AC3F546">
      <w:pPr>
        <w:pageBreakBefore w:val="0"/>
        <w:kinsoku/>
        <w:overflowPunct/>
        <w:bidi w:val="0"/>
        <w:spacing w:line="360" w:lineRule="auto"/>
        <w:rPr>
          <w:rFonts w:hint="eastAsia" w:ascii="宋体" w:hAnsi="宋体" w:eastAsia="宋体" w:cs="宋体"/>
          <w:color w:val="auto"/>
          <w:szCs w:val="21"/>
        </w:rPr>
      </w:pPr>
    </w:p>
    <w:p w14:paraId="6339087D">
      <w:pPr>
        <w:pageBreakBefore w:val="0"/>
        <w:kinsoku/>
        <w:overflowPunct/>
        <w:bidi w:val="0"/>
        <w:spacing w:line="360" w:lineRule="auto"/>
        <w:ind w:firstLine="1274" w:firstLineChars="607"/>
        <w:rPr>
          <w:rFonts w:hint="eastAsia" w:ascii="宋体" w:hAnsi="宋体" w:eastAsia="宋体" w:cs="宋体"/>
          <w:color w:val="auto"/>
          <w:szCs w:val="21"/>
        </w:rPr>
      </w:pPr>
      <w:r>
        <w:rPr>
          <w:rFonts w:hint="eastAsia" w:ascii="宋体" w:hAnsi="宋体" w:eastAsia="宋体" w:cs="宋体"/>
          <w:color w:val="auto"/>
          <w:szCs w:val="21"/>
        </w:rPr>
        <w:t>投标人名称：</w:t>
      </w:r>
      <w:r>
        <w:rPr>
          <w:rFonts w:hint="eastAsia" w:ascii="宋体" w:hAnsi="宋体" w:eastAsia="宋体" w:cs="宋体"/>
          <w:color w:val="auto"/>
          <w:szCs w:val="21"/>
          <w:u w:val="single"/>
        </w:rPr>
        <w:t xml:space="preserve">　　　　　　　　          </w:t>
      </w:r>
    </w:p>
    <w:p w14:paraId="269C0F66">
      <w:pPr>
        <w:pageBreakBefore w:val="0"/>
        <w:kinsoku/>
        <w:overflowPunct/>
        <w:bidi w:val="0"/>
        <w:spacing w:line="360" w:lineRule="auto"/>
        <w:ind w:firstLine="1274" w:firstLineChars="607"/>
        <w:jc w:val="left"/>
        <w:rPr>
          <w:rFonts w:hint="eastAsia" w:ascii="宋体" w:hAnsi="宋体" w:eastAsia="宋体" w:cs="宋体"/>
          <w:color w:val="auto"/>
          <w:szCs w:val="21"/>
        </w:rPr>
      </w:pPr>
      <w:r>
        <w:rPr>
          <w:rFonts w:hint="eastAsia" w:ascii="宋体" w:hAnsi="宋体" w:eastAsia="宋体" w:cs="宋体"/>
          <w:color w:val="auto"/>
        </w:rPr>
        <w:t>日期：</w:t>
      </w:r>
      <w:r>
        <w:rPr>
          <w:rFonts w:hint="eastAsia" w:ascii="宋体" w:hAnsi="宋体" w:eastAsia="宋体" w:cs="宋体"/>
          <w:color w:val="auto"/>
          <w:u w:val="single"/>
        </w:rPr>
        <w:t xml:space="preserve">_     __ </w:t>
      </w:r>
      <w:r>
        <w:rPr>
          <w:rFonts w:hint="eastAsia" w:ascii="宋体" w:hAnsi="宋体" w:eastAsia="宋体" w:cs="宋体"/>
          <w:color w:val="auto"/>
        </w:rPr>
        <w:t>年</w:t>
      </w:r>
      <w:r>
        <w:rPr>
          <w:rFonts w:hint="eastAsia" w:ascii="宋体" w:hAnsi="宋体" w:eastAsia="宋体" w:cs="宋体"/>
          <w:color w:val="auto"/>
          <w:u w:val="single"/>
        </w:rPr>
        <w:t>_     __</w:t>
      </w:r>
      <w:r>
        <w:rPr>
          <w:rFonts w:hint="eastAsia" w:ascii="宋体" w:hAnsi="宋体" w:eastAsia="宋体" w:cs="宋体"/>
          <w:color w:val="auto"/>
        </w:rPr>
        <w:t>月</w:t>
      </w:r>
      <w:r>
        <w:rPr>
          <w:rFonts w:hint="eastAsia" w:ascii="宋体" w:hAnsi="宋体" w:eastAsia="宋体" w:cs="宋体"/>
          <w:color w:val="auto"/>
          <w:u w:val="single"/>
        </w:rPr>
        <w:t>_    _ _</w:t>
      </w:r>
      <w:r>
        <w:rPr>
          <w:rFonts w:hint="eastAsia" w:ascii="宋体" w:hAnsi="宋体" w:eastAsia="宋体" w:cs="宋体"/>
          <w:color w:val="auto"/>
        </w:rPr>
        <w:t>日</w:t>
      </w:r>
    </w:p>
    <w:p w14:paraId="33472785">
      <w:pPr>
        <w:pageBreakBefore w:val="0"/>
        <w:kinsoku/>
        <w:overflowPunct/>
        <w:bidi w:val="0"/>
        <w:spacing w:line="360" w:lineRule="auto"/>
        <w:rPr>
          <w:rFonts w:hint="eastAsia" w:ascii="宋体" w:hAnsi="宋体" w:eastAsia="宋体" w:cs="宋体"/>
          <w:b/>
          <w:color w:val="auto"/>
        </w:rPr>
      </w:pPr>
    </w:p>
    <w:p w14:paraId="6949938E">
      <w:pPr>
        <w:pageBreakBefore w:val="0"/>
        <w:kinsoku/>
        <w:overflowPunct/>
        <w:bidi w:val="0"/>
        <w:spacing w:line="360" w:lineRule="auto"/>
        <w:rPr>
          <w:rFonts w:hint="eastAsia" w:ascii="宋体" w:hAnsi="宋体" w:eastAsia="宋体" w:cs="宋体"/>
          <w:b/>
          <w:color w:val="auto"/>
          <w:lang w:eastAsia="zh-CN"/>
        </w:rPr>
      </w:pPr>
    </w:p>
    <w:p w14:paraId="094C6175">
      <w:pPr>
        <w:pageBreakBefore w:val="0"/>
        <w:kinsoku/>
        <w:overflowPunct/>
        <w:bidi w:val="0"/>
        <w:spacing w:line="360" w:lineRule="auto"/>
        <w:rPr>
          <w:rFonts w:hint="eastAsia" w:ascii="宋体" w:hAnsi="宋体" w:eastAsia="宋体" w:cs="宋体"/>
          <w:color w:val="auto"/>
        </w:rPr>
      </w:pPr>
      <w:r>
        <w:rPr>
          <w:rFonts w:hint="eastAsia" w:ascii="宋体" w:hAnsi="宋体" w:eastAsia="宋体" w:cs="宋体"/>
          <w:b/>
          <w:color w:val="auto"/>
        </w:rPr>
        <w:t>编制要求</w:t>
      </w:r>
      <w:r>
        <w:rPr>
          <w:rFonts w:hint="eastAsia" w:ascii="宋体" w:hAnsi="宋体" w:eastAsia="宋体" w:cs="宋体"/>
          <w:color w:val="auto"/>
        </w:rPr>
        <w:t>：除本文件允许投标人进行填写的内容以外，投标人不得对本文件进行修改。</w:t>
      </w:r>
    </w:p>
    <w:p w14:paraId="16D01536">
      <w:pPr>
        <w:pStyle w:val="39"/>
        <w:pageBreakBefore w:val="0"/>
        <w:numPr>
          <w:ilvl w:val="0"/>
          <w:numId w:val="29"/>
        </w:numPr>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r>
        <w:rPr>
          <w:rFonts w:hint="eastAsia" w:ascii="宋体" w:hAnsi="宋体" w:eastAsia="宋体" w:cs="宋体"/>
          <w:color w:val="auto"/>
          <w:szCs w:val="21"/>
        </w:rPr>
        <w:br w:type="page"/>
      </w:r>
      <w:bookmarkStart w:id="1501" w:name="_Toc475472675"/>
      <w:bookmarkStart w:id="1502" w:name="_Toc31895"/>
      <w:bookmarkStart w:id="1503" w:name="_Toc38008083"/>
      <w:bookmarkStart w:id="1504" w:name="_Toc438052122"/>
      <w:r>
        <w:rPr>
          <w:rFonts w:hint="eastAsia" w:ascii="宋体" w:hAnsi="宋体" w:eastAsia="宋体" w:cs="宋体"/>
          <w:color w:val="auto"/>
          <w:sz w:val="24"/>
          <w:szCs w:val="24"/>
        </w:rPr>
        <w:t>法定代表人/负责人授权委托书</w:t>
      </w:r>
      <w:bookmarkEnd w:id="1501"/>
      <w:bookmarkEnd w:id="1502"/>
      <w:bookmarkEnd w:id="1503"/>
      <w:bookmarkEnd w:id="1504"/>
    </w:p>
    <w:p w14:paraId="4FD338DD">
      <w:pPr>
        <w:pageBreakBefore w:val="0"/>
        <w:kinsoku/>
        <w:overflowPunct/>
        <w:bidi w:val="0"/>
        <w:spacing w:line="360" w:lineRule="auto"/>
        <w:jc w:val="center"/>
        <w:rPr>
          <w:rFonts w:hint="eastAsia" w:ascii="宋体" w:hAnsi="宋体" w:eastAsia="宋体" w:cs="宋体"/>
          <w:b/>
          <w:color w:val="auto"/>
          <w:sz w:val="24"/>
        </w:rPr>
      </w:pPr>
    </w:p>
    <w:p w14:paraId="250B0E6A">
      <w:pPr>
        <w:pageBreakBefore w:val="0"/>
        <w:kinsoku/>
        <w:overflowPunct/>
        <w:bidi w:val="0"/>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法定代表人/负责人授权委托书</w:t>
      </w:r>
    </w:p>
    <w:p w14:paraId="12E3B8DC">
      <w:pPr>
        <w:pageBreakBefore w:val="0"/>
        <w:kinsoku/>
        <w:overflowPunct/>
        <w:bidi w:val="0"/>
        <w:spacing w:line="360" w:lineRule="auto"/>
        <w:jc w:val="center"/>
        <w:rPr>
          <w:rFonts w:hint="eastAsia" w:ascii="宋体" w:hAnsi="宋体" w:eastAsia="宋体" w:cs="宋体"/>
          <w:b/>
          <w:color w:val="auto"/>
          <w:sz w:val="24"/>
        </w:rPr>
      </w:pPr>
    </w:p>
    <w:p w14:paraId="0B44E2F8">
      <w:pPr>
        <w:pageBreakBefore w:val="0"/>
        <w:kinsoku/>
        <w:overflowPunct/>
        <w:topLinePunct/>
        <w:bidi w:val="0"/>
        <w:snapToGrid w:val="0"/>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本人</w:t>
      </w:r>
      <w:r>
        <w:rPr>
          <w:rFonts w:hint="eastAsia" w:ascii="宋体" w:hAnsi="宋体" w:eastAsia="宋体" w:cs="宋体"/>
          <w:color w:val="auto"/>
          <w:u w:val="single"/>
        </w:rPr>
        <w:t>【XX</w:t>
      </w:r>
      <w:r>
        <w:rPr>
          <w:rFonts w:hint="eastAsia" w:ascii="宋体" w:hAnsi="宋体" w:eastAsia="宋体" w:cs="宋体"/>
          <w:color w:val="auto"/>
          <w:szCs w:val="21"/>
          <w:u w:val="single"/>
        </w:rPr>
        <w:t xml:space="preserve"> [投标人法定代表人/负责人姓名]</w:t>
      </w:r>
      <w:r>
        <w:rPr>
          <w:rFonts w:hint="eastAsia" w:ascii="宋体" w:hAnsi="宋体" w:eastAsia="宋体" w:cs="宋体"/>
          <w:color w:val="auto"/>
          <w:u w:val="single"/>
        </w:rPr>
        <w:t>】</w:t>
      </w:r>
      <w:r>
        <w:rPr>
          <w:rFonts w:hint="eastAsia" w:ascii="宋体" w:hAnsi="宋体" w:eastAsia="宋体" w:cs="宋体"/>
          <w:bCs/>
          <w:color w:val="auto"/>
          <w:szCs w:val="21"/>
        </w:rPr>
        <w:t xml:space="preserve">系 </w:t>
      </w:r>
      <w:r>
        <w:rPr>
          <w:rFonts w:hint="eastAsia" w:ascii="宋体" w:hAnsi="宋体" w:eastAsia="宋体" w:cs="宋体"/>
          <w:color w:val="auto"/>
          <w:u w:val="single"/>
        </w:rPr>
        <w:t>【XX公司</w:t>
      </w:r>
      <w:r>
        <w:rPr>
          <w:rFonts w:hint="eastAsia" w:ascii="宋体" w:hAnsi="宋体" w:eastAsia="宋体" w:cs="宋体"/>
          <w:color w:val="auto"/>
          <w:szCs w:val="21"/>
          <w:u w:val="single"/>
        </w:rPr>
        <w:t>[投标人名称]</w:t>
      </w:r>
      <w:r>
        <w:rPr>
          <w:rFonts w:hint="eastAsia" w:ascii="宋体" w:hAnsi="宋体" w:eastAsia="宋体" w:cs="宋体"/>
          <w:color w:val="auto"/>
          <w:u w:val="single"/>
        </w:rPr>
        <w:t>】</w:t>
      </w:r>
      <w:r>
        <w:rPr>
          <w:rFonts w:hint="eastAsia" w:ascii="宋体" w:hAnsi="宋体" w:eastAsia="宋体" w:cs="宋体"/>
          <w:bCs/>
          <w:color w:val="auto"/>
          <w:szCs w:val="21"/>
        </w:rPr>
        <w:t>的法定代表人/负责人，现委托</w:t>
      </w:r>
      <w:r>
        <w:rPr>
          <w:rFonts w:hint="eastAsia" w:ascii="宋体" w:hAnsi="宋体" w:eastAsia="宋体" w:cs="宋体"/>
          <w:color w:val="auto"/>
          <w:u w:val="single"/>
        </w:rPr>
        <w:t>【XX</w:t>
      </w:r>
      <w:r>
        <w:rPr>
          <w:rFonts w:hint="eastAsia" w:ascii="宋体" w:hAnsi="宋体" w:eastAsia="宋体" w:cs="宋体"/>
          <w:color w:val="auto"/>
          <w:szCs w:val="21"/>
          <w:u w:val="single"/>
        </w:rPr>
        <w:t xml:space="preserve"> [委托代理人姓名]</w:t>
      </w:r>
      <w:r>
        <w:rPr>
          <w:rFonts w:hint="eastAsia" w:ascii="宋体" w:hAnsi="宋体" w:eastAsia="宋体" w:cs="宋体"/>
          <w:color w:val="auto"/>
          <w:u w:val="single"/>
        </w:rPr>
        <w:t>】</w:t>
      </w:r>
      <w:r>
        <w:rPr>
          <w:rFonts w:hint="eastAsia" w:ascii="宋体" w:hAnsi="宋体" w:eastAsia="宋体" w:cs="宋体"/>
          <w:bCs/>
          <w:color w:val="auto"/>
          <w:szCs w:val="21"/>
        </w:rPr>
        <w:t>为我方代理人。代理人根据授权，以我方名义全权处理</w:t>
      </w:r>
      <w:r>
        <w:rPr>
          <w:rFonts w:hint="eastAsia" w:ascii="宋体" w:hAnsi="宋体" w:eastAsia="宋体" w:cs="宋体"/>
          <w:color w:val="auto"/>
          <w:u w:val="single"/>
        </w:rPr>
        <w:t>【XX</w:t>
      </w:r>
      <w:r>
        <w:rPr>
          <w:rFonts w:hint="eastAsia" w:ascii="宋体" w:hAnsi="宋体" w:eastAsia="宋体" w:cs="宋体"/>
          <w:color w:val="auto"/>
          <w:szCs w:val="21"/>
          <w:u w:val="single"/>
        </w:rPr>
        <w:t>项目[</w:t>
      </w:r>
      <w:r>
        <w:rPr>
          <w:rFonts w:hint="eastAsia" w:ascii="宋体" w:hAnsi="宋体" w:eastAsia="宋体" w:cs="宋体"/>
          <w:bCs/>
          <w:color w:val="auto"/>
          <w:szCs w:val="21"/>
          <w:u w:val="single"/>
        </w:rPr>
        <w:t>招标项目名称</w:t>
      </w:r>
      <w:r>
        <w:rPr>
          <w:rFonts w:hint="eastAsia" w:ascii="宋体" w:hAnsi="宋体" w:eastAsia="宋体" w:cs="宋体"/>
          <w:color w:val="auto"/>
          <w:szCs w:val="21"/>
          <w:u w:val="single"/>
        </w:rPr>
        <w:t>]</w:t>
      </w:r>
      <w:r>
        <w:rPr>
          <w:rFonts w:hint="eastAsia" w:ascii="宋体" w:hAnsi="宋体" w:eastAsia="宋体" w:cs="宋体"/>
          <w:color w:val="auto"/>
          <w:u w:val="single"/>
        </w:rPr>
        <w:t>】【XX</w:t>
      </w:r>
      <w:r>
        <w:rPr>
          <w:rFonts w:hint="eastAsia" w:ascii="宋体" w:hAnsi="宋体" w:eastAsia="宋体" w:cs="宋体"/>
          <w:color w:val="auto"/>
          <w:szCs w:val="21"/>
          <w:u w:val="single"/>
        </w:rPr>
        <w:t>标包[标包名称]</w:t>
      </w:r>
      <w:r>
        <w:rPr>
          <w:rFonts w:hint="eastAsia" w:ascii="宋体" w:hAnsi="宋体" w:eastAsia="宋体" w:cs="宋体"/>
          <w:color w:val="auto"/>
          <w:u w:val="single"/>
        </w:rPr>
        <w:t>】【</w:t>
      </w:r>
      <w:r>
        <w:rPr>
          <w:rFonts w:hint="eastAsia" w:ascii="宋体" w:hAnsi="宋体" w:eastAsia="宋体" w:cs="宋体"/>
          <w:bCs/>
          <w:color w:val="auto"/>
          <w:szCs w:val="21"/>
          <w:u w:val="single"/>
        </w:rPr>
        <w:t>签署、澄清、说明、补正、递交、撤回、修改投标文件，签订合同和处理一切有关事宜</w:t>
      </w:r>
      <w:r>
        <w:rPr>
          <w:rFonts w:hint="eastAsia" w:ascii="宋体" w:hAnsi="宋体" w:eastAsia="宋体" w:cs="宋体"/>
          <w:color w:val="auto"/>
          <w:u w:val="single"/>
        </w:rPr>
        <w:t>】</w:t>
      </w:r>
      <w:r>
        <w:rPr>
          <w:rFonts w:hint="eastAsia" w:ascii="宋体" w:hAnsi="宋体" w:eastAsia="宋体" w:cs="宋体"/>
          <w:bCs/>
          <w:color w:val="auto"/>
          <w:szCs w:val="21"/>
        </w:rPr>
        <w:t xml:space="preserve">，其法律后果由我方承担。 </w:t>
      </w:r>
    </w:p>
    <w:p w14:paraId="162B7A8A">
      <w:pPr>
        <w:pageBreakBefore w:val="0"/>
        <w:kinsoku/>
        <w:overflowPunct/>
        <w:topLinePunct/>
        <w:bidi w:val="0"/>
        <w:snapToGrid w:val="0"/>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委托期限：</w:t>
      </w:r>
      <w:r>
        <w:rPr>
          <w:rFonts w:hint="eastAsia" w:ascii="宋体" w:hAnsi="宋体" w:eastAsia="宋体" w:cs="宋体"/>
          <w:bCs/>
          <w:color w:val="auto"/>
          <w:szCs w:val="21"/>
          <w:u w:val="single"/>
          <w:lang w:val="en-US" w:eastAsia="zh-CN"/>
        </w:rPr>
        <w:t xml:space="preserve">    </w:t>
      </w:r>
      <w:r>
        <w:rPr>
          <w:rFonts w:hint="eastAsia" w:ascii="宋体" w:hAnsi="宋体" w:eastAsia="宋体" w:cs="宋体"/>
          <w:bCs/>
          <w:color w:val="auto"/>
          <w:szCs w:val="21"/>
          <w:lang w:val="en-US" w:eastAsia="zh-CN"/>
        </w:rPr>
        <w:t xml:space="preserve"> </w:t>
      </w:r>
      <w:r>
        <w:rPr>
          <w:rFonts w:hint="eastAsia" w:ascii="宋体" w:hAnsi="宋体" w:eastAsia="宋体" w:cs="宋体"/>
          <w:bCs/>
          <w:color w:val="auto"/>
          <w:szCs w:val="21"/>
        </w:rPr>
        <w:t>。</w:t>
      </w:r>
    </w:p>
    <w:p w14:paraId="0F7B8569">
      <w:pPr>
        <w:pageBreakBefore w:val="0"/>
        <w:kinsoku/>
        <w:overflowPunct/>
        <w:topLinePunct/>
        <w:bidi w:val="0"/>
        <w:snapToGrid w:val="0"/>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委托代理人无转委托权。</w:t>
      </w:r>
    </w:p>
    <w:p w14:paraId="156FD326">
      <w:pPr>
        <w:pageBreakBefore w:val="0"/>
        <w:kinsoku/>
        <w:overflowPunct/>
        <w:bidi w:val="0"/>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附：</w:t>
      </w:r>
    </w:p>
    <w:p w14:paraId="2D028669">
      <w:pPr>
        <w:pageBreakBefore w:val="0"/>
        <w:kinsoku/>
        <w:overflowPunct/>
        <w:bidi w:val="0"/>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1.委托代理人</w:t>
      </w:r>
      <w:r>
        <w:rPr>
          <w:rFonts w:hint="eastAsia" w:ascii="宋体" w:hAnsi="宋体" w:eastAsia="宋体" w:cs="宋体"/>
          <w:color w:val="auto"/>
        </w:rPr>
        <w:t>的合法有效身份证明</w:t>
      </w:r>
      <w:r>
        <w:rPr>
          <w:rFonts w:hint="eastAsia" w:ascii="宋体" w:hAnsi="宋体" w:eastAsia="宋体" w:cs="宋体"/>
          <w:bCs/>
          <w:color w:val="auto"/>
          <w:szCs w:val="21"/>
        </w:rPr>
        <w:t>复印件或扫描件(如提供中华人民共和国居民身份证的，需同时提供国徽面及人像面)</w:t>
      </w:r>
    </w:p>
    <w:p w14:paraId="6DFFF8FF">
      <w:pPr>
        <w:pageBreakBefore w:val="0"/>
        <w:kinsoku/>
        <w:overflowPunct/>
        <w:topLinePunct/>
        <w:bidi w:val="0"/>
        <w:snapToGrid w:val="0"/>
        <w:spacing w:line="360" w:lineRule="auto"/>
        <w:ind w:firstLine="2310" w:firstLineChars="1100"/>
        <w:rPr>
          <w:rFonts w:hint="eastAsia" w:ascii="宋体" w:hAnsi="宋体" w:eastAsia="宋体" w:cs="宋体"/>
          <w:bCs/>
          <w:color w:val="auto"/>
          <w:szCs w:val="21"/>
        </w:rPr>
      </w:pPr>
      <w:r>
        <w:rPr>
          <w:rFonts w:hint="eastAsia" w:ascii="宋体" w:hAnsi="宋体" w:eastAsia="宋体" w:cs="宋体"/>
          <w:bCs/>
          <w:color w:val="auto"/>
          <w:szCs w:val="21"/>
        </w:rPr>
        <w:t>投标人名称：</w:t>
      </w:r>
      <w:r>
        <w:rPr>
          <w:rFonts w:hint="eastAsia" w:ascii="宋体" w:hAnsi="宋体" w:eastAsia="宋体" w:cs="宋体"/>
          <w:bCs/>
          <w:color w:val="auto"/>
          <w:szCs w:val="21"/>
          <w:u w:val="single"/>
        </w:rPr>
        <w:t xml:space="preserve">                                        </w:t>
      </w:r>
    </w:p>
    <w:p w14:paraId="76C2ABB7">
      <w:pPr>
        <w:pageBreakBefore w:val="0"/>
        <w:kinsoku/>
        <w:overflowPunct/>
        <w:topLinePunct/>
        <w:bidi w:val="0"/>
        <w:snapToGrid w:val="0"/>
        <w:spacing w:line="360" w:lineRule="auto"/>
        <w:ind w:firstLine="2310" w:firstLineChars="1100"/>
        <w:rPr>
          <w:rFonts w:hint="eastAsia" w:ascii="宋体" w:hAnsi="宋体" w:eastAsia="宋体" w:cs="宋体"/>
          <w:bCs/>
          <w:color w:val="auto"/>
          <w:szCs w:val="21"/>
        </w:rPr>
      </w:pPr>
      <w:r>
        <w:rPr>
          <w:rFonts w:hint="eastAsia" w:ascii="宋体" w:hAnsi="宋体" w:eastAsia="宋体" w:cs="宋体"/>
          <w:bCs/>
          <w:color w:val="auto"/>
          <w:szCs w:val="21"/>
        </w:rPr>
        <w:t>委托代理人上级领导（姓名）：</w:t>
      </w:r>
      <w:r>
        <w:rPr>
          <w:rFonts w:hint="eastAsia" w:ascii="宋体" w:hAnsi="宋体" w:eastAsia="宋体" w:cs="宋体"/>
          <w:bCs/>
          <w:color w:val="auto"/>
          <w:szCs w:val="21"/>
          <w:u w:val="single"/>
        </w:rPr>
        <w:t xml:space="preserve">                         </w:t>
      </w:r>
    </w:p>
    <w:p w14:paraId="05BBCF0E">
      <w:pPr>
        <w:pageBreakBefore w:val="0"/>
        <w:kinsoku/>
        <w:overflowPunct/>
        <w:topLinePunct/>
        <w:bidi w:val="0"/>
        <w:snapToGrid w:val="0"/>
        <w:spacing w:line="360" w:lineRule="auto"/>
        <w:ind w:firstLine="2310" w:firstLineChars="1100"/>
        <w:rPr>
          <w:rFonts w:hint="eastAsia" w:ascii="宋体" w:hAnsi="宋体" w:eastAsia="宋体" w:cs="宋体"/>
          <w:bCs/>
          <w:color w:val="auto"/>
          <w:szCs w:val="21"/>
        </w:rPr>
      </w:pPr>
      <w:r>
        <w:rPr>
          <w:rFonts w:hint="eastAsia" w:ascii="宋体" w:hAnsi="宋体" w:eastAsia="宋体" w:cs="宋体"/>
          <w:bCs/>
          <w:color w:val="auto"/>
          <w:szCs w:val="21"/>
        </w:rPr>
        <w:t>联系方式（手机）：</w:t>
      </w:r>
      <w:r>
        <w:rPr>
          <w:rFonts w:hint="eastAsia" w:ascii="宋体" w:hAnsi="宋体" w:eastAsia="宋体" w:cs="宋体"/>
          <w:bCs/>
          <w:color w:val="auto"/>
          <w:szCs w:val="21"/>
          <w:u w:val="single"/>
        </w:rPr>
        <w:t xml:space="preserve">                                   </w:t>
      </w:r>
    </w:p>
    <w:p w14:paraId="0577896D">
      <w:pPr>
        <w:pageBreakBefore w:val="0"/>
        <w:kinsoku/>
        <w:overflowPunct/>
        <w:topLinePunct/>
        <w:bidi w:val="0"/>
        <w:snapToGrid w:val="0"/>
        <w:spacing w:line="360" w:lineRule="auto"/>
        <w:ind w:firstLine="2373" w:firstLineChars="1130"/>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xml:space="preserve">_     __ </w:t>
      </w:r>
      <w:r>
        <w:rPr>
          <w:rFonts w:hint="eastAsia" w:ascii="宋体" w:hAnsi="宋体" w:eastAsia="宋体" w:cs="宋体"/>
          <w:color w:val="auto"/>
        </w:rPr>
        <w:t>年</w:t>
      </w:r>
      <w:r>
        <w:rPr>
          <w:rFonts w:hint="eastAsia" w:ascii="宋体" w:hAnsi="宋体" w:eastAsia="宋体" w:cs="宋体"/>
          <w:color w:val="auto"/>
          <w:u w:val="single"/>
        </w:rPr>
        <w:t>_     __</w:t>
      </w:r>
      <w:r>
        <w:rPr>
          <w:rFonts w:hint="eastAsia" w:ascii="宋体" w:hAnsi="宋体" w:eastAsia="宋体" w:cs="宋体"/>
          <w:color w:val="auto"/>
        </w:rPr>
        <w:t>月</w:t>
      </w:r>
      <w:r>
        <w:rPr>
          <w:rFonts w:hint="eastAsia" w:ascii="宋体" w:hAnsi="宋体" w:eastAsia="宋体" w:cs="宋体"/>
          <w:color w:val="auto"/>
          <w:u w:val="single"/>
        </w:rPr>
        <w:t>_    _ _</w:t>
      </w:r>
      <w:r>
        <w:rPr>
          <w:rFonts w:hint="eastAsia" w:ascii="宋体" w:hAnsi="宋体" w:eastAsia="宋体" w:cs="宋体"/>
          <w:color w:val="auto"/>
        </w:rPr>
        <w:t>日</w:t>
      </w:r>
    </w:p>
    <w:p w14:paraId="67458FC2">
      <w:pPr>
        <w:pageBreakBefore w:val="0"/>
        <w:kinsoku/>
        <w:overflowPunct/>
        <w:topLinePunct/>
        <w:bidi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mc:AlternateContent>
          <mc:Choice Requires="wps">
            <w:drawing>
              <wp:anchor distT="0" distB="0" distL="114300" distR="114300" simplePos="0" relativeHeight="251662336" behindDoc="0" locked="0" layoutInCell="1" allowOverlap="1">
                <wp:simplePos x="0" y="0"/>
                <wp:positionH relativeFrom="column">
                  <wp:posOffset>2641600</wp:posOffset>
                </wp:positionH>
                <wp:positionV relativeFrom="paragraph">
                  <wp:posOffset>234950</wp:posOffset>
                </wp:positionV>
                <wp:extent cx="3297555" cy="1875790"/>
                <wp:effectExtent l="0" t="0" r="17145" b="1016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1875790"/>
                        </a:xfrm>
                        <a:prstGeom prst="flowChartAlternateProcess">
                          <a:avLst/>
                        </a:prstGeom>
                        <a:solidFill>
                          <a:srgbClr val="FFFFFF"/>
                        </a:solidFill>
                        <a:ln w="9525">
                          <a:solidFill>
                            <a:srgbClr val="000000"/>
                          </a:solidFill>
                          <a:miter lim="800000"/>
                        </a:ln>
                      </wps:spPr>
                      <wps:txbx>
                        <w:txbxContent>
                          <w:p w14:paraId="3437713A">
                            <w:pPr>
                              <w:jc w:val="center"/>
                              <w:rPr>
                                <w:szCs w:val="21"/>
                              </w:rPr>
                            </w:pPr>
                            <w:r>
                              <w:rPr>
                                <w:rFonts w:hint="eastAsia" w:asciiTheme="minorEastAsia" w:hAnsiTheme="minorEastAsia" w:eastAsiaTheme="minorEastAsia"/>
                                <w:bCs/>
                                <w:szCs w:val="21"/>
                              </w:rPr>
                              <w:t>委托代理人</w:t>
                            </w:r>
                            <w:r>
                              <w:rPr>
                                <w:rFonts w:hint="eastAsia" w:asciiTheme="minorEastAsia" w:hAnsiTheme="minorEastAsia" w:eastAsiaTheme="minorEastAsia"/>
                              </w:rPr>
                              <w:t>的合法有效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r>
                              <w:rPr>
                                <w:rFonts w:hint="eastAsia"/>
                                <w:szCs w:val="21"/>
                              </w:rPr>
                              <w:t>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pt;margin-top:18.5pt;height:147.7pt;width:259.65pt;z-index:251662336;mso-width-relative:page;mso-height-relative:page;" fillcolor="#FFFFFF" filled="t" stroked="t" coordsize="21600,21600" o:gfxdata="UEsDBAoAAAAAAIdO4kAAAAAAAAAAAAAAAAAEAAAAZHJzL1BLAwQUAAAACACHTuJAl2FgMtkAAAAK&#10;AQAADwAAAGRycy9kb3ducmV2LnhtbE2PwU7DMBBE70j8g7VI3KiTuqRtGqdCIDhxIVTi6sRuHBGv&#10;o9hJA1/PcoLTandGs2+K4+J6NpsxdB4lpKsEmMHG6w5bCaf357sdsBAVatV7NBK+TIBjeX1VqFz7&#10;C76ZuYotoxAMuZJgYxxyzkNjjVNh5QeDpJ396FSkdWy5HtWFwl3P10mScac6pA9WDebRmuazmpyE&#10;5fW73k8vaVNFu8u2H2J+ejhxKW9v0uQALJol/pnhF5/QoSSm2k+oA+slbNKMukQJYkuTDHtxL4DV&#10;dBDrDfCy4P8rlD9QSwMEFAAAAAgAh07iQHjYyQ9hAgAAoQQAAA4AAABkcnMvZTJvRG9jLnhtbK1U&#10;zW4TMRC+I/EOlu90k9AlyaqbqmpVhFSgUuEBHK83a2F7zNjJppzghBAHHoAX4MaJKzxN+XkLZr1p&#10;SQuHHtiD5fHYn+f7Ps/u7a+tYSuFQYMr+XBnwJlyEirtFiV//uz43oSzEIWrhAGnSn6uAt+f3b2z&#10;1/pCjaABUylkBOJC0fqSNzH6IsuCbJQVYQe8cpSsAa2IFOIiq1C0hG5NNhoMHmQtYOURpAqBVo/6&#10;JN8g4m0Aoa61VEcgl1a52KOiMiISpdBoH/gsVVvXSsandR1UZKbkxDSmkS6h+bwbs9meKBYofKPl&#10;pgRxmxJucLJCO7r0CupIRMGWqP+CsloiBKjjjgSb9USSIsRiOLihzVkjvEpcSOrgr0QP/w9WPlmd&#10;ItNVycl2JywZ/v3Lmx+f3l98/Fqwiw+ff71+9/PbW1pgk06s1oeCzpz5U+zoBn8C8kVgDg4b4Rbq&#10;ABHaRomKShx2+7NrB7og0FE2bx9DRXeJZYSk27pG2wGSImyd7Dm/sketI5O0eH80Hed5zpmk3HAy&#10;zsfTZGAmisvjHkN8qMCyblLy2kBLhWE8MFGhE1Gd9g8v3SlWJyF2NYri8lziBEZXx9qYFOBifmiQ&#10;rQQ9oOP0JVpEfXubcawt+TQf5Qn5Wi5sQwzS9y8Iq6lEZrQlK7Y3GbdRsROuNyCu5+uNF3OozklP&#10;hP5lU1/TpAF8xVlLr7rk4eVSoOLMPHLkyXS4u9u1QQp28/GIAtzOzLczwkmCKnnkrJ8exr51lh71&#10;oqGbhomugwPysdZJzM7jvqpN3fRyk8abLutaYztOu/78WW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JdhYDLZAAAACgEAAA8AAAAAAAAAAQAgAAAAIgAAAGRycy9kb3ducmV2LnhtbFBLAQIUABQA&#10;AAAIAIdO4kB42MkPYQIAAKEEAAAOAAAAAAAAAAEAIAAAACgBAABkcnMvZTJvRG9jLnhtbFBLBQYA&#10;AAAABgAGAFkBAAD7BQAAAAA=&#10;">
                <v:fill on="t" focussize="0,0"/>
                <v:stroke color="#000000" miterlimit="8" joinstyle="miter"/>
                <v:imagedata o:title=""/>
                <o:lock v:ext="edit" aspectratio="f"/>
                <v:textbox>
                  <w:txbxContent>
                    <w:p w14:paraId="3437713A">
                      <w:pPr>
                        <w:jc w:val="center"/>
                        <w:rPr>
                          <w:szCs w:val="21"/>
                        </w:rPr>
                      </w:pPr>
                      <w:r>
                        <w:rPr>
                          <w:rFonts w:hint="eastAsia" w:asciiTheme="minorEastAsia" w:hAnsiTheme="minorEastAsia" w:eastAsiaTheme="minorEastAsia"/>
                          <w:bCs/>
                          <w:szCs w:val="21"/>
                        </w:rPr>
                        <w:t>委托代理人</w:t>
                      </w:r>
                      <w:r>
                        <w:rPr>
                          <w:rFonts w:hint="eastAsia" w:asciiTheme="minorEastAsia" w:hAnsiTheme="minorEastAsia" w:eastAsiaTheme="minorEastAsia"/>
                        </w:rPr>
                        <w:t>的合法有效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r>
                        <w:rPr>
                          <w:rFonts w:hint="eastAsia"/>
                          <w:szCs w:val="21"/>
                        </w:rPr>
                        <w:t>粘贴处</w:t>
                      </w:r>
                    </w:p>
                  </w:txbxContent>
                </v:textbox>
              </v:shape>
            </w:pict>
          </mc:Fallback>
        </mc:AlternateContent>
      </w:r>
      <w:r>
        <w:rPr>
          <w:rFonts w:hint="eastAsia" w:ascii="宋体" w:hAnsi="宋体" w:eastAsia="宋体" w:cs="宋体"/>
          <w:color w:val="auto"/>
          <w:szCs w:val="21"/>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1875790"/>
                <wp:effectExtent l="0" t="0" r="17145" b="10160"/>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3297555" cy="1875790"/>
                        </a:xfrm>
                        <a:prstGeom prst="flowChartAlternateProcess">
                          <a:avLst/>
                        </a:prstGeom>
                        <a:solidFill>
                          <a:srgbClr val="FFFFFF"/>
                        </a:solidFill>
                        <a:ln w="9525">
                          <a:solidFill>
                            <a:srgbClr val="000000"/>
                          </a:solidFill>
                          <a:miter lim="800000"/>
                        </a:ln>
                      </wps:spPr>
                      <wps:txbx>
                        <w:txbxContent>
                          <w:p w14:paraId="78A71E91">
                            <w:pPr>
                              <w:jc w:val="center"/>
                              <w:rPr>
                                <w:szCs w:val="21"/>
                              </w:rPr>
                            </w:pPr>
                            <w:r>
                              <w:rPr>
                                <w:rFonts w:hint="eastAsia" w:asciiTheme="minorEastAsia" w:hAnsiTheme="minorEastAsia" w:eastAsiaTheme="minorEastAsia"/>
                                <w:bCs/>
                                <w:szCs w:val="21"/>
                              </w:rPr>
                              <w:t>委托代理人</w:t>
                            </w:r>
                            <w:r>
                              <w:rPr>
                                <w:rFonts w:hint="eastAsia" w:asciiTheme="minorEastAsia" w:hAnsiTheme="minorEastAsia" w:eastAsiaTheme="minorEastAsia"/>
                              </w:rPr>
                              <w:t>的合法有效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r>
                              <w:rPr>
                                <w:rFonts w:hint="eastAsia"/>
                                <w:szCs w:val="21"/>
                              </w:rPr>
                              <w:t>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18.8pt;height:147.7pt;width:259.65pt;z-index:251661312;mso-width-relative:page;mso-height-relative:page;" fillcolor="#FFFFFF" filled="t" stroked="t" coordsize="21600,21600" o:gfxdata="UEsDBAoAAAAAAIdO4kAAAAAAAAAAAAAAAAAEAAAAZHJzL1BLAwQUAAAACACHTuJAacbT39gAAAAL&#10;AQAADwAAAGRycy9kb3ducmV2LnhtbE2PTU+EMBCG7yb+h2ZMvO22XQysLGVjNHryIm7itdBZINKW&#10;0MKiv97xpLf5ePLOM8VxtQNbcAq9dwrkVgBD13jTu1bB6f15swcWonZGD96hgi8McCyvrwqdG39x&#10;b7hUsWUU4kKuFXQxjjnnoenQ6rD1Izranf1kdaR2armZ9IXC7cB3QqTc6t7RhU6P+Nhh81nNVsH6&#10;+l3fzy+yqWK3T7OPZHl6OHGlbm+kOACLuMY/GH71SR1Kcqr97Exgg4KNFLuMWAVJlgIj4k6mVNQ0&#10;SBIBvCz4/x/KH1BLAwQUAAAACACHTuJAOEh79WECAAChBAAADgAAAGRycy9lMm9Eb2MueG1srVTN&#10;bhMxEL4j8Q6W73ST0CXJqpuqalWEVKBS4QEcrzdrYXvM2MmmnOCEEAcegBfgxokrPE35eQtmvWlJ&#10;C4ce2IPl8Xi+me8bz+7tr61hK4VBgyv5cGfAmXISKu0WJX/+7PjehLMQhauEAadKfq4C35/dvbPX&#10;+kKNoAFTKWQE4kLR+pI3Mfoiy4JslBVhB7xy5KwBrYhk4iKrULSEbk02GgweZC1g5RGkCoFOj3on&#10;3yDibQChrrVURyCXVrnYo6IyIhKl0Ggf+CxVW9dKxqd1HVRkpuTENKaVktB+3q3ZbE8UCxS+0XJT&#10;grhNCTc4WaEdJb2COhJRsCXqv6CslggB6rgjwWY9kaQIsRgObmhz1givEheSOvgr0cP/g5VPVqfI&#10;dFXyMWdOWGr49y9vfnx6f/Hxa8EuPnz+9frdz29v6YCNO7FaHwqKOfOn2NEN/gTki8AcHDbCLdQB&#10;IrSNEhWVOOzuZ9cCOiNQKJu3j6GiXGIZIem2rtF2gKQIW6f2nF+1R60jk3R4fzQd53nOmSTfcDLO&#10;x9PUwEwUl+EeQ3yowLJuU/LaQEuFYTwwUaETUZ32Dy/lFKuTELsaRXEZlziB0dWxNiYZuJgfGmQr&#10;QQ/oOH2JFlHfvmYca0s+zUd5Qr7mC9sQg/T9C8JqKpEZbUs+2b5k3EbFTri+AXE9X296MYfqnPRE&#10;6F82zTVtGsBXnLX0qkseXi4FKs7MI0c9mQ53d7sxSMZuPh6Rgdue+bZHOElQJY+c9dvD2I/O0qNe&#10;NJRpmOg6OKA+1jqJ2fW4r2pTN73cpPFmyrrR2LbTrT9/lt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acbT39gAAAALAQAADwAAAAAAAAABACAAAAAiAAAAZHJzL2Rvd25yZXYueG1sUEsBAhQAFAAA&#10;AAgAh07iQDhIe/VhAgAAoQQAAA4AAAAAAAAAAQAgAAAAJwEAAGRycy9lMm9Eb2MueG1sUEsFBgAA&#10;AAAGAAYAWQEAAPoFAAAAAA==&#10;">
                <v:fill on="t" focussize="0,0"/>
                <v:stroke color="#000000" miterlimit="8" joinstyle="miter"/>
                <v:imagedata o:title=""/>
                <o:lock v:ext="edit" aspectratio="f"/>
                <v:textbox>
                  <w:txbxContent>
                    <w:p w14:paraId="78A71E91">
                      <w:pPr>
                        <w:jc w:val="center"/>
                        <w:rPr>
                          <w:szCs w:val="21"/>
                        </w:rPr>
                      </w:pPr>
                      <w:r>
                        <w:rPr>
                          <w:rFonts w:hint="eastAsia" w:asciiTheme="minorEastAsia" w:hAnsiTheme="minorEastAsia" w:eastAsiaTheme="minorEastAsia"/>
                          <w:bCs/>
                          <w:szCs w:val="21"/>
                        </w:rPr>
                        <w:t>委托代理人</w:t>
                      </w:r>
                      <w:r>
                        <w:rPr>
                          <w:rFonts w:hint="eastAsia" w:asciiTheme="minorEastAsia" w:hAnsiTheme="minorEastAsia" w:eastAsiaTheme="minorEastAsia"/>
                        </w:rPr>
                        <w:t>的合法有效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r>
                        <w:rPr>
                          <w:rFonts w:hint="eastAsia"/>
                          <w:szCs w:val="21"/>
                        </w:rPr>
                        <w:t>粘贴处</w:t>
                      </w:r>
                    </w:p>
                  </w:txbxContent>
                </v:textbox>
              </v:shape>
            </w:pict>
          </mc:Fallback>
        </mc:AlternateContent>
      </w:r>
    </w:p>
    <w:p w14:paraId="3502C7B8">
      <w:pPr>
        <w:pageBreakBefore w:val="0"/>
        <w:kinsoku/>
        <w:overflowPunct/>
        <w:bidi w:val="0"/>
        <w:spacing w:line="360" w:lineRule="auto"/>
        <w:rPr>
          <w:rFonts w:hint="eastAsia" w:ascii="宋体" w:hAnsi="宋体" w:eastAsia="宋体" w:cs="宋体"/>
          <w:color w:val="auto"/>
          <w:szCs w:val="21"/>
        </w:rPr>
      </w:pPr>
    </w:p>
    <w:p w14:paraId="0BB5CFE4">
      <w:pPr>
        <w:pageBreakBefore w:val="0"/>
        <w:kinsoku/>
        <w:overflowPunct/>
        <w:bidi w:val="0"/>
        <w:spacing w:line="360" w:lineRule="auto"/>
        <w:rPr>
          <w:rFonts w:hint="eastAsia" w:ascii="宋体" w:hAnsi="宋体" w:eastAsia="宋体" w:cs="宋体"/>
          <w:color w:val="auto"/>
          <w:szCs w:val="21"/>
        </w:rPr>
      </w:pPr>
    </w:p>
    <w:p w14:paraId="1DC33689">
      <w:pPr>
        <w:pageBreakBefore w:val="0"/>
        <w:kinsoku/>
        <w:overflowPunct/>
        <w:bidi w:val="0"/>
        <w:spacing w:line="360" w:lineRule="auto"/>
        <w:rPr>
          <w:rFonts w:hint="eastAsia" w:ascii="宋体" w:hAnsi="宋体" w:eastAsia="宋体" w:cs="宋体"/>
          <w:color w:val="auto"/>
          <w:szCs w:val="21"/>
        </w:rPr>
      </w:pPr>
    </w:p>
    <w:p w14:paraId="0120ECF2">
      <w:pPr>
        <w:pageBreakBefore w:val="0"/>
        <w:kinsoku/>
        <w:overflowPunct/>
        <w:topLinePunct/>
        <w:bidi w:val="0"/>
        <w:snapToGrid w:val="0"/>
        <w:spacing w:line="360" w:lineRule="auto"/>
        <w:rPr>
          <w:rFonts w:hint="eastAsia" w:ascii="宋体" w:hAnsi="宋体" w:eastAsia="宋体" w:cs="宋体"/>
          <w:color w:val="auto"/>
        </w:rPr>
      </w:pPr>
    </w:p>
    <w:p w14:paraId="66B4D0B5">
      <w:pPr>
        <w:pageBreakBefore w:val="0"/>
        <w:kinsoku/>
        <w:overflowPunct/>
        <w:topLinePunct/>
        <w:bidi w:val="0"/>
        <w:snapToGrid w:val="0"/>
        <w:spacing w:line="360" w:lineRule="auto"/>
        <w:ind w:firstLine="420" w:firstLineChars="200"/>
        <w:rPr>
          <w:rFonts w:hint="eastAsia" w:ascii="宋体" w:hAnsi="宋体" w:eastAsia="宋体" w:cs="宋体"/>
          <w:bCs/>
          <w:color w:val="auto"/>
          <w:szCs w:val="21"/>
        </w:rPr>
      </w:pPr>
    </w:p>
    <w:p w14:paraId="09216524">
      <w:pPr>
        <w:pageBreakBefore w:val="0"/>
        <w:kinsoku/>
        <w:overflowPunct/>
        <w:topLinePunct/>
        <w:bidi w:val="0"/>
        <w:spacing w:line="360" w:lineRule="auto"/>
        <w:jc w:val="left"/>
        <w:rPr>
          <w:rFonts w:hint="eastAsia" w:ascii="宋体" w:hAnsi="宋体" w:eastAsia="宋体" w:cs="宋体"/>
          <w:b/>
          <w:color w:val="auto"/>
        </w:rPr>
      </w:pPr>
    </w:p>
    <w:p w14:paraId="3AF2D2D2">
      <w:pPr>
        <w:pageBreakBefore w:val="0"/>
        <w:kinsoku/>
        <w:overflowPunct/>
        <w:topLinePunct/>
        <w:bidi w:val="0"/>
        <w:spacing w:line="360" w:lineRule="auto"/>
        <w:jc w:val="left"/>
        <w:rPr>
          <w:rFonts w:hint="eastAsia" w:ascii="宋体" w:hAnsi="宋体" w:eastAsia="宋体" w:cs="宋体"/>
          <w:b/>
          <w:color w:val="auto"/>
        </w:rPr>
      </w:pPr>
    </w:p>
    <w:p w14:paraId="6A0975A9">
      <w:pPr>
        <w:pageBreakBefore w:val="0"/>
        <w:kinsoku/>
        <w:overflowPunct/>
        <w:topLinePunct/>
        <w:bidi w:val="0"/>
        <w:spacing w:line="360" w:lineRule="auto"/>
        <w:jc w:val="left"/>
        <w:rPr>
          <w:rFonts w:hint="eastAsia" w:ascii="宋体" w:hAnsi="宋体" w:eastAsia="宋体" w:cs="宋体"/>
          <w:color w:val="auto"/>
        </w:rPr>
      </w:pPr>
      <w:r>
        <w:rPr>
          <w:rFonts w:hint="eastAsia" w:ascii="宋体" w:hAnsi="宋体" w:eastAsia="宋体" w:cs="宋体"/>
          <w:b/>
          <w:color w:val="auto"/>
        </w:rPr>
        <w:t>编制要求</w:t>
      </w:r>
      <w:r>
        <w:rPr>
          <w:rFonts w:hint="eastAsia" w:ascii="宋体" w:hAnsi="宋体" w:eastAsia="宋体" w:cs="宋体"/>
          <w:color w:val="auto"/>
        </w:rPr>
        <w:t>：除本文件允许投标人进行填写的内容以外，投标人不得对本文件进行修改。</w:t>
      </w:r>
    </w:p>
    <w:p w14:paraId="62A44B52">
      <w:pPr>
        <w:pageBreakBefore w:val="0"/>
        <w:kinsoku/>
        <w:overflowPunct/>
        <w:topLinePunct/>
        <w:bidi w:val="0"/>
        <w:spacing w:line="360" w:lineRule="auto"/>
        <w:jc w:val="left"/>
        <w:rPr>
          <w:rFonts w:hint="eastAsia" w:ascii="宋体" w:hAnsi="宋体" w:eastAsia="宋体" w:cs="宋体"/>
          <w:color w:val="auto"/>
        </w:rPr>
        <w:sectPr>
          <w:pgSz w:w="11906" w:h="16838"/>
          <w:pgMar w:top="1440" w:right="1800" w:bottom="1440" w:left="1800" w:header="851" w:footer="992" w:gutter="0"/>
          <w:pgNumType w:fmt="decimal"/>
          <w:cols w:space="425" w:num="1"/>
          <w:docGrid w:type="lines" w:linePitch="312" w:charSpace="0"/>
        </w:sectPr>
      </w:pPr>
    </w:p>
    <w:p w14:paraId="7333F04E">
      <w:pPr>
        <w:pStyle w:val="39"/>
        <w:pageBreakBefore w:val="0"/>
        <w:numPr>
          <w:ilvl w:val="0"/>
          <w:numId w:val="29"/>
        </w:numPr>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505" w:name="_Toc475294115"/>
      <w:bookmarkStart w:id="1506" w:name="_Toc38008085"/>
      <w:bookmarkStart w:id="1507" w:name="_Toc20915"/>
      <w:bookmarkStart w:id="1508" w:name="_Toc475472677"/>
      <w:r>
        <w:rPr>
          <w:rFonts w:hint="eastAsia" w:ascii="宋体" w:hAnsi="宋体" w:eastAsia="宋体" w:cs="宋体"/>
          <w:color w:val="auto"/>
          <w:sz w:val="24"/>
          <w:szCs w:val="24"/>
        </w:rPr>
        <w:t>廉洁投标承诺书</w:t>
      </w:r>
      <w:bookmarkEnd w:id="1505"/>
      <w:bookmarkEnd w:id="1506"/>
      <w:bookmarkEnd w:id="1507"/>
      <w:bookmarkEnd w:id="1508"/>
    </w:p>
    <w:p w14:paraId="679D19CA">
      <w:pPr>
        <w:pageBreakBefore w:val="0"/>
        <w:kinsoku/>
        <w:overflowPunct/>
        <w:topLinePunct/>
        <w:bidi w:val="0"/>
        <w:spacing w:line="360" w:lineRule="auto"/>
        <w:jc w:val="center"/>
        <w:rPr>
          <w:rFonts w:hint="eastAsia" w:ascii="宋体" w:hAnsi="宋体" w:eastAsia="宋体" w:cs="宋体"/>
          <w:b/>
          <w:color w:val="auto"/>
        </w:rPr>
      </w:pPr>
      <w:r>
        <w:rPr>
          <w:rFonts w:hint="eastAsia" w:ascii="宋体" w:hAnsi="宋体" w:eastAsia="宋体" w:cs="宋体"/>
          <w:b/>
          <w:color w:val="auto"/>
          <w:sz w:val="24"/>
        </w:rPr>
        <w:t>廉洁投标承诺书</w:t>
      </w:r>
    </w:p>
    <w:p w14:paraId="1BFF7817">
      <w:pPr>
        <w:pageBreakBefore w:val="0"/>
        <w:kinsoku/>
        <w:overflowPunct/>
        <w:topLinePunct/>
        <w:bidi w:val="0"/>
        <w:snapToGrid w:val="0"/>
        <w:spacing w:line="360" w:lineRule="auto"/>
        <w:rPr>
          <w:rFonts w:hint="eastAsia" w:ascii="宋体" w:hAnsi="宋体" w:eastAsia="宋体" w:cs="宋体"/>
          <w:color w:val="auto"/>
        </w:rPr>
      </w:pPr>
      <w:r>
        <w:rPr>
          <w:rFonts w:hint="eastAsia" w:ascii="宋体" w:hAnsi="宋体" w:eastAsia="宋体" w:cs="宋体"/>
          <w:color w:val="auto"/>
          <w:szCs w:val="21"/>
        </w:rPr>
        <w:t>致：【XX公司[招标人名称]】：</w:t>
      </w:r>
    </w:p>
    <w:p w14:paraId="15F8C928">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我公司自愿参加</w:t>
      </w:r>
      <w:r>
        <w:rPr>
          <w:rFonts w:hint="eastAsia" w:ascii="宋体" w:hAnsi="宋体" w:eastAsia="宋体" w:cs="宋体"/>
          <w:color w:val="auto"/>
          <w:u w:val="single"/>
        </w:rPr>
        <w:t>【XX</w:t>
      </w:r>
      <w:r>
        <w:rPr>
          <w:rFonts w:hint="eastAsia" w:ascii="宋体" w:hAnsi="宋体" w:eastAsia="宋体" w:cs="宋体"/>
          <w:color w:val="auto"/>
          <w:szCs w:val="21"/>
          <w:u w:val="single"/>
        </w:rPr>
        <w:t>项目[项目名称]</w:t>
      </w:r>
      <w:r>
        <w:rPr>
          <w:rFonts w:hint="eastAsia" w:ascii="宋体" w:hAnsi="宋体" w:eastAsia="宋体" w:cs="宋体"/>
          <w:color w:val="auto"/>
          <w:u w:val="single"/>
        </w:rPr>
        <w:t>】【XX</w:t>
      </w:r>
      <w:r>
        <w:rPr>
          <w:rFonts w:hint="eastAsia" w:ascii="宋体" w:hAnsi="宋体" w:eastAsia="宋体" w:cs="宋体"/>
          <w:color w:val="auto"/>
          <w:szCs w:val="21"/>
          <w:u w:val="single"/>
        </w:rPr>
        <w:t>标包[标包名称]</w:t>
      </w:r>
      <w:r>
        <w:rPr>
          <w:rFonts w:hint="eastAsia" w:ascii="宋体" w:hAnsi="宋体" w:eastAsia="宋体" w:cs="宋体"/>
          <w:color w:val="auto"/>
          <w:u w:val="single"/>
        </w:rPr>
        <w:t>】</w:t>
      </w:r>
      <w:r>
        <w:rPr>
          <w:rFonts w:hint="eastAsia" w:ascii="宋体" w:hAnsi="宋体" w:eastAsia="宋体" w:cs="宋体"/>
          <w:color w:val="auto"/>
          <w:szCs w:val="21"/>
        </w:rPr>
        <w:t>招标项目，为保证招投标活动公开、公平、公正，依据国家法律法规和廉洁从业相关规定，现承诺如下：</w:t>
      </w:r>
    </w:p>
    <w:p w14:paraId="577A2528">
      <w:pPr>
        <w:pageBreakBefore w:val="0"/>
        <w:numPr>
          <w:ilvl w:val="0"/>
          <w:numId w:val="32"/>
        </w:numPr>
        <w:tabs>
          <w:tab w:val="left" w:pos="709"/>
        </w:tabs>
        <w:kinsoku/>
        <w:overflowPunct/>
        <w:topLinePunct/>
        <w:bidi w:val="0"/>
        <w:snapToGrid w:val="0"/>
        <w:spacing w:line="360" w:lineRule="auto"/>
        <w:ind w:left="0" w:firstLine="420"/>
        <w:rPr>
          <w:rFonts w:hint="eastAsia" w:ascii="宋体" w:hAnsi="宋体" w:eastAsia="宋体" w:cs="宋体"/>
          <w:color w:val="auto"/>
          <w:szCs w:val="21"/>
        </w:rPr>
      </w:pPr>
      <w:r>
        <w:rPr>
          <w:rFonts w:hint="eastAsia" w:ascii="宋体" w:hAnsi="宋体" w:eastAsia="宋体" w:cs="宋体"/>
          <w:color w:val="auto"/>
          <w:szCs w:val="21"/>
        </w:rPr>
        <w:t>不通过受让、租借或者挂靠资质投标，或者以其他方式以他人名义投标；不伪造、变造资质、资格证书或者其他许可证件，提供虚假业绩、奖项、项目负责人等材料投标，或者以其他方式弄虚作假，骗取中标；</w:t>
      </w:r>
    </w:p>
    <w:p w14:paraId="293EF1FC">
      <w:pPr>
        <w:pageBreakBefore w:val="0"/>
        <w:numPr>
          <w:ilvl w:val="0"/>
          <w:numId w:val="32"/>
        </w:numPr>
        <w:tabs>
          <w:tab w:val="left" w:pos="709"/>
        </w:tabs>
        <w:kinsoku/>
        <w:overflowPunct/>
        <w:topLinePunct/>
        <w:bidi w:val="0"/>
        <w:snapToGrid w:val="0"/>
        <w:spacing w:line="360" w:lineRule="auto"/>
        <w:ind w:left="0" w:firstLine="420"/>
        <w:rPr>
          <w:rFonts w:hint="eastAsia" w:ascii="宋体" w:hAnsi="宋体" w:eastAsia="宋体" w:cs="宋体"/>
          <w:color w:val="auto"/>
          <w:szCs w:val="21"/>
        </w:rPr>
      </w:pPr>
      <w:r>
        <w:rPr>
          <w:rFonts w:hint="eastAsia" w:ascii="宋体" w:hAnsi="宋体" w:eastAsia="宋体" w:cs="宋体"/>
          <w:color w:val="auto"/>
          <w:szCs w:val="21"/>
        </w:rPr>
        <w:t>不与其他投标人相互串通投标或订立攻守同盟；</w:t>
      </w:r>
    </w:p>
    <w:p w14:paraId="3D72FCC0">
      <w:pPr>
        <w:pageBreakBefore w:val="0"/>
        <w:numPr>
          <w:ilvl w:val="0"/>
          <w:numId w:val="32"/>
        </w:numPr>
        <w:tabs>
          <w:tab w:val="left" w:pos="709"/>
        </w:tabs>
        <w:kinsoku/>
        <w:overflowPunct/>
        <w:topLinePunct/>
        <w:bidi w:val="0"/>
        <w:snapToGrid w:val="0"/>
        <w:spacing w:line="360" w:lineRule="auto"/>
        <w:ind w:left="0" w:firstLine="420"/>
        <w:rPr>
          <w:rFonts w:hint="eastAsia" w:ascii="宋体" w:hAnsi="宋体" w:eastAsia="宋体" w:cs="宋体"/>
          <w:color w:val="auto"/>
          <w:szCs w:val="21"/>
        </w:rPr>
      </w:pPr>
      <w:r>
        <w:rPr>
          <w:rFonts w:hint="eastAsia" w:ascii="宋体" w:hAnsi="宋体" w:eastAsia="宋体" w:cs="宋体"/>
          <w:color w:val="auto"/>
          <w:szCs w:val="21"/>
        </w:rPr>
        <w:t>不与招标人或招标代理机构串通投标；</w:t>
      </w:r>
    </w:p>
    <w:p w14:paraId="4030FF05">
      <w:pPr>
        <w:pageBreakBefore w:val="0"/>
        <w:numPr>
          <w:ilvl w:val="0"/>
          <w:numId w:val="32"/>
        </w:numPr>
        <w:tabs>
          <w:tab w:val="left" w:pos="709"/>
        </w:tabs>
        <w:kinsoku/>
        <w:overflowPunct/>
        <w:topLinePunct/>
        <w:bidi w:val="0"/>
        <w:snapToGrid w:val="0"/>
        <w:spacing w:line="360" w:lineRule="auto"/>
        <w:ind w:left="0" w:firstLine="420"/>
        <w:rPr>
          <w:rFonts w:hint="eastAsia" w:ascii="宋体" w:hAnsi="宋体" w:eastAsia="宋体" w:cs="宋体"/>
          <w:color w:val="auto"/>
          <w:szCs w:val="21"/>
        </w:rPr>
      </w:pPr>
      <w:r>
        <w:rPr>
          <w:rFonts w:hint="eastAsia" w:ascii="宋体" w:hAnsi="宋体" w:eastAsia="宋体" w:cs="宋体"/>
          <w:color w:val="auto"/>
          <w:szCs w:val="21"/>
        </w:rPr>
        <w:t>不向招标人、招标代理机构、交易平台运行服务机构、评标委员会成员或行政监督部门人员等行贿谋取中标，包括提供现金(礼金)、礼券、礼品、购物卡、有价证券等财物，或娱乐、宴请、旅游等活动，或支付应由其个人承担的学费、餐费、医药费等各种费用等；</w:t>
      </w:r>
    </w:p>
    <w:p w14:paraId="6FEF5FD9">
      <w:pPr>
        <w:pageBreakBefore w:val="0"/>
        <w:numPr>
          <w:ilvl w:val="0"/>
          <w:numId w:val="32"/>
        </w:numPr>
        <w:tabs>
          <w:tab w:val="left" w:pos="709"/>
        </w:tabs>
        <w:kinsoku/>
        <w:overflowPunct/>
        <w:topLinePunct/>
        <w:bidi w:val="0"/>
        <w:snapToGrid w:val="0"/>
        <w:spacing w:line="360" w:lineRule="auto"/>
        <w:ind w:left="0" w:firstLine="420"/>
        <w:rPr>
          <w:rFonts w:hint="eastAsia" w:ascii="宋体" w:hAnsi="宋体" w:eastAsia="宋体" w:cs="宋体"/>
          <w:color w:val="auto"/>
          <w:szCs w:val="21"/>
        </w:rPr>
      </w:pPr>
      <w:r>
        <w:rPr>
          <w:rFonts w:hint="eastAsia" w:ascii="宋体" w:hAnsi="宋体" w:eastAsia="宋体" w:cs="宋体"/>
          <w:color w:val="auto"/>
          <w:szCs w:val="21"/>
        </w:rPr>
        <w:t>不通过非正常渠道探听采购过程中应当保密的信息，包括(潜在)投标人的数量与名称、评标委员会成员名单和联系方式、其他投标人的投标文件、评标情况及中标推荐意见等。</w:t>
      </w:r>
    </w:p>
    <w:p w14:paraId="69875217">
      <w:pPr>
        <w:pageBreakBefore w:val="0"/>
        <w:numPr>
          <w:ilvl w:val="0"/>
          <w:numId w:val="32"/>
        </w:numPr>
        <w:tabs>
          <w:tab w:val="left" w:pos="709"/>
        </w:tabs>
        <w:kinsoku/>
        <w:overflowPunct/>
        <w:topLinePunct/>
        <w:bidi w:val="0"/>
        <w:snapToGrid w:val="0"/>
        <w:spacing w:line="360" w:lineRule="auto"/>
        <w:ind w:left="0" w:firstLine="420"/>
        <w:rPr>
          <w:rFonts w:hint="eastAsia" w:ascii="宋体" w:hAnsi="宋体" w:eastAsia="宋体" w:cs="宋体"/>
          <w:color w:val="auto"/>
          <w:szCs w:val="21"/>
        </w:rPr>
      </w:pPr>
      <w:r>
        <w:rPr>
          <w:rFonts w:hint="eastAsia" w:ascii="宋体" w:hAnsi="宋体" w:eastAsia="宋体" w:cs="宋体"/>
          <w:color w:val="auto"/>
          <w:szCs w:val="21"/>
        </w:rPr>
        <w:t>不私下接触招标人、招标代理机构或评标委员会成员，利用人际关系干扰招标投标活动；</w:t>
      </w:r>
    </w:p>
    <w:p w14:paraId="28F3D47B">
      <w:pPr>
        <w:pageBreakBefore w:val="0"/>
        <w:numPr>
          <w:ilvl w:val="0"/>
          <w:numId w:val="32"/>
        </w:numPr>
        <w:tabs>
          <w:tab w:val="left" w:pos="709"/>
        </w:tabs>
        <w:kinsoku/>
        <w:overflowPunct/>
        <w:topLinePunct/>
        <w:bidi w:val="0"/>
        <w:snapToGrid w:val="0"/>
        <w:spacing w:line="360" w:lineRule="auto"/>
        <w:ind w:left="0" w:firstLine="420"/>
        <w:rPr>
          <w:rFonts w:hint="eastAsia" w:ascii="宋体" w:hAnsi="宋体" w:eastAsia="宋体" w:cs="宋体"/>
          <w:color w:val="auto"/>
          <w:szCs w:val="21"/>
        </w:rPr>
      </w:pPr>
      <w:r>
        <w:rPr>
          <w:rFonts w:hint="eastAsia" w:ascii="宋体" w:hAnsi="宋体" w:eastAsia="宋体" w:cs="宋体"/>
          <w:color w:val="auto"/>
          <w:szCs w:val="21"/>
        </w:rPr>
        <w:t>不在办公场所、招标现场寻衅滋事、无理取闹或以其他手段非法干预、影响招标的过程和结果；</w:t>
      </w:r>
    </w:p>
    <w:p w14:paraId="3F1DE566">
      <w:pPr>
        <w:pageBreakBefore w:val="0"/>
        <w:numPr>
          <w:ilvl w:val="0"/>
          <w:numId w:val="32"/>
        </w:numPr>
        <w:tabs>
          <w:tab w:val="left" w:pos="709"/>
        </w:tabs>
        <w:kinsoku/>
        <w:overflowPunct/>
        <w:topLinePunct/>
        <w:bidi w:val="0"/>
        <w:snapToGrid w:val="0"/>
        <w:spacing w:line="360" w:lineRule="auto"/>
        <w:ind w:left="0" w:firstLine="420"/>
        <w:rPr>
          <w:rFonts w:hint="eastAsia" w:ascii="宋体" w:hAnsi="宋体" w:eastAsia="宋体" w:cs="宋体"/>
          <w:color w:val="auto"/>
          <w:szCs w:val="21"/>
        </w:rPr>
      </w:pPr>
      <w:r>
        <w:rPr>
          <w:rFonts w:hint="eastAsia" w:ascii="宋体" w:hAnsi="宋体" w:eastAsia="宋体" w:cs="宋体"/>
          <w:color w:val="auto"/>
          <w:szCs w:val="21"/>
        </w:rPr>
        <w:t>不捏造事实、伪造材料，或以非法取得的材料进行恶意提出异议、投诉或举报，干扰正常招标投标活动；不毫无根据地散播不实消息，诋毁他人名誉，主观臆断反映问题与诉求；</w:t>
      </w:r>
    </w:p>
    <w:p w14:paraId="24F3E3FA">
      <w:pPr>
        <w:pageBreakBefore w:val="0"/>
        <w:numPr>
          <w:ilvl w:val="0"/>
          <w:numId w:val="32"/>
        </w:numPr>
        <w:tabs>
          <w:tab w:val="left" w:pos="709"/>
        </w:tabs>
        <w:kinsoku/>
        <w:overflowPunct/>
        <w:topLinePunct/>
        <w:bidi w:val="0"/>
        <w:snapToGrid w:val="0"/>
        <w:spacing w:line="360" w:lineRule="auto"/>
        <w:ind w:left="0" w:firstLine="420"/>
        <w:rPr>
          <w:rFonts w:hint="eastAsia" w:ascii="宋体" w:hAnsi="宋体" w:eastAsia="宋体" w:cs="宋体"/>
          <w:color w:val="auto"/>
          <w:szCs w:val="21"/>
        </w:rPr>
      </w:pPr>
      <w:r>
        <w:rPr>
          <w:rFonts w:hint="eastAsia" w:ascii="宋体" w:hAnsi="宋体" w:eastAsia="宋体" w:cs="宋体"/>
          <w:color w:val="auto"/>
          <w:szCs w:val="21"/>
        </w:rPr>
        <w:t>不以低于成本的报价竞标；</w:t>
      </w:r>
    </w:p>
    <w:p w14:paraId="454855D4">
      <w:pPr>
        <w:pageBreakBefore w:val="0"/>
        <w:numPr>
          <w:ilvl w:val="0"/>
          <w:numId w:val="32"/>
        </w:numPr>
        <w:tabs>
          <w:tab w:val="left" w:pos="709"/>
        </w:tabs>
        <w:kinsoku/>
        <w:overflowPunct/>
        <w:topLinePunct/>
        <w:bidi w:val="0"/>
        <w:snapToGrid w:val="0"/>
        <w:spacing w:line="360" w:lineRule="auto"/>
        <w:ind w:left="0" w:firstLine="420"/>
        <w:rPr>
          <w:rFonts w:hint="eastAsia" w:ascii="宋体" w:hAnsi="宋体" w:eastAsia="宋体" w:cs="宋体"/>
          <w:color w:val="auto"/>
          <w:szCs w:val="21"/>
        </w:rPr>
      </w:pPr>
      <w:r>
        <w:rPr>
          <w:rFonts w:hint="eastAsia" w:ascii="宋体" w:hAnsi="宋体" w:eastAsia="宋体" w:cs="宋体"/>
          <w:color w:val="auto"/>
          <w:szCs w:val="21"/>
        </w:rPr>
        <w:t>不以其他方式排挤其他投标人的公平竞争；</w:t>
      </w:r>
    </w:p>
    <w:p w14:paraId="33FF2CBE">
      <w:pPr>
        <w:pageBreakBefore w:val="0"/>
        <w:numPr>
          <w:ilvl w:val="0"/>
          <w:numId w:val="32"/>
        </w:numPr>
        <w:tabs>
          <w:tab w:val="left" w:pos="709"/>
        </w:tabs>
        <w:kinsoku/>
        <w:overflowPunct/>
        <w:topLinePunct/>
        <w:bidi w:val="0"/>
        <w:spacing w:line="360" w:lineRule="auto"/>
        <w:ind w:left="0" w:firstLine="420"/>
        <w:rPr>
          <w:rFonts w:hint="eastAsia" w:ascii="宋体" w:hAnsi="宋体" w:eastAsia="宋体" w:cs="宋体"/>
          <w:color w:val="auto"/>
          <w:szCs w:val="21"/>
        </w:rPr>
      </w:pPr>
      <w:r>
        <w:rPr>
          <w:rFonts w:hint="eastAsia" w:ascii="宋体" w:hAnsi="宋体" w:eastAsia="宋体" w:cs="宋体"/>
          <w:color w:val="auto"/>
          <w:szCs w:val="21"/>
        </w:rPr>
        <w:t>在最近五年内，不存在与采购活动相关的行贿犯罪记录；</w:t>
      </w:r>
    </w:p>
    <w:p w14:paraId="26E5993A">
      <w:pPr>
        <w:pageBreakBefore w:val="0"/>
        <w:numPr>
          <w:ilvl w:val="0"/>
          <w:numId w:val="32"/>
        </w:numPr>
        <w:tabs>
          <w:tab w:val="left" w:pos="709"/>
        </w:tabs>
        <w:kinsoku/>
        <w:overflowPunct/>
        <w:topLinePunct/>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发现评标专家有违法行为的，及时向行政监督部门报告。</w:t>
      </w:r>
    </w:p>
    <w:p w14:paraId="02B21333">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如发生任何违反本承诺的行为，除按法律法规接受处罚外，招标人有权否决我方本次投标、宣布中标无效、暂停甚至取消我方参加招标人后续招标项目的投标资格等。</w:t>
      </w:r>
    </w:p>
    <w:p w14:paraId="7D4C805A">
      <w:pPr>
        <w:pageBreakBefore w:val="0"/>
        <w:kinsoku/>
        <w:overflowPunct/>
        <w:topLinePunct/>
        <w:bidi w:val="0"/>
        <w:spacing w:line="360" w:lineRule="auto"/>
        <w:ind w:left="420"/>
        <w:rPr>
          <w:rFonts w:hint="eastAsia" w:ascii="宋体" w:hAnsi="宋体" w:eastAsia="宋体" w:cs="宋体"/>
          <w:color w:val="auto"/>
          <w:szCs w:val="21"/>
        </w:rPr>
      </w:pPr>
    </w:p>
    <w:p w14:paraId="490CBE92">
      <w:pPr>
        <w:pageBreakBefore w:val="0"/>
        <w:kinsoku/>
        <w:overflowPunct/>
        <w:bidi w:val="0"/>
        <w:spacing w:line="360" w:lineRule="auto"/>
        <w:ind w:firstLine="424" w:firstLineChars="202"/>
        <w:rPr>
          <w:rFonts w:hint="eastAsia" w:ascii="宋体" w:hAnsi="宋体" w:eastAsia="宋体" w:cs="宋体"/>
          <w:color w:val="auto"/>
          <w:szCs w:val="21"/>
          <w:u w:val="single"/>
        </w:rPr>
      </w:pPr>
      <w:r>
        <w:rPr>
          <w:rFonts w:hint="eastAsia" w:ascii="宋体" w:hAnsi="宋体" w:eastAsia="宋体" w:cs="宋体"/>
          <w:color w:val="auto"/>
          <w:szCs w:val="21"/>
        </w:rPr>
        <w:t>投标人名称：</w:t>
      </w:r>
      <w:r>
        <w:rPr>
          <w:rFonts w:hint="eastAsia" w:ascii="宋体" w:hAnsi="宋体" w:eastAsia="宋体" w:cs="宋体"/>
          <w:color w:val="auto"/>
          <w:szCs w:val="21"/>
          <w:u w:val="single"/>
        </w:rPr>
        <w:t xml:space="preserve">　　　　　　　　                      </w:t>
      </w:r>
    </w:p>
    <w:p w14:paraId="36CFA691">
      <w:pPr>
        <w:pageBreakBefore w:val="0"/>
        <w:kinsoku/>
        <w:overflowPunct/>
        <w:bidi w:val="0"/>
        <w:spacing w:line="360" w:lineRule="auto"/>
        <w:ind w:firstLine="424" w:firstLineChars="202"/>
        <w:jc w:val="left"/>
        <w:rPr>
          <w:rFonts w:hint="eastAsia" w:ascii="宋体" w:hAnsi="宋体" w:eastAsia="宋体" w:cs="宋体"/>
          <w:color w:val="auto"/>
          <w:szCs w:val="21"/>
        </w:rPr>
      </w:pPr>
      <w:r>
        <w:rPr>
          <w:rFonts w:hint="eastAsia" w:ascii="宋体" w:hAnsi="宋体" w:eastAsia="宋体" w:cs="宋体"/>
          <w:color w:val="auto"/>
        </w:rPr>
        <w:t>日期：</w:t>
      </w:r>
      <w:r>
        <w:rPr>
          <w:rFonts w:hint="eastAsia" w:ascii="宋体" w:hAnsi="宋体" w:eastAsia="宋体" w:cs="宋体"/>
          <w:color w:val="auto"/>
          <w:u w:val="single"/>
        </w:rPr>
        <w:t xml:space="preserve">_     __ </w:t>
      </w:r>
      <w:r>
        <w:rPr>
          <w:rFonts w:hint="eastAsia" w:ascii="宋体" w:hAnsi="宋体" w:eastAsia="宋体" w:cs="宋体"/>
          <w:color w:val="auto"/>
        </w:rPr>
        <w:t>年</w:t>
      </w:r>
      <w:r>
        <w:rPr>
          <w:rFonts w:hint="eastAsia" w:ascii="宋体" w:hAnsi="宋体" w:eastAsia="宋体" w:cs="宋体"/>
          <w:color w:val="auto"/>
          <w:u w:val="single"/>
        </w:rPr>
        <w:t>_     __</w:t>
      </w:r>
      <w:r>
        <w:rPr>
          <w:rFonts w:hint="eastAsia" w:ascii="宋体" w:hAnsi="宋体" w:eastAsia="宋体" w:cs="宋体"/>
          <w:color w:val="auto"/>
        </w:rPr>
        <w:t>月</w:t>
      </w:r>
      <w:r>
        <w:rPr>
          <w:rFonts w:hint="eastAsia" w:ascii="宋体" w:hAnsi="宋体" w:eastAsia="宋体" w:cs="宋体"/>
          <w:color w:val="auto"/>
          <w:u w:val="single"/>
        </w:rPr>
        <w:t>_    _ _</w:t>
      </w:r>
      <w:r>
        <w:rPr>
          <w:rFonts w:hint="eastAsia" w:ascii="宋体" w:hAnsi="宋体" w:eastAsia="宋体" w:cs="宋体"/>
          <w:color w:val="auto"/>
        </w:rPr>
        <w:t>日</w:t>
      </w:r>
    </w:p>
    <w:p w14:paraId="59F6AB78">
      <w:pPr>
        <w:pageBreakBefore w:val="0"/>
        <w:kinsoku/>
        <w:overflowPunct/>
        <w:topLinePunct/>
        <w:bidi w:val="0"/>
        <w:spacing w:line="360" w:lineRule="auto"/>
        <w:ind w:left="2"/>
        <w:jc w:val="left"/>
        <w:rPr>
          <w:rFonts w:hint="eastAsia" w:ascii="宋体" w:hAnsi="宋体" w:eastAsia="宋体" w:cs="宋体"/>
          <w:b/>
          <w:color w:val="auto"/>
        </w:rPr>
      </w:pPr>
      <w:r>
        <w:rPr>
          <w:rFonts w:hint="eastAsia" w:ascii="宋体" w:hAnsi="宋体" w:eastAsia="宋体" w:cs="宋体"/>
          <w:color w:val="auto"/>
        </w:rPr>
        <w:t xml:space="preserve"> </w:t>
      </w:r>
    </w:p>
    <w:p w14:paraId="0EE7619A">
      <w:pPr>
        <w:pageBreakBefore w:val="0"/>
        <w:kinsoku/>
        <w:overflowPunct/>
        <w:topLinePunct/>
        <w:bidi w:val="0"/>
        <w:spacing w:line="360" w:lineRule="auto"/>
        <w:jc w:val="left"/>
        <w:rPr>
          <w:rFonts w:hint="eastAsia" w:ascii="宋体" w:hAnsi="宋体" w:eastAsia="宋体" w:cs="宋体"/>
          <w:color w:val="auto"/>
        </w:rPr>
      </w:pPr>
      <w:r>
        <w:rPr>
          <w:rFonts w:hint="eastAsia" w:ascii="宋体" w:hAnsi="宋体" w:eastAsia="宋体" w:cs="宋体"/>
          <w:b/>
          <w:color w:val="auto"/>
        </w:rPr>
        <w:t>编制要求</w:t>
      </w:r>
      <w:r>
        <w:rPr>
          <w:rFonts w:hint="eastAsia" w:ascii="宋体" w:hAnsi="宋体" w:eastAsia="宋体" w:cs="宋体"/>
          <w:color w:val="auto"/>
        </w:rPr>
        <w:t>：除本文件允许投标人进行填写的内容以外，投标人不得对本文件进行修改。</w:t>
      </w:r>
    </w:p>
    <w:p w14:paraId="54ED215B">
      <w:pPr>
        <w:rPr>
          <w:rFonts w:hint="eastAsia" w:ascii="宋体" w:hAnsi="宋体" w:eastAsia="宋体" w:cs="宋体"/>
          <w:color w:val="auto"/>
        </w:rPr>
      </w:pPr>
      <w:r>
        <w:rPr>
          <w:rFonts w:hint="eastAsia" w:ascii="宋体" w:hAnsi="宋体" w:eastAsia="宋体" w:cs="宋体"/>
          <w:color w:val="auto"/>
        </w:rPr>
        <w:br w:type="page"/>
      </w:r>
    </w:p>
    <w:p w14:paraId="7608BED4">
      <w:pPr>
        <w:pStyle w:val="39"/>
        <w:pageBreakBefore w:val="0"/>
        <w:numPr>
          <w:ilvl w:val="0"/>
          <w:numId w:val="29"/>
        </w:numPr>
        <w:tabs>
          <w:tab w:val="left" w:pos="588"/>
        </w:tabs>
        <w:kinsoku/>
        <w:overflowPunct/>
        <w:bidi w:val="0"/>
        <w:snapToGrid w:val="0"/>
        <w:spacing w:before="120" w:after="120" w:line="360" w:lineRule="auto"/>
        <w:jc w:val="left"/>
        <w:rPr>
          <w:rFonts w:hint="eastAsia" w:ascii="宋体" w:hAnsi="宋体" w:eastAsia="宋体" w:cs="宋体"/>
          <w:color w:val="auto"/>
          <w:sz w:val="24"/>
        </w:rPr>
      </w:pPr>
      <w:r>
        <w:rPr>
          <w:rFonts w:hint="eastAsia" w:ascii="宋体" w:hAnsi="宋体" w:eastAsia="宋体" w:cs="宋体"/>
          <w:color w:val="auto"/>
          <w:sz w:val="24"/>
        </w:rPr>
        <w:t>特定关系信息收集表</w:t>
      </w:r>
    </w:p>
    <w:p w14:paraId="194FFF10">
      <w:pPr>
        <w:jc w:val="center"/>
        <w:rPr>
          <w:rFonts w:hint="eastAsia" w:ascii="宋体" w:hAnsi="宋体" w:eastAsia="宋体" w:cs="宋体"/>
          <w:b/>
          <w:color w:val="auto"/>
          <w:sz w:val="28"/>
          <w:highlight w:val="none"/>
        </w:rPr>
      </w:pPr>
      <w:r>
        <w:rPr>
          <w:rFonts w:hint="eastAsia" w:ascii="宋体" w:hAnsi="宋体" w:eastAsia="宋体" w:cs="宋体"/>
          <w:b/>
          <w:color w:val="auto"/>
          <w:szCs w:val="36"/>
          <w:highlight w:val="none"/>
        </w:rPr>
        <w:t>中国电信在职员工、离职或退休后三年内在我方担任法定代表人或董监高的情况表</w:t>
      </w:r>
    </w:p>
    <w:p w14:paraId="48CE1E2E">
      <w:pPr>
        <w:ind w:firstLine="420" w:firstLineChars="200"/>
        <w:rPr>
          <w:rFonts w:hint="eastAsia" w:ascii="宋体" w:hAnsi="宋体" w:eastAsia="宋体" w:cs="宋体"/>
          <w:color w:val="auto"/>
          <w:highlight w:val="none"/>
        </w:rPr>
      </w:pPr>
    </w:p>
    <w:tbl>
      <w:tblPr>
        <w:tblStyle w:val="41"/>
        <w:tblW w:w="5305" w:type="pct"/>
        <w:jc w:val="center"/>
        <w:tblLayout w:type="fixed"/>
        <w:tblCellMar>
          <w:top w:w="0" w:type="dxa"/>
          <w:left w:w="108" w:type="dxa"/>
          <w:bottom w:w="0" w:type="dxa"/>
          <w:right w:w="108" w:type="dxa"/>
        </w:tblCellMar>
      </w:tblPr>
      <w:tblGrid>
        <w:gridCol w:w="646"/>
        <w:gridCol w:w="1285"/>
        <w:gridCol w:w="1607"/>
        <w:gridCol w:w="2298"/>
        <w:gridCol w:w="1190"/>
        <w:gridCol w:w="839"/>
        <w:gridCol w:w="1177"/>
      </w:tblGrid>
      <w:tr w14:paraId="54452E7B">
        <w:tblPrEx>
          <w:tblCellMar>
            <w:top w:w="0" w:type="dxa"/>
            <w:left w:w="108" w:type="dxa"/>
            <w:bottom w:w="0" w:type="dxa"/>
            <w:right w:w="108" w:type="dxa"/>
          </w:tblCellMar>
        </w:tblPrEx>
        <w:trPr>
          <w:trHeight w:val="440" w:hRule="atLeast"/>
          <w:jc w:val="center"/>
        </w:trPr>
        <w:tc>
          <w:tcPr>
            <w:tcW w:w="357" w:type="pct"/>
            <w:vMerge w:val="restart"/>
            <w:tcBorders>
              <w:top w:val="single" w:color="auto" w:sz="4" w:space="0"/>
              <w:left w:val="single" w:color="auto" w:sz="4" w:space="0"/>
              <w:right w:val="single" w:color="auto" w:sz="4" w:space="0"/>
            </w:tcBorders>
            <w:noWrap/>
            <w:vAlign w:val="center"/>
          </w:tcPr>
          <w:p w14:paraId="7114A26D">
            <w:pPr>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序号</w:t>
            </w:r>
          </w:p>
        </w:tc>
        <w:tc>
          <w:tcPr>
            <w:tcW w:w="1598" w:type="pct"/>
            <w:gridSpan w:val="2"/>
            <w:tcBorders>
              <w:top w:val="single" w:color="auto" w:sz="4" w:space="0"/>
              <w:left w:val="single" w:color="auto" w:sz="4" w:space="0"/>
              <w:bottom w:val="single" w:color="auto" w:sz="4" w:space="0"/>
              <w:right w:val="single" w:color="auto" w:sz="4" w:space="0"/>
            </w:tcBorders>
            <w:vAlign w:val="center"/>
          </w:tcPr>
          <w:p w14:paraId="4BC98311">
            <w:pPr>
              <w:widowControl/>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我方法定代表人或董监高</w:t>
            </w:r>
          </w:p>
        </w:tc>
        <w:tc>
          <w:tcPr>
            <w:tcW w:w="3044" w:type="pct"/>
            <w:gridSpan w:val="4"/>
            <w:tcBorders>
              <w:top w:val="single" w:color="auto" w:sz="4" w:space="0"/>
              <w:left w:val="nil"/>
              <w:bottom w:val="single" w:color="auto" w:sz="4" w:space="0"/>
              <w:right w:val="single" w:color="000000" w:sz="4" w:space="0"/>
            </w:tcBorders>
            <w:vAlign w:val="center"/>
          </w:tcPr>
          <w:p w14:paraId="7DA07FA6">
            <w:pPr>
              <w:widowControl/>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在中国电信从业情况</w:t>
            </w:r>
          </w:p>
        </w:tc>
      </w:tr>
      <w:tr w14:paraId="2C8ECFA5">
        <w:tblPrEx>
          <w:tblCellMar>
            <w:top w:w="0" w:type="dxa"/>
            <w:left w:w="108" w:type="dxa"/>
            <w:bottom w:w="0" w:type="dxa"/>
            <w:right w:w="108" w:type="dxa"/>
          </w:tblCellMar>
        </w:tblPrEx>
        <w:trPr>
          <w:trHeight w:val="414" w:hRule="atLeast"/>
          <w:jc w:val="center"/>
        </w:trPr>
        <w:tc>
          <w:tcPr>
            <w:tcW w:w="357" w:type="pct"/>
            <w:vMerge w:val="continue"/>
            <w:tcBorders>
              <w:left w:val="single" w:color="auto" w:sz="4" w:space="0"/>
              <w:bottom w:val="single" w:color="auto" w:sz="4" w:space="0"/>
              <w:right w:val="single" w:color="auto" w:sz="4" w:space="0"/>
            </w:tcBorders>
            <w:vAlign w:val="center"/>
          </w:tcPr>
          <w:p w14:paraId="66E82442">
            <w:pPr>
              <w:widowControl/>
              <w:jc w:val="center"/>
              <w:rPr>
                <w:rFonts w:hint="eastAsia" w:ascii="宋体" w:hAnsi="宋体" w:eastAsia="宋体" w:cs="宋体"/>
                <w:b/>
                <w:bCs/>
                <w:color w:val="auto"/>
                <w:kern w:val="0"/>
                <w:highlight w:val="none"/>
              </w:rPr>
            </w:pPr>
          </w:p>
        </w:tc>
        <w:tc>
          <w:tcPr>
            <w:tcW w:w="710" w:type="pct"/>
            <w:tcBorders>
              <w:top w:val="single" w:color="auto" w:sz="4" w:space="0"/>
              <w:left w:val="single" w:color="auto" w:sz="4" w:space="0"/>
              <w:bottom w:val="single" w:color="auto" w:sz="4" w:space="0"/>
              <w:right w:val="single" w:color="auto" w:sz="4" w:space="0"/>
            </w:tcBorders>
            <w:vAlign w:val="center"/>
          </w:tcPr>
          <w:p w14:paraId="723DEDFF">
            <w:pPr>
              <w:widowControl/>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姓名</w:t>
            </w:r>
          </w:p>
        </w:tc>
        <w:tc>
          <w:tcPr>
            <w:tcW w:w="887" w:type="pct"/>
            <w:tcBorders>
              <w:top w:val="single" w:color="auto" w:sz="4" w:space="0"/>
              <w:left w:val="single" w:color="auto" w:sz="4" w:space="0"/>
              <w:bottom w:val="single" w:color="auto" w:sz="4" w:space="0"/>
              <w:right w:val="single" w:color="auto" w:sz="4" w:space="0"/>
            </w:tcBorders>
            <w:vAlign w:val="center"/>
          </w:tcPr>
          <w:p w14:paraId="468E6E93">
            <w:pPr>
              <w:widowControl/>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担任职务</w:t>
            </w:r>
          </w:p>
        </w:tc>
        <w:tc>
          <w:tcPr>
            <w:tcW w:w="1271" w:type="pct"/>
            <w:tcBorders>
              <w:top w:val="single" w:color="auto" w:sz="4" w:space="0"/>
              <w:left w:val="nil"/>
              <w:bottom w:val="single" w:color="auto" w:sz="4" w:space="0"/>
              <w:right w:val="single" w:color="auto" w:sz="4" w:space="0"/>
            </w:tcBorders>
            <w:vAlign w:val="center"/>
          </w:tcPr>
          <w:p w14:paraId="62919198">
            <w:pPr>
              <w:widowControl/>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期限</w:t>
            </w:r>
          </w:p>
        </w:tc>
        <w:tc>
          <w:tcPr>
            <w:tcW w:w="658" w:type="pct"/>
            <w:tcBorders>
              <w:top w:val="single" w:color="auto" w:sz="4" w:space="0"/>
              <w:left w:val="single" w:color="auto" w:sz="4" w:space="0"/>
              <w:bottom w:val="single" w:color="auto" w:sz="4" w:space="0"/>
              <w:right w:val="single" w:color="auto" w:sz="4" w:space="0"/>
            </w:tcBorders>
            <w:noWrap/>
            <w:vAlign w:val="center"/>
          </w:tcPr>
          <w:p w14:paraId="30AA1725">
            <w:pPr>
              <w:widowControl/>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单位</w:t>
            </w:r>
          </w:p>
        </w:tc>
        <w:tc>
          <w:tcPr>
            <w:tcW w:w="464" w:type="pct"/>
            <w:tcBorders>
              <w:top w:val="nil"/>
              <w:left w:val="nil"/>
              <w:bottom w:val="single" w:color="auto" w:sz="4" w:space="0"/>
              <w:right w:val="single" w:color="auto" w:sz="4" w:space="0"/>
            </w:tcBorders>
            <w:noWrap/>
            <w:vAlign w:val="center"/>
          </w:tcPr>
          <w:p w14:paraId="1E63C82F">
            <w:pPr>
              <w:widowControl/>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部门</w:t>
            </w:r>
          </w:p>
        </w:tc>
        <w:tc>
          <w:tcPr>
            <w:tcW w:w="650" w:type="pct"/>
            <w:tcBorders>
              <w:top w:val="single" w:color="auto" w:sz="4" w:space="0"/>
              <w:left w:val="nil"/>
              <w:bottom w:val="single" w:color="auto" w:sz="4" w:space="0"/>
              <w:right w:val="single" w:color="auto" w:sz="4" w:space="0"/>
            </w:tcBorders>
            <w:vAlign w:val="center"/>
          </w:tcPr>
          <w:p w14:paraId="0BE122B2">
            <w:pPr>
              <w:widowControl/>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职务/岗位</w:t>
            </w:r>
          </w:p>
        </w:tc>
      </w:tr>
      <w:tr w14:paraId="575E25F2">
        <w:tblPrEx>
          <w:tblCellMar>
            <w:top w:w="0" w:type="dxa"/>
            <w:left w:w="108" w:type="dxa"/>
            <w:bottom w:w="0" w:type="dxa"/>
            <w:right w:w="108" w:type="dxa"/>
          </w:tblCellMar>
        </w:tblPrEx>
        <w:trPr>
          <w:trHeight w:val="387" w:hRule="atLeast"/>
          <w:jc w:val="center"/>
        </w:trPr>
        <w:tc>
          <w:tcPr>
            <w:tcW w:w="357" w:type="pct"/>
            <w:tcBorders>
              <w:top w:val="nil"/>
              <w:left w:val="single" w:color="auto" w:sz="4" w:space="0"/>
              <w:bottom w:val="single" w:color="auto" w:sz="4" w:space="0"/>
              <w:right w:val="single" w:color="auto" w:sz="4" w:space="0"/>
            </w:tcBorders>
            <w:noWrap/>
            <w:vAlign w:val="center"/>
          </w:tcPr>
          <w:p w14:paraId="64D1D096">
            <w:pPr>
              <w:widowControl/>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示例</w:t>
            </w:r>
          </w:p>
        </w:tc>
        <w:tc>
          <w:tcPr>
            <w:tcW w:w="710" w:type="pct"/>
            <w:tcBorders>
              <w:top w:val="nil"/>
              <w:left w:val="nil"/>
              <w:bottom w:val="single" w:color="auto" w:sz="4" w:space="0"/>
              <w:right w:val="single" w:color="auto" w:sz="4" w:space="0"/>
            </w:tcBorders>
            <w:noWrap/>
            <w:vAlign w:val="center"/>
          </w:tcPr>
          <w:p w14:paraId="785BB1CE">
            <w:pPr>
              <w:widowControl/>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张三</w:t>
            </w:r>
          </w:p>
        </w:tc>
        <w:tc>
          <w:tcPr>
            <w:tcW w:w="887" w:type="pct"/>
            <w:tcBorders>
              <w:top w:val="nil"/>
              <w:left w:val="nil"/>
              <w:bottom w:val="single" w:color="auto" w:sz="4" w:space="0"/>
              <w:right w:val="single" w:color="auto" w:sz="4" w:space="0"/>
            </w:tcBorders>
            <w:noWrap/>
            <w:vAlign w:val="center"/>
          </w:tcPr>
          <w:p w14:paraId="40686667">
            <w:pPr>
              <w:widowControl/>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法定代表人</w:t>
            </w:r>
          </w:p>
        </w:tc>
        <w:tc>
          <w:tcPr>
            <w:tcW w:w="1271" w:type="pct"/>
            <w:tcBorders>
              <w:top w:val="single" w:color="auto" w:sz="4" w:space="0"/>
              <w:left w:val="nil"/>
              <w:bottom w:val="single" w:color="auto" w:sz="4" w:space="0"/>
              <w:right w:val="single" w:color="auto" w:sz="4" w:space="0"/>
            </w:tcBorders>
            <w:vAlign w:val="center"/>
          </w:tcPr>
          <w:p w14:paraId="5A38CAFF">
            <w:pPr>
              <w:widowControl/>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2024.1.1-2024.10.31</w:t>
            </w:r>
          </w:p>
        </w:tc>
        <w:tc>
          <w:tcPr>
            <w:tcW w:w="658" w:type="pct"/>
            <w:tcBorders>
              <w:top w:val="single" w:color="auto" w:sz="4" w:space="0"/>
              <w:left w:val="single" w:color="auto" w:sz="4" w:space="0"/>
              <w:bottom w:val="single" w:color="auto" w:sz="4" w:space="0"/>
              <w:right w:val="single" w:color="auto" w:sz="4" w:space="0"/>
            </w:tcBorders>
            <w:noWrap/>
            <w:vAlign w:val="center"/>
          </w:tcPr>
          <w:p w14:paraId="1B9A71C4">
            <w:pPr>
              <w:widowControl/>
              <w:jc w:val="center"/>
              <w:rPr>
                <w:rFonts w:hint="eastAsia" w:ascii="宋体" w:hAnsi="宋体" w:eastAsia="宋体" w:cs="宋体"/>
                <w:i/>
                <w:iCs/>
                <w:color w:val="auto"/>
                <w:kern w:val="0"/>
                <w:sz w:val="20"/>
                <w:highlight w:val="none"/>
              </w:rPr>
            </w:pPr>
            <w:r>
              <w:rPr>
                <w:rFonts w:hint="eastAsia" w:ascii="宋体" w:hAnsi="宋体" w:eastAsia="宋体" w:cs="宋体"/>
                <w:color w:val="auto"/>
                <w:kern w:val="0"/>
                <w:highlight w:val="none"/>
              </w:rPr>
              <w:t>XX公司</w:t>
            </w:r>
          </w:p>
        </w:tc>
        <w:tc>
          <w:tcPr>
            <w:tcW w:w="464" w:type="pct"/>
            <w:tcBorders>
              <w:top w:val="nil"/>
              <w:left w:val="nil"/>
              <w:bottom w:val="single" w:color="auto" w:sz="4" w:space="0"/>
              <w:right w:val="single" w:color="auto" w:sz="4" w:space="0"/>
            </w:tcBorders>
            <w:noWrap/>
            <w:vAlign w:val="center"/>
          </w:tcPr>
          <w:p w14:paraId="4E18181E">
            <w:pPr>
              <w:widowControl/>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XX部</w:t>
            </w:r>
          </w:p>
        </w:tc>
        <w:tc>
          <w:tcPr>
            <w:tcW w:w="650" w:type="pct"/>
            <w:tcBorders>
              <w:top w:val="single" w:color="auto" w:sz="4" w:space="0"/>
              <w:left w:val="nil"/>
              <w:bottom w:val="single" w:color="auto" w:sz="4" w:space="0"/>
              <w:right w:val="single" w:color="auto" w:sz="4" w:space="0"/>
            </w:tcBorders>
            <w:vAlign w:val="center"/>
          </w:tcPr>
          <w:p w14:paraId="66863DEF">
            <w:pPr>
              <w:widowControl/>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总经理</w:t>
            </w:r>
          </w:p>
        </w:tc>
      </w:tr>
      <w:tr w14:paraId="069BC454">
        <w:tblPrEx>
          <w:tblCellMar>
            <w:top w:w="0" w:type="dxa"/>
            <w:left w:w="108" w:type="dxa"/>
            <w:bottom w:w="0" w:type="dxa"/>
            <w:right w:w="108" w:type="dxa"/>
          </w:tblCellMar>
        </w:tblPrEx>
        <w:trPr>
          <w:trHeight w:val="273" w:hRule="atLeast"/>
          <w:jc w:val="center"/>
        </w:trPr>
        <w:tc>
          <w:tcPr>
            <w:tcW w:w="357" w:type="pct"/>
            <w:tcBorders>
              <w:top w:val="nil"/>
              <w:left w:val="single" w:color="auto" w:sz="4" w:space="0"/>
              <w:bottom w:val="single" w:color="auto" w:sz="4" w:space="0"/>
              <w:right w:val="single" w:color="auto" w:sz="4" w:space="0"/>
            </w:tcBorders>
            <w:noWrap/>
            <w:vAlign w:val="center"/>
          </w:tcPr>
          <w:p w14:paraId="027C9D2C">
            <w:pPr>
              <w:widowControl/>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示例</w:t>
            </w:r>
          </w:p>
        </w:tc>
        <w:tc>
          <w:tcPr>
            <w:tcW w:w="710" w:type="pct"/>
            <w:tcBorders>
              <w:top w:val="nil"/>
              <w:left w:val="nil"/>
              <w:bottom w:val="single" w:color="auto" w:sz="4" w:space="0"/>
              <w:right w:val="single" w:color="auto" w:sz="4" w:space="0"/>
            </w:tcBorders>
            <w:noWrap/>
            <w:vAlign w:val="center"/>
          </w:tcPr>
          <w:p w14:paraId="2BC7238B">
            <w:pPr>
              <w:widowControl/>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李四</w:t>
            </w:r>
          </w:p>
        </w:tc>
        <w:tc>
          <w:tcPr>
            <w:tcW w:w="887" w:type="pct"/>
            <w:tcBorders>
              <w:top w:val="nil"/>
              <w:left w:val="nil"/>
              <w:bottom w:val="single" w:color="auto" w:sz="4" w:space="0"/>
              <w:right w:val="single" w:color="auto" w:sz="4" w:space="0"/>
            </w:tcBorders>
            <w:noWrap/>
            <w:vAlign w:val="center"/>
          </w:tcPr>
          <w:p w14:paraId="2683EA7D">
            <w:pPr>
              <w:widowControl/>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法定代表人</w:t>
            </w:r>
          </w:p>
        </w:tc>
        <w:tc>
          <w:tcPr>
            <w:tcW w:w="1271" w:type="pct"/>
            <w:tcBorders>
              <w:top w:val="single" w:color="auto" w:sz="4" w:space="0"/>
              <w:left w:val="nil"/>
              <w:bottom w:val="single" w:color="auto" w:sz="4" w:space="0"/>
              <w:right w:val="single" w:color="auto" w:sz="4" w:space="0"/>
            </w:tcBorders>
            <w:vAlign w:val="center"/>
          </w:tcPr>
          <w:p w14:paraId="15C11966">
            <w:pPr>
              <w:widowControl/>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2024.1.1至今</w:t>
            </w:r>
          </w:p>
        </w:tc>
        <w:tc>
          <w:tcPr>
            <w:tcW w:w="658" w:type="pct"/>
            <w:tcBorders>
              <w:top w:val="single" w:color="auto" w:sz="4" w:space="0"/>
              <w:left w:val="single" w:color="auto" w:sz="4" w:space="0"/>
              <w:bottom w:val="single" w:color="auto" w:sz="4" w:space="0"/>
              <w:right w:val="single" w:color="auto" w:sz="4" w:space="0"/>
            </w:tcBorders>
            <w:noWrap/>
            <w:vAlign w:val="center"/>
          </w:tcPr>
          <w:p w14:paraId="6700DA40">
            <w:pPr>
              <w:widowControl/>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XX公司</w:t>
            </w:r>
          </w:p>
        </w:tc>
        <w:tc>
          <w:tcPr>
            <w:tcW w:w="464" w:type="pct"/>
            <w:tcBorders>
              <w:top w:val="nil"/>
              <w:left w:val="nil"/>
              <w:bottom w:val="single" w:color="auto" w:sz="4" w:space="0"/>
              <w:right w:val="single" w:color="auto" w:sz="4" w:space="0"/>
            </w:tcBorders>
            <w:noWrap/>
            <w:vAlign w:val="center"/>
          </w:tcPr>
          <w:p w14:paraId="08CE1D00">
            <w:pPr>
              <w:widowControl/>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XX部</w:t>
            </w:r>
          </w:p>
        </w:tc>
        <w:tc>
          <w:tcPr>
            <w:tcW w:w="650" w:type="pct"/>
            <w:tcBorders>
              <w:top w:val="single" w:color="auto" w:sz="4" w:space="0"/>
              <w:left w:val="nil"/>
              <w:bottom w:val="single" w:color="auto" w:sz="4" w:space="0"/>
              <w:right w:val="single" w:color="auto" w:sz="4" w:space="0"/>
            </w:tcBorders>
            <w:vAlign w:val="center"/>
          </w:tcPr>
          <w:p w14:paraId="3CA2EE98">
            <w:pPr>
              <w:widowControl/>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采购管理</w:t>
            </w:r>
          </w:p>
        </w:tc>
      </w:tr>
      <w:tr w14:paraId="5CCE8898">
        <w:tblPrEx>
          <w:tblCellMar>
            <w:top w:w="0" w:type="dxa"/>
            <w:left w:w="108" w:type="dxa"/>
            <w:bottom w:w="0" w:type="dxa"/>
            <w:right w:w="108" w:type="dxa"/>
          </w:tblCellMar>
        </w:tblPrEx>
        <w:trPr>
          <w:trHeight w:val="273" w:hRule="atLeast"/>
          <w:jc w:val="center"/>
        </w:trPr>
        <w:tc>
          <w:tcPr>
            <w:tcW w:w="357" w:type="pct"/>
            <w:tcBorders>
              <w:top w:val="nil"/>
              <w:left w:val="single" w:color="auto" w:sz="4" w:space="0"/>
              <w:bottom w:val="single" w:color="auto" w:sz="4" w:space="0"/>
              <w:right w:val="single" w:color="auto" w:sz="4" w:space="0"/>
            </w:tcBorders>
            <w:noWrap/>
            <w:vAlign w:val="center"/>
          </w:tcPr>
          <w:p w14:paraId="52945388">
            <w:pPr>
              <w:widowControl/>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1</w:t>
            </w:r>
          </w:p>
        </w:tc>
        <w:tc>
          <w:tcPr>
            <w:tcW w:w="710" w:type="pct"/>
            <w:tcBorders>
              <w:top w:val="nil"/>
              <w:left w:val="nil"/>
              <w:bottom w:val="single" w:color="auto" w:sz="4" w:space="0"/>
              <w:right w:val="single" w:color="auto" w:sz="4" w:space="0"/>
            </w:tcBorders>
            <w:noWrap/>
            <w:vAlign w:val="center"/>
          </w:tcPr>
          <w:p w14:paraId="3E4D9912">
            <w:pPr>
              <w:widowControl/>
              <w:jc w:val="center"/>
              <w:rPr>
                <w:rFonts w:hint="eastAsia" w:ascii="宋体" w:hAnsi="宋体" w:eastAsia="宋体" w:cs="宋体"/>
                <w:color w:val="auto"/>
                <w:kern w:val="0"/>
                <w:highlight w:val="none"/>
              </w:rPr>
            </w:pPr>
          </w:p>
        </w:tc>
        <w:tc>
          <w:tcPr>
            <w:tcW w:w="887" w:type="pct"/>
            <w:tcBorders>
              <w:top w:val="nil"/>
              <w:left w:val="nil"/>
              <w:bottom w:val="single" w:color="auto" w:sz="4" w:space="0"/>
              <w:right w:val="single" w:color="auto" w:sz="4" w:space="0"/>
            </w:tcBorders>
            <w:noWrap/>
            <w:vAlign w:val="center"/>
          </w:tcPr>
          <w:p w14:paraId="1C8A3814">
            <w:pPr>
              <w:widowControl/>
              <w:jc w:val="center"/>
              <w:rPr>
                <w:rFonts w:hint="eastAsia" w:ascii="宋体" w:hAnsi="宋体" w:eastAsia="宋体" w:cs="宋体"/>
                <w:color w:val="auto"/>
                <w:kern w:val="0"/>
                <w:highlight w:val="none"/>
              </w:rPr>
            </w:pPr>
          </w:p>
        </w:tc>
        <w:tc>
          <w:tcPr>
            <w:tcW w:w="1271" w:type="pct"/>
            <w:tcBorders>
              <w:top w:val="single" w:color="auto" w:sz="4" w:space="0"/>
              <w:left w:val="nil"/>
              <w:bottom w:val="single" w:color="auto" w:sz="4" w:space="0"/>
              <w:right w:val="single" w:color="auto" w:sz="4" w:space="0"/>
            </w:tcBorders>
            <w:vAlign w:val="center"/>
          </w:tcPr>
          <w:p w14:paraId="4BDE3E57">
            <w:pPr>
              <w:widowControl/>
              <w:jc w:val="center"/>
              <w:rPr>
                <w:rFonts w:hint="eastAsia" w:ascii="宋体" w:hAnsi="宋体" w:eastAsia="宋体" w:cs="宋体"/>
                <w:color w:val="auto"/>
                <w:kern w:val="0"/>
                <w:highlight w:val="none"/>
              </w:rPr>
            </w:pPr>
          </w:p>
        </w:tc>
        <w:tc>
          <w:tcPr>
            <w:tcW w:w="658" w:type="pct"/>
            <w:tcBorders>
              <w:top w:val="single" w:color="auto" w:sz="4" w:space="0"/>
              <w:left w:val="single" w:color="auto" w:sz="4" w:space="0"/>
              <w:bottom w:val="single" w:color="auto" w:sz="4" w:space="0"/>
              <w:right w:val="single" w:color="auto" w:sz="4" w:space="0"/>
            </w:tcBorders>
            <w:noWrap/>
            <w:vAlign w:val="center"/>
          </w:tcPr>
          <w:p w14:paraId="20C36FC5">
            <w:pPr>
              <w:widowControl/>
              <w:jc w:val="center"/>
              <w:rPr>
                <w:rFonts w:hint="eastAsia" w:ascii="宋体" w:hAnsi="宋体" w:eastAsia="宋体" w:cs="宋体"/>
                <w:color w:val="auto"/>
                <w:kern w:val="0"/>
                <w:highlight w:val="none"/>
              </w:rPr>
            </w:pPr>
          </w:p>
        </w:tc>
        <w:tc>
          <w:tcPr>
            <w:tcW w:w="464" w:type="pct"/>
            <w:tcBorders>
              <w:top w:val="nil"/>
              <w:left w:val="nil"/>
              <w:bottom w:val="single" w:color="auto" w:sz="4" w:space="0"/>
              <w:right w:val="single" w:color="auto" w:sz="4" w:space="0"/>
            </w:tcBorders>
            <w:noWrap/>
            <w:vAlign w:val="center"/>
          </w:tcPr>
          <w:p w14:paraId="778E0E98">
            <w:pPr>
              <w:widowControl/>
              <w:jc w:val="center"/>
              <w:rPr>
                <w:rFonts w:hint="eastAsia" w:ascii="宋体" w:hAnsi="宋体" w:eastAsia="宋体" w:cs="宋体"/>
                <w:color w:val="auto"/>
                <w:kern w:val="0"/>
                <w:highlight w:val="none"/>
              </w:rPr>
            </w:pPr>
          </w:p>
        </w:tc>
        <w:tc>
          <w:tcPr>
            <w:tcW w:w="650" w:type="pct"/>
            <w:tcBorders>
              <w:top w:val="single" w:color="auto" w:sz="4" w:space="0"/>
              <w:left w:val="nil"/>
              <w:bottom w:val="single" w:color="auto" w:sz="4" w:space="0"/>
              <w:right w:val="single" w:color="auto" w:sz="4" w:space="0"/>
            </w:tcBorders>
            <w:vAlign w:val="center"/>
          </w:tcPr>
          <w:p w14:paraId="41461255">
            <w:pPr>
              <w:widowControl/>
              <w:jc w:val="center"/>
              <w:rPr>
                <w:rFonts w:hint="eastAsia" w:ascii="宋体" w:hAnsi="宋体" w:eastAsia="宋体" w:cs="宋体"/>
                <w:color w:val="auto"/>
                <w:kern w:val="0"/>
                <w:highlight w:val="none"/>
              </w:rPr>
            </w:pPr>
          </w:p>
        </w:tc>
      </w:tr>
      <w:tr w14:paraId="7401887A">
        <w:tblPrEx>
          <w:tblCellMar>
            <w:top w:w="0" w:type="dxa"/>
            <w:left w:w="108" w:type="dxa"/>
            <w:bottom w:w="0" w:type="dxa"/>
            <w:right w:w="108" w:type="dxa"/>
          </w:tblCellMar>
        </w:tblPrEx>
        <w:trPr>
          <w:trHeight w:val="273" w:hRule="atLeast"/>
          <w:jc w:val="center"/>
        </w:trPr>
        <w:tc>
          <w:tcPr>
            <w:tcW w:w="357" w:type="pct"/>
            <w:tcBorders>
              <w:top w:val="nil"/>
              <w:left w:val="single" w:color="auto" w:sz="4" w:space="0"/>
              <w:bottom w:val="single" w:color="auto" w:sz="4" w:space="0"/>
              <w:right w:val="single" w:color="auto" w:sz="4" w:space="0"/>
            </w:tcBorders>
            <w:noWrap/>
            <w:vAlign w:val="center"/>
          </w:tcPr>
          <w:p w14:paraId="3DF7C222">
            <w:pPr>
              <w:widowControl/>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w:t>
            </w:r>
          </w:p>
        </w:tc>
        <w:tc>
          <w:tcPr>
            <w:tcW w:w="710" w:type="pct"/>
            <w:tcBorders>
              <w:top w:val="nil"/>
              <w:left w:val="nil"/>
              <w:bottom w:val="single" w:color="auto" w:sz="4" w:space="0"/>
              <w:right w:val="single" w:color="auto" w:sz="4" w:space="0"/>
            </w:tcBorders>
            <w:noWrap/>
            <w:vAlign w:val="center"/>
          </w:tcPr>
          <w:p w14:paraId="54B41C56">
            <w:pPr>
              <w:widowControl/>
              <w:jc w:val="center"/>
              <w:rPr>
                <w:rFonts w:hint="eastAsia" w:ascii="宋体" w:hAnsi="宋体" w:eastAsia="宋体" w:cs="宋体"/>
                <w:color w:val="auto"/>
                <w:kern w:val="0"/>
                <w:highlight w:val="none"/>
              </w:rPr>
            </w:pPr>
          </w:p>
        </w:tc>
        <w:tc>
          <w:tcPr>
            <w:tcW w:w="887" w:type="pct"/>
            <w:tcBorders>
              <w:top w:val="nil"/>
              <w:left w:val="nil"/>
              <w:bottom w:val="single" w:color="auto" w:sz="4" w:space="0"/>
              <w:right w:val="single" w:color="auto" w:sz="4" w:space="0"/>
            </w:tcBorders>
            <w:noWrap/>
            <w:vAlign w:val="center"/>
          </w:tcPr>
          <w:p w14:paraId="392E0D92">
            <w:pPr>
              <w:widowControl/>
              <w:jc w:val="center"/>
              <w:rPr>
                <w:rFonts w:hint="eastAsia" w:ascii="宋体" w:hAnsi="宋体" w:eastAsia="宋体" w:cs="宋体"/>
                <w:color w:val="auto"/>
                <w:kern w:val="0"/>
                <w:highlight w:val="none"/>
              </w:rPr>
            </w:pPr>
          </w:p>
        </w:tc>
        <w:tc>
          <w:tcPr>
            <w:tcW w:w="1271" w:type="pct"/>
            <w:tcBorders>
              <w:top w:val="single" w:color="auto" w:sz="4" w:space="0"/>
              <w:left w:val="nil"/>
              <w:bottom w:val="single" w:color="auto" w:sz="4" w:space="0"/>
              <w:right w:val="single" w:color="auto" w:sz="4" w:space="0"/>
            </w:tcBorders>
            <w:vAlign w:val="center"/>
          </w:tcPr>
          <w:p w14:paraId="77CB930B">
            <w:pPr>
              <w:widowControl/>
              <w:jc w:val="center"/>
              <w:rPr>
                <w:rFonts w:hint="eastAsia" w:ascii="宋体" w:hAnsi="宋体" w:eastAsia="宋体" w:cs="宋体"/>
                <w:color w:val="auto"/>
                <w:kern w:val="0"/>
                <w:highlight w:val="none"/>
              </w:rPr>
            </w:pPr>
          </w:p>
        </w:tc>
        <w:tc>
          <w:tcPr>
            <w:tcW w:w="658" w:type="pct"/>
            <w:tcBorders>
              <w:top w:val="single" w:color="auto" w:sz="4" w:space="0"/>
              <w:left w:val="single" w:color="auto" w:sz="4" w:space="0"/>
              <w:bottom w:val="single" w:color="auto" w:sz="4" w:space="0"/>
              <w:right w:val="single" w:color="auto" w:sz="4" w:space="0"/>
            </w:tcBorders>
            <w:noWrap/>
            <w:vAlign w:val="center"/>
          </w:tcPr>
          <w:p w14:paraId="6EEC5B42">
            <w:pPr>
              <w:widowControl/>
              <w:jc w:val="center"/>
              <w:rPr>
                <w:rFonts w:hint="eastAsia" w:ascii="宋体" w:hAnsi="宋体" w:eastAsia="宋体" w:cs="宋体"/>
                <w:color w:val="auto"/>
                <w:kern w:val="0"/>
                <w:highlight w:val="none"/>
              </w:rPr>
            </w:pPr>
          </w:p>
        </w:tc>
        <w:tc>
          <w:tcPr>
            <w:tcW w:w="464" w:type="pct"/>
            <w:tcBorders>
              <w:top w:val="nil"/>
              <w:left w:val="nil"/>
              <w:bottom w:val="single" w:color="auto" w:sz="4" w:space="0"/>
              <w:right w:val="single" w:color="auto" w:sz="4" w:space="0"/>
            </w:tcBorders>
            <w:noWrap/>
            <w:vAlign w:val="center"/>
          </w:tcPr>
          <w:p w14:paraId="0B0A19E8">
            <w:pPr>
              <w:widowControl/>
              <w:jc w:val="center"/>
              <w:rPr>
                <w:rFonts w:hint="eastAsia" w:ascii="宋体" w:hAnsi="宋体" w:eastAsia="宋体" w:cs="宋体"/>
                <w:color w:val="auto"/>
                <w:kern w:val="0"/>
                <w:highlight w:val="none"/>
              </w:rPr>
            </w:pPr>
          </w:p>
        </w:tc>
        <w:tc>
          <w:tcPr>
            <w:tcW w:w="650" w:type="pct"/>
            <w:tcBorders>
              <w:top w:val="single" w:color="auto" w:sz="4" w:space="0"/>
              <w:left w:val="nil"/>
              <w:bottom w:val="single" w:color="auto" w:sz="4" w:space="0"/>
              <w:right w:val="single" w:color="auto" w:sz="4" w:space="0"/>
            </w:tcBorders>
            <w:vAlign w:val="center"/>
          </w:tcPr>
          <w:p w14:paraId="7AD8856B">
            <w:pPr>
              <w:widowControl/>
              <w:jc w:val="center"/>
              <w:rPr>
                <w:rFonts w:hint="eastAsia" w:ascii="宋体" w:hAnsi="宋体" w:eastAsia="宋体" w:cs="宋体"/>
                <w:color w:val="auto"/>
                <w:kern w:val="0"/>
                <w:highlight w:val="none"/>
              </w:rPr>
            </w:pPr>
          </w:p>
        </w:tc>
      </w:tr>
    </w:tbl>
    <w:p w14:paraId="3D268D2A">
      <w:pPr>
        <w:rPr>
          <w:rFonts w:hint="eastAsia" w:ascii="宋体" w:hAnsi="宋体" w:eastAsia="宋体" w:cs="宋体"/>
          <w:color w:val="auto"/>
          <w:sz w:val="22"/>
          <w:szCs w:val="22"/>
          <w:highlight w:val="none"/>
        </w:rPr>
      </w:pPr>
    </w:p>
    <w:p w14:paraId="0F87EEEE">
      <w:pPr>
        <w:rPr>
          <w:rFonts w:hint="eastAsia" w:ascii="宋体" w:hAnsi="宋体" w:eastAsia="宋体" w:cs="宋体"/>
          <w:color w:val="auto"/>
          <w:szCs w:val="21"/>
        </w:rPr>
      </w:pPr>
      <w:r>
        <w:rPr>
          <w:rFonts w:hint="eastAsia" w:ascii="宋体" w:hAnsi="宋体" w:eastAsia="宋体" w:cs="宋体"/>
          <w:color w:val="auto"/>
          <w:szCs w:val="21"/>
        </w:rPr>
        <w:t>注：1.从业是指与中国电信集团系统内企业直接签订劳动合同的情形；</w:t>
      </w:r>
    </w:p>
    <w:p w14:paraId="492707C0">
      <w:pPr>
        <w:ind w:firstLine="420" w:firstLineChars="0"/>
        <w:rPr>
          <w:rFonts w:hint="eastAsia" w:ascii="宋体" w:hAnsi="宋体" w:eastAsia="宋体" w:cs="宋体"/>
          <w:color w:val="auto"/>
          <w:szCs w:val="21"/>
        </w:rPr>
      </w:pPr>
      <w:r>
        <w:rPr>
          <w:rFonts w:hint="eastAsia" w:ascii="宋体" w:hAnsi="宋体" w:eastAsia="宋体" w:cs="宋体"/>
          <w:color w:val="auto"/>
          <w:szCs w:val="21"/>
        </w:rPr>
        <w:t>2.中国电信在职员工经中国电信集团系统内企业批准在我方担任法定代表人或董监高的情形，无需填写；</w:t>
      </w:r>
    </w:p>
    <w:p w14:paraId="7E960A46">
      <w:pPr>
        <w:ind w:firstLine="420" w:firstLineChars="0"/>
        <w:rPr>
          <w:rFonts w:hint="eastAsia" w:ascii="宋体" w:hAnsi="宋体" w:eastAsia="宋体" w:cs="宋体"/>
          <w:color w:val="auto"/>
          <w:sz w:val="22"/>
          <w:szCs w:val="22"/>
          <w:highlight w:val="none"/>
        </w:rPr>
      </w:pPr>
      <w:r>
        <w:rPr>
          <w:rFonts w:hint="eastAsia" w:ascii="宋体" w:hAnsi="宋体" w:eastAsia="宋体" w:cs="宋体"/>
          <w:color w:val="auto"/>
          <w:szCs w:val="21"/>
        </w:rPr>
        <w:t>3.如无上述情况，则应在第一行“姓名”列填写“不涉及”。</w:t>
      </w:r>
    </w:p>
    <w:p w14:paraId="51115ECB">
      <w:pPr>
        <w:numPr>
          <w:ilvl w:val="255"/>
          <w:numId w:val="0"/>
        </w:numPr>
        <w:ind w:firstLine="440" w:firstLineChars="200"/>
        <w:rPr>
          <w:rFonts w:hint="eastAsia" w:ascii="宋体" w:hAnsi="宋体" w:eastAsia="宋体" w:cs="宋体"/>
          <w:color w:val="auto"/>
          <w:sz w:val="22"/>
          <w:szCs w:val="22"/>
          <w:highlight w:val="none"/>
        </w:rPr>
      </w:pPr>
    </w:p>
    <w:p w14:paraId="61AB4B12">
      <w:pPr>
        <w:jc w:val="center"/>
        <w:rPr>
          <w:rFonts w:hint="eastAsia" w:ascii="宋体" w:hAnsi="宋体" w:eastAsia="宋体" w:cs="宋体"/>
          <w:b/>
          <w:color w:val="auto"/>
          <w:szCs w:val="36"/>
          <w:highlight w:val="none"/>
        </w:rPr>
      </w:pPr>
      <w:r>
        <w:rPr>
          <w:rFonts w:hint="eastAsia" w:ascii="宋体" w:hAnsi="宋体" w:eastAsia="宋体" w:cs="宋体"/>
          <w:b/>
          <w:color w:val="auto"/>
          <w:szCs w:val="36"/>
          <w:highlight w:val="none"/>
        </w:rPr>
        <w:t>中国电信员工的近亲属在我方担任法定代表人或董监高的情况表</w:t>
      </w:r>
    </w:p>
    <w:p w14:paraId="177C589A">
      <w:pPr>
        <w:numPr>
          <w:ilvl w:val="255"/>
          <w:numId w:val="0"/>
        </w:numPr>
        <w:ind w:firstLine="440" w:firstLineChars="200"/>
        <w:rPr>
          <w:rFonts w:hint="eastAsia" w:ascii="宋体" w:hAnsi="宋体" w:eastAsia="宋体" w:cs="宋体"/>
          <w:color w:val="auto"/>
          <w:sz w:val="22"/>
          <w:szCs w:val="22"/>
          <w:highlight w:val="none"/>
        </w:rPr>
      </w:pPr>
    </w:p>
    <w:tbl>
      <w:tblPr>
        <w:tblStyle w:val="41"/>
        <w:tblW w:w="5864" w:type="pct"/>
        <w:jc w:val="center"/>
        <w:tblLayout w:type="fixed"/>
        <w:tblCellMar>
          <w:top w:w="0" w:type="dxa"/>
          <w:left w:w="108" w:type="dxa"/>
          <w:bottom w:w="0" w:type="dxa"/>
          <w:right w:w="108" w:type="dxa"/>
        </w:tblCellMar>
      </w:tblPr>
      <w:tblGrid>
        <w:gridCol w:w="731"/>
        <w:gridCol w:w="737"/>
        <w:gridCol w:w="1548"/>
        <w:gridCol w:w="1293"/>
        <w:gridCol w:w="1502"/>
        <w:gridCol w:w="1468"/>
        <w:gridCol w:w="947"/>
        <w:gridCol w:w="1769"/>
      </w:tblGrid>
      <w:tr w14:paraId="0FD5F18B">
        <w:tblPrEx>
          <w:tblCellMar>
            <w:top w:w="0" w:type="dxa"/>
            <w:left w:w="108" w:type="dxa"/>
            <w:bottom w:w="0" w:type="dxa"/>
            <w:right w:w="108" w:type="dxa"/>
          </w:tblCellMar>
        </w:tblPrEx>
        <w:trPr>
          <w:trHeight w:val="459" w:hRule="atLeast"/>
          <w:jc w:val="center"/>
        </w:trPr>
        <w:tc>
          <w:tcPr>
            <w:tcW w:w="731" w:type="dxa"/>
            <w:vMerge w:val="restart"/>
            <w:tcBorders>
              <w:top w:val="single" w:color="auto" w:sz="4" w:space="0"/>
              <w:left w:val="single" w:color="auto" w:sz="4" w:space="0"/>
              <w:right w:val="single" w:color="auto" w:sz="4" w:space="0"/>
            </w:tcBorders>
            <w:noWrap/>
            <w:vAlign w:val="center"/>
          </w:tcPr>
          <w:p w14:paraId="37DB17B4">
            <w:pPr>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序号</w:t>
            </w:r>
          </w:p>
        </w:tc>
        <w:tc>
          <w:tcPr>
            <w:tcW w:w="5080" w:type="dxa"/>
            <w:gridSpan w:val="4"/>
            <w:tcBorders>
              <w:top w:val="single" w:color="auto" w:sz="4" w:space="0"/>
              <w:left w:val="single" w:color="auto" w:sz="4" w:space="0"/>
              <w:bottom w:val="single" w:color="auto" w:sz="4" w:space="0"/>
              <w:right w:val="single" w:color="auto" w:sz="4" w:space="0"/>
            </w:tcBorders>
            <w:vAlign w:val="center"/>
          </w:tcPr>
          <w:p w14:paraId="7E669AE3">
            <w:pPr>
              <w:widowControl/>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中国电信员工当前从业情况</w:t>
            </w:r>
          </w:p>
        </w:tc>
        <w:tc>
          <w:tcPr>
            <w:tcW w:w="4184" w:type="dxa"/>
            <w:gridSpan w:val="3"/>
            <w:tcBorders>
              <w:top w:val="single" w:color="auto" w:sz="4" w:space="0"/>
              <w:left w:val="nil"/>
              <w:bottom w:val="single" w:color="auto" w:sz="4" w:space="0"/>
              <w:right w:val="single" w:color="000000" w:sz="4" w:space="0"/>
            </w:tcBorders>
            <w:vAlign w:val="center"/>
          </w:tcPr>
          <w:p w14:paraId="191E972A">
            <w:pPr>
              <w:widowControl/>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我方法定代表人或董监高情况</w:t>
            </w:r>
          </w:p>
        </w:tc>
      </w:tr>
      <w:tr w14:paraId="1D5CD318">
        <w:tblPrEx>
          <w:tblCellMar>
            <w:top w:w="0" w:type="dxa"/>
            <w:left w:w="108" w:type="dxa"/>
            <w:bottom w:w="0" w:type="dxa"/>
            <w:right w:w="108" w:type="dxa"/>
          </w:tblCellMar>
        </w:tblPrEx>
        <w:trPr>
          <w:trHeight w:val="434" w:hRule="atLeast"/>
          <w:jc w:val="center"/>
        </w:trPr>
        <w:tc>
          <w:tcPr>
            <w:tcW w:w="731" w:type="dxa"/>
            <w:vMerge w:val="continue"/>
            <w:tcBorders>
              <w:left w:val="single" w:color="auto" w:sz="4" w:space="0"/>
              <w:bottom w:val="single" w:color="auto" w:sz="4" w:space="0"/>
              <w:right w:val="single" w:color="auto" w:sz="4" w:space="0"/>
            </w:tcBorders>
            <w:vAlign w:val="center"/>
          </w:tcPr>
          <w:p w14:paraId="308892DA">
            <w:pPr>
              <w:widowControl/>
              <w:jc w:val="center"/>
              <w:rPr>
                <w:rFonts w:hint="eastAsia" w:ascii="宋体" w:hAnsi="宋体" w:eastAsia="宋体" w:cs="宋体"/>
                <w:b/>
                <w:bCs/>
                <w:color w:val="auto"/>
                <w:kern w:val="0"/>
                <w:highlight w:val="none"/>
              </w:rPr>
            </w:pPr>
          </w:p>
        </w:tc>
        <w:tc>
          <w:tcPr>
            <w:tcW w:w="737" w:type="dxa"/>
            <w:tcBorders>
              <w:top w:val="single" w:color="auto" w:sz="4" w:space="0"/>
              <w:left w:val="single" w:color="auto" w:sz="4" w:space="0"/>
              <w:bottom w:val="single" w:color="auto" w:sz="4" w:space="0"/>
              <w:right w:val="single" w:color="auto" w:sz="4" w:space="0"/>
            </w:tcBorders>
            <w:vAlign w:val="center"/>
          </w:tcPr>
          <w:p w14:paraId="42407B8E">
            <w:pPr>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姓名</w:t>
            </w:r>
          </w:p>
        </w:tc>
        <w:tc>
          <w:tcPr>
            <w:tcW w:w="1548" w:type="dxa"/>
            <w:tcBorders>
              <w:top w:val="single" w:color="auto" w:sz="4" w:space="0"/>
              <w:left w:val="single" w:color="auto" w:sz="4" w:space="0"/>
              <w:bottom w:val="single" w:color="auto" w:sz="4" w:space="0"/>
              <w:right w:val="single" w:color="auto" w:sz="4" w:space="0"/>
            </w:tcBorders>
            <w:vAlign w:val="center"/>
          </w:tcPr>
          <w:p w14:paraId="362BECB3">
            <w:pPr>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单位</w:t>
            </w:r>
          </w:p>
        </w:tc>
        <w:tc>
          <w:tcPr>
            <w:tcW w:w="1293" w:type="dxa"/>
            <w:tcBorders>
              <w:top w:val="single" w:color="auto" w:sz="4" w:space="0"/>
              <w:left w:val="single" w:color="auto" w:sz="4" w:space="0"/>
              <w:bottom w:val="single" w:color="auto" w:sz="4" w:space="0"/>
              <w:right w:val="single" w:color="auto" w:sz="4" w:space="0"/>
            </w:tcBorders>
            <w:vAlign w:val="center"/>
          </w:tcPr>
          <w:p w14:paraId="4074BAE4">
            <w:pPr>
              <w:widowControl/>
              <w:jc w:val="center"/>
              <w:rPr>
                <w:rFonts w:hint="eastAsia" w:ascii="宋体" w:hAnsi="宋体" w:eastAsia="宋体" w:cs="宋体"/>
                <w:color w:val="auto"/>
                <w:highlight w:val="none"/>
              </w:rPr>
            </w:pPr>
            <w:r>
              <w:rPr>
                <w:rFonts w:hint="eastAsia" w:ascii="宋体" w:hAnsi="宋体" w:eastAsia="宋体" w:cs="宋体"/>
                <w:b/>
                <w:bCs/>
                <w:color w:val="auto"/>
                <w:kern w:val="0"/>
                <w:highlight w:val="none"/>
              </w:rPr>
              <w:t>部门</w:t>
            </w:r>
          </w:p>
        </w:tc>
        <w:tc>
          <w:tcPr>
            <w:tcW w:w="1502" w:type="dxa"/>
            <w:tcBorders>
              <w:top w:val="single" w:color="auto" w:sz="4" w:space="0"/>
              <w:left w:val="single" w:color="auto" w:sz="4" w:space="0"/>
              <w:bottom w:val="single" w:color="auto" w:sz="4" w:space="0"/>
              <w:right w:val="single" w:color="auto" w:sz="4" w:space="0"/>
            </w:tcBorders>
            <w:vAlign w:val="center"/>
          </w:tcPr>
          <w:p w14:paraId="0D097941">
            <w:pPr>
              <w:widowControl/>
              <w:jc w:val="center"/>
              <w:rPr>
                <w:rFonts w:hint="eastAsia" w:ascii="宋体" w:hAnsi="宋体" w:eastAsia="宋体" w:cs="宋体"/>
                <w:color w:val="auto"/>
                <w:highlight w:val="none"/>
              </w:rPr>
            </w:pPr>
            <w:r>
              <w:rPr>
                <w:rFonts w:hint="eastAsia" w:ascii="宋体" w:hAnsi="宋体" w:eastAsia="宋体" w:cs="宋体"/>
                <w:b/>
                <w:bCs/>
                <w:color w:val="auto"/>
                <w:kern w:val="0"/>
                <w:highlight w:val="none"/>
              </w:rPr>
              <w:t>职务/岗位</w:t>
            </w:r>
          </w:p>
        </w:tc>
        <w:tc>
          <w:tcPr>
            <w:tcW w:w="1468" w:type="dxa"/>
            <w:tcBorders>
              <w:top w:val="single" w:color="auto" w:sz="4" w:space="0"/>
              <w:left w:val="nil"/>
              <w:bottom w:val="single" w:color="auto" w:sz="4" w:space="0"/>
              <w:right w:val="single" w:color="auto" w:sz="4" w:space="0"/>
            </w:tcBorders>
            <w:vAlign w:val="center"/>
          </w:tcPr>
          <w:p w14:paraId="7678DDAB">
            <w:pPr>
              <w:widowControl/>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与中国电信员工的关系</w:t>
            </w:r>
          </w:p>
        </w:tc>
        <w:tc>
          <w:tcPr>
            <w:tcW w:w="947" w:type="dxa"/>
            <w:tcBorders>
              <w:top w:val="single" w:color="auto" w:sz="4" w:space="0"/>
              <w:left w:val="single" w:color="auto" w:sz="4" w:space="0"/>
              <w:bottom w:val="single" w:color="auto" w:sz="4" w:space="0"/>
              <w:right w:val="single" w:color="auto" w:sz="4" w:space="0"/>
            </w:tcBorders>
            <w:noWrap/>
            <w:vAlign w:val="center"/>
          </w:tcPr>
          <w:p w14:paraId="4637592B">
            <w:pPr>
              <w:widowControl/>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姓名</w:t>
            </w:r>
          </w:p>
        </w:tc>
        <w:tc>
          <w:tcPr>
            <w:tcW w:w="1769" w:type="dxa"/>
            <w:tcBorders>
              <w:top w:val="nil"/>
              <w:left w:val="nil"/>
              <w:bottom w:val="single" w:color="auto" w:sz="4" w:space="0"/>
              <w:right w:val="single" w:color="auto" w:sz="4" w:space="0"/>
            </w:tcBorders>
            <w:noWrap/>
            <w:vAlign w:val="center"/>
          </w:tcPr>
          <w:p w14:paraId="7FAC2331">
            <w:pPr>
              <w:widowControl/>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担任我方职务</w:t>
            </w:r>
          </w:p>
        </w:tc>
      </w:tr>
      <w:tr w14:paraId="44AC8349">
        <w:tblPrEx>
          <w:tblCellMar>
            <w:top w:w="0" w:type="dxa"/>
            <w:left w:w="108" w:type="dxa"/>
            <w:bottom w:w="0" w:type="dxa"/>
            <w:right w:w="108" w:type="dxa"/>
          </w:tblCellMar>
        </w:tblPrEx>
        <w:trPr>
          <w:trHeight w:val="407" w:hRule="atLeast"/>
          <w:jc w:val="center"/>
        </w:trPr>
        <w:tc>
          <w:tcPr>
            <w:tcW w:w="731" w:type="dxa"/>
            <w:tcBorders>
              <w:top w:val="nil"/>
              <w:left w:val="single" w:color="auto" w:sz="4" w:space="0"/>
              <w:bottom w:val="single" w:color="auto" w:sz="4" w:space="0"/>
              <w:right w:val="single" w:color="auto" w:sz="4" w:space="0"/>
            </w:tcBorders>
            <w:noWrap/>
            <w:vAlign w:val="center"/>
          </w:tcPr>
          <w:p w14:paraId="3BB969B8">
            <w:pPr>
              <w:widowControl/>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示例</w:t>
            </w:r>
          </w:p>
        </w:tc>
        <w:tc>
          <w:tcPr>
            <w:tcW w:w="737" w:type="dxa"/>
            <w:tcBorders>
              <w:top w:val="nil"/>
              <w:left w:val="nil"/>
              <w:bottom w:val="single" w:color="auto" w:sz="4" w:space="0"/>
              <w:right w:val="single" w:color="auto" w:sz="4" w:space="0"/>
            </w:tcBorders>
            <w:noWrap/>
            <w:vAlign w:val="center"/>
          </w:tcPr>
          <w:p w14:paraId="50696AF1">
            <w:pPr>
              <w:widowControl/>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张三</w:t>
            </w:r>
          </w:p>
        </w:tc>
        <w:tc>
          <w:tcPr>
            <w:tcW w:w="1548" w:type="dxa"/>
            <w:tcBorders>
              <w:top w:val="nil"/>
              <w:left w:val="nil"/>
              <w:bottom w:val="single" w:color="auto" w:sz="4" w:space="0"/>
              <w:right w:val="single" w:color="auto" w:sz="4" w:space="0"/>
            </w:tcBorders>
            <w:noWrap/>
            <w:vAlign w:val="center"/>
          </w:tcPr>
          <w:p w14:paraId="174EEE29">
            <w:pPr>
              <w:widowControl/>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XX公司</w:t>
            </w:r>
          </w:p>
        </w:tc>
        <w:tc>
          <w:tcPr>
            <w:tcW w:w="1293" w:type="dxa"/>
            <w:tcBorders>
              <w:top w:val="nil"/>
              <w:left w:val="nil"/>
              <w:bottom w:val="single" w:color="auto" w:sz="4" w:space="0"/>
              <w:right w:val="single" w:color="auto" w:sz="4" w:space="0"/>
            </w:tcBorders>
            <w:noWrap/>
            <w:vAlign w:val="center"/>
          </w:tcPr>
          <w:p w14:paraId="6D5CE71C">
            <w:pPr>
              <w:widowControl/>
              <w:jc w:val="center"/>
              <w:rPr>
                <w:rFonts w:hint="eastAsia" w:ascii="宋体" w:hAnsi="宋体" w:eastAsia="宋体" w:cs="宋体"/>
                <w:color w:val="auto"/>
                <w:highlight w:val="none"/>
              </w:rPr>
            </w:pPr>
            <w:r>
              <w:rPr>
                <w:rFonts w:hint="eastAsia" w:ascii="宋体" w:hAnsi="宋体" w:eastAsia="宋体" w:cs="宋体"/>
                <w:color w:val="auto"/>
                <w:kern w:val="0"/>
                <w:highlight w:val="none"/>
              </w:rPr>
              <w:t>XX部</w:t>
            </w:r>
          </w:p>
        </w:tc>
        <w:tc>
          <w:tcPr>
            <w:tcW w:w="1502" w:type="dxa"/>
            <w:tcBorders>
              <w:top w:val="nil"/>
              <w:left w:val="nil"/>
              <w:bottom w:val="single" w:color="auto" w:sz="4" w:space="0"/>
              <w:right w:val="single" w:color="auto" w:sz="4" w:space="0"/>
            </w:tcBorders>
            <w:noWrap/>
            <w:vAlign w:val="center"/>
          </w:tcPr>
          <w:p w14:paraId="763FAC12">
            <w:pPr>
              <w:widowControl/>
              <w:jc w:val="center"/>
              <w:rPr>
                <w:rFonts w:hint="eastAsia" w:ascii="宋体" w:hAnsi="宋体" w:eastAsia="宋体" w:cs="宋体"/>
                <w:color w:val="auto"/>
                <w:highlight w:val="none"/>
              </w:rPr>
            </w:pPr>
            <w:r>
              <w:rPr>
                <w:rFonts w:hint="eastAsia" w:ascii="宋体" w:hAnsi="宋体" w:eastAsia="宋体" w:cs="宋体"/>
                <w:color w:val="auto"/>
                <w:kern w:val="0"/>
                <w:highlight w:val="none"/>
              </w:rPr>
              <w:t>总经理</w:t>
            </w:r>
          </w:p>
        </w:tc>
        <w:tc>
          <w:tcPr>
            <w:tcW w:w="1468" w:type="dxa"/>
            <w:tcBorders>
              <w:top w:val="single" w:color="auto" w:sz="4" w:space="0"/>
              <w:left w:val="nil"/>
              <w:bottom w:val="single" w:color="auto" w:sz="4" w:space="0"/>
              <w:right w:val="single" w:color="auto" w:sz="4" w:space="0"/>
            </w:tcBorders>
            <w:vAlign w:val="center"/>
          </w:tcPr>
          <w:p w14:paraId="07FC9D02">
            <w:pPr>
              <w:widowControl/>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妻子</w:t>
            </w:r>
          </w:p>
        </w:tc>
        <w:tc>
          <w:tcPr>
            <w:tcW w:w="947" w:type="dxa"/>
            <w:tcBorders>
              <w:top w:val="single" w:color="auto" w:sz="4" w:space="0"/>
              <w:left w:val="single" w:color="auto" w:sz="4" w:space="0"/>
              <w:bottom w:val="single" w:color="auto" w:sz="4" w:space="0"/>
              <w:right w:val="single" w:color="auto" w:sz="4" w:space="0"/>
            </w:tcBorders>
            <w:noWrap/>
            <w:vAlign w:val="center"/>
          </w:tcPr>
          <w:p w14:paraId="1AF20ECD">
            <w:pPr>
              <w:widowControl/>
              <w:jc w:val="center"/>
              <w:rPr>
                <w:rFonts w:hint="eastAsia" w:ascii="宋体" w:hAnsi="宋体" w:eastAsia="宋体" w:cs="宋体"/>
                <w:i/>
                <w:iCs/>
                <w:color w:val="auto"/>
                <w:kern w:val="0"/>
                <w:sz w:val="20"/>
                <w:highlight w:val="none"/>
              </w:rPr>
            </w:pPr>
            <w:r>
              <w:rPr>
                <w:rFonts w:hint="eastAsia" w:ascii="宋体" w:hAnsi="宋体" w:eastAsia="宋体" w:cs="宋体"/>
                <w:color w:val="auto"/>
                <w:kern w:val="0"/>
                <w:highlight w:val="none"/>
              </w:rPr>
              <w:t>王五</w:t>
            </w:r>
          </w:p>
        </w:tc>
        <w:tc>
          <w:tcPr>
            <w:tcW w:w="1769" w:type="dxa"/>
            <w:tcBorders>
              <w:top w:val="nil"/>
              <w:left w:val="nil"/>
              <w:bottom w:val="single" w:color="auto" w:sz="4" w:space="0"/>
              <w:right w:val="single" w:color="auto" w:sz="4" w:space="0"/>
            </w:tcBorders>
            <w:noWrap/>
            <w:vAlign w:val="center"/>
          </w:tcPr>
          <w:p w14:paraId="74542F61">
            <w:pPr>
              <w:widowControl/>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法定代表人</w:t>
            </w:r>
          </w:p>
        </w:tc>
      </w:tr>
      <w:tr w14:paraId="45E462EF">
        <w:tblPrEx>
          <w:tblCellMar>
            <w:top w:w="0" w:type="dxa"/>
            <w:left w:w="108" w:type="dxa"/>
            <w:bottom w:w="0" w:type="dxa"/>
            <w:right w:w="108" w:type="dxa"/>
          </w:tblCellMar>
        </w:tblPrEx>
        <w:trPr>
          <w:trHeight w:val="332" w:hRule="atLeast"/>
          <w:jc w:val="center"/>
        </w:trPr>
        <w:tc>
          <w:tcPr>
            <w:tcW w:w="731" w:type="dxa"/>
            <w:tcBorders>
              <w:top w:val="nil"/>
              <w:left w:val="single" w:color="auto" w:sz="4" w:space="0"/>
              <w:bottom w:val="single" w:color="auto" w:sz="4" w:space="0"/>
              <w:right w:val="single" w:color="auto" w:sz="4" w:space="0"/>
            </w:tcBorders>
            <w:noWrap/>
            <w:vAlign w:val="center"/>
          </w:tcPr>
          <w:p w14:paraId="36A34D40">
            <w:pPr>
              <w:widowControl/>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示例</w:t>
            </w:r>
          </w:p>
        </w:tc>
        <w:tc>
          <w:tcPr>
            <w:tcW w:w="737" w:type="dxa"/>
            <w:tcBorders>
              <w:top w:val="nil"/>
              <w:left w:val="nil"/>
              <w:bottom w:val="single" w:color="auto" w:sz="4" w:space="0"/>
              <w:right w:val="single" w:color="auto" w:sz="4" w:space="0"/>
            </w:tcBorders>
            <w:noWrap/>
            <w:vAlign w:val="center"/>
          </w:tcPr>
          <w:p w14:paraId="2684563A">
            <w:pPr>
              <w:widowControl/>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李四</w:t>
            </w:r>
          </w:p>
        </w:tc>
        <w:tc>
          <w:tcPr>
            <w:tcW w:w="1548" w:type="dxa"/>
            <w:tcBorders>
              <w:top w:val="nil"/>
              <w:left w:val="nil"/>
              <w:bottom w:val="single" w:color="auto" w:sz="4" w:space="0"/>
              <w:right w:val="single" w:color="auto" w:sz="4" w:space="0"/>
            </w:tcBorders>
            <w:noWrap/>
            <w:vAlign w:val="center"/>
          </w:tcPr>
          <w:p w14:paraId="04C6D956">
            <w:pPr>
              <w:widowControl/>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XX公司</w:t>
            </w:r>
          </w:p>
        </w:tc>
        <w:tc>
          <w:tcPr>
            <w:tcW w:w="1293" w:type="dxa"/>
            <w:tcBorders>
              <w:top w:val="nil"/>
              <w:left w:val="nil"/>
              <w:bottom w:val="single" w:color="auto" w:sz="4" w:space="0"/>
              <w:right w:val="single" w:color="auto" w:sz="4" w:space="0"/>
            </w:tcBorders>
            <w:noWrap/>
            <w:vAlign w:val="center"/>
          </w:tcPr>
          <w:p w14:paraId="1D4E951E">
            <w:pPr>
              <w:widowControl/>
              <w:jc w:val="center"/>
              <w:rPr>
                <w:rFonts w:hint="eastAsia" w:ascii="宋体" w:hAnsi="宋体" w:eastAsia="宋体" w:cs="宋体"/>
                <w:color w:val="auto"/>
                <w:highlight w:val="none"/>
              </w:rPr>
            </w:pPr>
            <w:r>
              <w:rPr>
                <w:rFonts w:hint="eastAsia" w:ascii="宋体" w:hAnsi="宋体" w:eastAsia="宋体" w:cs="宋体"/>
                <w:color w:val="auto"/>
                <w:kern w:val="0"/>
                <w:highlight w:val="none"/>
              </w:rPr>
              <w:t>XX部</w:t>
            </w:r>
          </w:p>
        </w:tc>
        <w:tc>
          <w:tcPr>
            <w:tcW w:w="1502" w:type="dxa"/>
            <w:tcBorders>
              <w:top w:val="nil"/>
              <w:left w:val="nil"/>
              <w:bottom w:val="single" w:color="auto" w:sz="4" w:space="0"/>
              <w:right w:val="single" w:color="auto" w:sz="4" w:space="0"/>
            </w:tcBorders>
            <w:noWrap/>
            <w:vAlign w:val="center"/>
          </w:tcPr>
          <w:p w14:paraId="4B591AC5">
            <w:pPr>
              <w:widowControl/>
              <w:jc w:val="center"/>
              <w:rPr>
                <w:rFonts w:hint="eastAsia" w:ascii="宋体" w:hAnsi="宋体" w:eastAsia="宋体" w:cs="宋体"/>
                <w:color w:val="auto"/>
                <w:highlight w:val="none"/>
              </w:rPr>
            </w:pPr>
            <w:r>
              <w:rPr>
                <w:rFonts w:hint="eastAsia" w:ascii="宋体" w:hAnsi="宋体" w:eastAsia="宋体" w:cs="宋体"/>
                <w:color w:val="auto"/>
                <w:kern w:val="0"/>
                <w:highlight w:val="none"/>
              </w:rPr>
              <w:t>采购管理</w:t>
            </w:r>
          </w:p>
        </w:tc>
        <w:tc>
          <w:tcPr>
            <w:tcW w:w="1468" w:type="dxa"/>
            <w:tcBorders>
              <w:top w:val="single" w:color="auto" w:sz="4" w:space="0"/>
              <w:left w:val="nil"/>
              <w:bottom w:val="single" w:color="auto" w:sz="4" w:space="0"/>
              <w:right w:val="single" w:color="auto" w:sz="4" w:space="0"/>
            </w:tcBorders>
            <w:vAlign w:val="center"/>
          </w:tcPr>
          <w:p w14:paraId="23A2A1BF">
            <w:pPr>
              <w:widowControl/>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儿子</w:t>
            </w:r>
          </w:p>
        </w:tc>
        <w:tc>
          <w:tcPr>
            <w:tcW w:w="947" w:type="dxa"/>
            <w:tcBorders>
              <w:top w:val="single" w:color="auto" w:sz="4" w:space="0"/>
              <w:left w:val="single" w:color="auto" w:sz="4" w:space="0"/>
              <w:bottom w:val="single" w:color="auto" w:sz="4" w:space="0"/>
              <w:right w:val="single" w:color="auto" w:sz="4" w:space="0"/>
            </w:tcBorders>
            <w:noWrap/>
            <w:vAlign w:val="center"/>
          </w:tcPr>
          <w:p w14:paraId="57FF2870">
            <w:pPr>
              <w:widowControl/>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赵六</w:t>
            </w:r>
          </w:p>
        </w:tc>
        <w:tc>
          <w:tcPr>
            <w:tcW w:w="1769" w:type="dxa"/>
            <w:tcBorders>
              <w:top w:val="nil"/>
              <w:left w:val="nil"/>
              <w:bottom w:val="single" w:color="auto" w:sz="4" w:space="0"/>
              <w:right w:val="single" w:color="auto" w:sz="4" w:space="0"/>
            </w:tcBorders>
            <w:noWrap/>
            <w:vAlign w:val="center"/>
          </w:tcPr>
          <w:p w14:paraId="246D7D79">
            <w:pPr>
              <w:widowControl/>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董事</w:t>
            </w:r>
          </w:p>
        </w:tc>
      </w:tr>
      <w:tr w14:paraId="280709F3">
        <w:tblPrEx>
          <w:tblCellMar>
            <w:top w:w="0" w:type="dxa"/>
            <w:left w:w="108" w:type="dxa"/>
            <w:bottom w:w="0" w:type="dxa"/>
            <w:right w:w="108" w:type="dxa"/>
          </w:tblCellMar>
        </w:tblPrEx>
        <w:trPr>
          <w:trHeight w:val="332" w:hRule="atLeast"/>
          <w:jc w:val="center"/>
        </w:trPr>
        <w:tc>
          <w:tcPr>
            <w:tcW w:w="731" w:type="dxa"/>
            <w:tcBorders>
              <w:top w:val="nil"/>
              <w:left w:val="single" w:color="auto" w:sz="4" w:space="0"/>
              <w:bottom w:val="single" w:color="auto" w:sz="4" w:space="0"/>
              <w:right w:val="single" w:color="auto" w:sz="4" w:space="0"/>
            </w:tcBorders>
            <w:noWrap/>
            <w:vAlign w:val="center"/>
          </w:tcPr>
          <w:p w14:paraId="038DCFDC">
            <w:pPr>
              <w:widowControl/>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1</w:t>
            </w:r>
          </w:p>
        </w:tc>
        <w:tc>
          <w:tcPr>
            <w:tcW w:w="737" w:type="dxa"/>
            <w:tcBorders>
              <w:top w:val="nil"/>
              <w:left w:val="nil"/>
              <w:bottom w:val="single" w:color="auto" w:sz="4" w:space="0"/>
              <w:right w:val="single" w:color="auto" w:sz="4" w:space="0"/>
            </w:tcBorders>
            <w:noWrap/>
            <w:vAlign w:val="center"/>
          </w:tcPr>
          <w:p w14:paraId="63BFB003">
            <w:pPr>
              <w:widowControl/>
              <w:jc w:val="center"/>
              <w:rPr>
                <w:rFonts w:hint="eastAsia" w:ascii="宋体" w:hAnsi="宋体" w:eastAsia="宋体" w:cs="宋体"/>
                <w:color w:val="auto"/>
                <w:kern w:val="0"/>
                <w:highlight w:val="none"/>
              </w:rPr>
            </w:pPr>
          </w:p>
        </w:tc>
        <w:tc>
          <w:tcPr>
            <w:tcW w:w="1548" w:type="dxa"/>
            <w:tcBorders>
              <w:top w:val="nil"/>
              <w:left w:val="nil"/>
              <w:bottom w:val="single" w:color="auto" w:sz="4" w:space="0"/>
              <w:right w:val="single" w:color="auto" w:sz="4" w:space="0"/>
            </w:tcBorders>
            <w:noWrap/>
            <w:vAlign w:val="center"/>
          </w:tcPr>
          <w:p w14:paraId="4BC50A7A">
            <w:pPr>
              <w:widowControl/>
              <w:jc w:val="center"/>
              <w:rPr>
                <w:rFonts w:hint="eastAsia" w:ascii="宋体" w:hAnsi="宋体" w:eastAsia="宋体" w:cs="宋体"/>
                <w:color w:val="auto"/>
                <w:kern w:val="0"/>
                <w:highlight w:val="none"/>
              </w:rPr>
            </w:pPr>
          </w:p>
        </w:tc>
        <w:tc>
          <w:tcPr>
            <w:tcW w:w="1293" w:type="dxa"/>
            <w:tcBorders>
              <w:top w:val="nil"/>
              <w:left w:val="nil"/>
              <w:bottom w:val="single" w:color="auto" w:sz="4" w:space="0"/>
              <w:right w:val="single" w:color="auto" w:sz="4" w:space="0"/>
            </w:tcBorders>
            <w:noWrap/>
            <w:vAlign w:val="center"/>
          </w:tcPr>
          <w:p w14:paraId="6D0C4006">
            <w:pPr>
              <w:widowControl/>
              <w:jc w:val="center"/>
              <w:rPr>
                <w:rFonts w:hint="eastAsia" w:ascii="宋体" w:hAnsi="宋体" w:eastAsia="宋体" w:cs="宋体"/>
                <w:color w:val="auto"/>
                <w:highlight w:val="none"/>
              </w:rPr>
            </w:pPr>
          </w:p>
        </w:tc>
        <w:tc>
          <w:tcPr>
            <w:tcW w:w="1502" w:type="dxa"/>
            <w:tcBorders>
              <w:top w:val="nil"/>
              <w:left w:val="nil"/>
              <w:bottom w:val="single" w:color="auto" w:sz="4" w:space="0"/>
              <w:right w:val="single" w:color="auto" w:sz="4" w:space="0"/>
            </w:tcBorders>
            <w:noWrap/>
            <w:vAlign w:val="center"/>
          </w:tcPr>
          <w:p w14:paraId="1DA0D1C2">
            <w:pPr>
              <w:widowControl/>
              <w:jc w:val="center"/>
              <w:rPr>
                <w:rFonts w:hint="eastAsia" w:ascii="宋体" w:hAnsi="宋体" w:eastAsia="宋体" w:cs="宋体"/>
                <w:color w:val="auto"/>
                <w:highlight w:val="none"/>
              </w:rPr>
            </w:pPr>
          </w:p>
        </w:tc>
        <w:tc>
          <w:tcPr>
            <w:tcW w:w="1468" w:type="dxa"/>
            <w:tcBorders>
              <w:top w:val="single" w:color="auto" w:sz="4" w:space="0"/>
              <w:left w:val="nil"/>
              <w:bottom w:val="single" w:color="auto" w:sz="4" w:space="0"/>
              <w:right w:val="single" w:color="auto" w:sz="4" w:space="0"/>
            </w:tcBorders>
            <w:vAlign w:val="center"/>
          </w:tcPr>
          <w:p w14:paraId="28D0D4FA">
            <w:pPr>
              <w:widowControl/>
              <w:jc w:val="center"/>
              <w:rPr>
                <w:rFonts w:hint="eastAsia" w:ascii="宋体" w:hAnsi="宋体" w:eastAsia="宋体" w:cs="宋体"/>
                <w:color w:val="auto"/>
                <w:kern w:val="0"/>
                <w:highlight w:val="none"/>
              </w:rPr>
            </w:pPr>
          </w:p>
        </w:tc>
        <w:tc>
          <w:tcPr>
            <w:tcW w:w="947" w:type="dxa"/>
            <w:tcBorders>
              <w:top w:val="single" w:color="auto" w:sz="4" w:space="0"/>
              <w:left w:val="single" w:color="auto" w:sz="4" w:space="0"/>
              <w:bottom w:val="single" w:color="auto" w:sz="4" w:space="0"/>
              <w:right w:val="single" w:color="auto" w:sz="4" w:space="0"/>
            </w:tcBorders>
            <w:noWrap/>
            <w:vAlign w:val="center"/>
          </w:tcPr>
          <w:p w14:paraId="6FC7C6FF">
            <w:pPr>
              <w:widowControl/>
              <w:jc w:val="center"/>
              <w:rPr>
                <w:rFonts w:hint="eastAsia" w:ascii="宋体" w:hAnsi="宋体" w:eastAsia="宋体" w:cs="宋体"/>
                <w:color w:val="auto"/>
                <w:kern w:val="0"/>
                <w:highlight w:val="none"/>
              </w:rPr>
            </w:pPr>
          </w:p>
        </w:tc>
        <w:tc>
          <w:tcPr>
            <w:tcW w:w="1769" w:type="dxa"/>
            <w:tcBorders>
              <w:top w:val="nil"/>
              <w:left w:val="nil"/>
              <w:bottom w:val="single" w:color="auto" w:sz="4" w:space="0"/>
              <w:right w:val="single" w:color="auto" w:sz="4" w:space="0"/>
            </w:tcBorders>
            <w:noWrap/>
            <w:vAlign w:val="center"/>
          </w:tcPr>
          <w:p w14:paraId="47E7FE2A">
            <w:pPr>
              <w:widowControl/>
              <w:jc w:val="center"/>
              <w:rPr>
                <w:rFonts w:hint="eastAsia" w:ascii="宋体" w:hAnsi="宋体" w:eastAsia="宋体" w:cs="宋体"/>
                <w:color w:val="auto"/>
                <w:kern w:val="0"/>
                <w:highlight w:val="none"/>
              </w:rPr>
            </w:pPr>
          </w:p>
        </w:tc>
      </w:tr>
      <w:tr w14:paraId="389F26B4">
        <w:tblPrEx>
          <w:tblCellMar>
            <w:top w:w="0" w:type="dxa"/>
            <w:left w:w="108" w:type="dxa"/>
            <w:bottom w:w="0" w:type="dxa"/>
            <w:right w:w="108" w:type="dxa"/>
          </w:tblCellMar>
        </w:tblPrEx>
        <w:trPr>
          <w:trHeight w:val="352" w:hRule="atLeast"/>
          <w:jc w:val="center"/>
        </w:trPr>
        <w:tc>
          <w:tcPr>
            <w:tcW w:w="731" w:type="dxa"/>
            <w:tcBorders>
              <w:top w:val="nil"/>
              <w:left w:val="single" w:color="auto" w:sz="4" w:space="0"/>
              <w:bottom w:val="single" w:color="auto" w:sz="4" w:space="0"/>
              <w:right w:val="single" w:color="auto" w:sz="4" w:space="0"/>
            </w:tcBorders>
            <w:noWrap/>
            <w:vAlign w:val="center"/>
          </w:tcPr>
          <w:p w14:paraId="1615BF8D">
            <w:pPr>
              <w:widowControl/>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w:t>
            </w:r>
          </w:p>
        </w:tc>
        <w:tc>
          <w:tcPr>
            <w:tcW w:w="737" w:type="dxa"/>
            <w:tcBorders>
              <w:top w:val="nil"/>
              <w:left w:val="nil"/>
              <w:bottom w:val="single" w:color="auto" w:sz="4" w:space="0"/>
              <w:right w:val="single" w:color="auto" w:sz="4" w:space="0"/>
            </w:tcBorders>
            <w:noWrap/>
            <w:vAlign w:val="center"/>
          </w:tcPr>
          <w:p w14:paraId="46350ACC">
            <w:pPr>
              <w:widowControl/>
              <w:jc w:val="center"/>
              <w:rPr>
                <w:rFonts w:hint="eastAsia" w:ascii="宋体" w:hAnsi="宋体" w:eastAsia="宋体" w:cs="宋体"/>
                <w:color w:val="auto"/>
                <w:kern w:val="0"/>
                <w:highlight w:val="none"/>
              </w:rPr>
            </w:pPr>
          </w:p>
        </w:tc>
        <w:tc>
          <w:tcPr>
            <w:tcW w:w="1548" w:type="dxa"/>
            <w:tcBorders>
              <w:top w:val="nil"/>
              <w:left w:val="nil"/>
              <w:bottom w:val="single" w:color="auto" w:sz="4" w:space="0"/>
              <w:right w:val="single" w:color="auto" w:sz="4" w:space="0"/>
            </w:tcBorders>
            <w:noWrap/>
            <w:vAlign w:val="center"/>
          </w:tcPr>
          <w:p w14:paraId="6E4AF409">
            <w:pPr>
              <w:widowControl/>
              <w:jc w:val="center"/>
              <w:rPr>
                <w:rFonts w:hint="eastAsia" w:ascii="宋体" w:hAnsi="宋体" w:eastAsia="宋体" w:cs="宋体"/>
                <w:color w:val="auto"/>
                <w:kern w:val="0"/>
                <w:highlight w:val="none"/>
              </w:rPr>
            </w:pPr>
          </w:p>
        </w:tc>
        <w:tc>
          <w:tcPr>
            <w:tcW w:w="1293" w:type="dxa"/>
            <w:tcBorders>
              <w:top w:val="nil"/>
              <w:left w:val="nil"/>
              <w:bottom w:val="single" w:color="auto" w:sz="4" w:space="0"/>
              <w:right w:val="single" w:color="auto" w:sz="4" w:space="0"/>
            </w:tcBorders>
            <w:noWrap/>
            <w:vAlign w:val="center"/>
          </w:tcPr>
          <w:p w14:paraId="68EB3397">
            <w:pPr>
              <w:widowControl/>
              <w:jc w:val="center"/>
              <w:rPr>
                <w:rFonts w:hint="eastAsia" w:ascii="宋体" w:hAnsi="宋体" w:eastAsia="宋体" w:cs="宋体"/>
                <w:color w:val="auto"/>
                <w:highlight w:val="none"/>
              </w:rPr>
            </w:pPr>
          </w:p>
        </w:tc>
        <w:tc>
          <w:tcPr>
            <w:tcW w:w="1502" w:type="dxa"/>
            <w:tcBorders>
              <w:top w:val="nil"/>
              <w:left w:val="nil"/>
              <w:bottom w:val="single" w:color="auto" w:sz="4" w:space="0"/>
              <w:right w:val="single" w:color="auto" w:sz="4" w:space="0"/>
            </w:tcBorders>
            <w:noWrap/>
            <w:vAlign w:val="center"/>
          </w:tcPr>
          <w:p w14:paraId="3A14611A">
            <w:pPr>
              <w:widowControl/>
              <w:jc w:val="center"/>
              <w:rPr>
                <w:rFonts w:hint="eastAsia" w:ascii="宋体" w:hAnsi="宋体" w:eastAsia="宋体" w:cs="宋体"/>
                <w:color w:val="auto"/>
                <w:highlight w:val="none"/>
              </w:rPr>
            </w:pPr>
          </w:p>
        </w:tc>
        <w:tc>
          <w:tcPr>
            <w:tcW w:w="1468" w:type="dxa"/>
            <w:tcBorders>
              <w:top w:val="single" w:color="auto" w:sz="4" w:space="0"/>
              <w:left w:val="nil"/>
              <w:bottom w:val="single" w:color="auto" w:sz="4" w:space="0"/>
              <w:right w:val="single" w:color="auto" w:sz="4" w:space="0"/>
            </w:tcBorders>
            <w:vAlign w:val="center"/>
          </w:tcPr>
          <w:p w14:paraId="42F497B6">
            <w:pPr>
              <w:widowControl/>
              <w:jc w:val="center"/>
              <w:rPr>
                <w:rFonts w:hint="eastAsia" w:ascii="宋体" w:hAnsi="宋体" w:eastAsia="宋体" w:cs="宋体"/>
                <w:color w:val="auto"/>
                <w:kern w:val="0"/>
                <w:highlight w:val="none"/>
              </w:rPr>
            </w:pPr>
          </w:p>
        </w:tc>
        <w:tc>
          <w:tcPr>
            <w:tcW w:w="947" w:type="dxa"/>
            <w:tcBorders>
              <w:top w:val="single" w:color="auto" w:sz="4" w:space="0"/>
              <w:left w:val="single" w:color="auto" w:sz="4" w:space="0"/>
              <w:bottom w:val="single" w:color="auto" w:sz="4" w:space="0"/>
              <w:right w:val="single" w:color="auto" w:sz="4" w:space="0"/>
            </w:tcBorders>
            <w:noWrap/>
            <w:vAlign w:val="center"/>
          </w:tcPr>
          <w:p w14:paraId="777AFF10">
            <w:pPr>
              <w:widowControl/>
              <w:jc w:val="center"/>
              <w:rPr>
                <w:rFonts w:hint="eastAsia" w:ascii="宋体" w:hAnsi="宋体" w:eastAsia="宋体" w:cs="宋体"/>
                <w:color w:val="auto"/>
                <w:kern w:val="0"/>
                <w:highlight w:val="none"/>
              </w:rPr>
            </w:pPr>
          </w:p>
        </w:tc>
        <w:tc>
          <w:tcPr>
            <w:tcW w:w="1769" w:type="dxa"/>
            <w:tcBorders>
              <w:top w:val="nil"/>
              <w:left w:val="nil"/>
              <w:bottom w:val="single" w:color="auto" w:sz="4" w:space="0"/>
              <w:right w:val="single" w:color="auto" w:sz="4" w:space="0"/>
            </w:tcBorders>
            <w:noWrap/>
            <w:vAlign w:val="center"/>
          </w:tcPr>
          <w:p w14:paraId="3EEEC364">
            <w:pPr>
              <w:widowControl/>
              <w:jc w:val="center"/>
              <w:rPr>
                <w:rFonts w:hint="eastAsia" w:ascii="宋体" w:hAnsi="宋体" w:eastAsia="宋体" w:cs="宋体"/>
                <w:color w:val="auto"/>
                <w:kern w:val="0"/>
                <w:highlight w:val="none"/>
              </w:rPr>
            </w:pPr>
          </w:p>
        </w:tc>
      </w:tr>
    </w:tbl>
    <w:p w14:paraId="7F94ED22">
      <w:pPr>
        <w:adjustRightInd w:val="0"/>
        <w:spacing w:line="360" w:lineRule="auto"/>
        <w:rPr>
          <w:rFonts w:hint="eastAsia" w:ascii="宋体" w:hAnsi="宋体" w:eastAsia="宋体" w:cs="宋体"/>
          <w:color w:val="auto"/>
          <w:highlight w:val="none"/>
        </w:rPr>
      </w:pPr>
    </w:p>
    <w:p w14:paraId="41B258A4">
      <w:pPr>
        <w:rPr>
          <w:rFonts w:hint="eastAsia" w:ascii="宋体" w:hAnsi="宋体" w:eastAsia="宋体" w:cs="宋体"/>
          <w:color w:val="auto"/>
          <w:szCs w:val="21"/>
        </w:rPr>
      </w:pPr>
      <w:r>
        <w:rPr>
          <w:rFonts w:hint="eastAsia" w:ascii="宋体" w:hAnsi="宋体" w:eastAsia="宋体" w:cs="宋体"/>
          <w:color w:val="auto"/>
          <w:szCs w:val="21"/>
        </w:rPr>
        <w:t>注：1.中国电信员工的近亲属包括中国电信员工的配偶、子女及其配偶；</w:t>
      </w:r>
    </w:p>
    <w:p w14:paraId="46B22719">
      <w:pPr>
        <w:ind w:firstLine="420" w:firstLineChars="0"/>
        <w:rPr>
          <w:rFonts w:hint="eastAsia" w:ascii="宋体" w:hAnsi="宋体" w:eastAsia="宋体" w:cs="宋体"/>
          <w:color w:val="auto"/>
          <w:szCs w:val="21"/>
        </w:rPr>
      </w:pPr>
      <w:r>
        <w:rPr>
          <w:rFonts w:hint="eastAsia" w:ascii="宋体" w:hAnsi="宋体" w:eastAsia="宋体" w:cs="宋体"/>
          <w:color w:val="auto"/>
          <w:szCs w:val="21"/>
        </w:rPr>
        <w:t>2.“与中国电信员工的关系”需填写与中国电信员工的具体亲属关系，例如，丈夫、妻子、儿子、女儿、儿媳、女婿；</w:t>
      </w:r>
    </w:p>
    <w:p w14:paraId="40743094">
      <w:pPr>
        <w:ind w:firstLine="420" w:firstLineChars="0"/>
        <w:rPr>
          <w:rFonts w:hint="eastAsia" w:ascii="宋体" w:hAnsi="宋体" w:eastAsia="宋体" w:cs="宋体"/>
          <w:color w:val="auto"/>
          <w:szCs w:val="21"/>
          <w:lang w:eastAsia="zh-CN"/>
        </w:rPr>
      </w:pPr>
      <w:r>
        <w:rPr>
          <w:rFonts w:hint="eastAsia" w:ascii="宋体" w:hAnsi="宋体" w:eastAsia="宋体" w:cs="宋体"/>
          <w:color w:val="auto"/>
          <w:szCs w:val="21"/>
        </w:rPr>
        <w:t>3.从业是指与中国电信集团系统内企业直接签订劳动合同的情形</w:t>
      </w:r>
      <w:r>
        <w:rPr>
          <w:rFonts w:hint="eastAsia" w:ascii="宋体" w:hAnsi="宋体" w:eastAsia="宋体" w:cs="宋体"/>
          <w:color w:val="auto"/>
          <w:szCs w:val="21"/>
          <w:lang w:eastAsia="zh-CN"/>
        </w:rPr>
        <w:t>；</w:t>
      </w:r>
    </w:p>
    <w:p w14:paraId="01A4427B">
      <w:pPr>
        <w:ind w:firstLine="420" w:firstLineChars="0"/>
        <w:rPr>
          <w:rFonts w:hint="eastAsia" w:ascii="宋体" w:hAnsi="宋体" w:eastAsia="宋体" w:cs="宋体"/>
          <w:color w:val="auto"/>
          <w:szCs w:val="21"/>
        </w:rPr>
      </w:pPr>
      <w:r>
        <w:rPr>
          <w:rFonts w:hint="eastAsia" w:ascii="宋体" w:hAnsi="宋体" w:eastAsia="宋体" w:cs="宋体"/>
          <w:color w:val="auto"/>
          <w:szCs w:val="21"/>
        </w:rPr>
        <w:t>4.如无上述情况，则应在第一行“姓名”列填写“不涉及”。</w:t>
      </w:r>
    </w:p>
    <w:p w14:paraId="0DC70FEA">
      <w:pPr>
        <w:adjustRightInd w:val="0"/>
        <w:spacing w:line="360" w:lineRule="auto"/>
        <w:rPr>
          <w:rFonts w:hint="eastAsia" w:ascii="宋体" w:hAnsi="宋体" w:eastAsia="宋体" w:cs="宋体"/>
          <w:color w:val="auto"/>
          <w:highlight w:val="none"/>
        </w:rPr>
      </w:pPr>
    </w:p>
    <w:p w14:paraId="2807C052">
      <w:pPr>
        <w:adjustRightIn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本承诺作为</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文件的一部分，我方承诺相关信息真实、准确。</w:t>
      </w:r>
    </w:p>
    <w:p w14:paraId="3BD60BBA">
      <w:pPr>
        <w:spacing w:line="360" w:lineRule="auto"/>
        <w:ind w:firstLine="420" w:firstLineChars="200"/>
        <w:jc w:val="right"/>
        <w:rPr>
          <w:rFonts w:hint="eastAsia" w:ascii="宋体" w:hAnsi="宋体" w:eastAsia="宋体" w:cs="宋体"/>
          <w:color w:val="auto"/>
          <w:szCs w:val="22"/>
          <w:highlight w:val="none"/>
          <w:u w:val="single"/>
        </w:rPr>
      </w:pPr>
      <w:r>
        <w:rPr>
          <w:rFonts w:hint="eastAsia" w:ascii="宋体" w:hAnsi="宋体" w:eastAsia="宋体" w:cs="宋体"/>
          <w:color w:val="auto"/>
          <w:szCs w:val="22"/>
          <w:highlight w:val="none"/>
          <w:u w:val="single"/>
        </w:rPr>
        <w:t>公司名称（盖章）</w:t>
      </w:r>
    </w:p>
    <w:p w14:paraId="44134636">
      <w:pPr>
        <w:spacing w:line="360" w:lineRule="auto"/>
        <w:ind w:firstLine="420" w:firstLineChars="200"/>
        <w:jc w:val="right"/>
        <w:rPr>
          <w:rFonts w:hint="eastAsia" w:ascii="宋体" w:hAnsi="宋体" w:eastAsia="宋体" w:cs="宋体"/>
          <w:b/>
          <w:bCs/>
          <w:color w:val="auto"/>
          <w:sz w:val="24"/>
          <w:highlight w:val="none"/>
        </w:rPr>
      </w:pPr>
      <w:r>
        <w:rPr>
          <w:rFonts w:hint="eastAsia" w:ascii="宋体" w:hAnsi="宋体" w:eastAsia="宋体" w:cs="宋体"/>
          <w:color w:val="auto"/>
          <w:szCs w:val="22"/>
          <w:highlight w:val="none"/>
          <w:u w:val="single"/>
        </w:rPr>
        <w:t>XXXX年XX月XX日</w:t>
      </w:r>
    </w:p>
    <w:p w14:paraId="67411F2E">
      <w:pPr>
        <w:rPr>
          <w:rFonts w:hint="eastAsia" w:ascii="宋体" w:hAnsi="宋体" w:eastAsia="宋体" w:cs="宋体"/>
          <w:b/>
          <w:color w:val="auto"/>
          <w:szCs w:val="36"/>
          <w:highlight w:val="none"/>
        </w:rPr>
      </w:pPr>
      <w:r>
        <w:rPr>
          <w:rFonts w:hint="eastAsia" w:ascii="宋体" w:hAnsi="宋体" w:eastAsia="宋体" w:cs="宋体"/>
          <w:b/>
          <w:color w:val="auto"/>
          <w:szCs w:val="36"/>
          <w:highlight w:val="none"/>
        </w:rPr>
        <w:br w:type="page"/>
      </w:r>
    </w:p>
    <w:p w14:paraId="13B25576">
      <w:pPr>
        <w:jc w:val="center"/>
        <w:rPr>
          <w:rFonts w:hint="eastAsia" w:ascii="宋体" w:hAnsi="宋体" w:eastAsia="宋体" w:cs="宋体"/>
          <w:b/>
          <w:color w:val="auto"/>
          <w:szCs w:val="36"/>
          <w:highlight w:val="none"/>
        </w:rPr>
      </w:pPr>
      <w:r>
        <w:rPr>
          <w:rFonts w:hint="eastAsia" w:ascii="宋体" w:hAnsi="宋体" w:eastAsia="宋体" w:cs="宋体"/>
          <w:b/>
          <w:color w:val="auto"/>
          <w:szCs w:val="36"/>
          <w:highlight w:val="none"/>
        </w:rPr>
        <w:t>承诺函</w:t>
      </w:r>
    </w:p>
    <w:p w14:paraId="110B3A29">
      <w:pPr>
        <w:topLinePunct/>
        <w:snapToGrid w:val="0"/>
        <w:spacing w:line="400" w:lineRule="exact"/>
        <w:rPr>
          <w:rFonts w:hint="eastAsia" w:ascii="宋体" w:hAnsi="宋体" w:eastAsia="宋体" w:cs="宋体"/>
          <w:color w:val="auto"/>
          <w:highlight w:val="none"/>
        </w:rPr>
      </w:pPr>
    </w:p>
    <w:p w14:paraId="3971E20B">
      <w:pPr>
        <w:topLinePunct/>
        <w:snapToGrid w:val="0"/>
        <w:spacing w:line="400" w:lineRule="exact"/>
        <w:rPr>
          <w:rFonts w:hint="eastAsia" w:ascii="宋体" w:hAnsi="宋体" w:eastAsia="宋体" w:cs="宋体"/>
          <w:color w:val="auto"/>
        </w:rPr>
      </w:pPr>
      <w:r>
        <w:rPr>
          <w:rFonts w:hint="eastAsia" w:ascii="宋体" w:hAnsi="宋体" w:eastAsia="宋体" w:cs="宋体"/>
          <w:color w:val="auto"/>
          <w:szCs w:val="21"/>
        </w:rPr>
        <w:t>致：【XX公司[招标人名称]】：</w:t>
      </w:r>
    </w:p>
    <w:p w14:paraId="7E6FC029">
      <w:pPr>
        <w:topLinePunct/>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我方存在“中国电信在职员工、离职或退休后三年内在我方担任法定代表人或董监高的情况”、“中国电信员工近亲属在我方担任法定代表人或董监高的情况”的相关情形，现郑重承诺如下：</w:t>
      </w:r>
    </w:p>
    <w:p w14:paraId="03E3AB5C">
      <w:pPr>
        <w:topLinePunct/>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一、相关情形不属于招标文件第一章中载明的投标人不得存在的情形。</w:t>
      </w:r>
    </w:p>
    <w:p w14:paraId="22BDC2D3">
      <w:pPr>
        <w:topLinePunct/>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二、不通过特殊关系或其他不正当手段干预中国电信的招标流程或结果，不与中国电信内部人员存在任何形式的串通投标、虚假投标等违规行为。</w:t>
      </w:r>
    </w:p>
    <w:p w14:paraId="671555FB">
      <w:pPr>
        <w:topLinePunct/>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三、严格遵守中国电信及国家相关廉洁从业规定，不利用特定关系为我方或任何第三方谋取不正当利益、获取竞争优势。</w:t>
      </w:r>
    </w:p>
    <w:p w14:paraId="62D6D928">
      <w:pPr>
        <w:topLinePunct/>
        <w:snapToGrid w:val="0"/>
        <w:spacing w:line="440" w:lineRule="exact"/>
        <w:ind w:firstLine="420" w:firstLineChars="200"/>
        <w:rPr>
          <w:rFonts w:hint="eastAsia" w:ascii="宋体" w:hAnsi="宋体" w:eastAsia="宋体" w:cs="宋体"/>
          <w:color w:val="auto"/>
          <w:highlight w:val="none"/>
        </w:rPr>
      </w:pPr>
    </w:p>
    <w:p w14:paraId="4D3C4285">
      <w:pPr>
        <w:topLinePunct/>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如发生任何违反本承诺及其他影响公平公正的违法违规行为，我方自愿接受按法律法规、中国电信相关采购及供应商管理制度的处罚。</w:t>
      </w:r>
    </w:p>
    <w:p w14:paraId="5DE592AD">
      <w:pPr>
        <w:topLinePunct/>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559E489C">
      <w:pPr>
        <w:rPr>
          <w:rFonts w:hint="eastAsia" w:ascii="宋体" w:hAnsi="宋体" w:eastAsia="宋体" w:cs="宋体"/>
          <w:color w:val="auto"/>
          <w:highlight w:val="none"/>
        </w:rPr>
      </w:pPr>
    </w:p>
    <w:p w14:paraId="509E3EDC">
      <w:pPr>
        <w:spacing w:line="44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投标人名称：</w:t>
      </w:r>
      <w:r>
        <w:rPr>
          <w:rFonts w:hint="eastAsia" w:ascii="宋体" w:hAnsi="宋体" w:eastAsia="宋体" w:cs="宋体"/>
          <w:color w:val="auto"/>
          <w:highlight w:val="none"/>
          <w:u w:val="single"/>
        </w:rPr>
        <w:t xml:space="preserve">　　　　　　　　                      </w:t>
      </w:r>
    </w:p>
    <w:p w14:paraId="70F05C94">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467762D9">
      <w:pPr>
        <w:topLinePunct/>
        <w:spacing w:line="440" w:lineRule="exact"/>
        <w:jc w:val="left"/>
        <w:rPr>
          <w:rFonts w:hint="eastAsia" w:ascii="宋体" w:hAnsi="宋体" w:eastAsia="宋体" w:cs="宋体"/>
          <w:b/>
          <w:color w:val="auto"/>
          <w:highlight w:val="none"/>
        </w:rPr>
      </w:pPr>
    </w:p>
    <w:p w14:paraId="5BA2190A">
      <w:pPr>
        <w:topLinePunct/>
        <w:spacing w:line="440" w:lineRule="exact"/>
        <w:jc w:val="left"/>
        <w:rPr>
          <w:rFonts w:hint="eastAsia" w:ascii="宋体" w:hAnsi="宋体" w:eastAsia="宋体" w:cs="宋体"/>
          <w:color w:val="auto"/>
          <w:highlight w:val="none"/>
        </w:rPr>
      </w:pPr>
      <w:r>
        <w:rPr>
          <w:rFonts w:hint="eastAsia" w:ascii="宋体" w:hAnsi="宋体" w:eastAsia="宋体" w:cs="宋体"/>
          <w:b/>
          <w:color w:val="auto"/>
          <w:highlight w:val="none"/>
        </w:rPr>
        <w:t>编制要求</w:t>
      </w:r>
      <w:r>
        <w:rPr>
          <w:rFonts w:hint="eastAsia" w:ascii="宋体" w:hAnsi="宋体" w:eastAsia="宋体" w:cs="宋体"/>
          <w:color w:val="auto"/>
          <w:highlight w:val="none"/>
        </w:rPr>
        <w:t>：</w:t>
      </w:r>
    </w:p>
    <w:p w14:paraId="3DEF731F">
      <w:pPr>
        <w:widowControl w:val="0"/>
        <w:numPr>
          <w:ilvl w:val="0"/>
          <w:numId w:val="33"/>
        </w:numPr>
        <w:adjustRightInd w:val="0"/>
        <w:snapToGrid w:val="0"/>
        <w:spacing w:line="440" w:lineRule="exact"/>
        <w:ind w:left="360" w:hanging="360" w:firstLineChars="0"/>
        <w:jc w:val="both"/>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投标人若存在“中国电信在职员工、离职或退休后三年内在我方担任法定代表人或董监高的情况”、“中国电信员工近亲属在我方担任法定代表人或董监高的情况”的，应填写该“承诺函”，不涉及则无需填写。</w:t>
      </w:r>
    </w:p>
    <w:p w14:paraId="3492209B">
      <w:pPr>
        <w:numPr>
          <w:ilvl w:val="0"/>
          <w:numId w:val="33"/>
        </w:numPr>
        <w:adjustRightInd w:val="0"/>
        <w:snapToGrid w:val="0"/>
        <w:spacing w:line="440" w:lineRule="exact"/>
        <w:ind w:left="0" w:firstLine="0" w:firstLineChars="0"/>
        <w:rPr>
          <w:rFonts w:hint="eastAsia" w:ascii="宋体" w:hAnsi="宋体" w:eastAsia="宋体" w:cs="宋体"/>
          <w:color w:val="auto"/>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kern w:val="2"/>
          <w:sz w:val="21"/>
          <w:szCs w:val="24"/>
          <w:lang w:val="en-US" w:eastAsia="zh-CN" w:bidi="ar-SA"/>
        </w:rPr>
        <w:t>除本文件允许投标人进行填写的内容以外，投标人不得对本文件进行修改。</w:t>
      </w:r>
    </w:p>
    <w:p w14:paraId="75259D46">
      <w:pPr>
        <w:pStyle w:val="39"/>
        <w:pageBreakBefore w:val="0"/>
        <w:numPr>
          <w:ilvl w:val="0"/>
          <w:numId w:val="29"/>
        </w:numPr>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509" w:name="_Toc38008086"/>
      <w:bookmarkStart w:id="1510" w:name="_Toc441224725"/>
      <w:bookmarkStart w:id="1511" w:name="_Toc475472678"/>
      <w:bookmarkStart w:id="1512" w:name="_Toc475294116"/>
      <w:bookmarkStart w:id="1513" w:name="_Toc22487"/>
      <w:r>
        <w:rPr>
          <w:rFonts w:hint="eastAsia" w:ascii="宋体" w:hAnsi="宋体" w:eastAsia="宋体" w:cs="宋体"/>
          <w:color w:val="auto"/>
          <w:sz w:val="24"/>
          <w:szCs w:val="24"/>
        </w:rPr>
        <w:t>近</w:t>
      </w:r>
      <w:r>
        <w:rPr>
          <w:rFonts w:hint="eastAsia" w:ascii="宋体" w:hAnsi="宋体" w:eastAsia="宋体" w:cs="宋体"/>
          <w:color w:val="auto"/>
          <w:sz w:val="24"/>
        </w:rPr>
        <w:t>【五】</w:t>
      </w:r>
      <w:r>
        <w:rPr>
          <w:rFonts w:hint="eastAsia" w:ascii="宋体" w:hAnsi="宋体" w:eastAsia="宋体" w:cs="宋体"/>
          <w:color w:val="auto"/>
          <w:sz w:val="24"/>
          <w:szCs w:val="24"/>
        </w:rPr>
        <w:t>年发生的诉讼及仲裁情况</w:t>
      </w:r>
      <w:bookmarkEnd w:id="1509"/>
      <w:bookmarkEnd w:id="1510"/>
      <w:bookmarkEnd w:id="1511"/>
      <w:bookmarkEnd w:id="1512"/>
      <w:bookmarkEnd w:id="1513"/>
    </w:p>
    <w:p w14:paraId="469B74D2">
      <w:pPr>
        <w:pageBreakBefore w:val="0"/>
        <w:kinsoku/>
        <w:overflowPunct/>
        <w:topLinePunct/>
        <w:bidi w:val="0"/>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近【五】年发生的诉讼及仲裁情况</w:t>
      </w:r>
    </w:p>
    <w:p w14:paraId="71D224D1">
      <w:pPr>
        <w:pageBreakBefore w:val="0"/>
        <w:kinsoku/>
        <w:overflowPunct/>
        <w:bidi w:val="0"/>
        <w:spacing w:line="360" w:lineRule="auto"/>
        <w:rPr>
          <w:rFonts w:hint="eastAsia" w:ascii="宋体" w:hAnsi="宋体" w:eastAsia="宋体" w:cs="宋体"/>
          <w:color w:val="auto"/>
        </w:rPr>
      </w:pPr>
    </w:p>
    <w:p w14:paraId="37AD869B">
      <w:pPr>
        <w:pageBreakBefore w:val="0"/>
        <w:kinsoku/>
        <w:overflowPunct/>
        <w:topLine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如投标人有诉讼和/或仲裁（包括已结案和尚在进行的诉讼和/或仲裁阶段的案件），且可能影响履约能力的，则须向招标人提供诉讼和/或仲裁案件的有关资料及证明，包括原告（诉讼和/或仲裁申请人）、被告（诉讼和/或仲裁被申请人）、诉讼和/或仲裁原因、诉讼和/或仲裁事件、诉讼和/或仲裁金额、诉讼和/或仲裁结果等，并填入下表。</w:t>
      </w:r>
    </w:p>
    <w:p w14:paraId="2067AF0F">
      <w:pPr>
        <w:pageBreakBefore w:val="0"/>
        <w:kinsoku/>
        <w:overflowPunct/>
        <w:topLinePunct/>
        <w:bidi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如投标人无上述情况，则应在第一行“起诉（仲裁）人”列填写“不涉及”。</w:t>
      </w:r>
    </w:p>
    <w:tbl>
      <w:tblPr>
        <w:tblStyle w:val="41"/>
        <w:tblW w:w="5000" w:type="pct"/>
        <w:tblInd w:w="0" w:type="dxa"/>
        <w:tblLayout w:type="autofit"/>
        <w:tblCellMar>
          <w:top w:w="0" w:type="dxa"/>
          <w:left w:w="0" w:type="dxa"/>
          <w:bottom w:w="0" w:type="dxa"/>
          <w:right w:w="0" w:type="dxa"/>
        </w:tblCellMar>
      </w:tblPr>
      <w:tblGrid>
        <w:gridCol w:w="650"/>
        <w:gridCol w:w="800"/>
        <w:gridCol w:w="1207"/>
        <w:gridCol w:w="1450"/>
        <w:gridCol w:w="1490"/>
        <w:gridCol w:w="1044"/>
        <w:gridCol w:w="1044"/>
        <w:gridCol w:w="651"/>
      </w:tblGrid>
      <w:tr w14:paraId="024BF913">
        <w:tblPrEx>
          <w:tblCellMar>
            <w:top w:w="0" w:type="dxa"/>
            <w:left w:w="0" w:type="dxa"/>
            <w:bottom w:w="0" w:type="dxa"/>
            <w:right w:w="0" w:type="dxa"/>
          </w:tblCellMar>
        </w:tblPrEx>
        <w:trPr>
          <w:trHeight w:val="899" w:hRule="atLeast"/>
        </w:trPr>
        <w:tc>
          <w:tcPr>
            <w:tcW w:w="39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35D95AA">
            <w:pPr>
              <w:pageBreakBefore w:val="0"/>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480"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BF91A17">
            <w:pPr>
              <w:pageBreakBefore w:val="0"/>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日期</w:t>
            </w:r>
          </w:p>
        </w:tc>
        <w:tc>
          <w:tcPr>
            <w:tcW w:w="724"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1A5B63D">
            <w:pPr>
              <w:pageBreakBefore w:val="0"/>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起诉（仲裁）人</w:t>
            </w:r>
          </w:p>
        </w:tc>
        <w:tc>
          <w:tcPr>
            <w:tcW w:w="870"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4BA065">
            <w:pPr>
              <w:pageBreakBefore w:val="0"/>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被诉（被仲裁）人</w:t>
            </w:r>
          </w:p>
        </w:tc>
        <w:tc>
          <w:tcPr>
            <w:tcW w:w="894"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A65D83F">
            <w:pPr>
              <w:pageBreakBefore w:val="0"/>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诉讼（仲裁）事件</w:t>
            </w:r>
          </w:p>
        </w:tc>
        <w:tc>
          <w:tcPr>
            <w:tcW w:w="626"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A5229BD">
            <w:pPr>
              <w:pageBreakBefore w:val="0"/>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诉讼（仲裁）金额</w:t>
            </w:r>
          </w:p>
        </w:tc>
        <w:tc>
          <w:tcPr>
            <w:tcW w:w="626"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E255319">
            <w:pPr>
              <w:pageBreakBefore w:val="0"/>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诉讼（仲裁）结果</w:t>
            </w:r>
          </w:p>
        </w:tc>
        <w:tc>
          <w:tcPr>
            <w:tcW w:w="390"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8AB0598">
            <w:pPr>
              <w:pageBreakBefore w:val="0"/>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备注</w:t>
            </w:r>
          </w:p>
        </w:tc>
      </w:tr>
      <w:tr w14:paraId="41F38CCF">
        <w:tblPrEx>
          <w:tblCellMar>
            <w:top w:w="0" w:type="dxa"/>
            <w:left w:w="0" w:type="dxa"/>
            <w:bottom w:w="0" w:type="dxa"/>
            <w:right w:w="0" w:type="dxa"/>
          </w:tblCellMar>
        </w:tblPrEx>
        <w:trPr>
          <w:trHeight w:val="570" w:hRule="atLeast"/>
        </w:trPr>
        <w:tc>
          <w:tcPr>
            <w:tcW w:w="390" w:type="pc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C67BE9">
            <w:pPr>
              <w:pageBreakBefore w:val="0"/>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48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7922BC">
            <w:pPr>
              <w:pageBreakBefore w:val="0"/>
              <w:kinsoku/>
              <w:overflowPunct/>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　</w:t>
            </w:r>
          </w:p>
        </w:tc>
        <w:tc>
          <w:tcPr>
            <w:tcW w:w="72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E65CE7">
            <w:pPr>
              <w:pageBreakBefore w:val="0"/>
              <w:kinsoku/>
              <w:overflowPunct/>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　</w:t>
            </w:r>
          </w:p>
        </w:tc>
        <w:tc>
          <w:tcPr>
            <w:tcW w:w="8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EDCABE">
            <w:pPr>
              <w:pageBreakBefore w:val="0"/>
              <w:kinsoku/>
              <w:overflowPunct/>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　</w:t>
            </w:r>
          </w:p>
        </w:tc>
        <w:tc>
          <w:tcPr>
            <w:tcW w:w="89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09EAD4">
            <w:pPr>
              <w:pageBreakBefore w:val="0"/>
              <w:kinsoku/>
              <w:overflowPunct/>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C52B71">
            <w:pPr>
              <w:pageBreakBefore w:val="0"/>
              <w:kinsoku/>
              <w:overflowPunct/>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CB27C4">
            <w:pPr>
              <w:pageBreakBefore w:val="0"/>
              <w:kinsoku/>
              <w:overflowPunct/>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　</w:t>
            </w:r>
          </w:p>
        </w:tc>
        <w:tc>
          <w:tcPr>
            <w:tcW w:w="3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D464A2">
            <w:pPr>
              <w:pageBreakBefore w:val="0"/>
              <w:kinsoku/>
              <w:overflowPunct/>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　</w:t>
            </w:r>
          </w:p>
        </w:tc>
      </w:tr>
      <w:tr w14:paraId="6EB32EC0">
        <w:tblPrEx>
          <w:tblCellMar>
            <w:top w:w="0" w:type="dxa"/>
            <w:left w:w="0" w:type="dxa"/>
            <w:bottom w:w="0" w:type="dxa"/>
            <w:right w:w="0" w:type="dxa"/>
          </w:tblCellMar>
        </w:tblPrEx>
        <w:trPr>
          <w:trHeight w:val="570" w:hRule="atLeast"/>
        </w:trPr>
        <w:tc>
          <w:tcPr>
            <w:tcW w:w="390" w:type="pc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AA7AC3">
            <w:pPr>
              <w:pageBreakBefore w:val="0"/>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48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0E1C6D">
            <w:pPr>
              <w:pageBreakBefore w:val="0"/>
              <w:kinsoku/>
              <w:overflowPunct/>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　</w:t>
            </w:r>
          </w:p>
        </w:tc>
        <w:tc>
          <w:tcPr>
            <w:tcW w:w="72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A6084F">
            <w:pPr>
              <w:pageBreakBefore w:val="0"/>
              <w:kinsoku/>
              <w:overflowPunct/>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　</w:t>
            </w:r>
          </w:p>
        </w:tc>
        <w:tc>
          <w:tcPr>
            <w:tcW w:w="8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668EF4">
            <w:pPr>
              <w:pageBreakBefore w:val="0"/>
              <w:kinsoku/>
              <w:overflowPunct/>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　</w:t>
            </w:r>
          </w:p>
        </w:tc>
        <w:tc>
          <w:tcPr>
            <w:tcW w:w="89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894485">
            <w:pPr>
              <w:pageBreakBefore w:val="0"/>
              <w:kinsoku/>
              <w:overflowPunct/>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5A550F">
            <w:pPr>
              <w:pageBreakBefore w:val="0"/>
              <w:kinsoku/>
              <w:overflowPunct/>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06055F">
            <w:pPr>
              <w:pageBreakBefore w:val="0"/>
              <w:kinsoku/>
              <w:overflowPunct/>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　</w:t>
            </w:r>
          </w:p>
        </w:tc>
        <w:tc>
          <w:tcPr>
            <w:tcW w:w="3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0C1840">
            <w:pPr>
              <w:pageBreakBefore w:val="0"/>
              <w:kinsoku/>
              <w:overflowPunct/>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　</w:t>
            </w:r>
          </w:p>
        </w:tc>
      </w:tr>
      <w:tr w14:paraId="27DCACD3">
        <w:tblPrEx>
          <w:tblCellMar>
            <w:top w:w="0" w:type="dxa"/>
            <w:left w:w="0" w:type="dxa"/>
            <w:bottom w:w="0" w:type="dxa"/>
            <w:right w:w="0" w:type="dxa"/>
          </w:tblCellMar>
        </w:tblPrEx>
        <w:trPr>
          <w:trHeight w:val="570" w:hRule="atLeast"/>
        </w:trPr>
        <w:tc>
          <w:tcPr>
            <w:tcW w:w="390" w:type="pc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8393B9">
            <w:pPr>
              <w:pageBreakBefore w:val="0"/>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48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3A6322">
            <w:pPr>
              <w:pageBreakBefore w:val="0"/>
              <w:kinsoku/>
              <w:overflowPunct/>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　</w:t>
            </w:r>
          </w:p>
        </w:tc>
        <w:tc>
          <w:tcPr>
            <w:tcW w:w="72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7F99B5">
            <w:pPr>
              <w:pageBreakBefore w:val="0"/>
              <w:kinsoku/>
              <w:overflowPunct/>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　</w:t>
            </w:r>
          </w:p>
        </w:tc>
        <w:tc>
          <w:tcPr>
            <w:tcW w:w="8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90739D">
            <w:pPr>
              <w:pageBreakBefore w:val="0"/>
              <w:kinsoku/>
              <w:overflowPunct/>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　</w:t>
            </w:r>
          </w:p>
        </w:tc>
        <w:tc>
          <w:tcPr>
            <w:tcW w:w="89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349F19">
            <w:pPr>
              <w:pageBreakBefore w:val="0"/>
              <w:kinsoku/>
              <w:overflowPunct/>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A6AA7F">
            <w:pPr>
              <w:pageBreakBefore w:val="0"/>
              <w:kinsoku/>
              <w:overflowPunct/>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313B4A">
            <w:pPr>
              <w:pageBreakBefore w:val="0"/>
              <w:kinsoku/>
              <w:overflowPunct/>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　</w:t>
            </w:r>
          </w:p>
        </w:tc>
        <w:tc>
          <w:tcPr>
            <w:tcW w:w="3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AE56E7">
            <w:pPr>
              <w:pageBreakBefore w:val="0"/>
              <w:kinsoku/>
              <w:overflowPunct/>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　</w:t>
            </w:r>
          </w:p>
        </w:tc>
      </w:tr>
      <w:tr w14:paraId="073708F9">
        <w:tblPrEx>
          <w:tblCellMar>
            <w:top w:w="0" w:type="dxa"/>
            <w:left w:w="0" w:type="dxa"/>
            <w:bottom w:w="0" w:type="dxa"/>
            <w:right w:w="0" w:type="dxa"/>
          </w:tblCellMar>
        </w:tblPrEx>
        <w:trPr>
          <w:trHeight w:val="570" w:hRule="atLeast"/>
        </w:trPr>
        <w:tc>
          <w:tcPr>
            <w:tcW w:w="390" w:type="pc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65CD332">
            <w:pPr>
              <w:pageBreakBefore w:val="0"/>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w:t>
            </w:r>
          </w:p>
        </w:tc>
        <w:tc>
          <w:tcPr>
            <w:tcW w:w="48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B4C963">
            <w:pPr>
              <w:pageBreakBefore w:val="0"/>
              <w:kinsoku/>
              <w:overflowPunct/>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　</w:t>
            </w:r>
          </w:p>
        </w:tc>
        <w:tc>
          <w:tcPr>
            <w:tcW w:w="72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15442F">
            <w:pPr>
              <w:pageBreakBefore w:val="0"/>
              <w:kinsoku/>
              <w:overflowPunct/>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　</w:t>
            </w:r>
          </w:p>
        </w:tc>
        <w:tc>
          <w:tcPr>
            <w:tcW w:w="8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7C3072">
            <w:pPr>
              <w:pageBreakBefore w:val="0"/>
              <w:kinsoku/>
              <w:overflowPunct/>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　</w:t>
            </w:r>
          </w:p>
        </w:tc>
        <w:tc>
          <w:tcPr>
            <w:tcW w:w="89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2DE774">
            <w:pPr>
              <w:pageBreakBefore w:val="0"/>
              <w:kinsoku/>
              <w:overflowPunct/>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FAF1DE">
            <w:pPr>
              <w:pageBreakBefore w:val="0"/>
              <w:kinsoku/>
              <w:overflowPunct/>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12C7E0">
            <w:pPr>
              <w:pageBreakBefore w:val="0"/>
              <w:kinsoku/>
              <w:overflowPunct/>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　</w:t>
            </w:r>
          </w:p>
        </w:tc>
        <w:tc>
          <w:tcPr>
            <w:tcW w:w="3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CD2DD2">
            <w:pPr>
              <w:pageBreakBefore w:val="0"/>
              <w:kinsoku/>
              <w:overflowPunct/>
              <w:bidi w:val="0"/>
              <w:spacing w:line="360" w:lineRule="auto"/>
              <w:rPr>
                <w:rFonts w:hint="eastAsia" w:ascii="宋体" w:hAnsi="宋体" w:eastAsia="宋体" w:cs="宋体"/>
                <w:color w:val="auto"/>
                <w:szCs w:val="21"/>
              </w:rPr>
            </w:pPr>
            <w:r>
              <w:rPr>
                <w:rFonts w:hint="eastAsia" w:ascii="宋体" w:hAnsi="宋体" w:eastAsia="宋体" w:cs="宋体"/>
                <w:color w:val="auto"/>
                <w:szCs w:val="21"/>
              </w:rPr>
              <w:t>　</w:t>
            </w:r>
          </w:p>
        </w:tc>
      </w:tr>
    </w:tbl>
    <w:p w14:paraId="06C8E461">
      <w:pPr>
        <w:pageBreakBefore w:val="0"/>
        <w:kinsoku/>
        <w:overflowPunct/>
        <w:bidi w:val="0"/>
        <w:spacing w:line="360" w:lineRule="auto"/>
        <w:ind w:right="480" w:firstLine="4800" w:firstLineChars="2000"/>
        <w:rPr>
          <w:rFonts w:hint="eastAsia" w:ascii="宋体" w:hAnsi="宋体" w:eastAsia="宋体" w:cs="宋体"/>
          <w:color w:val="auto"/>
          <w:sz w:val="24"/>
        </w:rPr>
      </w:pPr>
    </w:p>
    <w:p w14:paraId="40A731CC">
      <w:pPr>
        <w:pageBreakBefore w:val="0"/>
        <w:kinsoku/>
        <w:overflowPunct/>
        <w:bidi w:val="0"/>
        <w:spacing w:line="360" w:lineRule="auto"/>
        <w:ind w:firstLine="424" w:firstLineChars="202"/>
        <w:rPr>
          <w:rFonts w:hint="eastAsia" w:ascii="宋体" w:hAnsi="宋体" w:eastAsia="宋体" w:cs="宋体"/>
          <w:color w:val="auto"/>
          <w:szCs w:val="21"/>
          <w:u w:val="single"/>
        </w:rPr>
      </w:pPr>
      <w:r>
        <w:rPr>
          <w:rFonts w:hint="eastAsia" w:ascii="宋体" w:hAnsi="宋体" w:eastAsia="宋体" w:cs="宋体"/>
          <w:color w:val="auto"/>
          <w:szCs w:val="21"/>
        </w:rPr>
        <w:t>投标人名称：</w:t>
      </w:r>
      <w:r>
        <w:rPr>
          <w:rFonts w:hint="eastAsia" w:ascii="宋体" w:hAnsi="宋体" w:eastAsia="宋体" w:cs="宋体"/>
          <w:color w:val="auto"/>
          <w:szCs w:val="21"/>
          <w:u w:val="single"/>
        </w:rPr>
        <w:t xml:space="preserve">　　　　　　　　                      </w:t>
      </w:r>
    </w:p>
    <w:p w14:paraId="721E1B66">
      <w:pPr>
        <w:pageBreakBefore w:val="0"/>
        <w:kinsoku/>
        <w:overflowPunct/>
        <w:bidi w:val="0"/>
        <w:spacing w:line="360" w:lineRule="auto"/>
        <w:ind w:firstLine="424" w:firstLineChars="202"/>
        <w:jc w:val="left"/>
        <w:rPr>
          <w:rFonts w:hint="eastAsia" w:ascii="宋体" w:hAnsi="宋体" w:eastAsia="宋体" w:cs="宋体"/>
          <w:color w:val="auto"/>
          <w:szCs w:val="21"/>
        </w:rPr>
      </w:pPr>
      <w:r>
        <w:rPr>
          <w:rFonts w:hint="eastAsia" w:ascii="宋体" w:hAnsi="宋体" w:eastAsia="宋体" w:cs="宋体"/>
          <w:color w:val="auto"/>
        </w:rPr>
        <w:t>日期：</w:t>
      </w:r>
      <w:r>
        <w:rPr>
          <w:rFonts w:hint="eastAsia" w:ascii="宋体" w:hAnsi="宋体" w:eastAsia="宋体" w:cs="宋体"/>
          <w:color w:val="auto"/>
          <w:u w:val="single"/>
        </w:rPr>
        <w:t xml:space="preserve">_     __ </w:t>
      </w:r>
      <w:r>
        <w:rPr>
          <w:rFonts w:hint="eastAsia" w:ascii="宋体" w:hAnsi="宋体" w:eastAsia="宋体" w:cs="宋体"/>
          <w:color w:val="auto"/>
        </w:rPr>
        <w:t>年</w:t>
      </w:r>
      <w:r>
        <w:rPr>
          <w:rFonts w:hint="eastAsia" w:ascii="宋体" w:hAnsi="宋体" w:eastAsia="宋体" w:cs="宋体"/>
          <w:color w:val="auto"/>
          <w:u w:val="single"/>
        </w:rPr>
        <w:t>_     __</w:t>
      </w:r>
      <w:r>
        <w:rPr>
          <w:rFonts w:hint="eastAsia" w:ascii="宋体" w:hAnsi="宋体" w:eastAsia="宋体" w:cs="宋体"/>
          <w:color w:val="auto"/>
        </w:rPr>
        <w:t>月</w:t>
      </w:r>
      <w:r>
        <w:rPr>
          <w:rFonts w:hint="eastAsia" w:ascii="宋体" w:hAnsi="宋体" w:eastAsia="宋体" w:cs="宋体"/>
          <w:color w:val="auto"/>
          <w:u w:val="single"/>
        </w:rPr>
        <w:t>_    _ _</w:t>
      </w:r>
      <w:r>
        <w:rPr>
          <w:rFonts w:hint="eastAsia" w:ascii="宋体" w:hAnsi="宋体" w:eastAsia="宋体" w:cs="宋体"/>
          <w:color w:val="auto"/>
        </w:rPr>
        <w:t>日</w:t>
      </w:r>
    </w:p>
    <w:p w14:paraId="52ADCD26">
      <w:pPr>
        <w:pageBreakBefore w:val="0"/>
        <w:kinsoku/>
        <w:overflowPunct/>
        <w:topLinePunct/>
        <w:bidi w:val="0"/>
        <w:spacing w:line="360" w:lineRule="auto"/>
        <w:jc w:val="left"/>
        <w:rPr>
          <w:rFonts w:hint="eastAsia" w:ascii="宋体" w:hAnsi="宋体" w:eastAsia="宋体" w:cs="宋体"/>
          <w:color w:val="auto"/>
        </w:rPr>
      </w:pPr>
    </w:p>
    <w:p w14:paraId="7E2DB39C">
      <w:pPr>
        <w:pageBreakBefore w:val="0"/>
        <w:kinsoku/>
        <w:overflowPunct/>
        <w:topLinePunct/>
        <w:bidi w:val="0"/>
        <w:spacing w:line="360" w:lineRule="auto"/>
        <w:jc w:val="left"/>
        <w:rPr>
          <w:rFonts w:hint="eastAsia" w:ascii="宋体" w:hAnsi="宋体" w:eastAsia="宋体" w:cs="宋体"/>
          <w:color w:val="auto"/>
          <w:szCs w:val="21"/>
        </w:rPr>
      </w:pPr>
    </w:p>
    <w:p w14:paraId="073179CA">
      <w:pPr>
        <w:pageBreakBefore w:val="0"/>
        <w:kinsoku/>
        <w:overflowPunct/>
        <w:topLinePunct/>
        <w:bidi w:val="0"/>
        <w:spacing w:line="360" w:lineRule="auto"/>
        <w:jc w:val="left"/>
        <w:rPr>
          <w:rFonts w:hint="eastAsia" w:ascii="宋体" w:hAnsi="宋体" w:eastAsia="宋体" w:cs="宋体"/>
          <w:color w:val="auto"/>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color w:val="auto"/>
        </w:rPr>
        <w:t>编制要求</w:t>
      </w:r>
      <w:r>
        <w:rPr>
          <w:rFonts w:hint="eastAsia" w:ascii="宋体" w:hAnsi="宋体" w:eastAsia="宋体" w:cs="宋体"/>
          <w:color w:val="auto"/>
        </w:rPr>
        <w:t>：除本文件允许投标人进行填写的内容以外，投标人不得对本文件进行修改</w:t>
      </w:r>
      <w:r>
        <w:rPr>
          <w:rFonts w:hint="eastAsia" w:ascii="宋体" w:hAnsi="宋体" w:eastAsia="宋体" w:cs="宋体"/>
          <w:color w:val="auto"/>
          <w:szCs w:val="21"/>
        </w:rPr>
        <w:t>。</w:t>
      </w:r>
    </w:p>
    <w:p w14:paraId="7A5EE878">
      <w:pPr>
        <w:pStyle w:val="39"/>
        <w:pageBreakBefore w:val="0"/>
        <w:numPr>
          <w:ilvl w:val="0"/>
          <w:numId w:val="29"/>
        </w:numPr>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514" w:name="_Toc28532"/>
      <w:bookmarkStart w:id="1515" w:name="_Toc475472679"/>
      <w:bookmarkStart w:id="1516" w:name="_Toc444791972"/>
      <w:bookmarkStart w:id="1517" w:name="_Toc38008087"/>
      <w:r>
        <w:rPr>
          <w:rFonts w:hint="eastAsia" w:ascii="宋体" w:hAnsi="宋体" w:eastAsia="宋体" w:cs="宋体"/>
          <w:color w:val="auto"/>
          <w:sz w:val="24"/>
          <w:szCs w:val="24"/>
        </w:rPr>
        <w:t>招标代理服务费支付承诺函</w:t>
      </w:r>
      <w:bookmarkEnd w:id="1514"/>
      <w:bookmarkEnd w:id="1515"/>
      <w:bookmarkEnd w:id="1516"/>
      <w:bookmarkEnd w:id="1517"/>
    </w:p>
    <w:p w14:paraId="00ADFA7D">
      <w:pPr>
        <w:pageBreakBefore w:val="0"/>
        <w:kinsoku/>
        <w:overflowPunct/>
        <w:bidi w:val="0"/>
        <w:spacing w:line="360" w:lineRule="auto"/>
        <w:ind w:firstLine="420" w:firstLineChars="200"/>
        <w:rPr>
          <w:rFonts w:hint="eastAsia" w:ascii="宋体" w:hAnsi="宋体" w:eastAsia="宋体" w:cs="宋体"/>
          <w:color w:val="auto"/>
          <w:szCs w:val="21"/>
        </w:rPr>
      </w:pPr>
    </w:p>
    <w:p w14:paraId="51438427">
      <w:pPr>
        <w:pageBreakBefore w:val="0"/>
        <w:kinsoku/>
        <w:overflowPunct/>
        <w:bidi w:val="0"/>
        <w:spacing w:line="360" w:lineRule="auto"/>
        <w:jc w:val="center"/>
        <w:rPr>
          <w:rFonts w:hint="eastAsia" w:ascii="宋体" w:hAnsi="宋体" w:eastAsia="宋体" w:cs="宋体"/>
          <w:b/>
          <w:color w:val="auto"/>
          <w:sz w:val="24"/>
        </w:rPr>
      </w:pPr>
      <w:bookmarkStart w:id="1518" w:name="_Toc231704287"/>
      <w:r>
        <w:rPr>
          <w:rFonts w:hint="eastAsia" w:ascii="宋体" w:hAnsi="宋体" w:eastAsia="宋体" w:cs="宋体"/>
          <w:b/>
          <w:color w:val="auto"/>
          <w:sz w:val="24"/>
        </w:rPr>
        <w:t>招标代理服务费支付承诺函</w:t>
      </w:r>
      <w:bookmarkEnd w:id="1518"/>
    </w:p>
    <w:p w14:paraId="780A4132">
      <w:pPr>
        <w:pageBreakBefore w:val="0"/>
        <w:kinsoku/>
        <w:overflowPunct/>
        <w:bidi w:val="0"/>
        <w:spacing w:line="360" w:lineRule="auto"/>
        <w:ind w:firstLine="422" w:firstLineChars="200"/>
        <w:jc w:val="center"/>
        <w:rPr>
          <w:rFonts w:hint="eastAsia" w:ascii="宋体" w:hAnsi="宋体" w:eastAsia="宋体" w:cs="宋体"/>
          <w:b/>
          <w:color w:val="auto"/>
          <w:szCs w:val="21"/>
        </w:rPr>
      </w:pPr>
    </w:p>
    <w:p w14:paraId="552CEE3F">
      <w:pPr>
        <w:pageBreakBefore w:val="0"/>
        <w:kinsoku/>
        <w:overflowPunct/>
        <w:bidi w:val="0"/>
        <w:spacing w:line="360" w:lineRule="auto"/>
        <w:ind w:firstLine="105" w:firstLineChars="50"/>
        <w:rPr>
          <w:rFonts w:hint="eastAsia" w:ascii="宋体" w:hAnsi="宋体" w:eastAsia="宋体" w:cs="宋体"/>
          <w:color w:val="auto"/>
          <w:szCs w:val="21"/>
        </w:rPr>
      </w:pPr>
      <w:r>
        <w:rPr>
          <w:rFonts w:hint="eastAsia" w:ascii="宋体" w:hAnsi="宋体" w:eastAsia="宋体" w:cs="宋体"/>
          <w:color w:val="auto"/>
          <w:szCs w:val="21"/>
        </w:rPr>
        <w:t>（招标代理机构名称）：</w:t>
      </w:r>
    </w:p>
    <w:p w14:paraId="1143CECB">
      <w:pPr>
        <w:pageBreakBefore w:val="0"/>
        <w:kinsoku/>
        <w:overflowPunct/>
        <w:bidi w:val="0"/>
        <w:spacing w:line="360" w:lineRule="auto"/>
        <w:ind w:firstLine="480" w:firstLineChars="229"/>
        <w:rPr>
          <w:rFonts w:hint="eastAsia" w:ascii="宋体" w:hAnsi="宋体" w:eastAsia="宋体" w:cs="宋体"/>
          <w:color w:val="auto"/>
          <w:szCs w:val="21"/>
        </w:rPr>
      </w:pPr>
    </w:p>
    <w:p w14:paraId="0A9189C5">
      <w:pPr>
        <w:pageBreakBefore w:val="0"/>
        <w:kinsoku/>
        <w:overflowPunct/>
        <w:bidi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我公司为贵公司代理的（项目名称）招标项目的投标人。我方承诺，如我公司中标，我公司将按投标人须知第9条的要求，向贵公司支付招标代理服务费。我公司将承担因我方支付招标代理服务费不及时或不支付招标代理服务费而造成的贵方各项损失，包括但不限于违约金、赔偿损失等。</w:t>
      </w:r>
    </w:p>
    <w:p w14:paraId="1B7978D3">
      <w:pPr>
        <w:pageBreakBefore w:val="0"/>
        <w:kinsoku/>
        <w:overflowPunct/>
        <w:bidi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特此承诺！</w:t>
      </w:r>
    </w:p>
    <w:p w14:paraId="1ED8448D">
      <w:pPr>
        <w:pageBreakBefore w:val="0"/>
        <w:kinsoku/>
        <w:overflowPunct/>
        <w:bidi w:val="0"/>
        <w:spacing w:line="360" w:lineRule="auto"/>
        <w:rPr>
          <w:rFonts w:hint="eastAsia" w:ascii="宋体" w:hAnsi="宋体" w:eastAsia="宋体" w:cs="宋体"/>
          <w:color w:val="auto"/>
          <w:szCs w:val="21"/>
        </w:rPr>
      </w:pPr>
    </w:p>
    <w:p w14:paraId="443483A3">
      <w:pPr>
        <w:pageBreakBefore w:val="0"/>
        <w:kinsoku/>
        <w:overflowPunct/>
        <w:bidi w:val="0"/>
        <w:spacing w:line="360" w:lineRule="auto"/>
        <w:ind w:firstLine="1274" w:firstLineChars="607"/>
        <w:rPr>
          <w:rFonts w:hint="eastAsia" w:ascii="宋体" w:hAnsi="宋体" w:eastAsia="宋体" w:cs="宋体"/>
          <w:color w:val="auto"/>
          <w:szCs w:val="21"/>
        </w:rPr>
      </w:pPr>
      <w:r>
        <w:rPr>
          <w:rFonts w:hint="eastAsia" w:ascii="宋体" w:hAnsi="宋体" w:eastAsia="宋体" w:cs="宋体"/>
          <w:color w:val="auto"/>
          <w:szCs w:val="21"/>
        </w:rPr>
        <w:t>投标人名称：</w:t>
      </w:r>
      <w:r>
        <w:rPr>
          <w:rFonts w:hint="eastAsia" w:ascii="宋体" w:hAnsi="宋体" w:eastAsia="宋体" w:cs="宋体"/>
          <w:color w:val="auto"/>
          <w:szCs w:val="21"/>
          <w:u w:val="single"/>
        </w:rPr>
        <w:t xml:space="preserve">　　　　　　　　                 </w:t>
      </w:r>
    </w:p>
    <w:p w14:paraId="51E4C834">
      <w:pPr>
        <w:pageBreakBefore w:val="0"/>
        <w:kinsoku/>
        <w:overflowPunct/>
        <w:bidi w:val="0"/>
        <w:spacing w:line="360" w:lineRule="auto"/>
        <w:ind w:firstLine="1274" w:firstLineChars="607"/>
        <w:jc w:val="left"/>
        <w:rPr>
          <w:rFonts w:hint="eastAsia" w:ascii="宋体" w:hAnsi="宋体" w:eastAsia="宋体" w:cs="宋体"/>
          <w:color w:val="auto"/>
          <w:szCs w:val="21"/>
        </w:rPr>
      </w:pPr>
      <w:r>
        <w:rPr>
          <w:rFonts w:hint="eastAsia" w:ascii="宋体" w:hAnsi="宋体" w:eastAsia="宋体" w:cs="宋体"/>
          <w:color w:val="auto"/>
        </w:rPr>
        <w:t>日期：</w:t>
      </w:r>
      <w:r>
        <w:rPr>
          <w:rFonts w:hint="eastAsia" w:ascii="宋体" w:hAnsi="宋体" w:eastAsia="宋体" w:cs="宋体"/>
          <w:color w:val="auto"/>
          <w:u w:val="single"/>
        </w:rPr>
        <w:t xml:space="preserve">_     __ </w:t>
      </w:r>
      <w:r>
        <w:rPr>
          <w:rFonts w:hint="eastAsia" w:ascii="宋体" w:hAnsi="宋体" w:eastAsia="宋体" w:cs="宋体"/>
          <w:color w:val="auto"/>
        </w:rPr>
        <w:t>年</w:t>
      </w:r>
      <w:r>
        <w:rPr>
          <w:rFonts w:hint="eastAsia" w:ascii="宋体" w:hAnsi="宋体" w:eastAsia="宋体" w:cs="宋体"/>
          <w:color w:val="auto"/>
          <w:u w:val="single"/>
        </w:rPr>
        <w:t>_     __</w:t>
      </w:r>
      <w:r>
        <w:rPr>
          <w:rFonts w:hint="eastAsia" w:ascii="宋体" w:hAnsi="宋体" w:eastAsia="宋体" w:cs="宋体"/>
          <w:color w:val="auto"/>
        </w:rPr>
        <w:t>月</w:t>
      </w:r>
      <w:r>
        <w:rPr>
          <w:rFonts w:hint="eastAsia" w:ascii="宋体" w:hAnsi="宋体" w:eastAsia="宋体" w:cs="宋体"/>
          <w:color w:val="auto"/>
          <w:u w:val="single"/>
        </w:rPr>
        <w:t>_    _ _</w:t>
      </w:r>
      <w:r>
        <w:rPr>
          <w:rFonts w:hint="eastAsia" w:ascii="宋体" w:hAnsi="宋体" w:eastAsia="宋体" w:cs="宋体"/>
          <w:color w:val="auto"/>
        </w:rPr>
        <w:t>日</w:t>
      </w:r>
    </w:p>
    <w:p w14:paraId="411FF078">
      <w:pPr>
        <w:pageBreakBefore w:val="0"/>
        <w:kinsoku/>
        <w:overflowPunct/>
        <w:topLinePunct/>
        <w:bidi w:val="0"/>
        <w:spacing w:line="360" w:lineRule="auto"/>
        <w:ind w:left="422" w:hanging="422" w:hangingChars="201"/>
        <w:jc w:val="left"/>
        <w:rPr>
          <w:rFonts w:hint="eastAsia" w:ascii="宋体" w:hAnsi="宋体" w:eastAsia="宋体" w:cs="宋体"/>
          <w:color w:val="auto"/>
        </w:rPr>
      </w:pPr>
    </w:p>
    <w:p w14:paraId="142BD3CA">
      <w:pPr>
        <w:pageBreakBefore w:val="0"/>
        <w:kinsoku/>
        <w:overflowPunct/>
        <w:topLinePunct/>
        <w:bidi w:val="0"/>
        <w:spacing w:line="360" w:lineRule="auto"/>
        <w:ind w:left="422" w:hanging="422" w:hangingChars="201"/>
        <w:jc w:val="left"/>
        <w:rPr>
          <w:rFonts w:hint="eastAsia" w:ascii="宋体" w:hAnsi="宋体" w:eastAsia="宋体" w:cs="宋体"/>
          <w:color w:val="auto"/>
        </w:rPr>
      </w:pPr>
    </w:p>
    <w:p w14:paraId="64C605F2">
      <w:pPr>
        <w:pageBreakBefore w:val="0"/>
        <w:kinsoku/>
        <w:overflowPunct/>
        <w:topLinePunct/>
        <w:bidi w:val="0"/>
        <w:spacing w:line="360" w:lineRule="auto"/>
        <w:ind w:left="424" w:hanging="424" w:hangingChars="201"/>
        <w:jc w:val="left"/>
        <w:rPr>
          <w:rFonts w:hint="eastAsia" w:ascii="宋体" w:hAnsi="宋体" w:eastAsia="宋体" w:cs="宋体"/>
          <w:b/>
          <w:color w:val="auto"/>
        </w:rPr>
      </w:pPr>
      <w:r>
        <w:rPr>
          <w:rFonts w:hint="eastAsia" w:ascii="宋体" w:hAnsi="宋体" w:eastAsia="宋体" w:cs="宋体"/>
          <w:b/>
          <w:color w:val="auto"/>
        </w:rPr>
        <w:t>编制要求</w:t>
      </w:r>
      <w:r>
        <w:rPr>
          <w:rFonts w:hint="eastAsia" w:ascii="宋体" w:hAnsi="宋体" w:eastAsia="宋体" w:cs="宋体"/>
          <w:color w:val="auto"/>
        </w:rPr>
        <w:t>：除本文件允许投标人进行填写的内容以外，投标人不得对本文件进行修改</w:t>
      </w:r>
      <w:r>
        <w:rPr>
          <w:rFonts w:hint="eastAsia" w:ascii="宋体" w:hAnsi="宋体" w:eastAsia="宋体" w:cs="宋体"/>
          <w:color w:val="auto"/>
          <w:szCs w:val="21"/>
        </w:rPr>
        <w:t>。</w:t>
      </w:r>
    </w:p>
    <w:p w14:paraId="161EF109">
      <w:pPr>
        <w:pageBreakBefore w:val="0"/>
        <w:numPr>
          <w:ilvl w:val="0"/>
          <w:numId w:val="34"/>
        </w:numPr>
        <w:kinsoku/>
        <w:overflowPunct/>
        <w:topLinePunct/>
        <w:bidi w:val="0"/>
        <w:spacing w:line="360" w:lineRule="auto"/>
        <w:ind w:left="422" w:hanging="422" w:hangingChars="201"/>
        <w:jc w:val="left"/>
        <w:rPr>
          <w:rFonts w:hint="eastAsia" w:ascii="宋体" w:hAnsi="宋体" w:eastAsia="宋体" w:cs="宋体"/>
          <w:color w:val="auto"/>
        </w:rPr>
        <w:sectPr>
          <w:pgSz w:w="11906" w:h="16838"/>
          <w:pgMar w:top="1440" w:right="1800" w:bottom="1440" w:left="1800" w:header="851" w:footer="992" w:gutter="0"/>
          <w:pgNumType w:fmt="decimal"/>
          <w:cols w:space="425" w:num="1"/>
          <w:docGrid w:type="lines" w:linePitch="312" w:charSpace="0"/>
        </w:sectPr>
      </w:pPr>
    </w:p>
    <w:p w14:paraId="3954185C">
      <w:pPr>
        <w:pStyle w:val="39"/>
        <w:pageBreakBefore w:val="0"/>
        <w:numPr>
          <w:ilvl w:val="0"/>
          <w:numId w:val="29"/>
        </w:numPr>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519" w:name="_Toc38008088"/>
      <w:bookmarkStart w:id="1520" w:name="_Toc28985"/>
      <w:bookmarkStart w:id="1521" w:name="_Toc475472680"/>
      <w:r>
        <w:rPr>
          <w:rFonts w:hint="eastAsia" w:ascii="宋体" w:hAnsi="宋体" w:eastAsia="宋体" w:cs="宋体"/>
          <w:color w:val="auto"/>
          <w:sz w:val="24"/>
          <w:szCs w:val="24"/>
        </w:rPr>
        <w:t>资格审查资料</w:t>
      </w:r>
      <w:bookmarkEnd w:id="1519"/>
      <w:bookmarkEnd w:id="1520"/>
      <w:bookmarkEnd w:id="1521"/>
    </w:p>
    <w:p w14:paraId="7901A859">
      <w:pPr>
        <w:pStyle w:val="12"/>
        <w:pageBreakBefore w:val="0"/>
        <w:kinsoku/>
        <w:overflowPunct/>
        <w:bidi w:val="0"/>
        <w:snapToGrid w:val="0"/>
        <w:spacing w:line="360" w:lineRule="auto"/>
        <w:ind w:firstLine="0"/>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资格审查资料</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格式自拟）</w:t>
      </w:r>
    </w:p>
    <w:p w14:paraId="20EE6C85">
      <w:pPr>
        <w:pStyle w:val="12"/>
        <w:pageBreakBefore w:val="0"/>
        <w:kinsoku/>
        <w:overflowPunct/>
        <w:bidi w:val="0"/>
        <w:snapToGrid w:val="0"/>
        <w:spacing w:line="360" w:lineRule="auto"/>
        <w:ind w:firstLineChars="20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包括但不限于投标人登记注册证明文件等。</w:t>
      </w:r>
    </w:p>
    <w:p w14:paraId="6324C809">
      <w:pPr>
        <w:pStyle w:val="12"/>
        <w:pageBreakBefore w:val="0"/>
        <w:kinsoku/>
        <w:overflowPunct/>
        <w:bidi w:val="0"/>
        <w:snapToGrid w:val="0"/>
        <w:spacing w:line="360" w:lineRule="auto"/>
        <w:ind w:firstLineChars="200"/>
        <w:rPr>
          <w:rFonts w:hint="eastAsia" w:ascii="宋体" w:hAnsi="宋体" w:eastAsia="宋体" w:cs="宋体"/>
          <w:bCs/>
          <w:color w:val="auto"/>
          <w:kern w:val="2"/>
          <w:sz w:val="21"/>
          <w:szCs w:val="21"/>
        </w:rPr>
        <w:sectPr>
          <w:pgSz w:w="11906" w:h="16838"/>
          <w:pgMar w:top="1418" w:right="1800" w:bottom="1440" w:left="1800" w:header="851" w:footer="992" w:gutter="0"/>
          <w:pgNumType w:fmt="decimal"/>
          <w:cols w:space="720" w:num="1"/>
          <w:docGrid w:type="lines" w:linePitch="312" w:charSpace="0"/>
        </w:sectPr>
      </w:pPr>
    </w:p>
    <w:p w14:paraId="751ABB78">
      <w:pPr>
        <w:pStyle w:val="39"/>
        <w:pageBreakBefore w:val="0"/>
        <w:numPr>
          <w:ilvl w:val="0"/>
          <w:numId w:val="29"/>
        </w:numPr>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522" w:name="_Toc75869522"/>
      <w:bookmarkEnd w:id="1522"/>
      <w:bookmarkStart w:id="1523" w:name="_Toc75869520"/>
      <w:bookmarkEnd w:id="1523"/>
      <w:bookmarkStart w:id="1524" w:name="_Toc75869519"/>
      <w:bookmarkEnd w:id="1524"/>
      <w:bookmarkStart w:id="1525" w:name="_Toc75869521"/>
      <w:bookmarkEnd w:id="1525"/>
      <w:bookmarkStart w:id="1526" w:name="_Toc75869523"/>
      <w:bookmarkEnd w:id="1526"/>
      <w:bookmarkStart w:id="1527" w:name="_Toc75869518"/>
      <w:bookmarkEnd w:id="1527"/>
      <w:bookmarkStart w:id="1528" w:name="_Toc20101"/>
      <w:bookmarkStart w:id="1529" w:name="_Toc438052129"/>
      <w:bookmarkStart w:id="1530" w:name="_Toc475472682"/>
      <w:bookmarkStart w:id="1531" w:name="_Toc38008090"/>
      <w:r>
        <w:rPr>
          <w:rFonts w:hint="eastAsia" w:ascii="宋体" w:hAnsi="宋体" w:eastAsia="宋体" w:cs="宋体"/>
          <w:color w:val="auto"/>
          <w:sz w:val="24"/>
          <w:szCs w:val="24"/>
        </w:rPr>
        <w:t>投标人控股及管理关系情况申报表</w:t>
      </w:r>
      <w:bookmarkEnd w:id="1528"/>
      <w:bookmarkEnd w:id="1529"/>
      <w:bookmarkEnd w:id="1530"/>
      <w:bookmarkEnd w:id="1531"/>
    </w:p>
    <w:p w14:paraId="6160C737">
      <w:pPr>
        <w:pStyle w:val="51"/>
        <w:pageBreakBefore w:val="0"/>
        <w:kinsoku/>
        <w:overflowPunct/>
        <w:bidi w:val="0"/>
        <w:spacing w:line="360" w:lineRule="auto"/>
        <w:ind w:firstLine="0" w:firstLineChars="0"/>
        <w:jc w:val="center"/>
        <w:rPr>
          <w:rFonts w:hint="eastAsia" w:ascii="宋体" w:hAnsi="宋体" w:eastAsia="宋体" w:cs="宋体"/>
          <w:b/>
          <w:color w:val="auto"/>
          <w:sz w:val="24"/>
        </w:rPr>
      </w:pPr>
      <w:r>
        <w:rPr>
          <w:rFonts w:hint="eastAsia" w:ascii="宋体" w:hAnsi="宋体" w:eastAsia="宋体" w:cs="宋体"/>
          <w:b/>
          <w:color w:val="auto"/>
          <w:sz w:val="24"/>
        </w:rPr>
        <w:t>投标人控股及管理关系情况申报表</w:t>
      </w:r>
    </w:p>
    <w:p w14:paraId="3A6255EC">
      <w:pPr>
        <w:pageBreakBefore w:val="0"/>
        <w:kinsoku/>
        <w:overflowPunct/>
        <w:bidi w:val="0"/>
        <w:adjustRightInd w:val="0"/>
        <w:snapToGrid w:val="0"/>
        <w:spacing w:line="360" w:lineRule="auto"/>
        <w:rPr>
          <w:rFonts w:hint="eastAsia" w:ascii="宋体" w:hAnsi="宋体" w:eastAsia="宋体" w:cs="宋体"/>
          <w:color w:val="auto"/>
        </w:rPr>
      </w:pPr>
    </w:p>
    <w:p w14:paraId="326EE738">
      <w:pPr>
        <w:pageBreakBefore w:val="0"/>
        <w:kinsoku/>
        <w:overflowPunct/>
        <w:bidi w:val="0"/>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我方参加</w:t>
      </w:r>
      <w:r>
        <w:rPr>
          <w:rFonts w:hint="eastAsia" w:ascii="宋体" w:hAnsi="宋体" w:eastAsia="宋体" w:cs="宋体"/>
          <w:color w:val="auto"/>
          <w:u w:val="single"/>
        </w:rPr>
        <w:t>【XX</w:t>
      </w:r>
      <w:r>
        <w:rPr>
          <w:rFonts w:hint="eastAsia" w:ascii="宋体" w:hAnsi="宋体" w:eastAsia="宋体" w:cs="宋体"/>
          <w:color w:val="auto"/>
          <w:szCs w:val="21"/>
          <w:u w:val="single"/>
        </w:rPr>
        <w:t>项目[</w:t>
      </w:r>
      <w:r>
        <w:rPr>
          <w:rFonts w:hint="eastAsia" w:ascii="宋体" w:hAnsi="宋体" w:eastAsia="宋体" w:cs="宋体"/>
          <w:bCs/>
          <w:color w:val="auto"/>
          <w:szCs w:val="21"/>
          <w:u w:val="single"/>
        </w:rPr>
        <w:t>招标项目名称</w:t>
      </w:r>
      <w:r>
        <w:rPr>
          <w:rFonts w:hint="eastAsia" w:ascii="宋体" w:hAnsi="宋体" w:eastAsia="宋体" w:cs="宋体"/>
          <w:color w:val="auto"/>
          <w:szCs w:val="21"/>
          <w:u w:val="single"/>
        </w:rPr>
        <w:t>]</w:t>
      </w:r>
      <w:r>
        <w:rPr>
          <w:rFonts w:hint="eastAsia" w:ascii="宋体" w:hAnsi="宋体" w:eastAsia="宋体" w:cs="宋体"/>
          <w:color w:val="auto"/>
          <w:u w:val="single"/>
        </w:rPr>
        <w:t>】【XX</w:t>
      </w:r>
      <w:r>
        <w:rPr>
          <w:rFonts w:hint="eastAsia" w:ascii="宋体" w:hAnsi="宋体" w:eastAsia="宋体" w:cs="宋体"/>
          <w:color w:val="auto"/>
          <w:szCs w:val="21"/>
          <w:u w:val="single"/>
        </w:rPr>
        <w:t>标包[标包名称]</w:t>
      </w:r>
      <w:r>
        <w:rPr>
          <w:rFonts w:hint="eastAsia" w:ascii="宋体" w:hAnsi="宋体" w:eastAsia="宋体" w:cs="宋体"/>
          <w:color w:val="auto"/>
          <w:u w:val="single"/>
        </w:rPr>
        <w:t>】</w:t>
      </w:r>
      <w:r>
        <w:rPr>
          <w:rFonts w:hint="eastAsia" w:ascii="宋体" w:hAnsi="宋体" w:eastAsia="宋体" w:cs="宋体"/>
          <w:color w:val="auto"/>
        </w:rPr>
        <w:t>的投标，根据法律法规维护投标公正性的相关规定，特就本单位控股及管理关系情况申报如下，并承担申报不实的责任。</w:t>
      </w:r>
    </w:p>
    <w:tbl>
      <w:tblPr>
        <w:tblStyle w:val="41"/>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1266"/>
        <w:gridCol w:w="4646"/>
      </w:tblGrid>
      <w:tr w14:paraId="01976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jc w:val="center"/>
        </w:trPr>
        <w:tc>
          <w:tcPr>
            <w:tcW w:w="1464" w:type="pct"/>
            <w:vAlign w:val="center"/>
          </w:tcPr>
          <w:p w14:paraId="191B71B7">
            <w:pPr>
              <w:pageBreakBefore w:val="0"/>
              <w:kinsoku/>
              <w:overflowPunct/>
              <w:bidi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申报人名称</w:t>
            </w:r>
          </w:p>
        </w:tc>
        <w:tc>
          <w:tcPr>
            <w:tcW w:w="3536" w:type="pct"/>
            <w:gridSpan w:val="2"/>
            <w:vAlign w:val="center"/>
          </w:tcPr>
          <w:p w14:paraId="7CA4357B">
            <w:pPr>
              <w:pageBreakBefore w:val="0"/>
              <w:kinsoku/>
              <w:overflowPunct/>
              <w:bidi w:val="0"/>
              <w:adjustRightInd w:val="0"/>
              <w:snapToGrid w:val="0"/>
              <w:spacing w:line="360" w:lineRule="auto"/>
              <w:rPr>
                <w:rFonts w:hint="eastAsia" w:ascii="宋体" w:hAnsi="宋体" w:eastAsia="宋体" w:cs="宋体"/>
                <w:color w:val="auto"/>
              </w:rPr>
            </w:pPr>
            <w:r>
              <w:rPr>
                <w:rFonts w:hint="eastAsia" w:ascii="宋体" w:hAnsi="宋体" w:eastAsia="宋体" w:cs="宋体"/>
                <w:bCs/>
                <w:color w:val="auto"/>
                <w:szCs w:val="21"/>
                <w:u w:val="single"/>
              </w:rPr>
              <w:t>【XX公司[投标人名称]】</w:t>
            </w:r>
          </w:p>
        </w:tc>
      </w:tr>
      <w:tr w14:paraId="59FB9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464" w:type="pct"/>
            <w:vMerge w:val="restart"/>
            <w:vAlign w:val="center"/>
          </w:tcPr>
          <w:p w14:paraId="5AFE35FD">
            <w:pPr>
              <w:pageBreakBefore w:val="0"/>
              <w:kinsoku/>
              <w:overflowPunct/>
              <w:bidi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法定代表人/负责人</w:t>
            </w:r>
          </w:p>
        </w:tc>
        <w:tc>
          <w:tcPr>
            <w:tcW w:w="757" w:type="pct"/>
            <w:vAlign w:val="center"/>
          </w:tcPr>
          <w:p w14:paraId="16B72467">
            <w:pPr>
              <w:pageBreakBefore w:val="0"/>
              <w:kinsoku/>
              <w:overflowPunct/>
              <w:bidi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姓    名</w:t>
            </w:r>
          </w:p>
        </w:tc>
        <w:tc>
          <w:tcPr>
            <w:tcW w:w="2779" w:type="pct"/>
            <w:vAlign w:val="center"/>
          </w:tcPr>
          <w:p w14:paraId="4C99FFE7">
            <w:pPr>
              <w:pageBreakBefore w:val="0"/>
              <w:kinsoku/>
              <w:overflowPunct/>
              <w:bidi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u w:val="single"/>
              </w:rPr>
              <w:t>【XX</w:t>
            </w:r>
            <w:r>
              <w:rPr>
                <w:rFonts w:hint="eastAsia" w:ascii="宋体" w:hAnsi="宋体" w:eastAsia="宋体" w:cs="宋体"/>
                <w:color w:val="auto"/>
                <w:szCs w:val="21"/>
                <w:u w:val="single"/>
              </w:rPr>
              <w:t xml:space="preserve"> [投标人法定代表人/负责人姓名]</w:t>
            </w:r>
            <w:r>
              <w:rPr>
                <w:rFonts w:hint="eastAsia" w:ascii="宋体" w:hAnsi="宋体" w:eastAsia="宋体" w:cs="宋体"/>
                <w:color w:val="auto"/>
                <w:u w:val="single"/>
              </w:rPr>
              <w:t>】</w:t>
            </w:r>
          </w:p>
        </w:tc>
      </w:tr>
      <w:tr w14:paraId="02AE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64" w:type="pct"/>
            <w:vMerge w:val="continue"/>
            <w:vAlign w:val="center"/>
          </w:tcPr>
          <w:p w14:paraId="3EF9F35D">
            <w:pPr>
              <w:pageBreakBefore w:val="0"/>
              <w:kinsoku/>
              <w:overflowPunct/>
              <w:bidi w:val="0"/>
              <w:adjustRightInd w:val="0"/>
              <w:snapToGrid w:val="0"/>
              <w:spacing w:line="360" w:lineRule="auto"/>
              <w:rPr>
                <w:rFonts w:hint="eastAsia" w:ascii="宋体" w:hAnsi="宋体" w:eastAsia="宋体" w:cs="宋体"/>
                <w:color w:val="auto"/>
              </w:rPr>
            </w:pPr>
          </w:p>
        </w:tc>
        <w:tc>
          <w:tcPr>
            <w:tcW w:w="757" w:type="pct"/>
            <w:vAlign w:val="center"/>
          </w:tcPr>
          <w:p w14:paraId="3857FC9E">
            <w:pPr>
              <w:pageBreakBefore w:val="0"/>
              <w:kinsoku/>
              <w:overflowPunct/>
              <w:bidi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身份证号</w:t>
            </w:r>
          </w:p>
        </w:tc>
        <w:tc>
          <w:tcPr>
            <w:tcW w:w="2779" w:type="pct"/>
            <w:vAlign w:val="center"/>
          </w:tcPr>
          <w:p w14:paraId="6896D056">
            <w:pPr>
              <w:pageBreakBefore w:val="0"/>
              <w:kinsoku/>
              <w:overflowPunct/>
              <w:bidi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u w:val="single"/>
              </w:rPr>
              <w:t>【XX</w:t>
            </w:r>
            <w:r>
              <w:rPr>
                <w:rFonts w:hint="eastAsia" w:ascii="宋体" w:hAnsi="宋体" w:eastAsia="宋体" w:cs="宋体"/>
                <w:color w:val="auto"/>
                <w:szCs w:val="21"/>
                <w:u w:val="single"/>
              </w:rPr>
              <w:t xml:space="preserve"> [投标人法定代表人/负责人身份证号]</w:t>
            </w:r>
            <w:r>
              <w:rPr>
                <w:rFonts w:hint="eastAsia" w:ascii="宋体" w:hAnsi="宋体" w:eastAsia="宋体" w:cs="宋体"/>
                <w:color w:val="auto"/>
                <w:u w:val="single"/>
              </w:rPr>
              <w:t>】</w:t>
            </w:r>
          </w:p>
        </w:tc>
      </w:tr>
      <w:tr w14:paraId="243A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464" w:type="pct"/>
            <w:vAlign w:val="center"/>
          </w:tcPr>
          <w:p w14:paraId="651DF427">
            <w:pPr>
              <w:pageBreakBefore w:val="0"/>
              <w:kinsoku/>
              <w:overflowPunct/>
              <w:bidi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控股股东/投资人名称</w:t>
            </w:r>
          </w:p>
          <w:p w14:paraId="6B79883B">
            <w:pPr>
              <w:pageBreakBefore w:val="0"/>
              <w:kinsoku/>
              <w:overflowPunct/>
              <w:bidi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及出资比例</w:t>
            </w:r>
          </w:p>
        </w:tc>
        <w:tc>
          <w:tcPr>
            <w:tcW w:w="3536" w:type="pct"/>
            <w:gridSpan w:val="2"/>
            <w:vAlign w:val="center"/>
          </w:tcPr>
          <w:p w14:paraId="093E4C70">
            <w:pPr>
              <w:pageBreakBefore w:val="0"/>
              <w:kinsoku/>
              <w:overflowPunct/>
              <w:bidi w:val="0"/>
              <w:adjustRightInd w:val="0"/>
              <w:snapToGrid w:val="0"/>
              <w:spacing w:line="360" w:lineRule="auto"/>
              <w:rPr>
                <w:rFonts w:hint="eastAsia" w:ascii="宋体" w:hAnsi="宋体" w:eastAsia="宋体" w:cs="宋体"/>
                <w:color w:val="auto"/>
              </w:rPr>
            </w:pPr>
            <w:r>
              <w:rPr>
                <w:rFonts w:hint="eastAsia" w:ascii="宋体" w:hAnsi="宋体" w:eastAsia="宋体" w:cs="宋体"/>
                <w:bCs/>
                <w:color w:val="auto"/>
                <w:szCs w:val="21"/>
                <w:u w:val="single"/>
              </w:rPr>
              <w:t>【XX公司/XX[自然人]，出资比例XX%，[投标人控股股东/投资人名称及出资比例]】</w:t>
            </w:r>
          </w:p>
        </w:tc>
      </w:tr>
      <w:tr w14:paraId="545B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464" w:type="pct"/>
            <w:vAlign w:val="center"/>
          </w:tcPr>
          <w:p w14:paraId="2D45FFD5">
            <w:pPr>
              <w:pageBreakBefore w:val="0"/>
              <w:kinsoku/>
              <w:overflowPunct/>
              <w:bidi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非控股股东/投资人名称</w:t>
            </w:r>
          </w:p>
          <w:p w14:paraId="3409462D">
            <w:pPr>
              <w:pageBreakBefore w:val="0"/>
              <w:kinsoku/>
              <w:overflowPunct/>
              <w:bidi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及出资比例</w:t>
            </w:r>
          </w:p>
        </w:tc>
        <w:tc>
          <w:tcPr>
            <w:tcW w:w="3536" w:type="pct"/>
            <w:gridSpan w:val="2"/>
            <w:vAlign w:val="center"/>
          </w:tcPr>
          <w:p w14:paraId="73C70517">
            <w:pPr>
              <w:pageBreakBefore w:val="0"/>
              <w:kinsoku/>
              <w:overflowPunct/>
              <w:bidi w:val="0"/>
              <w:adjustRightInd w:val="0"/>
              <w:snapToGrid w:val="0"/>
              <w:spacing w:line="360" w:lineRule="auto"/>
              <w:rPr>
                <w:rFonts w:hint="eastAsia" w:ascii="宋体" w:hAnsi="宋体" w:eastAsia="宋体" w:cs="宋体"/>
                <w:color w:val="auto"/>
              </w:rPr>
            </w:pPr>
            <w:r>
              <w:rPr>
                <w:rFonts w:hint="eastAsia" w:ascii="宋体" w:hAnsi="宋体" w:eastAsia="宋体" w:cs="宋体"/>
                <w:bCs/>
                <w:color w:val="auto"/>
                <w:szCs w:val="21"/>
                <w:u w:val="single"/>
              </w:rPr>
              <w:t>【XX公司/XX[自然人]，出资比例XX%，[投标人非控股股东/投资人名称及出资比例，应从出资比例由高到低进行填写]】</w:t>
            </w:r>
          </w:p>
        </w:tc>
      </w:tr>
      <w:tr w14:paraId="44F8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464" w:type="pct"/>
            <w:vMerge w:val="restart"/>
            <w:vAlign w:val="center"/>
          </w:tcPr>
          <w:p w14:paraId="52899160">
            <w:pPr>
              <w:pageBreakBefore w:val="0"/>
              <w:kinsoku/>
              <w:overflowPunct/>
              <w:bidi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管理关系单位名称</w:t>
            </w:r>
          </w:p>
        </w:tc>
        <w:tc>
          <w:tcPr>
            <w:tcW w:w="757" w:type="pct"/>
            <w:vAlign w:val="center"/>
          </w:tcPr>
          <w:p w14:paraId="3B6BAB82">
            <w:pPr>
              <w:pageBreakBefore w:val="0"/>
              <w:kinsoku/>
              <w:overflowPunct/>
              <w:bidi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管理关系单位名称</w:t>
            </w:r>
          </w:p>
        </w:tc>
        <w:tc>
          <w:tcPr>
            <w:tcW w:w="2779" w:type="pct"/>
            <w:vAlign w:val="center"/>
          </w:tcPr>
          <w:p w14:paraId="4A40DF7E">
            <w:pPr>
              <w:pageBreakBefore w:val="0"/>
              <w:kinsoku/>
              <w:overflowPunct/>
              <w:bidi w:val="0"/>
              <w:adjustRightInd w:val="0"/>
              <w:snapToGrid w:val="0"/>
              <w:spacing w:line="360" w:lineRule="auto"/>
              <w:rPr>
                <w:rFonts w:hint="eastAsia" w:ascii="宋体" w:hAnsi="宋体" w:eastAsia="宋体" w:cs="宋体"/>
                <w:color w:val="auto"/>
              </w:rPr>
            </w:pPr>
            <w:r>
              <w:rPr>
                <w:rFonts w:hint="eastAsia" w:ascii="宋体" w:hAnsi="宋体" w:eastAsia="宋体" w:cs="宋体"/>
                <w:bCs/>
                <w:color w:val="auto"/>
                <w:szCs w:val="21"/>
                <w:u w:val="single"/>
              </w:rPr>
              <w:t>【XX公司[管理单位全称]】</w:t>
            </w:r>
          </w:p>
        </w:tc>
      </w:tr>
      <w:tr w14:paraId="4801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64" w:type="pct"/>
            <w:vMerge w:val="continue"/>
            <w:vAlign w:val="center"/>
          </w:tcPr>
          <w:p w14:paraId="3BE01812">
            <w:pPr>
              <w:pageBreakBefore w:val="0"/>
              <w:kinsoku/>
              <w:overflowPunct/>
              <w:bidi w:val="0"/>
              <w:adjustRightInd w:val="0"/>
              <w:snapToGrid w:val="0"/>
              <w:spacing w:line="360" w:lineRule="auto"/>
              <w:rPr>
                <w:rFonts w:hint="eastAsia" w:ascii="宋体" w:hAnsi="宋体" w:eastAsia="宋体" w:cs="宋体"/>
                <w:color w:val="auto"/>
              </w:rPr>
            </w:pPr>
          </w:p>
        </w:tc>
        <w:tc>
          <w:tcPr>
            <w:tcW w:w="757" w:type="pct"/>
            <w:vAlign w:val="center"/>
          </w:tcPr>
          <w:p w14:paraId="0D4596A8">
            <w:pPr>
              <w:pageBreakBefore w:val="0"/>
              <w:kinsoku/>
              <w:overflowPunct/>
              <w:bidi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被管理关系单位名称</w:t>
            </w:r>
          </w:p>
        </w:tc>
        <w:tc>
          <w:tcPr>
            <w:tcW w:w="2779" w:type="pct"/>
            <w:vAlign w:val="center"/>
          </w:tcPr>
          <w:p w14:paraId="43DF2533">
            <w:pPr>
              <w:pageBreakBefore w:val="0"/>
              <w:kinsoku/>
              <w:overflowPunct/>
              <w:bidi w:val="0"/>
              <w:adjustRightInd w:val="0"/>
              <w:snapToGrid w:val="0"/>
              <w:spacing w:line="360" w:lineRule="auto"/>
              <w:rPr>
                <w:rFonts w:hint="eastAsia" w:ascii="宋体" w:hAnsi="宋体" w:eastAsia="宋体" w:cs="宋体"/>
                <w:color w:val="auto"/>
              </w:rPr>
            </w:pPr>
            <w:r>
              <w:rPr>
                <w:rFonts w:hint="eastAsia" w:ascii="宋体" w:hAnsi="宋体" w:eastAsia="宋体" w:cs="宋体"/>
                <w:bCs/>
                <w:color w:val="auto"/>
                <w:szCs w:val="21"/>
                <w:u w:val="single"/>
              </w:rPr>
              <w:t>【XX公司[被管理单位全称，应列明所有被管理单位]】</w:t>
            </w:r>
          </w:p>
        </w:tc>
      </w:tr>
      <w:tr w14:paraId="05116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000" w:type="pct"/>
            <w:gridSpan w:val="3"/>
            <w:shd w:val="clear" w:color="auto" w:fill="auto"/>
            <w:vAlign w:val="center"/>
          </w:tcPr>
          <w:p w14:paraId="683ECE90">
            <w:pPr>
              <w:pageBreakBefore w:val="0"/>
              <w:kinsoku/>
              <w:overflowPunct/>
              <w:bidi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备注：</w:t>
            </w:r>
          </w:p>
        </w:tc>
      </w:tr>
    </w:tbl>
    <w:p w14:paraId="6A758064">
      <w:pPr>
        <w:pageBreakBefore w:val="0"/>
        <w:kinsoku/>
        <w:overflowPunct/>
        <w:bidi w:val="0"/>
        <w:spacing w:line="360" w:lineRule="auto"/>
        <w:ind w:firstLine="707" w:firstLineChars="337"/>
        <w:rPr>
          <w:rFonts w:hint="eastAsia" w:ascii="宋体" w:hAnsi="宋体" w:eastAsia="宋体" w:cs="宋体"/>
          <w:color w:val="auto"/>
          <w:szCs w:val="21"/>
        </w:rPr>
      </w:pPr>
    </w:p>
    <w:p w14:paraId="713A6218">
      <w:pPr>
        <w:pageBreakBefore w:val="0"/>
        <w:kinsoku/>
        <w:overflowPunct/>
        <w:bidi w:val="0"/>
        <w:spacing w:line="360" w:lineRule="auto"/>
        <w:ind w:firstLine="424" w:firstLineChars="202"/>
        <w:rPr>
          <w:rFonts w:hint="eastAsia" w:ascii="宋体" w:hAnsi="宋体" w:eastAsia="宋体" w:cs="宋体"/>
          <w:color w:val="auto"/>
          <w:szCs w:val="21"/>
          <w:u w:val="single"/>
        </w:rPr>
      </w:pPr>
      <w:r>
        <w:rPr>
          <w:rFonts w:hint="eastAsia" w:ascii="宋体" w:hAnsi="宋体" w:eastAsia="宋体" w:cs="宋体"/>
          <w:color w:val="auto"/>
          <w:szCs w:val="21"/>
        </w:rPr>
        <w:t>投标人名称：</w:t>
      </w:r>
      <w:r>
        <w:rPr>
          <w:rFonts w:hint="eastAsia" w:ascii="宋体" w:hAnsi="宋体" w:eastAsia="宋体" w:cs="宋体"/>
          <w:color w:val="auto"/>
          <w:szCs w:val="21"/>
          <w:u w:val="single"/>
        </w:rPr>
        <w:t xml:space="preserve">　　　　　　　　                      </w:t>
      </w:r>
    </w:p>
    <w:p w14:paraId="4738CE0B">
      <w:pPr>
        <w:pageBreakBefore w:val="0"/>
        <w:kinsoku/>
        <w:overflowPunct/>
        <w:bidi w:val="0"/>
        <w:spacing w:line="360" w:lineRule="auto"/>
        <w:ind w:firstLine="424" w:firstLineChars="202"/>
        <w:jc w:val="left"/>
        <w:rPr>
          <w:rFonts w:hint="eastAsia" w:ascii="宋体" w:hAnsi="宋体" w:eastAsia="宋体" w:cs="宋体"/>
          <w:color w:val="auto"/>
          <w:szCs w:val="21"/>
        </w:rPr>
      </w:pPr>
      <w:r>
        <w:rPr>
          <w:rFonts w:hint="eastAsia" w:ascii="宋体" w:hAnsi="宋体" w:eastAsia="宋体" w:cs="宋体"/>
          <w:color w:val="auto"/>
        </w:rPr>
        <w:t>日期：</w:t>
      </w:r>
      <w:r>
        <w:rPr>
          <w:rFonts w:hint="eastAsia" w:ascii="宋体" w:hAnsi="宋体" w:eastAsia="宋体" w:cs="宋体"/>
          <w:color w:val="auto"/>
          <w:u w:val="single"/>
        </w:rPr>
        <w:t xml:space="preserve">_     __ </w:t>
      </w:r>
      <w:r>
        <w:rPr>
          <w:rFonts w:hint="eastAsia" w:ascii="宋体" w:hAnsi="宋体" w:eastAsia="宋体" w:cs="宋体"/>
          <w:color w:val="auto"/>
        </w:rPr>
        <w:t>年</w:t>
      </w:r>
      <w:r>
        <w:rPr>
          <w:rFonts w:hint="eastAsia" w:ascii="宋体" w:hAnsi="宋体" w:eastAsia="宋体" w:cs="宋体"/>
          <w:color w:val="auto"/>
          <w:u w:val="single"/>
        </w:rPr>
        <w:t>_     __</w:t>
      </w:r>
      <w:r>
        <w:rPr>
          <w:rFonts w:hint="eastAsia" w:ascii="宋体" w:hAnsi="宋体" w:eastAsia="宋体" w:cs="宋体"/>
          <w:color w:val="auto"/>
        </w:rPr>
        <w:t>月</w:t>
      </w:r>
      <w:r>
        <w:rPr>
          <w:rFonts w:hint="eastAsia" w:ascii="宋体" w:hAnsi="宋体" w:eastAsia="宋体" w:cs="宋体"/>
          <w:color w:val="auto"/>
          <w:u w:val="single"/>
        </w:rPr>
        <w:t>_    _ _</w:t>
      </w:r>
      <w:r>
        <w:rPr>
          <w:rFonts w:hint="eastAsia" w:ascii="宋体" w:hAnsi="宋体" w:eastAsia="宋体" w:cs="宋体"/>
          <w:color w:val="auto"/>
        </w:rPr>
        <w:t>日</w:t>
      </w:r>
    </w:p>
    <w:p w14:paraId="33734678">
      <w:pPr>
        <w:pageBreakBefore w:val="0"/>
        <w:kinsoku/>
        <w:overflowPunct/>
        <w:bidi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 xml:space="preserve"> </w:t>
      </w:r>
    </w:p>
    <w:p w14:paraId="444942D5">
      <w:pPr>
        <w:pageBreakBefore w:val="0"/>
        <w:kinsoku/>
        <w:overflowPunct/>
        <w:bidi w:val="0"/>
        <w:adjustRightInd w:val="0"/>
        <w:snapToGrid w:val="0"/>
        <w:spacing w:line="360" w:lineRule="auto"/>
        <w:rPr>
          <w:rFonts w:hint="eastAsia" w:ascii="宋体" w:hAnsi="宋体" w:eastAsia="宋体" w:cs="宋体"/>
          <w:color w:val="auto"/>
        </w:rPr>
      </w:pPr>
      <w:r>
        <w:rPr>
          <w:rFonts w:hint="eastAsia" w:ascii="宋体" w:hAnsi="宋体" w:eastAsia="宋体" w:cs="宋体"/>
          <w:b/>
          <w:color w:val="auto"/>
        </w:rPr>
        <w:t>编制要求</w:t>
      </w:r>
      <w:r>
        <w:rPr>
          <w:rFonts w:hint="eastAsia" w:ascii="宋体" w:hAnsi="宋体" w:eastAsia="宋体" w:cs="宋体"/>
          <w:color w:val="auto"/>
        </w:rPr>
        <w:t>：</w:t>
      </w:r>
    </w:p>
    <w:p w14:paraId="3259A424">
      <w:pPr>
        <w:pageBreakBefore w:val="0"/>
        <w:kinsoku/>
        <w:overflowPunct/>
        <w:bidi w:val="0"/>
        <w:spacing w:line="360" w:lineRule="auto"/>
        <w:rPr>
          <w:rFonts w:hint="eastAsia" w:ascii="宋体" w:hAnsi="宋体" w:eastAsia="宋体" w:cs="宋体"/>
          <w:color w:val="auto"/>
        </w:rPr>
      </w:pPr>
      <w:r>
        <w:rPr>
          <w:rFonts w:hint="eastAsia" w:ascii="宋体" w:hAnsi="宋体" w:eastAsia="宋体" w:cs="宋体"/>
          <w:color w:val="auto"/>
        </w:rPr>
        <w:t>1.控股股东/投资人是指出资比例在50%以上，或者出资比例不足50%，但享有公司股东会/董事会控制权的投资方（含单位或者个人）。</w:t>
      </w:r>
    </w:p>
    <w:p w14:paraId="0E56FFEC">
      <w:pPr>
        <w:pageBreakBefore w:val="0"/>
        <w:kinsoku/>
        <w:overflowPunct/>
        <w:bidi w:val="0"/>
        <w:spacing w:line="360" w:lineRule="auto"/>
        <w:rPr>
          <w:rFonts w:hint="eastAsia" w:ascii="宋体" w:hAnsi="宋体" w:eastAsia="宋体" w:cs="宋体"/>
          <w:color w:val="auto"/>
        </w:rPr>
      </w:pPr>
      <w:r>
        <w:rPr>
          <w:rFonts w:hint="eastAsia" w:ascii="宋体" w:hAnsi="宋体" w:eastAsia="宋体" w:cs="宋体"/>
          <w:color w:val="auto"/>
        </w:rPr>
        <w:t>2.管理关系单位是指与不具有出资持股关系的其他单位之间存在管理与被管理关系的单位。</w:t>
      </w:r>
    </w:p>
    <w:p w14:paraId="51BA8203">
      <w:pPr>
        <w:pageBreakBefore w:val="0"/>
        <w:kinsoku/>
        <w:overflowPunct/>
        <w:bidi w:val="0"/>
        <w:spacing w:line="360" w:lineRule="auto"/>
        <w:rPr>
          <w:rFonts w:hint="eastAsia" w:ascii="宋体" w:hAnsi="宋体" w:eastAsia="宋体" w:cs="宋体"/>
          <w:color w:val="auto"/>
        </w:rPr>
      </w:pPr>
      <w:r>
        <w:rPr>
          <w:rFonts w:hint="eastAsia" w:ascii="宋体" w:hAnsi="宋体" w:eastAsia="宋体" w:cs="宋体"/>
          <w:color w:val="auto"/>
        </w:rPr>
        <w:t>3.如未有相关情况，请在相应栏填写“无”。</w:t>
      </w:r>
    </w:p>
    <w:p w14:paraId="66DFC2E4">
      <w:pPr>
        <w:pageBreakBefore w:val="0"/>
        <w:kinsoku/>
        <w:overflowPunct/>
        <w:bidi w:val="0"/>
        <w:spacing w:line="360" w:lineRule="auto"/>
        <w:rPr>
          <w:rFonts w:hint="eastAsia" w:ascii="宋体" w:hAnsi="宋体" w:eastAsia="宋体" w:cs="宋体"/>
          <w:color w:val="auto"/>
        </w:rPr>
      </w:pPr>
      <w:r>
        <w:rPr>
          <w:rFonts w:hint="eastAsia" w:ascii="宋体" w:hAnsi="宋体" w:eastAsia="宋体" w:cs="宋体"/>
          <w:color w:val="auto"/>
        </w:rPr>
        <w:t>4.除本文件允许投标人进行填写的内容以外，投标人不得对本文件进行修改。</w:t>
      </w:r>
    </w:p>
    <w:p w14:paraId="11798C0A">
      <w:pPr>
        <w:pageBreakBefore w:val="0"/>
        <w:kinsoku/>
        <w:overflowPunct/>
        <w:bidi w:val="0"/>
        <w:spacing w:line="360" w:lineRule="auto"/>
        <w:rPr>
          <w:rFonts w:hint="eastAsia" w:ascii="宋体" w:hAnsi="宋体" w:eastAsia="宋体" w:cs="宋体"/>
          <w:color w:val="auto"/>
        </w:rPr>
      </w:pPr>
      <w:r>
        <w:rPr>
          <w:rFonts w:hint="eastAsia" w:ascii="宋体" w:hAnsi="宋体" w:eastAsia="宋体" w:cs="宋体"/>
          <w:color w:val="auto"/>
        </w:rPr>
        <w:br w:type="page"/>
      </w:r>
    </w:p>
    <w:tbl>
      <w:tblPr>
        <w:tblStyle w:val="41"/>
        <w:tblW w:w="8789" w:type="dxa"/>
        <w:tblInd w:w="108" w:type="dxa"/>
        <w:tblLayout w:type="autofit"/>
        <w:tblCellMar>
          <w:top w:w="0" w:type="dxa"/>
          <w:left w:w="108" w:type="dxa"/>
          <w:bottom w:w="0" w:type="dxa"/>
          <w:right w:w="108" w:type="dxa"/>
        </w:tblCellMar>
      </w:tblPr>
      <w:tblGrid>
        <w:gridCol w:w="851"/>
        <w:gridCol w:w="1134"/>
        <w:gridCol w:w="850"/>
        <w:gridCol w:w="993"/>
        <w:gridCol w:w="1417"/>
        <w:gridCol w:w="1418"/>
        <w:gridCol w:w="992"/>
        <w:gridCol w:w="1134"/>
      </w:tblGrid>
      <w:tr w14:paraId="4AFF8918">
        <w:tblPrEx>
          <w:tblCellMar>
            <w:top w:w="0" w:type="dxa"/>
            <w:left w:w="108" w:type="dxa"/>
            <w:bottom w:w="0" w:type="dxa"/>
            <w:right w:w="108" w:type="dxa"/>
          </w:tblCellMar>
        </w:tblPrEx>
        <w:trPr>
          <w:trHeight w:val="793" w:hRule="atLeast"/>
        </w:trPr>
        <w:tc>
          <w:tcPr>
            <w:tcW w:w="6663" w:type="dxa"/>
            <w:gridSpan w:val="6"/>
            <w:tcBorders>
              <w:top w:val="single" w:color="auto" w:sz="4" w:space="0"/>
              <w:left w:val="single" w:color="auto" w:sz="4" w:space="0"/>
              <w:bottom w:val="single" w:color="auto" w:sz="4" w:space="0"/>
              <w:right w:val="single" w:color="auto" w:sz="4" w:space="0"/>
            </w:tcBorders>
            <w:noWrap w:val="0"/>
            <w:vAlign w:val="center"/>
          </w:tcPr>
          <w:p w14:paraId="78008447">
            <w:pPr>
              <w:pageBreakBefore w:val="0"/>
              <w:widowControl/>
              <w:kinsoku/>
              <w:overflowPunct/>
              <w:topLinePunct/>
              <w:bidi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申报单位的法人代表、总经理、副总经理、股东（非上市公司）、投标人代表中是否有中国电信贵州分公司、贵州省通信产业服务有限公司及其控股子公司人员</w:t>
            </w:r>
          </w:p>
        </w:tc>
        <w:tc>
          <w:tcPr>
            <w:tcW w:w="2126" w:type="dxa"/>
            <w:gridSpan w:val="2"/>
            <w:tcBorders>
              <w:top w:val="single" w:color="auto" w:sz="4" w:space="0"/>
              <w:left w:val="nil"/>
              <w:bottom w:val="single" w:color="auto" w:sz="4" w:space="0"/>
              <w:right w:val="single" w:color="auto" w:sz="4" w:space="0"/>
            </w:tcBorders>
            <w:noWrap w:val="0"/>
            <w:vAlign w:val="center"/>
          </w:tcPr>
          <w:p w14:paraId="52CB81C3">
            <w:pPr>
              <w:pageBreakBefore w:val="0"/>
              <w:widowControl/>
              <w:kinsoku/>
              <w:overflowPunct/>
              <w:topLinePunct/>
              <w:bidi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□是    □否</w:t>
            </w:r>
          </w:p>
        </w:tc>
      </w:tr>
      <w:tr w14:paraId="7A4805FE">
        <w:tblPrEx>
          <w:tblCellMar>
            <w:top w:w="0" w:type="dxa"/>
            <w:left w:w="108" w:type="dxa"/>
            <w:bottom w:w="0" w:type="dxa"/>
            <w:right w:w="108" w:type="dxa"/>
          </w:tblCellMar>
        </w:tblPrEx>
        <w:trPr>
          <w:trHeight w:val="740" w:hRule="atLeast"/>
        </w:trPr>
        <w:tc>
          <w:tcPr>
            <w:tcW w:w="6663" w:type="dxa"/>
            <w:gridSpan w:val="6"/>
            <w:tcBorders>
              <w:top w:val="single" w:color="auto" w:sz="4" w:space="0"/>
              <w:left w:val="single" w:color="auto" w:sz="4" w:space="0"/>
              <w:bottom w:val="single" w:color="auto" w:sz="4" w:space="0"/>
              <w:right w:val="single" w:color="auto" w:sz="4" w:space="0"/>
            </w:tcBorders>
            <w:noWrap w:val="0"/>
            <w:vAlign w:val="center"/>
          </w:tcPr>
          <w:p w14:paraId="4BC1C920">
            <w:pPr>
              <w:pageBreakBefore w:val="0"/>
              <w:widowControl/>
              <w:kinsoku/>
              <w:overflowPunct/>
              <w:topLinePunct/>
              <w:bidi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申报单位的法人代表、总经理、副总经理、股东（非上市公司）、投标人代表是否与中国电信贵州分公司、贵州省通信产业服务有限公司及其控股子公司人员存在亲属关系</w:t>
            </w:r>
          </w:p>
        </w:tc>
        <w:tc>
          <w:tcPr>
            <w:tcW w:w="2126" w:type="dxa"/>
            <w:gridSpan w:val="2"/>
            <w:tcBorders>
              <w:top w:val="nil"/>
              <w:left w:val="nil"/>
              <w:bottom w:val="single" w:color="auto" w:sz="4" w:space="0"/>
              <w:right w:val="single" w:color="auto" w:sz="4" w:space="0"/>
            </w:tcBorders>
            <w:noWrap w:val="0"/>
            <w:vAlign w:val="center"/>
          </w:tcPr>
          <w:p w14:paraId="20B87DED">
            <w:pPr>
              <w:pageBreakBefore w:val="0"/>
              <w:widowControl/>
              <w:kinsoku/>
              <w:overflowPunct/>
              <w:topLinePunct/>
              <w:bidi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□是    □否</w:t>
            </w:r>
          </w:p>
        </w:tc>
      </w:tr>
      <w:tr w14:paraId="5931B023">
        <w:tblPrEx>
          <w:tblCellMar>
            <w:top w:w="0" w:type="dxa"/>
            <w:left w:w="108" w:type="dxa"/>
            <w:bottom w:w="0" w:type="dxa"/>
            <w:right w:w="108" w:type="dxa"/>
          </w:tblCellMar>
        </w:tblPrEx>
        <w:trPr>
          <w:trHeight w:val="660" w:hRule="atLeast"/>
        </w:trPr>
        <w:tc>
          <w:tcPr>
            <w:tcW w:w="851" w:type="dxa"/>
            <w:vMerge w:val="restart"/>
            <w:tcBorders>
              <w:top w:val="nil"/>
              <w:left w:val="single" w:color="auto" w:sz="4" w:space="0"/>
              <w:bottom w:val="single" w:color="auto" w:sz="4" w:space="0"/>
              <w:right w:val="single" w:color="auto" w:sz="4" w:space="0"/>
            </w:tcBorders>
            <w:noWrap w:val="0"/>
            <w:vAlign w:val="center"/>
          </w:tcPr>
          <w:p w14:paraId="6B355E25">
            <w:pPr>
              <w:pageBreakBefore w:val="0"/>
              <w:widowControl/>
              <w:kinsoku/>
              <w:overflowPunct/>
              <w:topLinePunct/>
              <w:bidi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关联关系  （如有必填）</w:t>
            </w:r>
          </w:p>
        </w:tc>
        <w:tc>
          <w:tcPr>
            <w:tcW w:w="1134" w:type="dxa"/>
            <w:tcBorders>
              <w:top w:val="nil"/>
              <w:left w:val="nil"/>
              <w:bottom w:val="single" w:color="auto" w:sz="4" w:space="0"/>
              <w:right w:val="single" w:color="auto" w:sz="4" w:space="0"/>
            </w:tcBorders>
            <w:noWrap w:val="0"/>
            <w:vAlign w:val="center"/>
          </w:tcPr>
          <w:p w14:paraId="397147A8">
            <w:pPr>
              <w:pageBreakBefore w:val="0"/>
              <w:widowControl/>
              <w:kinsoku/>
              <w:overflowPunct/>
              <w:topLinePunct/>
              <w:bidi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申报单位人员姓名</w:t>
            </w:r>
          </w:p>
        </w:tc>
        <w:tc>
          <w:tcPr>
            <w:tcW w:w="850" w:type="dxa"/>
            <w:tcBorders>
              <w:top w:val="nil"/>
              <w:left w:val="nil"/>
              <w:bottom w:val="single" w:color="auto" w:sz="4" w:space="0"/>
              <w:right w:val="single" w:color="auto" w:sz="4" w:space="0"/>
            </w:tcBorders>
            <w:noWrap w:val="0"/>
            <w:vAlign w:val="center"/>
          </w:tcPr>
          <w:p w14:paraId="37463BB6">
            <w:pPr>
              <w:pageBreakBefore w:val="0"/>
              <w:widowControl/>
              <w:kinsoku/>
              <w:overflowPunct/>
              <w:topLinePunct/>
              <w:bidi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申报单位人员职务</w:t>
            </w:r>
          </w:p>
        </w:tc>
        <w:tc>
          <w:tcPr>
            <w:tcW w:w="993" w:type="dxa"/>
            <w:tcBorders>
              <w:top w:val="nil"/>
              <w:left w:val="nil"/>
              <w:bottom w:val="single" w:color="auto" w:sz="4" w:space="0"/>
              <w:right w:val="single" w:color="auto" w:sz="4" w:space="0"/>
            </w:tcBorders>
            <w:noWrap w:val="0"/>
            <w:vAlign w:val="center"/>
          </w:tcPr>
          <w:p w14:paraId="7B3BDB31">
            <w:pPr>
              <w:pageBreakBefore w:val="0"/>
              <w:widowControl/>
              <w:kinsoku/>
              <w:overflowPunct/>
              <w:topLinePunct/>
              <w:bidi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申报单位人员身份证号码</w:t>
            </w:r>
          </w:p>
        </w:tc>
        <w:tc>
          <w:tcPr>
            <w:tcW w:w="1417" w:type="dxa"/>
            <w:tcBorders>
              <w:top w:val="nil"/>
              <w:left w:val="nil"/>
              <w:bottom w:val="single" w:color="auto" w:sz="4" w:space="0"/>
              <w:right w:val="single" w:color="auto" w:sz="4" w:space="0"/>
            </w:tcBorders>
            <w:noWrap w:val="0"/>
            <w:vAlign w:val="center"/>
          </w:tcPr>
          <w:p w14:paraId="5AF5C91A">
            <w:pPr>
              <w:pageBreakBefore w:val="0"/>
              <w:widowControl/>
              <w:kinsoku/>
              <w:overflowPunct/>
              <w:topLinePunct/>
              <w:bidi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关联公司名称</w:t>
            </w:r>
          </w:p>
        </w:tc>
        <w:tc>
          <w:tcPr>
            <w:tcW w:w="1418" w:type="dxa"/>
            <w:tcBorders>
              <w:top w:val="nil"/>
              <w:left w:val="nil"/>
              <w:bottom w:val="single" w:color="auto" w:sz="4" w:space="0"/>
              <w:right w:val="single" w:color="auto" w:sz="4" w:space="0"/>
            </w:tcBorders>
            <w:noWrap w:val="0"/>
            <w:vAlign w:val="center"/>
          </w:tcPr>
          <w:p w14:paraId="378A4B46">
            <w:pPr>
              <w:pageBreakBefore w:val="0"/>
              <w:widowControl/>
              <w:kinsoku/>
              <w:overflowPunct/>
              <w:topLinePunct/>
              <w:bidi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与关联公司人员关系</w:t>
            </w:r>
          </w:p>
        </w:tc>
        <w:tc>
          <w:tcPr>
            <w:tcW w:w="992" w:type="dxa"/>
            <w:tcBorders>
              <w:top w:val="nil"/>
              <w:left w:val="nil"/>
              <w:bottom w:val="single" w:color="auto" w:sz="4" w:space="0"/>
              <w:right w:val="single" w:color="auto" w:sz="4" w:space="0"/>
            </w:tcBorders>
            <w:noWrap w:val="0"/>
            <w:vAlign w:val="center"/>
          </w:tcPr>
          <w:p w14:paraId="669D1827">
            <w:pPr>
              <w:pageBreakBefore w:val="0"/>
              <w:widowControl/>
              <w:kinsoku/>
              <w:overflowPunct/>
              <w:topLinePunct/>
              <w:bidi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关联公司人员姓名</w:t>
            </w:r>
          </w:p>
        </w:tc>
        <w:tc>
          <w:tcPr>
            <w:tcW w:w="1134" w:type="dxa"/>
            <w:tcBorders>
              <w:top w:val="nil"/>
              <w:left w:val="nil"/>
              <w:bottom w:val="single" w:color="auto" w:sz="4" w:space="0"/>
              <w:right w:val="single" w:color="auto" w:sz="4" w:space="0"/>
            </w:tcBorders>
            <w:noWrap w:val="0"/>
            <w:vAlign w:val="center"/>
          </w:tcPr>
          <w:p w14:paraId="18D3CE44">
            <w:pPr>
              <w:pageBreakBefore w:val="0"/>
              <w:widowControl/>
              <w:kinsoku/>
              <w:overflowPunct/>
              <w:topLinePunct/>
              <w:bidi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关联公司人员身份证号码</w:t>
            </w:r>
          </w:p>
        </w:tc>
      </w:tr>
      <w:tr w14:paraId="33AE91DE">
        <w:tblPrEx>
          <w:tblCellMar>
            <w:top w:w="0" w:type="dxa"/>
            <w:left w:w="108" w:type="dxa"/>
            <w:bottom w:w="0" w:type="dxa"/>
            <w:right w:w="108" w:type="dxa"/>
          </w:tblCellMar>
        </w:tblPrEx>
        <w:trPr>
          <w:trHeight w:val="660" w:hRule="atLeast"/>
        </w:trPr>
        <w:tc>
          <w:tcPr>
            <w:tcW w:w="851" w:type="dxa"/>
            <w:vMerge w:val="continue"/>
            <w:tcBorders>
              <w:top w:val="nil"/>
              <w:left w:val="single" w:color="auto" w:sz="4" w:space="0"/>
              <w:bottom w:val="single" w:color="auto" w:sz="4" w:space="0"/>
              <w:right w:val="single" w:color="auto" w:sz="4" w:space="0"/>
            </w:tcBorders>
            <w:noWrap w:val="0"/>
            <w:vAlign w:val="center"/>
          </w:tcPr>
          <w:p w14:paraId="7F078D55">
            <w:pPr>
              <w:pageBreakBefore w:val="0"/>
              <w:widowControl/>
              <w:kinsoku/>
              <w:overflowPunct/>
              <w:topLinePunct/>
              <w:bidi w:val="0"/>
              <w:spacing w:line="360" w:lineRule="auto"/>
              <w:jc w:val="left"/>
              <w:rPr>
                <w:rFonts w:hint="eastAsia" w:ascii="宋体" w:hAnsi="宋体" w:eastAsia="宋体" w:cs="宋体"/>
                <w:color w:val="auto"/>
                <w:kern w:val="0"/>
                <w:szCs w:val="21"/>
              </w:rPr>
            </w:pPr>
          </w:p>
        </w:tc>
        <w:tc>
          <w:tcPr>
            <w:tcW w:w="1134" w:type="dxa"/>
            <w:tcBorders>
              <w:top w:val="nil"/>
              <w:left w:val="nil"/>
              <w:bottom w:val="single" w:color="auto" w:sz="4" w:space="0"/>
              <w:right w:val="single" w:color="auto" w:sz="4" w:space="0"/>
            </w:tcBorders>
            <w:noWrap w:val="0"/>
            <w:vAlign w:val="center"/>
          </w:tcPr>
          <w:p w14:paraId="4B48F7FB">
            <w:pPr>
              <w:pageBreakBefore w:val="0"/>
              <w:widowControl/>
              <w:kinsoku/>
              <w:overflowPunct/>
              <w:topLinePunct/>
              <w:bidi w:val="0"/>
              <w:spacing w:line="360" w:lineRule="auto"/>
              <w:jc w:val="center"/>
              <w:rPr>
                <w:rFonts w:hint="eastAsia" w:ascii="宋体" w:hAnsi="宋体" w:eastAsia="宋体" w:cs="宋体"/>
                <w:color w:val="auto"/>
                <w:kern w:val="0"/>
                <w:szCs w:val="21"/>
              </w:rPr>
            </w:pPr>
          </w:p>
        </w:tc>
        <w:tc>
          <w:tcPr>
            <w:tcW w:w="850" w:type="dxa"/>
            <w:tcBorders>
              <w:top w:val="nil"/>
              <w:left w:val="nil"/>
              <w:bottom w:val="single" w:color="auto" w:sz="4" w:space="0"/>
              <w:right w:val="single" w:color="auto" w:sz="4" w:space="0"/>
            </w:tcBorders>
            <w:noWrap w:val="0"/>
            <w:vAlign w:val="center"/>
          </w:tcPr>
          <w:p w14:paraId="554519B3">
            <w:pPr>
              <w:pageBreakBefore w:val="0"/>
              <w:widowControl/>
              <w:kinsoku/>
              <w:overflowPunct/>
              <w:topLinePunct/>
              <w:bidi w:val="0"/>
              <w:spacing w:line="360" w:lineRule="auto"/>
              <w:jc w:val="center"/>
              <w:rPr>
                <w:rFonts w:hint="eastAsia" w:ascii="宋体" w:hAnsi="宋体" w:eastAsia="宋体" w:cs="宋体"/>
                <w:color w:val="auto"/>
                <w:kern w:val="0"/>
                <w:szCs w:val="21"/>
              </w:rPr>
            </w:pPr>
          </w:p>
        </w:tc>
        <w:tc>
          <w:tcPr>
            <w:tcW w:w="993" w:type="dxa"/>
            <w:tcBorders>
              <w:top w:val="nil"/>
              <w:left w:val="nil"/>
              <w:bottom w:val="single" w:color="auto" w:sz="4" w:space="0"/>
              <w:right w:val="single" w:color="auto" w:sz="4" w:space="0"/>
            </w:tcBorders>
            <w:noWrap w:val="0"/>
            <w:vAlign w:val="center"/>
          </w:tcPr>
          <w:p w14:paraId="29308DA7">
            <w:pPr>
              <w:pageBreakBefore w:val="0"/>
              <w:widowControl/>
              <w:kinsoku/>
              <w:overflowPunct/>
              <w:topLinePunct/>
              <w:bidi w:val="0"/>
              <w:spacing w:line="360" w:lineRule="auto"/>
              <w:jc w:val="center"/>
              <w:rPr>
                <w:rFonts w:hint="eastAsia" w:ascii="宋体" w:hAnsi="宋体" w:eastAsia="宋体" w:cs="宋体"/>
                <w:color w:val="auto"/>
                <w:kern w:val="0"/>
                <w:szCs w:val="21"/>
              </w:rPr>
            </w:pPr>
          </w:p>
        </w:tc>
        <w:tc>
          <w:tcPr>
            <w:tcW w:w="1417" w:type="dxa"/>
            <w:tcBorders>
              <w:top w:val="nil"/>
              <w:left w:val="nil"/>
              <w:bottom w:val="single" w:color="auto" w:sz="4" w:space="0"/>
              <w:right w:val="single" w:color="auto" w:sz="4" w:space="0"/>
            </w:tcBorders>
            <w:noWrap w:val="0"/>
            <w:vAlign w:val="center"/>
          </w:tcPr>
          <w:p w14:paraId="758F767A">
            <w:pPr>
              <w:pageBreakBefore w:val="0"/>
              <w:widowControl/>
              <w:kinsoku/>
              <w:overflowPunct/>
              <w:topLinePunct/>
              <w:bidi w:val="0"/>
              <w:spacing w:line="360" w:lineRule="auto"/>
              <w:jc w:val="center"/>
              <w:rPr>
                <w:rFonts w:hint="eastAsia" w:ascii="宋体" w:hAnsi="宋体" w:eastAsia="宋体" w:cs="宋体"/>
                <w:color w:val="auto"/>
                <w:kern w:val="0"/>
                <w:szCs w:val="21"/>
              </w:rPr>
            </w:pPr>
          </w:p>
        </w:tc>
        <w:tc>
          <w:tcPr>
            <w:tcW w:w="1418" w:type="dxa"/>
            <w:tcBorders>
              <w:top w:val="nil"/>
              <w:left w:val="nil"/>
              <w:bottom w:val="single" w:color="auto" w:sz="4" w:space="0"/>
              <w:right w:val="single" w:color="auto" w:sz="4" w:space="0"/>
            </w:tcBorders>
            <w:noWrap w:val="0"/>
            <w:vAlign w:val="center"/>
          </w:tcPr>
          <w:p w14:paraId="5E95DB59">
            <w:pPr>
              <w:pageBreakBefore w:val="0"/>
              <w:widowControl/>
              <w:kinsoku/>
              <w:overflowPunct/>
              <w:topLinePunct/>
              <w:bidi w:val="0"/>
              <w:spacing w:line="360" w:lineRule="auto"/>
              <w:jc w:val="center"/>
              <w:rPr>
                <w:rFonts w:hint="eastAsia" w:ascii="宋体" w:hAnsi="宋体" w:eastAsia="宋体" w:cs="宋体"/>
                <w:color w:val="auto"/>
                <w:kern w:val="0"/>
                <w:szCs w:val="21"/>
              </w:rPr>
            </w:pPr>
          </w:p>
        </w:tc>
        <w:tc>
          <w:tcPr>
            <w:tcW w:w="992" w:type="dxa"/>
            <w:tcBorders>
              <w:top w:val="nil"/>
              <w:left w:val="nil"/>
              <w:bottom w:val="single" w:color="auto" w:sz="4" w:space="0"/>
              <w:right w:val="single" w:color="auto" w:sz="4" w:space="0"/>
            </w:tcBorders>
            <w:noWrap w:val="0"/>
            <w:vAlign w:val="center"/>
          </w:tcPr>
          <w:p w14:paraId="4FD82242">
            <w:pPr>
              <w:pageBreakBefore w:val="0"/>
              <w:widowControl/>
              <w:kinsoku/>
              <w:overflowPunct/>
              <w:topLinePunct/>
              <w:bidi w:val="0"/>
              <w:spacing w:line="360" w:lineRule="auto"/>
              <w:jc w:val="center"/>
              <w:rPr>
                <w:rFonts w:hint="eastAsia" w:ascii="宋体" w:hAnsi="宋体" w:eastAsia="宋体" w:cs="宋体"/>
                <w:color w:val="auto"/>
                <w:kern w:val="0"/>
                <w:szCs w:val="21"/>
              </w:rPr>
            </w:pPr>
          </w:p>
        </w:tc>
        <w:tc>
          <w:tcPr>
            <w:tcW w:w="1134" w:type="dxa"/>
            <w:tcBorders>
              <w:top w:val="nil"/>
              <w:left w:val="nil"/>
              <w:bottom w:val="single" w:color="auto" w:sz="4" w:space="0"/>
              <w:right w:val="single" w:color="auto" w:sz="4" w:space="0"/>
            </w:tcBorders>
            <w:noWrap w:val="0"/>
            <w:vAlign w:val="center"/>
          </w:tcPr>
          <w:p w14:paraId="6DA44A37">
            <w:pPr>
              <w:pageBreakBefore w:val="0"/>
              <w:widowControl/>
              <w:kinsoku/>
              <w:overflowPunct/>
              <w:topLinePunct/>
              <w:bidi w:val="0"/>
              <w:spacing w:line="360" w:lineRule="auto"/>
              <w:jc w:val="center"/>
              <w:rPr>
                <w:rFonts w:hint="eastAsia" w:ascii="宋体" w:hAnsi="宋体" w:eastAsia="宋体" w:cs="宋体"/>
                <w:color w:val="auto"/>
                <w:kern w:val="0"/>
                <w:szCs w:val="21"/>
              </w:rPr>
            </w:pPr>
          </w:p>
        </w:tc>
      </w:tr>
      <w:tr w14:paraId="10B78CCB">
        <w:tblPrEx>
          <w:tblCellMar>
            <w:top w:w="0" w:type="dxa"/>
            <w:left w:w="108" w:type="dxa"/>
            <w:bottom w:w="0" w:type="dxa"/>
            <w:right w:w="108" w:type="dxa"/>
          </w:tblCellMar>
        </w:tblPrEx>
        <w:trPr>
          <w:trHeight w:val="660" w:hRule="atLeast"/>
        </w:trPr>
        <w:tc>
          <w:tcPr>
            <w:tcW w:w="851" w:type="dxa"/>
            <w:vMerge w:val="continue"/>
            <w:tcBorders>
              <w:top w:val="nil"/>
              <w:left w:val="single" w:color="auto" w:sz="4" w:space="0"/>
              <w:bottom w:val="single" w:color="auto" w:sz="4" w:space="0"/>
              <w:right w:val="single" w:color="auto" w:sz="4" w:space="0"/>
            </w:tcBorders>
            <w:noWrap w:val="0"/>
            <w:vAlign w:val="center"/>
          </w:tcPr>
          <w:p w14:paraId="1C42FCFF">
            <w:pPr>
              <w:pageBreakBefore w:val="0"/>
              <w:widowControl/>
              <w:kinsoku/>
              <w:overflowPunct/>
              <w:topLinePunct/>
              <w:bidi w:val="0"/>
              <w:spacing w:line="360" w:lineRule="auto"/>
              <w:jc w:val="left"/>
              <w:rPr>
                <w:rFonts w:hint="eastAsia" w:ascii="宋体" w:hAnsi="宋体" w:eastAsia="宋体" w:cs="宋体"/>
                <w:color w:val="auto"/>
                <w:kern w:val="0"/>
                <w:szCs w:val="21"/>
              </w:rPr>
            </w:pPr>
          </w:p>
        </w:tc>
        <w:tc>
          <w:tcPr>
            <w:tcW w:w="1134" w:type="dxa"/>
            <w:tcBorders>
              <w:top w:val="nil"/>
              <w:left w:val="nil"/>
              <w:bottom w:val="single" w:color="auto" w:sz="4" w:space="0"/>
              <w:right w:val="single" w:color="auto" w:sz="4" w:space="0"/>
            </w:tcBorders>
            <w:noWrap w:val="0"/>
            <w:vAlign w:val="center"/>
          </w:tcPr>
          <w:p w14:paraId="3C77E04A">
            <w:pPr>
              <w:pageBreakBefore w:val="0"/>
              <w:widowControl/>
              <w:kinsoku/>
              <w:overflowPunct/>
              <w:topLinePunct/>
              <w:bidi w:val="0"/>
              <w:spacing w:line="360" w:lineRule="auto"/>
              <w:jc w:val="center"/>
              <w:rPr>
                <w:rFonts w:hint="eastAsia" w:ascii="宋体" w:hAnsi="宋体" w:eastAsia="宋体" w:cs="宋体"/>
                <w:color w:val="auto"/>
                <w:kern w:val="0"/>
                <w:szCs w:val="21"/>
              </w:rPr>
            </w:pPr>
          </w:p>
        </w:tc>
        <w:tc>
          <w:tcPr>
            <w:tcW w:w="850" w:type="dxa"/>
            <w:tcBorders>
              <w:top w:val="nil"/>
              <w:left w:val="nil"/>
              <w:bottom w:val="single" w:color="auto" w:sz="4" w:space="0"/>
              <w:right w:val="single" w:color="auto" w:sz="4" w:space="0"/>
            </w:tcBorders>
            <w:noWrap w:val="0"/>
            <w:vAlign w:val="center"/>
          </w:tcPr>
          <w:p w14:paraId="59AD7896">
            <w:pPr>
              <w:pageBreakBefore w:val="0"/>
              <w:widowControl/>
              <w:kinsoku/>
              <w:overflowPunct/>
              <w:topLinePunct/>
              <w:bidi w:val="0"/>
              <w:spacing w:line="360" w:lineRule="auto"/>
              <w:jc w:val="center"/>
              <w:rPr>
                <w:rFonts w:hint="eastAsia" w:ascii="宋体" w:hAnsi="宋体" w:eastAsia="宋体" w:cs="宋体"/>
                <w:color w:val="auto"/>
                <w:kern w:val="0"/>
                <w:szCs w:val="21"/>
              </w:rPr>
            </w:pPr>
          </w:p>
        </w:tc>
        <w:tc>
          <w:tcPr>
            <w:tcW w:w="993" w:type="dxa"/>
            <w:tcBorders>
              <w:top w:val="nil"/>
              <w:left w:val="nil"/>
              <w:bottom w:val="single" w:color="auto" w:sz="4" w:space="0"/>
              <w:right w:val="single" w:color="auto" w:sz="4" w:space="0"/>
            </w:tcBorders>
            <w:noWrap w:val="0"/>
            <w:vAlign w:val="center"/>
          </w:tcPr>
          <w:p w14:paraId="396D3E43">
            <w:pPr>
              <w:pageBreakBefore w:val="0"/>
              <w:widowControl/>
              <w:kinsoku/>
              <w:overflowPunct/>
              <w:topLinePunct/>
              <w:bidi w:val="0"/>
              <w:spacing w:line="360" w:lineRule="auto"/>
              <w:jc w:val="center"/>
              <w:rPr>
                <w:rFonts w:hint="eastAsia" w:ascii="宋体" w:hAnsi="宋体" w:eastAsia="宋体" w:cs="宋体"/>
                <w:color w:val="auto"/>
                <w:kern w:val="0"/>
                <w:szCs w:val="21"/>
              </w:rPr>
            </w:pPr>
          </w:p>
        </w:tc>
        <w:tc>
          <w:tcPr>
            <w:tcW w:w="1417" w:type="dxa"/>
            <w:tcBorders>
              <w:top w:val="nil"/>
              <w:left w:val="nil"/>
              <w:bottom w:val="single" w:color="auto" w:sz="4" w:space="0"/>
              <w:right w:val="single" w:color="auto" w:sz="4" w:space="0"/>
            </w:tcBorders>
            <w:noWrap w:val="0"/>
            <w:vAlign w:val="center"/>
          </w:tcPr>
          <w:p w14:paraId="35ED2FED">
            <w:pPr>
              <w:pageBreakBefore w:val="0"/>
              <w:widowControl/>
              <w:kinsoku/>
              <w:overflowPunct/>
              <w:topLinePunct/>
              <w:bidi w:val="0"/>
              <w:spacing w:line="360" w:lineRule="auto"/>
              <w:jc w:val="center"/>
              <w:rPr>
                <w:rFonts w:hint="eastAsia" w:ascii="宋体" w:hAnsi="宋体" w:eastAsia="宋体" w:cs="宋体"/>
                <w:color w:val="auto"/>
                <w:kern w:val="0"/>
                <w:szCs w:val="21"/>
              </w:rPr>
            </w:pPr>
          </w:p>
        </w:tc>
        <w:tc>
          <w:tcPr>
            <w:tcW w:w="1418" w:type="dxa"/>
            <w:tcBorders>
              <w:top w:val="nil"/>
              <w:left w:val="nil"/>
              <w:bottom w:val="single" w:color="auto" w:sz="4" w:space="0"/>
              <w:right w:val="single" w:color="auto" w:sz="4" w:space="0"/>
            </w:tcBorders>
            <w:noWrap w:val="0"/>
            <w:vAlign w:val="center"/>
          </w:tcPr>
          <w:p w14:paraId="59F76DF4">
            <w:pPr>
              <w:pageBreakBefore w:val="0"/>
              <w:widowControl/>
              <w:kinsoku/>
              <w:overflowPunct/>
              <w:topLinePunct/>
              <w:bidi w:val="0"/>
              <w:spacing w:line="360" w:lineRule="auto"/>
              <w:jc w:val="center"/>
              <w:rPr>
                <w:rFonts w:hint="eastAsia" w:ascii="宋体" w:hAnsi="宋体" w:eastAsia="宋体" w:cs="宋体"/>
                <w:color w:val="auto"/>
                <w:kern w:val="0"/>
                <w:szCs w:val="21"/>
              </w:rPr>
            </w:pPr>
          </w:p>
        </w:tc>
        <w:tc>
          <w:tcPr>
            <w:tcW w:w="992" w:type="dxa"/>
            <w:tcBorders>
              <w:top w:val="nil"/>
              <w:left w:val="nil"/>
              <w:bottom w:val="single" w:color="auto" w:sz="4" w:space="0"/>
              <w:right w:val="single" w:color="auto" w:sz="4" w:space="0"/>
            </w:tcBorders>
            <w:noWrap w:val="0"/>
            <w:vAlign w:val="center"/>
          </w:tcPr>
          <w:p w14:paraId="3323B566">
            <w:pPr>
              <w:pageBreakBefore w:val="0"/>
              <w:widowControl/>
              <w:kinsoku/>
              <w:overflowPunct/>
              <w:topLinePunct/>
              <w:bidi w:val="0"/>
              <w:spacing w:line="360" w:lineRule="auto"/>
              <w:jc w:val="center"/>
              <w:rPr>
                <w:rFonts w:hint="eastAsia" w:ascii="宋体" w:hAnsi="宋体" w:eastAsia="宋体" w:cs="宋体"/>
                <w:color w:val="auto"/>
                <w:kern w:val="0"/>
                <w:szCs w:val="21"/>
              </w:rPr>
            </w:pPr>
          </w:p>
        </w:tc>
        <w:tc>
          <w:tcPr>
            <w:tcW w:w="1134" w:type="dxa"/>
            <w:tcBorders>
              <w:top w:val="nil"/>
              <w:left w:val="nil"/>
              <w:bottom w:val="single" w:color="auto" w:sz="4" w:space="0"/>
              <w:right w:val="single" w:color="auto" w:sz="4" w:space="0"/>
            </w:tcBorders>
            <w:noWrap w:val="0"/>
            <w:vAlign w:val="center"/>
          </w:tcPr>
          <w:p w14:paraId="46DA4C94">
            <w:pPr>
              <w:pageBreakBefore w:val="0"/>
              <w:widowControl/>
              <w:kinsoku/>
              <w:overflowPunct/>
              <w:topLinePunct/>
              <w:bidi w:val="0"/>
              <w:spacing w:line="360" w:lineRule="auto"/>
              <w:jc w:val="center"/>
              <w:rPr>
                <w:rFonts w:hint="eastAsia" w:ascii="宋体" w:hAnsi="宋体" w:eastAsia="宋体" w:cs="宋体"/>
                <w:color w:val="auto"/>
                <w:kern w:val="0"/>
                <w:szCs w:val="21"/>
              </w:rPr>
            </w:pPr>
          </w:p>
        </w:tc>
      </w:tr>
      <w:tr w14:paraId="2E7B3279">
        <w:tblPrEx>
          <w:tblCellMar>
            <w:top w:w="0" w:type="dxa"/>
            <w:left w:w="108" w:type="dxa"/>
            <w:bottom w:w="0" w:type="dxa"/>
            <w:right w:w="108" w:type="dxa"/>
          </w:tblCellMar>
        </w:tblPrEx>
        <w:trPr>
          <w:trHeight w:val="660" w:hRule="atLeast"/>
        </w:trPr>
        <w:tc>
          <w:tcPr>
            <w:tcW w:w="851" w:type="dxa"/>
            <w:vMerge w:val="continue"/>
            <w:tcBorders>
              <w:top w:val="nil"/>
              <w:left w:val="single" w:color="auto" w:sz="4" w:space="0"/>
              <w:bottom w:val="single" w:color="auto" w:sz="4" w:space="0"/>
              <w:right w:val="single" w:color="auto" w:sz="4" w:space="0"/>
            </w:tcBorders>
            <w:noWrap w:val="0"/>
            <w:vAlign w:val="center"/>
          </w:tcPr>
          <w:p w14:paraId="1B908E8E">
            <w:pPr>
              <w:pageBreakBefore w:val="0"/>
              <w:widowControl/>
              <w:kinsoku/>
              <w:overflowPunct/>
              <w:topLinePunct/>
              <w:bidi w:val="0"/>
              <w:spacing w:line="360" w:lineRule="auto"/>
              <w:jc w:val="left"/>
              <w:rPr>
                <w:rFonts w:hint="eastAsia" w:ascii="宋体" w:hAnsi="宋体" w:eastAsia="宋体" w:cs="宋体"/>
                <w:color w:val="auto"/>
                <w:kern w:val="0"/>
                <w:szCs w:val="21"/>
              </w:rPr>
            </w:pPr>
          </w:p>
        </w:tc>
        <w:tc>
          <w:tcPr>
            <w:tcW w:w="1134" w:type="dxa"/>
            <w:tcBorders>
              <w:top w:val="nil"/>
              <w:left w:val="nil"/>
              <w:bottom w:val="single" w:color="auto" w:sz="4" w:space="0"/>
              <w:right w:val="single" w:color="auto" w:sz="4" w:space="0"/>
            </w:tcBorders>
            <w:noWrap w:val="0"/>
            <w:vAlign w:val="center"/>
          </w:tcPr>
          <w:p w14:paraId="63F993C1">
            <w:pPr>
              <w:pageBreakBefore w:val="0"/>
              <w:widowControl/>
              <w:kinsoku/>
              <w:overflowPunct/>
              <w:topLinePunct/>
              <w:bidi w:val="0"/>
              <w:spacing w:line="360" w:lineRule="auto"/>
              <w:jc w:val="center"/>
              <w:rPr>
                <w:rFonts w:hint="eastAsia" w:ascii="宋体" w:hAnsi="宋体" w:eastAsia="宋体" w:cs="宋体"/>
                <w:color w:val="auto"/>
                <w:kern w:val="0"/>
                <w:szCs w:val="21"/>
              </w:rPr>
            </w:pPr>
          </w:p>
        </w:tc>
        <w:tc>
          <w:tcPr>
            <w:tcW w:w="850" w:type="dxa"/>
            <w:tcBorders>
              <w:top w:val="nil"/>
              <w:left w:val="nil"/>
              <w:bottom w:val="single" w:color="auto" w:sz="4" w:space="0"/>
              <w:right w:val="single" w:color="auto" w:sz="4" w:space="0"/>
            </w:tcBorders>
            <w:noWrap w:val="0"/>
            <w:vAlign w:val="center"/>
          </w:tcPr>
          <w:p w14:paraId="5495E9AD">
            <w:pPr>
              <w:pageBreakBefore w:val="0"/>
              <w:widowControl/>
              <w:kinsoku/>
              <w:overflowPunct/>
              <w:topLinePunct/>
              <w:bidi w:val="0"/>
              <w:spacing w:line="360" w:lineRule="auto"/>
              <w:jc w:val="center"/>
              <w:rPr>
                <w:rFonts w:hint="eastAsia" w:ascii="宋体" w:hAnsi="宋体" w:eastAsia="宋体" w:cs="宋体"/>
                <w:color w:val="auto"/>
                <w:kern w:val="0"/>
                <w:szCs w:val="21"/>
              </w:rPr>
            </w:pPr>
          </w:p>
        </w:tc>
        <w:tc>
          <w:tcPr>
            <w:tcW w:w="993" w:type="dxa"/>
            <w:tcBorders>
              <w:top w:val="nil"/>
              <w:left w:val="nil"/>
              <w:bottom w:val="single" w:color="auto" w:sz="4" w:space="0"/>
              <w:right w:val="single" w:color="auto" w:sz="4" w:space="0"/>
            </w:tcBorders>
            <w:noWrap w:val="0"/>
            <w:vAlign w:val="center"/>
          </w:tcPr>
          <w:p w14:paraId="7D07C81B">
            <w:pPr>
              <w:pageBreakBefore w:val="0"/>
              <w:widowControl/>
              <w:kinsoku/>
              <w:overflowPunct/>
              <w:topLinePunct/>
              <w:bidi w:val="0"/>
              <w:spacing w:line="360" w:lineRule="auto"/>
              <w:jc w:val="center"/>
              <w:rPr>
                <w:rFonts w:hint="eastAsia" w:ascii="宋体" w:hAnsi="宋体" w:eastAsia="宋体" w:cs="宋体"/>
                <w:color w:val="auto"/>
                <w:kern w:val="0"/>
                <w:szCs w:val="21"/>
              </w:rPr>
            </w:pPr>
          </w:p>
        </w:tc>
        <w:tc>
          <w:tcPr>
            <w:tcW w:w="1417" w:type="dxa"/>
            <w:tcBorders>
              <w:top w:val="nil"/>
              <w:left w:val="nil"/>
              <w:bottom w:val="single" w:color="auto" w:sz="4" w:space="0"/>
              <w:right w:val="single" w:color="auto" w:sz="4" w:space="0"/>
            </w:tcBorders>
            <w:noWrap w:val="0"/>
            <w:vAlign w:val="center"/>
          </w:tcPr>
          <w:p w14:paraId="216045A4">
            <w:pPr>
              <w:pageBreakBefore w:val="0"/>
              <w:widowControl/>
              <w:kinsoku/>
              <w:overflowPunct/>
              <w:topLinePunct/>
              <w:bidi w:val="0"/>
              <w:spacing w:line="360" w:lineRule="auto"/>
              <w:jc w:val="center"/>
              <w:rPr>
                <w:rFonts w:hint="eastAsia" w:ascii="宋体" w:hAnsi="宋体" w:eastAsia="宋体" w:cs="宋体"/>
                <w:color w:val="auto"/>
                <w:kern w:val="0"/>
                <w:szCs w:val="21"/>
              </w:rPr>
            </w:pPr>
          </w:p>
        </w:tc>
        <w:tc>
          <w:tcPr>
            <w:tcW w:w="1418" w:type="dxa"/>
            <w:tcBorders>
              <w:top w:val="nil"/>
              <w:left w:val="nil"/>
              <w:bottom w:val="single" w:color="auto" w:sz="4" w:space="0"/>
              <w:right w:val="single" w:color="auto" w:sz="4" w:space="0"/>
            </w:tcBorders>
            <w:noWrap w:val="0"/>
            <w:vAlign w:val="center"/>
          </w:tcPr>
          <w:p w14:paraId="73C9CFA9">
            <w:pPr>
              <w:pageBreakBefore w:val="0"/>
              <w:widowControl/>
              <w:kinsoku/>
              <w:overflowPunct/>
              <w:topLinePunct/>
              <w:bidi w:val="0"/>
              <w:spacing w:line="360" w:lineRule="auto"/>
              <w:jc w:val="center"/>
              <w:rPr>
                <w:rFonts w:hint="eastAsia" w:ascii="宋体" w:hAnsi="宋体" w:eastAsia="宋体" w:cs="宋体"/>
                <w:color w:val="auto"/>
                <w:kern w:val="0"/>
                <w:szCs w:val="21"/>
              </w:rPr>
            </w:pPr>
          </w:p>
        </w:tc>
        <w:tc>
          <w:tcPr>
            <w:tcW w:w="992" w:type="dxa"/>
            <w:tcBorders>
              <w:top w:val="nil"/>
              <w:left w:val="nil"/>
              <w:bottom w:val="single" w:color="auto" w:sz="4" w:space="0"/>
              <w:right w:val="single" w:color="auto" w:sz="4" w:space="0"/>
            </w:tcBorders>
            <w:noWrap w:val="0"/>
            <w:vAlign w:val="center"/>
          </w:tcPr>
          <w:p w14:paraId="176B5D66">
            <w:pPr>
              <w:pageBreakBefore w:val="0"/>
              <w:widowControl/>
              <w:kinsoku/>
              <w:overflowPunct/>
              <w:topLinePunct/>
              <w:bidi w:val="0"/>
              <w:spacing w:line="360" w:lineRule="auto"/>
              <w:jc w:val="center"/>
              <w:rPr>
                <w:rFonts w:hint="eastAsia" w:ascii="宋体" w:hAnsi="宋体" w:eastAsia="宋体" w:cs="宋体"/>
                <w:color w:val="auto"/>
                <w:kern w:val="0"/>
                <w:szCs w:val="21"/>
              </w:rPr>
            </w:pPr>
          </w:p>
        </w:tc>
        <w:tc>
          <w:tcPr>
            <w:tcW w:w="1134" w:type="dxa"/>
            <w:tcBorders>
              <w:top w:val="nil"/>
              <w:left w:val="nil"/>
              <w:bottom w:val="single" w:color="auto" w:sz="4" w:space="0"/>
              <w:right w:val="single" w:color="auto" w:sz="4" w:space="0"/>
            </w:tcBorders>
            <w:noWrap w:val="0"/>
            <w:vAlign w:val="center"/>
          </w:tcPr>
          <w:p w14:paraId="3376FC67">
            <w:pPr>
              <w:pageBreakBefore w:val="0"/>
              <w:widowControl/>
              <w:kinsoku/>
              <w:overflowPunct/>
              <w:topLinePunct/>
              <w:bidi w:val="0"/>
              <w:spacing w:line="360" w:lineRule="auto"/>
              <w:jc w:val="center"/>
              <w:rPr>
                <w:rFonts w:hint="eastAsia" w:ascii="宋体" w:hAnsi="宋体" w:eastAsia="宋体" w:cs="宋体"/>
                <w:color w:val="auto"/>
                <w:kern w:val="0"/>
                <w:szCs w:val="21"/>
              </w:rPr>
            </w:pPr>
          </w:p>
        </w:tc>
      </w:tr>
      <w:tr w14:paraId="1279FB5F">
        <w:tblPrEx>
          <w:tblCellMar>
            <w:top w:w="0" w:type="dxa"/>
            <w:left w:w="108" w:type="dxa"/>
            <w:bottom w:w="0" w:type="dxa"/>
            <w:right w:w="108" w:type="dxa"/>
          </w:tblCellMar>
        </w:tblPrEx>
        <w:trPr>
          <w:trHeight w:val="1890" w:hRule="atLeast"/>
        </w:trPr>
        <w:tc>
          <w:tcPr>
            <w:tcW w:w="8789" w:type="dxa"/>
            <w:gridSpan w:val="8"/>
            <w:tcBorders>
              <w:top w:val="nil"/>
              <w:left w:val="nil"/>
              <w:bottom w:val="nil"/>
              <w:right w:val="nil"/>
            </w:tcBorders>
            <w:noWrap w:val="0"/>
            <w:vAlign w:val="center"/>
          </w:tcPr>
          <w:p w14:paraId="181A689E">
            <w:pPr>
              <w:pageBreakBefore w:val="0"/>
              <w:widowControl/>
              <w:kinsoku/>
              <w:overflowPunct/>
              <w:topLinePunct/>
              <w:bidi w:val="0"/>
              <w:spacing w:line="360" w:lineRule="auto"/>
              <w:jc w:val="left"/>
              <w:rPr>
                <w:rFonts w:hint="eastAsia" w:ascii="宋体" w:hAnsi="宋体" w:eastAsia="宋体" w:cs="宋体"/>
                <w:color w:val="auto"/>
                <w:kern w:val="0"/>
                <w:szCs w:val="21"/>
                <w:lang w:eastAsia="zh-CN"/>
              </w:rPr>
            </w:pPr>
            <w:r>
              <w:rPr>
                <w:rFonts w:hint="eastAsia" w:ascii="宋体" w:hAnsi="宋体" w:eastAsia="宋体" w:cs="宋体"/>
                <w:b/>
                <w:bCs/>
                <w:color w:val="auto"/>
                <w:kern w:val="0"/>
                <w:szCs w:val="21"/>
              </w:rPr>
              <w:t xml:space="preserve">承诺：我单位在本表中已如实申报，如未如实申报接受取消参与资格和业务合同的处罚                          </w:t>
            </w:r>
            <w:r>
              <w:rPr>
                <w:rFonts w:hint="eastAsia" w:ascii="宋体" w:hAnsi="宋体" w:eastAsia="宋体" w:cs="宋体"/>
                <w:color w:val="auto"/>
                <w:kern w:val="0"/>
                <w:szCs w:val="21"/>
              </w:rPr>
              <w:t xml:space="preserve">                                                                          注：1.如未有相关情况，请在相应栏填写“无”；</w:t>
            </w:r>
          </w:p>
          <w:p w14:paraId="5C45477B">
            <w:pPr>
              <w:pageBreakBefore w:val="0"/>
              <w:widowControl/>
              <w:kinsoku/>
              <w:overflowPunct/>
              <w:topLinePunct/>
              <w:bidi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    2.如申报单位为贵州省通信产业服务有限公司及其控股子公司，只需申报与中国电信贵州分公司相关信息。</w:t>
            </w:r>
          </w:p>
        </w:tc>
      </w:tr>
      <w:tr w14:paraId="446B37BA">
        <w:tblPrEx>
          <w:tblCellMar>
            <w:top w:w="0" w:type="dxa"/>
            <w:left w:w="108" w:type="dxa"/>
            <w:bottom w:w="0" w:type="dxa"/>
            <w:right w:w="108" w:type="dxa"/>
          </w:tblCellMar>
        </w:tblPrEx>
        <w:trPr>
          <w:trHeight w:val="1665" w:hRule="atLeast"/>
        </w:trPr>
        <w:tc>
          <w:tcPr>
            <w:tcW w:w="8789" w:type="dxa"/>
            <w:gridSpan w:val="8"/>
            <w:tcBorders>
              <w:top w:val="nil"/>
              <w:left w:val="nil"/>
              <w:bottom w:val="nil"/>
              <w:right w:val="nil"/>
            </w:tcBorders>
            <w:noWrap w:val="0"/>
            <w:vAlign w:val="center"/>
          </w:tcPr>
          <w:p w14:paraId="78350650">
            <w:pPr>
              <w:pageBreakBefore w:val="0"/>
              <w:widowControl/>
              <w:kinsoku/>
              <w:overflowPunct/>
              <w:topLinePunct/>
              <w:bidi w:val="0"/>
              <w:spacing w:line="360" w:lineRule="auto"/>
              <w:jc w:val="center"/>
              <w:rPr>
                <w:rFonts w:hint="eastAsia" w:ascii="宋体" w:hAnsi="宋体" w:eastAsia="宋体" w:cs="宋体"/>
                <w:color w:val="auto"/>
                <w:kern w:val="0"/>
                <w:szCs w:val="21"/>
                <w:u w:val="single"/>
                <w:lang w:eastAsia="zh-CN"/>
              </w:rPr>
            </w:pPr>
            <w:r>
              <w:rPr>
                <w:rFonts w:hint="eastAsia" w:ascii="宋体" w:hAnsi="宋体" w:eastAsia="宋体" w:cs="宋体"/>
                <w:color w:val="auto"/>
                <w:kern w:val="0"/>
                <w:szCs w:val="21"/>
              </w:rPr>
              <w:t>申报单位名称：</w:t>
            </w:r>
            <w:r>
              <w:rPr>
                <w:rFonts w:hint="eastAsia" w:ascii="宋体" w:hAnsi="宋体" w:eastAsia="宋体" w:cs="宋体"/>
                <w:color w:val="auto"/>
                <w:kern w:val="0"/>
                <w:szCs w:val="21"/>
                <w:u w:val="single"/>
              </w:rPr>
              <w:t>　　　　　　　　</w:t>
            </w:r>
            <w:r>
              <w:rPr>
                <w:rFonts w:hint="eastAsia" w:ascii="宋体" w:hAnsi="宋体" w:eastAsia="宋体" w:cs="宋体"/>
                <w:color w:val="auto"/>
                <w:kern w:val="0"/>
                <w:szCs w:val="21"/>
              </w:rPr>
              <w:t xml:space="preserve">                                                                             </w:t>
            </w:r>
          </w:p>
          <w:p w14:paraId="6044330B">
            <w:pPr>
              <w:pageBreakBefore w:val="0"/>
              <w:widowControl/>
              <w:kinsoku/>
              <w:overflowPunct/>
              <w:topLinePunct/>
              <w:bidi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 xml:space="preserve">               日期：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年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日</w:t>
            </w:r>
          </w:p>
        </w:tc>
      </w:tr>
    </w:tbl>
    <w:p w14:paraId="1358E4EA">
      <w:pPr>
        <w:pageBreakBefore w:val="0"/>
        <w:kinsoku/>
        <w:overflowPunct/>
        <w:bidi w:val="0"/>
        <w:spacing w:line="360" w:lineRule="auto"/>
        <w:rPr>
          <w:rFonts w:hint="eastAsia" w:ascii="宋体" w:hAnsi="宋体" w:eastAsia="宋体" w:cs="宋体"/>
          <w:color w:val="auto"/>
        </w:rPr>
        <w:sectPr>
          <w:pgSz w:w="11906" w:h="16838"/>
          <w:pgMar w:top="1440" w:right="1800" w:bottom="1440" w:left="1800" w:header="851" w:footer="992" w:gutter="0"/>
          <w:pgNumType w:fmt="decimal"/>
          <w:cols w:space="425" w:num="1"/>
          <w:docGrid w:type="lines" w:linePitch="312" w:charSpace="0"/>
        </w:sectPr>
      </w:pPr>
    </w:p>
    <w:p w14:paraId="7F5DEC93">
      <w:pPr>
        <w:pStyle w:val="39"/>
        <w:pageBreakBefore w:val="0"/>
        <w:numPr>
          <w:ilvl w:val="0"/>
          <w:numId w:val="29"/>
        </w:numPr>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532" w:name="_Toc5895"/>
      <w:bookmarkStart w:id="1533" w:name="_Toc475472683"/>
      <w:bookmarkStart w:id="1534" w:name="_Toc447265324"/>
      <w:bookmarkStart w:id="1535" w:name="_Toc38008091"/>
      <w:bookmarkStart w:id="1536" w:name="_Toc447265610"/>
      <w:r>
        <w:rPr>
          <w:rFonts w:hint="eastAsia" w:ascii="宋体" w:hAnsi="宋体" w:eastAsia="宋体" w:cs="宋体"/>
          <w:color w:val="auto"/>
          <w:sz w:val="24"/>
          <w:szCs w:val="24"/>
        </w:rPr>
        <w:t>合同条款偏离表</w:t>
      </w:r>
      <w:bookmarkEnd w:id="1532"/>
      <w:bookmarkEnd w:id="1533"/>
      <w:bookmarkEnd w:id="1534"/>
      <w:bookmarkEnd w:id="1535"/>
      <w:bookmarkEnd w:id="1536"/>
    </w:p>
    <w:p w14:paraId="24721828">
      <w:pPr>
        <w:pageBreakBefore w:val="0"/>
        <w:kinsoku/>
        <w:overflowPunct/>
        <w:bidi w:val="0"/>
        <w:spacing w:line="360" w:lineRule="auto"/>
        <w:rPr>
          <w:rFonts w:hint="eastAsia" w:ascii="宋体" w:hAnsi="宋体" w:eastAsia="宋体" w:cs="宋体"/>
          <w:color w:val="auto"/>
        </w:rPr>
      </w:pPr>
    </w:p>
    <w:p w14:paraId="3E795A98">
      <w:pPr>
        <w:pStyle w:val="51"/>
        <w:pageBreakBefore w:val="0"/>
        <w:kinsoku/>
        <w:overflowPunct/>
        <w:bidi w:val="0"/>
        <w:spacing w:line="360" w:lineRule="auto"/>
        <w:ind w:firstLine="0" w:firstLineChars="0"/>
        <w:jc w:val="center"/>
        <w:rPr>
          <w:rFonts w:hint="eastAsia" w:ascii="宋体" w:hAnsi="宋体" w:eastAsia="宋体" w:cs="宋体"/>
          <w:b/>
          <w:color w:val="auto"/>
          <w:sz w:val="24"/>
        </w:rPr>
      </w:pPr>
      <w:r>
        <w:rPr>
          <w:rFonts w:hint="eastAsia" w:ascii="宋体" w:hAnsi="宋体" w:eastAsia="宋体" w:cs="宋体"/>
          <w:b/>
          <w:color w:val="auto"/>
          <w:sz w:val="24"/>
        </w:rPr>
        <w:t>合同条款偏离表</w:t>
      </w:r>
    </w:p>
    <w:p w14:paraId="6E7264C4">
      <w:pPr>
        <w:pageBreakBefore w:val="0"/>
        <w:kinsoku/>
        <w:overflowPunct/>
        <w:bidi w:val="0"/>
        <w:spacing w:line="360" w:lineRule="auto"/>
        <w:jc w:val="center"/>
        <w:rPr>
          <w:rFonts w:hint="eastAsia" w:ascii="宋体" w:hAnsi="宋体" w:eastAsia="宋体" w:cs="宋体"/>
          <w:color w:val="auto"/>
          <w:sz w:val="24"/>
        </w:rPr>
      </w:pPr>
    </w:p>
    <w:p w14:paraId="521B8754">
      <w:pPr>
        <w:pageBreakBefore w:val="0"/>
        <w:kinsoku/>
        <w:overflowPunct/>
        <w:bidi w:val="0"/>
        <w:adjustRightInd w:val="0"/>
        <w:snapToGrid w:val="0"/>
        <w:spacing w:after="120" w:line="360" w:lineRule="auto"/>
        <w:rPr>
          <w:rFonts w:hint="eastAsia" w:ascii="宋体" w:hAnsi="宋体" w:eastAsia="宋体" w:cs="宋体"/>
          <w:color w:val="auto"/>
          <w:szCs w:val="21"/>
        </w:rPr>
      </w:pPr>
      <w:r>
        <w:rPr>
          <w:rFonts w:hint="eastAsia" w:ascii="宋体" w:hAnsi="宋体" w:eastAsia="宋体" w:cs="宋体"/>
          <w:color w:val="auto"/>
          <w:szCs w:val="21"/>
        </w:rPr>
        <w:t>项目名称：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招标编号：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标包：</w:t>
      </w:r>
      <w:r>
        <w:rPr>
          <w:rFonts w:hint="eastAsia" w:ascii="宋体" w:hAnsi="宋体" w:eastAsia="宋体" w:cs="宋体"/>
          <w:color w:val="auto"/>
          <w:szCs w:val="21"/>
          <w:u w:val="single"/>
        </w:rPr>
        <w:t xml:space="preserve">       </w:t>
      </w:r>
    </w:p>
    <w:tbl>
      <w:tblPr>
        <w:tblStyle w:val="41"/>
        <w:tblW w:w="8438" w:type="dxa"/>
        <w:tblInd w:w="4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5"/>
        <w:gridCol w:w="1746"/>
        <w:gridCol w:w="2208"/>
        <w:gridCol w:w="2435"/>
        <w:gridCol w:w="1364"/>
      </w:tblGrid>
      <w:tr w14:paraId="69566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3" w:hRule="atLeast"/>
        </w:trPr>
        <w:tc>
          <w:tcPr>
            <w:tcW w:w="685" w:type="dxa"/>
            <w:vAlign w:val="center"/>
          </w:tcPr>
          <w:p w14:paraId="3FCEDE68">
            <w:pPr>
              <w:pageBreakBefore w:val="0"/>
              <w:kinsoku/>
              <w:overflowPunct/>
              <w:bidi w:val="0"/>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746" w:type="dxa"/>
            <w:vAlign w:val="center"/>
          </w:tcPr>
          <w:p w14:paraId="002589B7">
            <w:pPr>
              <w:pageBreakBefore w:val="0"/>
              <w:kinsoku/>
              <w:overflowPunct/>
              <w:bidi w:val="0"/>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招标文件条目号</w:t>
            </w:r>
          </w:p>
        </w:tc>
        <w:tc>
          <w:tcPr>
            <w:tcW w:w="2208" w:type="dxa"/>
            <w:vAlign w:val="center"/>
          </w:tcPr>
          <w:p w14:paraId="35C84BFF">
            <w:pPr>
              <w:pageBreakBefore w:val="0"/>
              <w:kinsoku/>
              <w:overflowPunct/>
              <w:bidi w:val="0"/>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招标文件的合同条款</w:t>
            </w:r>
          </w:p>
        </w:tc>
        <w:tc>
          <w:tcPr>
            <w:tcW w:w="2435" w:type="dxa"/>
            <w:vAlign w:val="center"/>
          </w:tcPr>
          <w:p w14:paraId="35667119">
            <w:pPr>
              <w:pageBreakBefore w:val="0"/>
              <w:kinsoku/>
              <w:overflowPunct/>
              <w:bidi w:val="0"/>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投标文件偏离情况</w:t>
            </w:r>
          </w:p>
        </w:tc>
        <w:tc>
          <w:tcPr>
            <w:tcW w:w="1364" w:type="dxa"/>
            <w:vAlign w:val="center"/>
          </w:tcPr>
          <w:p w14:paraId="0A6EB505">
            <w:pPr>
              <w:pageBreakBefore w:val="0"/>
              <w:kinsoku/>
              <w:overflowPunct/>
              <w:bidi w:val="0"/>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说明</w:t>
            </w:r>
          </w:p>
        </w:tc>
      </w:tr>
      <w:tr w14:paraId="79FF4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14C8CA99">
            <w:pPr>
              <w:pageBreakBefore w:val="0"/>
              <w:kinsoku/>
              <w:overflowPunct/>
              <w:bidi w:val="0"/>
              <w:adjustRightInd w:val="0"/>
              <w:snapToGrid w:val="0"/>
              <w:spacing w:line="360" w:lineRule="auto"/>
              <w:rPr>
                <w:rFonts w:hint="eastAsia" w:ascii="宋体" w:hAnsi="宋体" w:eastAsia="宋体" w:cs="宋体"/>
                <w:color w:val="auto"/>
                <w:szCs w:val="21"/>
              </w:rPr>
            </w:pPr>
          </w:p>
        </w:tc>
        <w:tc>
          <w:tcPr>
            <w:tcW w:w="1746" w:type="dxa"/>
            <w:vAlign w:val="center"/>
          </w:tcPr>
          <w:p w14:paraId="284FE1D2">
            <w:pPr>
              <w:pageBreakBefore w:val="0"/>
              <w:kinsoku/>
              <w:overflowPunct/>
              <w:bidi w:val="0"/>
              <w:adjustRightInd w:val="0"/>
              <w:snapToGrid w:val="0"/>
              <w:spacing w:line="360" w:lineRule="auto"/>
              <w:rPr>
                <w:rFonts w:hint="eastAsia" w:ascii="宋体" w:hAnsi="宋体" w:eastAsia="宋体" w:cs="宋体"/>
                <w:color w:val="auto"/>
                <w:szCs w:val="21"/>
              </w:rPr>
            </w:pPr>
          </w:p>
        </w:tc>
        <w:tc>
          <w:tcPr>
            <w:tcW w:w="2208" w:type="dxa"/>
            <w:vAlign w:val="center"/>
          </w:tcPr>
          <w:p w14:paraId="1237C851">
            <w:pPr>
              <w:pageBreakBefore w:val="0"/>
              <w:kinsoku/>
              <w:overflowPunct/>
              <w:bidi w:val="0"/>
              <w:adjustRightInd w:val="0"/>
              <w:snapToGrid w:val="0"/>
              <w:spacing w:line="360" w:lineRule="auto"/>
              <w:rPr>
                <w:rFonts w:hint="eastAsia" w:ascii="宋体" w:hAnsi="宋体" w:eastAsia="宋体" w:cs="宋体"/>
                <w:color w:val="auto"/>
                <w:szCs w:val="21"/>
              </w:rPr>
            </w:pPr>
          </w:p>
        </w:tc>
        <w:tc>
          <w:tcPr>
            <w:tcW w:w="2435" w:type="dxa"/>
            <w:vAlign w:val="center"/>
          </w:tcPr>
          <w:p w14:paraId="37FCB880">
            <w:pPr>
              <w:pageBreakBefore w:val="0"/>
              <w:kinsoku/>
              <w:overflowPunct/>
              <w:bidi w:val="0"/>
              <w:adjustRightInd w:val="0"/>
              <w:snapToGrid w:val="0"/>
              <w:spacing w:line="360" w:lineRule="auto"/>
              <w:rPr>
                <w:rFonts w:hint="eastAsia" w:ascii="宋体" w:hAnsi="宋体" w:eastAsia="宋体" w:cs="宋体"/>
                <w:color w:val="auto"/>
                <w:szCs w:val="21"/>
              </w:rPr>
            </w:pPr>
          </w:p>
        </w:tc>
        <w:tc>
          <w:tcPr>
            <w:tcW w:w="1364" w:type="dxa"/>
            <w:vAlign w:val="center"/>
          </w:tcPr>
          <w:p w14:paraId="2A9CAF86">
            <w:pPr>
              <w:pageBreakBefore w:val="0"/>
              <w:kinsoku/>
              <w:overflowPunct/>
              <w:bidi w:val="0"/>
              <w:adjustRightInd w:val="0"/>
              <w:snapToGrid w:val="0"/>
              <w:spacing w:line="360" w:lineRule="auto"/>
              <w:rPr>
                <w:rFonts w:hint="eastAsia" w:ascii="宋体" w:hAnsi="宋体" w:eastAsia="宋体" w:cs="宋体"/>
                <w:color w:val="auto"/>
                <w:szCs w:val="21"/>
              </w:rPr>
            </w:pPr>
          </w:p>
        </w:tc>
      </w:tr>
      <w:tr w14:paraId="74CDF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035F9ADA">
            <w:pPr>
              <w:pageBreakBefore w:val="0"/>
              <w:kinsoku/>
              <w:overflowPunct/>
              <w:bidi w:val="0"/>
              <w:adjustRightInd w:val="0"/>
              <w:snapToGrid w:val="0"/>
              <w:spacing w:line="360" w:lineRule="auto"/>
              <w:rPr>
                <w:rFonts w:hint="eastAsia" w:ascii="宋体" w:hAnsi="宋体" w:eastAsia="宋体" w:cs="宋体"/>
                <w:color w:val="auto"/>
                <w:szCs w:val="21"/>
              </w:rPr>
            </w:pPr>
          </w:p>
        </w:tc>
        <w:tc>
          <w:tcPr>
            <w:tcW w:w="1746" w:type="dxa"/>
            <w:vAlign w:val="center"/>
          </w:tcPr>
          <w:p w14:paraId="1563ECB0">
            <w:pPr>
              <w:pageBreakBefore w:val="0"/>
              <w:kinsoku/>
              <w:overflowPunct/>
              <w:bidi w:val="0"/>
              <w:adjustRightInd w:val="0"/>
              <w:snapToGrid w:val="0"/>
              <w:spacing w:line="360" w:lineRule="auto"/>
              <w:rPr>
                <w:rFonts w:hint="eastAsia" w:ascii="宋体" w:hAnsi="宋体" w:eastAsia="宋体" w:cs="宋体"/>
                <w:color w:val="auto"/>
                <w:szCs w:val="21"/>
              </w:rPr>
            </w:pPr>
          </w:p>
        </w:tc>
        <w:tc>
          <w:tcPr>
            <w:tcW w:w="2208" w:type="dxa"/>
            <w:vAlign w:val="center"/>
          </w:tcPr>
          <w:p w14:paraId="5E0AB658">
            <w:pPr>
              <w:pageBreakBefore w:val="0"/>
              <w:kinsoku/>
              <w:overflowPunct/>
              <w:bidi w:val="0"/>
              <w:adjustRightInd w:val="0"/>
              <w:snapToGrid w:val="0"/>
              <w:spacing w:line="360" w:lineRule="auto"/>
              <w:rPr>
                <w:rFonts w:hint="eastAsia" w:ascii="宋体" w:hAnsi="宋体" w:eastAsia="宋体" w:cs="宋体"/>
                <w:color w:val="auto"/>
                <w:szCs w:val="21"/>
              </w:rPr>
            </w:pPr>
          </w:p>
        </w:tc>
        <w:tc>
          <w:tcPr>
            <w:tcW w:w="2435" w:type="dxa"/>
            <w:vAlign w:val="center"/>
          </w:tcPr>
          <w:p w14:paraId="64B6012C">
            <w:pPr>
              <w:pageBreakBefore w:val="0"/>
              <w:kinsoku/>
              <w:overflowPunct/>
              <w:bidi w:val="0"/>
              <w:adjustRightInd w:val="0"/>
              <w:snapToGrid w:val="0"/>
              <w:spacing w:line="360" w:lineRule="auto"/>
              <w:rPr>
                <w:rFonts w:hint="eastAsia" w:ascii="宋体" w:hAnsi="宋体" w:eastAsia="宋体" w:cs="宋体"/>
                <w:color w:val="auto"/>
                <w:szCs w:val="21"/>
              </w:rPr>
            </w:pPr>
          </w:p>
        </w:tc>
        <w:tc>
          <w:tcPr>
            <w:tcW w:w="1364" w:type="dxa"/>
            <w:vAlign w:val="center"/>
          </w:tcPr>
          <w:p w14:paraId="75EF0996">
            <w:pPr>
              <w:pageBreakBefore w:val="0"/>
              <w:kinsoku/>
              <w:overflowPunct/>
              <w:bidi w:val="0"/>
              <w:adjustRightInd w:val="0"/>
              <w:snapToGrid w:val="0"/>
              <w:spacing w:line="360" w:lineRule="auto"/>
              <w:rPr>
                <w:rFonts w:hint="eastAsia" w:ascii="宋体" w:hAnsi="宋体" w:eastAsia="宋体" w:cs="宋体"/>
                <w:color w:val="auto"/>
                <w:szCs w:val="21"/>
              </w:rPr>
            </w:pPr>
          </w:p>
        </w:tc>
      </w:tr>
      <w:tr w14:paraId="1F576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2EA157CA">
            <w:pPr>
              <w:pageBreakBefore w:val="0"/>
              <w:kinsoku/>
              <w:overflowPunct/>
              <w:bidi w:val="0"/>
              <w:adjustRightInd w:val="0"/>
              <w:snapToGrid w:val="0"/>
              <w:spacing w:line="360" w:lineRule="auto"/>
              <w:rPr>
                <w:rFonts w:hint="eastAsia" w:ascii="宋体" w:hAnsi="宋体" w:eastAsia="宋体" w:cs="宋体"/>
                <w:color w:val="auto"/>
                <w:szCs w:val="21"/>
              </w:rPr>
            </w:pPr>
          </w:p>
        </w:tc>
        <w:tc>
          <w:tcPr>
            <w:tcW w:w="1746" w:type="dxa"/>
            <w:vAlign w:val="center"/>
          </w:tcPr>
          <w:p w14:paraId="45496BDD">
            <w:pPr>
              <w:pageBreakBefore w:val="0"/>
              <w:kinsoku/>
              <w:overflowPunct/>
              <w:bidi w:val="0"/>
              <w:adjustRightInd w:val="0"/>
              <w:snapToGrid w:val="0"/>
              <w:spacing w:line="360" w:lineRule="auto"/>
              <w:rPr>
                <w:rFonts w:hint="eastAsia" w:ascii="宋体" w:hAnsi="宋体" w:eastAsia="宋体" w:cs="宋体"/>
                <w:color w:val="auto"/>
                <w:szCs w:val="21"/>
              </w:rPr>
            </w:pPr>
          </w:p>
        </w:tc>
        <w:tc>
          <w:tcPr>
            <w:tcW w:w="2208" w:type="dxa"/>
            <w:vAlign w:val="center"/>
          </w:tcPr>
          <w:p w14:paraId="405F43FB">
            <w:pPr>
              <w:pageBreakBefore w:val="0"/>
              <w:kinsoku/>
              <w:overflowPunct/>
              <w:bidi w:val="0"/>
              <w:adjustRightInd w:val="0"/>
              <w:snapToGrid w:val="0"/>
              <w:spacing w:line="360" w:lineRule="auto"/>
              <w:rPr>
                <w:rFonts w:hint="eastAsia" w:ascii="宋体" w:hAnsi="宋体" w:eastAsia="宋体" w:cs="宋体"/>
                <w:color w:val="auto"/>
                <w:szCs w:val="21"/>
              </w:rPr>
            </w:pPr>
          </w:p>
        </w:tc>
        <w:tc>
          <w:tcPr>
            <w:tcW w:w="2435" w:type="dxa"/>
            <w:vAlign w:val="center"/>
          </w:tcPr>
          <w:p w14:paraId="4C6D5DC8">
            <w:pPr>
              <w:pageBreakBefore w:val="0"/>
              <w:kinsoku/>
              <w:overflowPunct/>
              <w:bidi w:val="0"/>
              <w:adjustRightInd w:val="0"/>
              <w:snapToGrid w:val="0"/>
              <w:spacing w:line="360" w:lineRule="auto"/>
              <w:rPr>
                <w:rFonts w:hint="eastAsia" w:ascii="宋体" w:hAnsi="宋体" w:eastAsia="宋体" w:cs="宋体"/>
                <w:color w:val="auto"/>
                <w:szCs w:val="21"/>
              </w:rPr>
            </w:pPr>
          </w:p>
        </w:tc>
        <w:tc>
          <w:tcPr>
            <w:tcW w:w="1364" w:type="dxa"/>
            <w:vAlign w:val="center"/>
          </w:tcPr>
          <w:p w14:paraId="2A09959C">
            <w:pPr>
              <w:pageBreakBefore w:val="0"/>
              <w:kinsoku/>
              <w:overflowPunct/>
              <w:bidi w:val="0"/>
              <w:adjustRightInd w:val="0"/>
              <w:snapToGrid w:val="0"/>
              <w:spacing w:line="360" w:lineRule="auto"/>
              <w:rPr>
                <w:rFonts w:hint="eastAsia" w:ascii="宋体" w:hAnsi="宋体" w:eastAsia="宋体" w:cs="宋体"/>
                <w:color w:val="auto"/>
                <w:szCs w:val="21"/>
              </w:rPr>
            </w:pPr>
          </w:p>
        </w:tc>
      </w:tr>
      <w:tr w14:paraId="202B1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6" w:hRule="atLeast"/>
        </w:trPr>
        <w:tc>
          <w:tcPr>
            <w:tcW w:w="685" w:type="dxa"/>
            <w:vAlign w:val="center"/>
          </w:tcPr>
          <w:p w14:paraId="5C12F02E">
            <w:pPr>
              <w:pageBreakBefore w:val="0"/>
              <w:kinsoku/>
              <w:overflowPunct/>
              <w:bidi w:val="0"/>
              <w:adjustRightInd w:val="0"/>
              <w:snapToGrid w:val="0"/>
              <w:spacing w:line="360" w:lineRule="auto"/>
              <w:rPr>
                <w:rFonts w:hint="eastAsia" w:ascii="宋体" w:hAnsi="宋体" w:eastAsia="宋体" w:cs="宋体"/>
                <w:color w:val="auto"/>
                <w:szCs w:val="21"/>
              </w:rPr>
            </w:pPr>
          </w:p>
        </w:tc>
        <w:tc>
          <w:tcPr>
            <w:tcW w:w="1746" w:type="dxa"/>
            <w:vAlign w:val="center"/>
          </w:tcPr>
          <w:p w14:paraId="6915C9B1">
            <w:pPr>
              <w:pageBreakBefore w:val="0"/>
              <w:kinsoku/>
              <w:overflowPunct/>
              <w:bidi w:val="0"/>
              <w:adjustRightInd w:val="0"/>
              <w:snapToGrid w:val="0"/>
              <w:spacing w:line="360" w:lineRule="auto"/>
              <w:rPr>
                <w:rFonts w:hint="eastAsia" w:ascii="宋体" w:hAnsi="宋体" w:eastAsia="宋体" w:cs="宋体"/>
                <w:color w:val="auto"/>
                <w:szCs w:val="21"/>
              </w:rPr>
            </w:pPr>
          </w:p>
        </w:tc>
        <w:tc>
          <w:tcPr>
            <w:tcW w:w="2208" w:type="dxa"/>
            <w:vAlign w:val="center"/>
          </w:tcPr>
          <w:p w14:paraId="04B24924">
            <w:pPr>
              <w:pageBreakBefore w:val="0"/>
              <w:kinsoku/>
              <w:overflowPunct/>
              <w:bidi w:val="0"/>
              <w:adjustRightInd w:val="0"/>
              <w:snapToGrid w:val="0"/>
              <w:spacing w:line="360" w:lineRule="auto"/>
              <w:rPr>
                <w:rFonts w:hint="eastAsia" w:ascii="宋体" w:hAnsi="宋体" w:eastAsia="宋体" w:cs="宋体"/>
                <w:color w:val="auto"/>
                <w:szCs w:val="21"/>
              </w:rPr>
            </w:pPr>
          </w:p>
        </w:tc>
        <w:tc>
          <w:tcPr>
            <w:tcW w:w="2435" w:type="dxa"/>
            <w:vAlign w:val="center"/>
          </w:tcPr>
          <w:p w14:paraId="3764339D">
            <w:pPr>
              <w:pageBreakBefore w:val="0"/>
              <w:kinsoku/>
              <w:overflowPunct/>
              <w:bidi w:val="0"/>
              <w:adjustRightInd w:val="0"/>
              <w:snapToGrid w:val="0"/>
              <w:spacing w:line="360" w:lineRule="auto"/>
              <w:rPr>
                <w:rFonts w:hint="eastAsia" w:ascii="宋体" w:hAnsi="宋体" w:eastAsia="宋体" w:cs="宋体"/>
                <w:color w:val="auto"/>
                <w:szCs w:val="21"/>
              </w:rPr>
            </w:pPr>
          </w:p>
        </w:tc>
        <w:tc>
          <w:tcPr>
            <w:tcW w:w="1364" w:type="dxa"/>
            <w:vAlign w:val="center"/>
          </w:tcPr>
          <w:p w14:paraId="47637D66">
            <w:pPr>
              <w:pageBreakBefore w:val="0"/>
              <w:kinsoku/>
              <w:overflowPunct/>
              <w:bidi w:val="0"/>
              <w:adjustRightInd w:val="0"/>
              <w:snapToGrid w:val="0"/>
              <w:spacing w:line="360" w:lineRule="auto"/>
              <w:rPr>
                <w:rFonts w:hint="eastAsia" w:ascii="宋体" w:hAnsi="宋体" w:eastAsia="宋体" w:cs="宋体"/>
                <w:color w:val="auto"/>
                <w:szCs w:val="21"/>
              </w:rPr>
            </w:pPr>
          </w:p>
        </w:tc>
      </w:tr>
      <w:tr w14:paraId="24D34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74D8C5DF">
            <w:pPr>
              <w:pageBreakBefore w:val="0"/>
              <w:kinsoku/>
              <w:overflowPunct/>
              <w:bidi w:val="0"/>
              <w:adjustRightInd w:val="0"/>
              <w:snapToGrid w:val="0"/>
              <w:spacing w:line="360" w:lineRule="auto"/>
              <w:rPr>
                <w:rFonts w:hint="eastAsia" w:ascii="宋体" w:hAnsi="宋体" w:eastAsia="宋体" w:cs="宋体"/>
                <w:color w:val="auto"/>
                <w:szCs w:val="21"/>
              </w:rPr>
            </w:pPr>
          </w:p>
        </w:tc>
        <w:tc>
          <w:tcPr>
            <w:tcW w:w="1746" w:type="dxa"/>
            <w:vAlign w:val="center"/>
          </w:tcPr>
          <w:p w14:paraId="58648FAE">
            <w:pPr>
              <w:pageBreakBefore w:val="0"/>
              <w:kinsoku/>
              <w:overflowPunct/>
              <w:bidi w:val="0"/>
              <w:adjustRightInd w:val="0"/>
              <w:snapToGrid w:val="0"/>
              <w:spacing w:line="360" w:lineRule="auto"/>
              <w:rPr>
                <w:rFonts w:hint="eastAsia" w:ascii="宋体" w:hAnsi="宋体" w:eastAsia="宋体" w:cs="宋体"/>
                <w:color w:val="auto"/>
                <w:szCs w:val="21"/>
              </w:rPr>
            </w:pPr>
          </w:p>
        </w:tc>
        <w:tc>
          <w:tcPr>
            <w:tcW w:w="2208" w:type="dxa"/>
            <w:vAlign w:val="center"/>
          </w:tcPr>
          <w:p w14:paraId="15E6F40B">
            <w:pPr>
              <w:pageBreakBefore w:val="0"/>
              <w:kinsoku/>
              <w:overflowPunct/>
              <w:bidi w:val="0"/>
              <w:adjustRightInd w:val="0"/>
              <w:snapToGrid w:val="0"/>
              <w:spacing w:line="360" w:lineRule="auto"/>
              <w:rPr>
                <w:rFonts w:hint="eastAsia" w:ascii="宋体" w:hAnsi="宋体" w:eastAsia="宋体" w:cs="宋体"/>
                <w:color w:val="auto"/>
                <w:szCs w:val="21"/>
              </w:rPr>
            </w:pPr>
          </w:p>
        </w:tc>
        <w:tc>
          <w:tcPr>
            <w:tcW w:w="2435" w:type="dxa"/>
            <w:vAlign w:val="center"/>
          </w:tcPr>
          <w:p w14:paraId="06E0AEA8">
            <w:pPr>
              <w:pageBreakBefore w:val="0"/>
              <w:kinsoku/>
              <w:overflowPunct/>
              <w:bidi w:val="0"/>
              <w:adjustRightInd w:val="0"/>
              <w:snapToGrid w:val="0"/>
              <w:spacing w:line="360" w:lineRule="auto"/>
              <w:rPr>
                <w:rFonts w:hint="eastAsia" w:ascii="宋体" w:hAnsi="宋体" w:eastAsia="宋体" w:cs="宋体"/>
                <w:color w:val="auto"/>
                <w:szCs w:val="21"/>
              </w:rPr>
            </w:pPr>
          </w:p>
        </w:tc>
        <w:tc>
          <w:tcPr>
            <w:tcW w:w="1364" w:type="dxa"/>
            <w:vAlign w:val="center"/>
          </w:tcPr>
          <w:p w14:paraId="61C17665">
            <w:pPr>
              <w:pageBreakBefore w:val="0"/>
              <w:kinsoku/>
              <w:overflowPunct/>
              <w:bidi w:val="0"/>
              <w:adjustRightInd w:val="0"/>
              <w:snapToGrid w:val="0"/>
              <w:spacing w:line="360" w:lineRule="auto"/>
              <w:rPr>
                <w:rFonts w:hint="eastAsia" w:ascii="宋体" w:hAnsi="宋体" w:eastAsia="宋体" w:cs="宋体"/>
                <w:color w:val="auto"/>
                <w:szCs w:val="21"/>
              </w:rPr>
            </w:pPr>
          </w:p>
        </w:tc>
      </w:tr>
      <w:tr w14:paraId="6C4E7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4FAE5715">
            <w:pPr>
              <w:pageBreakBefore w:val="0"/>
              <w:kinsoku/>
              <w:overflowPunct/>
              <w:bidi w:val="0"/>
              <w:adjustRightInd w:val="0"/>
              <w:snapToGrid w:val="0"/>
              <w:spacing w:line="360" w:lineRule="auto"/>
              <w:rPr>
                <w:rFonts w:hint="eastAsia" w:ascii="宋体" w:hAnsi="宋体" w:eastAsia="宋体" w:cs="宋体"/>
                <w:color w:val="auto"/>
                <w:szCs w:val="21"/>
              </w:rPr>
            </w:pPr>
          </w:p>
        </w:tc>
        <w:tc>
          <w:tcPr>
            <w:tcW w:w="1746" w:type="dxa"/>
            <w:vAlign w:val="center"/>
          </w:tcPr>
          <w:p w14:paraId="5E01766E">
            <w:pPr>
              <w:pageBreakBefore w:val="0"/>
              <w:kinsoku/>
              <w:overflowPunct/>
              <w:bidi w:val="0"/>
              <w:adjustRightInd w:val="0"/>
              <w:snapToGrid w:val="0"/>
              <w:spacing w:line="360" w:lineRule="auto"/>
              <w:rPr>
                <w:rFonts w:hint="eastAsia" w:ascii="宋体" w:hAnsi="宋体" w:eastAsia="宋体" w:cs="宋体"/>
                <w:color w:val="auto"/>
                <w:szCs w:val="21"/>
              </w:rPr>
            </w:pPr>
          </w:p>
        </w:tc>
        <w:tc>
          <w:tcPr>
            <w:tcW w:w="2208" w:type="dxa"/>
            <w:vAlign w:val="center"/>
          </w:tcPr>
          <w:p w14:paraId="6016A540">
            <w:pPr>
              <w:pageBreakBefore w:val="0"/>
              <w:kinsoku/>
              <w:overflowPunct/>
              <w:bidi w:val="0"/>
              <w:adjustRightInd w:val="0"/>
              <w:snapToGrid w:val="0"/>
              <w:spacing w:line="360" w:lineRule="auto"/>
              <w:rPr>
                <w:rFonts w:hint="eastAsia" w:ascii="宋体" w:hAnsi="宋体" w:eastAsia="宋体" w:cs="宋体"/>
                <w:color w:val="auto"/>
                <w:szCs w:val="21"/>
              </w:rPr>
            </w:pPr>
          </w:p>
        </w:tc>
        <w:tc>
          <w:tcPr>
            <w:tcW w:w="2435" w:type="dxa"/>
            <w:vAlign w:val="center"/>
          </w:tcPr>
          <w:p w14:paraId="212C722A">
            <w:pPr>
              <w:pageBreakBefore w:val="0"/>
              <w:kinsoku/>
              <w:overflowPunct/>
              <w:bidi w:val="0"/>
              <w:adjustRightInd w:val="0"/>
              <w:snapToGrid w:val="0"/>
              <w:spacing w:line="360" w:lineRule="auto"/>
              <w:rPr>
                <w:rFonts w:hint="eastAsia" w:ascii="宋体" w:hAnsi="宋体" w:eastAsia="宋体" w:cs="宋体"/>
                <w:color w:val="auto"/>
                <w:szCs w:val="21"/>
              </w:rPr>
            </w:pPr>
          </w:p>
        </w:tc>
        <w:tc>
          <w:tcPr>
            <w:tcW w:w="1364" w:type="dxa"/>
            <w:vAlign w:val="center"/>
          </w:tcPr>
          <w:p w14:paraId="2B1633DC">
            <w:pPr>
              <w:pageBreakBefore w:val="0"/>
              <w:kinsoku/>
              <w:overflowPunct/>
              <w:bidi w:val="0"/>
              <w:adjustRightInd w:val="0"/>
              <w:snapToGrid w:val="0"/>
              <w:spacing w:line="360" w:lineRule="auto"/>
              <w:rPr>
                <w:rFonts w:hint="eastAsia" w:ascii="宋体" w:hAnsi="宋体" w:eastAsia="宋体" w:cs="宋体"/>
                <w:color w:val="auto"/>
                <w:szCs w:val="21"/>
              </w:rPr>
            </w:pPr>
          </w:p>
        </w:tc>
      </w:tr>
    </w:tbl>
    <w:p w14:paraId="509ECF26">
      <w:pPr>
        <w:pageBreakBefore w:val="0"/>
        <w:kinsoku/>
        <w:overflowPunct/>
        <w:bidi w:val="0"/>
        <w:adjustRightInd w:val="0"/>
        <w:snapToGrid w:val="0"/>
        <w:spacing w:after="120" w:line="360" w:lineRule="auto"/>
        <w:ind w:left="693" w:hanging="693" w:hangingChars="330"/>
        <w:rPr>
          <w:rFonts w:hint="eastAsia" w:ascii="宋体" w:hAnsi="宋体" w:eastAsia="宋体" w:cs="宋体"/>
          <w:color w:val="auto"/>
          <w:szCs w:val="21"/>
        </w:rPr>
      </w:pPr>
    </w:p>
    <w:p w14:paraId="5D424A47">
      <w:pPr>
        <w:pageBreakBefore w:val="0"/>
        <w:kinsoku/>
        <w:overflowPunct/>
        <w:bidi w:val="0"/>
        <w:spacing w:line="360" w:lineRule="auto"/>
        <w:ind w:firstLine="1274" w:firstLineChars="607"/>
        <w:rPr>
          <w:rFonts w:hint="eastAsia" w:ascii="宋体" w:hAnsi="宋体" w:eastAsia="宋体" w:cs="宋体"/>
          <w:color w:val="auto"/>
          <w:szCs w:val="21"/>
        </w:rPr>
      </w:pPr>
      <w:r>
        <w:rPr>
          <w:rFonts w:hint="eastAsia" w:ascii="宋体" w:hAnsi="宋体" w:eastAsia="宋体" w:cs="宋体"/>
          <w:color w:val="auto"/>
          <w:szCs w:val="21"/>
        </w:rPr>
        <w:t>投标人名称：</w:t>
      </w:r>
      <w:r>
        <w:rPr>
          <w:rFonts w:hint="eastAsia" w:ascii="宋体" w:hAnsi="宋体" w:eastAsia="宋体" w:cs="宋体"/>
          <w:color w:val="auto"/>
          <w:szCs w:val="21"/>
          <w:u w:val="single"/>
        </w:rPr>
        <w:t xml:space="preserve">　　　　　　　　                 </w:t>
      </w:r>
    </w:p>
    <w:p w14:paraId="6905C26B">
      <w:pPr>
        <w:pageBreakBefore w:val="0"/>
        <w:kinsoku/>
        <w:overflowPunct/>
        <w:bidi w:val="0"/>
        <w:spacing w:line="360" w:lineRule="auto"/>
        <w:ind w:firstLine="1274" w:firstLineChars="607"/>
        <w:jc w:val="left"/>
        <w:rPr>
          <w:rFonts w:hint="eastAsia" w:ascii="宋体" w:hAnsi="宋体" w:eastAsia="宋体" w:cs="宋体"/>
          <w:color w:val="auto"/>
          <w:szCs w:val="21"/>
        </w:rPr>
      </w:pPr>
      <w:r>
        <w:rPr>
          <w:rFonts w:hint="eastAsia" w:ascii="宋体" w:hAnsi="宋体" w:eastAsia="宋体" w:cs="宋体"/>
          <w:color w:val="auto"/>
        </w:rPr>
        <w:t>日期：</w:t>
      </w:r>
      <w:r>
        <w:rPr>
          <w:rFonts w:hint="eastAsia" w:ascii="宋体" w:hAnsi="宋体" w:eastAsia="宋体" w:cs="宋体"/>
          <w:color w:val="auto"/>
          <w:u w:val="single"/>
        </w:rPr>
        <w:t xml:space="preserve">_     __ </w:t>
      </w:r>
      <w:r>
        <w:rPr>
          <w:rFonts w:hint="eastAsia" w:ascii="宋体" w:hAnsi="宋体" w:eastAsia="宋体" w:cs="宋体"/>
          <w:color w:val="auto"/>
        </w:rPr>
        <w:t>年</w:t>
      </w:r>
      <w:r>
        <w:rPr>
          <w:rFonts w:hint="eastAsia" w:ascii="宋体" w:hAnsi="宋体" w:eastAsia="宋体" w:cs="宋体"/>
          <w:color w:val="auto"/>
          <w:u w:val="single"/>
        </w:rPr>
        <w:t>_     __</w:t>
      </w:r>
      <w:r>
        <w:rPr>
          <w:rFonts w:hint="eastAsia" w:ascii="宋体" w:hAnsi="宋体" w:eastAsia="宋体" w:cs="宋体"/>
          <w:color w:val="auto"/>
        </w:rPr>
        <w:t>月</w:t>
      </w:r>
      <w:r>
        <w:rPr>
          <w:rFonts w:hint="eastAsia" w:ascii="宋体" w:hAnsi="宋体" w:eastAsia="宋体" w:cs="宋体"/>
          <w:color w:val="auto"/>
          <w:u w:val="single"/>
        </w:rPr>
        <w:t>_    _ _</w:t>
      </w:r>
      <w:r>
        <w:rPr>
          <w:rFonts w:hint="eastAsia" w:ascii="宋体" w:hAnsi="宋体" w:eastAsia="宋体" w:cs="宋体"/>
          <w:color w:val="auto"/>
        </w:rPr>
        <w:t>日</w:t>
      </w:r>
    </w:p>
    <w:p w14:paraId="3149F2B3">
      <w:pPr>
        <w:pageBreakBefore w:val="0"/>
        <w:kinsoku/>
        <w:overflowPunct/>
        <w:bidi w:val="0"/>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rPr>
        <w:t xml:space="preserve"> </w:t>
      </w:r>
      <w:r>
        <w:rPr>
          <w:rFonts w:hint="eastAsia" w:ascii="宋体" w:hAnsi="宋体" w:eastAsia="宋体" w:cs="宋体"/>
          <w:b/>
          <w:color w:val="auto"/>
          <w:szCs w:val="21"/>
        </w:rPr>
        <w:t>编制要求</w:t>
      </w:r>
      <w:r>
        <w:rPr>
          <w:rFonts w:hint="eastAsia" w:ascii="宋体" w:hAnsi="宋体" w:eastAsia="宋体" w:cs="宋体"/>
          <w:color w:val="auto"/>
          <w:szCs w:val="21"/>
        </w:rPr>
        <w:t>：</w:t>
      </w:r>
    </w:p>
    <w:p w14:paraId="4391A112">
      <w:pPr>
        <w:pStyle w:val="51"/>
        <w:pageBreakBefore w:val="0"/>
        <w:numPr>
          <w:ilvl w:val="0"/>
          <w:numId w:val="33"/>
        </w:numPr>
        <w:kinsoku/>
        <w:overflowPunct/>
        <w:bidi w:val="0"/>
        <w:adjustRightInd w:val="0"/>
        <w:snapToGrid w:val="0"/>
        <w:spacing w:line="360" w:lineRule="auto"/>
        <w:ind w:left="0" w:firstLine="0" w:firstLineChars="0"/>
        <w:rPr>
          <w:rFonts w:hint="eastAsia" w:ascii="宋体" w:hAnsi="宋体" w:eastAsia="宋体" w:cs="宋体"/>
          <w:color w:val="auto"/>
        </w:rPr>
      </w:pPr>
      <w:r>
        <w:rPr>
          <w:rFonts w:hint="eastAsia" w:ascii="宋体" w:hAnsi="宋体" w:eastAsia="宋体" w:cs="宋体"/>
          <w:color w:val="auto"/>
        </w:rPr>
        <w:t>如对合同条款无任何偏离，投标人仅需在本偏离表中填写“无偏离”即可。当本表为空时，视为投标文件对合同条款全部满足，无偏离。</w:t>
      </w:r>
    </w:p>
    <w:p w14:paraId="790D90B9">
      <w:pPr>
        <w:pStyle w:val="51"/>
        <w:pageBreakBefore w:val="0"/>
        <w:numPr>
          <w:ilvl w:val="0"/>
          <w:numId w:val="33"/>
        </w:numPr>
        <w:kinsoku/>
        <w:overflowPunct/>
        <w:bidi w:val="0"/>
        <w:adjustRightInd w:val="0"/>
        <w:snapToGrid w:val="0"/>
        <w:spacing w:line="360" w:lineRule="auto"/>
        <w:ind w:left="0" w:firstLine="0" w:firstLineChars="0"/>
        <w:rPr>
          <w:rFonts w:hint="eastAsia" w:ascii="宋体" w:hAnsi="宋体" w:eastAsia="宋体" w:cs="宋体"/>
          <w:color w:val="auto"/>
        </w:rPr>
      </w:pPr>
      <w:r>
        <w:rPr>
          <w:rFonts w:hint="eastAsia" w:ascii="宋体" w:hAnsi="宋体" w:eastAsia="宋体" w:cs="宋体"/>
          <w:color w:val="auto"/>
        </w:rPr>
        <w:t>如对合同条款存在偏离，投标人需对合同条款存在的偏离逐条做出说明。</w:t>
      </w:r>
    </w:p>
    <w:p w14:paraId="2557F794">
      <w:pPr>
        <w:pStyle w:val="51"/>
        <w:pageBreakBefore w:val="0"/>
        <w:numPr>
          <w:ilvl w:val="0"/>
          <w:numId w:val="33"/>
        </w:numPr>
        <w:kinsoku/>
        <w:overflowPunct/>
        <w:bidi w:val="0"/>
        <w:adjustRightInd w:val="0"/>
        <w:snapToGrid w:val="0"/>
        <w:spacing w:line="360" w:lineRule="auto"/>
        <w:ind w:firstLineChars="0"/>
        <w:rPr>
          <w:rFonts w:hint="eastAsia" w:ascii="宋体" w:hAnsi="宋体" w:eastAsia="宋体" w:cs="宋体"/>
          <w:color w:val="auto"/>
        </w:rPr>
      </w:pPr>
      <w:r>
        <w:rPr>
          <w:rFonts w:hint="eastAsia" w:ascii="宋体" w:hAnsi="宋体" w:eastAsia="宋体" w:cs="宋体"/>
          <w:color w:val="auto"/>
        </w:rPr>
        <w:t>投标人可以根据实际情况对本文件进行调整和修改，但应满足招标文件对本文件的要求。</w:t>
      </w:r>
    </w:p>
    <w:p w14:paraId="70822CCB">
      <w:pPr>
        <w:pageBreakBefore w:val="0"/>
        <w:kinsoku/>
        <w:overflowPunct/>
        <w:bidi w:val="0"/>
        <w:spacing w:line="360" w:lineRule="auto"/>
        <w:rPr>
          <w:rFonts w:hint="eastAsia" w:ascii="宋体" w:hAnsi="宋体" w:eastAsia="宋体" w:cs="宋体"/>
          <w:color w:val="auto"/>
        </w:rPr>
      </w:pPr>
      <w:r>
        <w:rPr>
          <w:rFonts w:hint="eastAsia" w:ascii="宋体" w:hAnsi="宋体" w:eastAsia="宋体" w:cs="宋体"/>
          <w:color w:val="auto"/>
        </w:rPr>
        <w:br w:type="page"/>
      </w:r>
    </w:p>
    <w:p w14:paraId="34AEA11D">
      <w:pPr>
        <w:pStyle w:val="39"/>
        <w:pageBreakBefore w:val="0"/>
        <w:numPr>
          <w:ilvl w:val="0"/>
          <w:numId w:val="29"/>
        </w:numPr>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537" w:name="_Toc8824"/>
      <w:bookmarkStart w:id="1538" w:name="_Toc326856160"/>
      <w:bookmarkStart w:id="1539" w:name="_Toc444791971"/>
      <w:bookmarkStart w:id="1540" w:name="_Toc475472685"/>
      <w:r>
        <w:rPr>
          <w:rFonts w:hint="eastAsia" w:ascii="宋体" w:hAnsi="宋体" w:eastAsia="宋体" w:cs="宋体"/>
          <w:color w:val="auto"/>
          <w:sz w:val="24"/>
          <w:szCs w:val="24"/>
        </w:rPr>
        <w:t>网络</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rPr>
        <w:t>信息安全承诺书</w:t>
      </w:r>
      <w:bookmarkEnd w:id="1537"/>
    </w:p>
    <w:p w14:paraId="05693A01">
      <w:pPr>
        <w:pStyle w:val="94"/>
        <w:pageBreakBefore w:val="0"/>
        <w:kinsoku/>
        <w:overflowPunct/>
        <w:bidi w:val="0"/>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网络</w:t>
      </w:r>
      <w:r>
        <w:rPr>
          <w:rFonts w:hint="eastAsia" w:ascii="宋体" w:hAnsi="宋体" w:eastAsia="宋体" w:cs="宋体"/>
          <w:b/>
          <w:bCs/>
          <w:color w:val="auto"/>
          <w:sz w:val="24"/>
          <w:lang w:val="en-US" w:eastAsia="zh-CN"/>
        </w:rPr>
        <w:t>及</w:t>
      </w:r>
      <w:r>
        <w:rPr>
          <w:rFonts w:hint="eastAsia" w:ascii="宋体" w:hAnsi="宋体" w:eastAsia="宋体" w:cs="宋体"/>
          <w:b/>
          <w:bCs/>
          <w:color w:val="auto"/>
          <w:sz w:val="24"/>
        </w:rPr>
        <w:t>信息安全承诺书</w:t>
      </w:r>
    </w:p>
    <w:p w14:paraId="0EA1C237">
      <w:pPr>
        <w:pStyle w:val="94"/>
        <w:pageBreakBefore w:val="0"/>
        <w:kinsoku/>
        <w:overflowPunct/>
        <w:bidi w:val="0"/>
        <w:spacing w:line="360" w:lineRule="auto"/>
        <w:jc w:val="center"/>
        <w:rPr>
          <w:rFonts w:hint="eastAsia" w:ascii="宋体" w:hAnsi="宋体" w:eastAsia="宋体" w:cs="宋体"/>
          <w:b/>
          <w:bCs/>
          <w:color w:val="auto"/>
        </w:rPr>
      </w:pPr>
      <w:r>
        <w:rPr>
          <w:rFonts w:hint="eastAsia" w:ascii="宋体" w:hAnsi="宋体" w:eastAsia="宋体" w:cs="宋体"/>
          <w:b/>
          <w:bCs/>
          <w:color w:val="auto"/>
        </w:rPr>
        <w:t>[根据规定使用本承诺书的项目，应将本承诺书作为不可偏离文件，并作为合同附件]</w:t>
      </w:r>
    </w:p>
    <w:p w14:paraId="62F7FCAD">
      <w:pPr>
        <w:pStyle w:val="94"/>
        <w:pageBreakBefore w:val="0"/>
        <w:kinsoku/>
        <w:overflowPunct/>
        <w:bidi w:val="0"/>
        <w:spacing w:line="360" w:lineRule="auto"/>
        <w:jc w:val="center"/>
        <w:rPr>
          <w:rFonts w:hint="eastAsia" w:ascii="宋体" w:hAnsi="宋体" w:eastAsia="宋体" w:cs="宋体"/>
          <w:b/>
          <w:bCs/>
          <w:color w:val="auto"/>
          <w:sz w:val="24"/>
        </w:rPr>
      </w:pPr>
    </w:p>
    <w:p w14:paraId="6B3E4D09">
      <w:pPr>
        <w:pStyle w:val="94"/>
        <w:pageBreakBefore w:val="0"/>
        <w:kinsoku/>
        <w:overflowPunct/>
        <w:bidi w:val="0"/>
        <w:snapToGrid w:val="0"/>
        <w:spacing w:line="360" w:lineRule="auto"/>
        <w:rPr>
          <w:rFonts w:hint="eastAsia" w:ascii="宋体" w:hAnsi="宋体" w:eastAsia="宋体" w:cs="宋体"/>
          <w:color w:val="auto"/>
          <w:szCs w:val="21"/>
        </w:rPr>
      </w:pPr>
      <w:r>
        <w:rPr>
          <w:rFonts w:hint="eastAsia" w:ascii="宋体" w:hAnsi="宋体" w:eastAsia="宋体" w:cs="宋体"/>
          <w:b/>
          <w:bCs/>
          <w:color w:val="auto"/>
          <w:szCs w:val="21"/>
        </w:rPr>
        <w:t>致：【XX公司[招标人名称]】：</w:t>
      </w:r>
    </w:p>
    <w:p w14:paraId="5F4B3D7C">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本单位郑重承诺遵守本承诺书，如有违反本承诺书有关条款的行为，本单位承担由此带来的一切责任。</w:t>
      </w:r>
    </w:p>
    <w:p w14:paraId="4FB58F59">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一、本单位承诺遵守《中华人民共和国网络安全法》《中华人民共和国数据安全法》《中华人民共和国个人信息保护法》《全国人民代表大会常务委员会关于加强网络信息保护的决定》《中华人民共和国电信条例》《中华人民共和国计算机信息系统安全保护条例》《计算机信息网络国际联网安全保护管理办法》《互联网信息服务管理办法》《非经营性互联网信息服务备案管理办法》《移动互联网应用程序信息服务管理规定》《网络信息内容生态治理规定》《电信和互联网用户个人信息保护规定》《公共互联网网络安全突发事件应急预案》《关键信息基础设施安全保护条例》《网络安全审查办法》及有关法律、法规、规章和政策文件规定（“相关规定”）。</w:t>
      </w:r>
    </w:p>
    <w:p w14:paraId="4B46CA52">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二、本单位</w:t>
      </w:r>
      <w:r>
        <w:rPr>
          <w:rFonts w:hint="eastAsia" w:ascii="宋体" w:hAnsi="宋体" w:eastAsia="宋体" w:cs="宋体"/>
          <w:color w:val="auto"/>
          <w:szCs w:val="21"/>
          <w:lang w:val="en-US" w:eastAsia="zh-CN"/>
        </w:rPr>
        <w:t>承诺</w:t>
      </w:r>
      <w:r>
        <w:rPr>
          <w:rFonts w:hint="eastAsia" w:ascii="宋体" w:hAnsi="宋体" w:eastAsia="宋体" w:cs="宋体"/>
          <w:color w:val="auto"/>
          <w:szCs w:val="21"/>
        </w:rPr>
        <w:t>向贵公司提供产品或服务符合相关规定、政府主管部门要求以及与贵公司的合同/协议（“合同”）约定，落实网络安全、数据安全和个人信息保护责任。本单位承诺具备履行合同所需的全部合法必要的资质条件。</w:t>
      </w:r>
    </w:p>
    <w:p w14:paraId="046960EF">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三、本单位承诺按照用户真实身份信息制度（“实名制”）的要求提供身份信息、使用业务，并保证所提供信息、资料的真实、完整、准确、有效。</w:t>
      </w:r>
    </w:p>
    <w:p w14:paraId="074059BB">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四、本单位保证不利用网络（包括但不限于固定网、移动网、互联网，下同）从事危害国家安全、泄露国家秘密等违法犯罪活动，不侵犯他人的合法权益。</w:t>
      </w:r>
    </w:p>
    <w:p w14:paraId="1E3D3026">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五、本单位保证在处理个人信息前依法向个人信息主体（“个人”）履行法定告知义务并取得个人的明确同意。法律、行政法规规定处理个人信息应当取得个人单独同意或者书面同意的，本单位保证在处理个人信息前依法取得个人单独同意或书面同意。</w:t>
      </w:r>
    </w:p>
    <w:p w14:paraId="7EA65E59">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六、本单位向贵公司提供个人信息或委托贵公司处理个人信息的，本单位承诺已依法向个人履行了告知义务，并依法取得了个人同意。本单位承诺，向贵公司提供或委托贵公司处理的个人信息等数据来源合法合规，不存在违反相关规定以及合同约定的情况。</w:t>
      </w:r>
    </w:p>
    <w:p w14:paraId="0B4677F0">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七、本单位受贵公司委托处理个人信息等数据的，或本单位与贵公司共同处理个人信息等数据的，本单位承诺按照与贵公司的合同约定处理，不得超出约定的处理目的、处理方式等</w:t>
      </w:r>
      <w:r>
        <w:rPr>
          <w:rFonts w:hint="eastAsia" w:ascii="宋体" w:hAnsi="宋体" w:eastAsia="宋体" w:cs="宋体"/>
          <w:color w:val="auto"/>
          <w:szCs w:val="21"/>
          <w:lang w:val="en-US" w:eastAsia="zh-CN"/>
        </w:rPr>
        <w:t>处理上述数据，严格遵循数据处理时限</w:t>
      </w:r>
      <w:r>
        <w:rPr>
          <w:rFonts w:hint="eastAsia" w:ascii="宋体" w:hAnsi="宋体" w:eastAsia="宋体" w:cs="宋体"/>
          <w:color w:val="auto"/>
          <w:szCs w:val="21"/>
        </w:rPr>
        <w:t>。如果合同不生效、无效、被撤销</w:t>
      </w:r>
      <w:r>
        <w:rPr>
          <w:rFonts w:hint="eastAsia" w:ascii="宋体" w:hAnsi="宋体" w:eastAsia="宋体" w:cs="宋体"/>
          <w:color w:val="auto"/>
          <w:szCs w:val="21"/>
          <w:lang w:eastAsia="zh-CN"/>
        </w:rPr>
        <w:t>、</w:t>
      </w:r>
      <w:r>
        <w:rPr>
          <w:rFonts w:hint="eastAsia" w:ascii="宋体" w:hAnsi="宋体" w:eastAsia="宋体" w:cs="宋体"/>
          <w:color w:val="auto"/>
          <w:szCs w:val="21"/>
        </w:rPr>
        <w:t>终止，</w:t>
      </w:r>
      <w:r>
        <w:rPr>
          <w:rFonts w:hint="eastAsia" w:ascii="宋体" w:hAnsi="宋体" w:eastAsia="宋体" w:cs="宋体"/>
          <w:color w:val="auto"/>
          <w:szCs w:val="21"/>
          <w:lang w:val="en-US" w:eastAsia="zh-CN"/>
        </w:rPr>
        <w:t>或其他贵公司认为必要的情况下，</w:t>
      </w:r>
      <w:r>
        <w:rPr>
          <w:rFonts w:hint="eastAsia" w:ascii="宋体" w:hAnsi="宋体" w:eastAsia="宋体" w:cs="宋体"/>
          <w:color w:val="auto"/>
          <w:szCs w:val="21"/>
        </w:rPr>
        <w:t>本单位承诺按照贵公司的要求</w:t>
      </w:r>
      <w:r>
        <w:rPr>
          <w:rFonts w:hint="eastAsia" w:ascii="宋体" w:hAnsi="宋体" w:eastAsia="宋体" w:cs="宋体"/>
          <w:color w:val="auto"/>
          <w:szCs w:val="21"/>
          <w:lang w:val="en-US" w:eastAsia="zh-CN"/>
        </w:rPr>
        <w:t>对</w:t>
      </w:r>
      <w:r>
        <w:rPr>
          <w:rFonts w:hint="eastAsia" w:ascii="宋体" w:hAnsi="宋体" w:eastAsia="宋体" w:cs="宋体"/>
          <w:color w:val="auto"/>
          <w:szCs w:val="21"/>
        </w:rPr>
        <w:t>个人信息等数据（包括</w:t>
      </w:r>
      <w:r>
        <w:rPr>
          <w:rFonts w:hint="eastAsia" w:ascii="宋体" w:hAnsi="宋体" w:eastAsia="宋体" w:cs="宋体"/>
          <w:color w:val="auto"/>
          <w:szCs w:val="21"/>
          <w:lang w:val="en-US" w:eastAsia="zh-CN"/>
        </w:rPr>
        <w:t>但不限于原始数据、</w:t>
      </w:r>
      <w:r>
        <w:rPr>
          <w:rFonts w:hint="eastAsia" w:ascii="宋体" w:hAnsi="宋体" w:eastAsia="宋体" w:cs="宋体"/>
          <w:color w:val="auto"/>
          <w:szCs w:val="21"/>
        </w:rPr>
        <w:t>备份</w:t>
      </w:r>
      <w:r>
        <w:rPr>
          <w:rFonts w:hint="eastAsia" w:ascii="宋体" w:hAnsi="宋体" w:eastAsia="宋体" w:cs="宋体"/>
          <w:color w:val="auto"/>
          <w:szCs w:val="21"/>
          <w:lang w:val="en-US" w:eastAsia="zh-CN"/>
        </w:rPr>
        <w:t>数据、基于所提供的数据产生的衍生数据</w:t>
      </w:r>
      <w:r>
        <w:rPr>
          <w:rFonts w:hint="eastAsia" w:ascii="宋体" w:hAnsi="宋体" w:eastAsia="宋体" w:cs="宋体"/>
          <w:color w:val="auto"/>
          <w:szCs w:val="21"/>
        </w:rPr>
        <w:t>）</w:t>
      </w:r>
      <w:r>
        <w:rPr>
          <w:rFonts w:hint="eastAsia" w:ascii="宋体" w:hAnsi="宋体" w:eastAsia="宋体" w:cs="宋体"/>
          <w:color w:val="auto"/>
          <w:szCs w:val="21"/>
          <w:lang w:val="en-US" w:eastAsia="zh-CN"/>
        </w:rPr>
        <w:t>予以返还或者删除</w:t>
      </w:r>
      <w:r>
        <w:rPr>
          <w:rFonts w:hint="eastAsia" w:ascii="宋体" w:hAnsi="宋体" w:eastAsia="宋体" w:cs="宋体"/>
          <w:color w:val="auto"/>
          <w:szCs w:val="21"/>
        </w:rPr>
        <w:t>，且未经贵公司同意不得以任何方式留存履行合同过程中所</w:t>
      </w:r>
      <w:r>
        <w:rPr>
          <w:rFonts w:hint="eastAsia" w:ascii="宋体" w:hAnsi="宋体" w:eastAsia="宋体" w:cs="宋体"/>
          <w:color w:val="auto"/>
          <w:szCs w:val="21"/>
          <w:lang w:val="en-US" w:eastAsia="zh-CN"/>
        </w:rPr>
        <w:t>处理</w:t>
      </w:r>
      <w:r>
        <w:rPr>
          <w:rFonts w:hint="eastAsia" w:ascii="宋体" w:hAnsi="宋体" w:eastAsia="宋体" w:cs="宋体"/>
          <w:color w:val="auto"/>
          <w:szCs w:val="21"/>
        </w:rPr>
        <w:t>的任何</w:t>
      </w:r>
      <w:r>
        <w:rPr>
          <w:rFonts w:hint="eastAsia" w:ascii="宋体" w:hAnsi="宋体" w:eastAsia="宋体" w:cs="宋体"/>
          <w:color w:val="auto"/>
          <w:szCs w:val="21"/>
          <w:lang w:val="en-US" w:eastAsia="zh-CN"/>
        </w:rPr>
        <w:t>上述</w:t>
      </w:r>
      <w:r>
        <w:rPr>
          <w:rFonts w:hint="eastAsia" w:ascii="宋体" w:hAnsi="宋体" w:eastAsia="宋体" w:cs="宋体"/>
          <w:color w:val="auto"/>
          <w:szCs w:val="21"/>
        </w:rPr>
        <w:t>数据。</w:t>
      </w:r>
      <w:r>
        <w:rPr>
          <w:rFonts w:hint="eastAsia" w:ascii="宋体" w:hAnsi="宋体" w:eastAsia="宋体" w:cs="宋体"/>
          <w:color w:val="auto"/>
          <w:szCs w:val="21"/>
          <w:lang w:val="en-US" w:eastAsia="zh-CN"/>
        </w:rPr>
        <w:t>上述数据的返还或删除并不免除本单位其他义务。</w:t>
      </w:r>
      <w:r>
        <w:rPr>
          <w:rFonts w:hint="eastAsia" w:ascii="宋体" w:hAnsi="宋体" w:eastAsia="宋体" w:cs="宋体"/>
          <w:color w:val="auto"/>
          <w:szCs w:val="21"/>
        </w:rPr>
        <w:t>未经贵公司同意,本单位不得转委托他人处理上述数据。本单位承诺按照法律规定及贵公司要求处理个人基于其主体权利提出的请求（包括个人信息查询、更正、删除、撤回授权同意、注销账户、获取个人信息副本等）。</w:t>
      </w:r>
    </w:p>
    <w:p w14:paraId="35691BCD">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八、对本单位在合同签订及履行过程中接触或知悉的贵公司和/或贵公司客户的数据和用户个人信息，本单位应当严格保密，不得向其他方提供、披露。本单位应当按照相关规定、政府主管部门要求和合同约定采取保密措施，防止未经授权的访问以及个人信息等数据的泄露、篡改、丢失。对于本单位在合同签订及履行过程中接触和获得的个人信息等数据，应当依法在境内存储，且不得向境外提供。</w:t>
      </w:r>
    </w:p>
    <w:p w14:paraId="4F01DB80">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九、本单位承诺严格按照相关</w:t>
      </w:r>
      <w:r>
        <w:rPr>
          <w:rFonts w:hint="eastAsia" w:ascii="宋体" w:hAnsi="宋体" w:eastAsia="宋体" w:cs="宋体"/>
          <w:color w:val="auto"/>
          <w:szCs w:val="21"/>
          <w:lang w:val="en-US" w:eastAsia="zh-CN"/>
        </w:rPr>
        <w:t>规定</w:t>
      </w:r>
      <w:r>
        <w:rPr>
          <w:rFonts w:hint="eastAsia" w:ascii="宋体" w:hAnsi="宋体" w:eastAsia="宋体" w:cs="宋体"/>
          <w:color w:val="auto"/>
          <w:szCs w:val="21"/>
        </w:rPr>
        <w:t>做好本单位网络安全、数据安全和个人信息保护管理工作，健全各项网络安全、数据安全和个人信息保护管理制度和操作规程，落实各项安全保护技术措施，实施个人信息和数据分类分级管理、依法落实个人信息保护影响评估和数据安全风险评估、报告、信息共享、监测预警机制，定期对从业人员进行安全教育和培训，依法设置网络安全、数据安全和个人信息保护责任人和管理机构，按政府主管部门要求设立信息安全责任人和信息安全审查员，当</w:t>
      </w:r>
      <w:r>
        <w:rPr>
          <w:rFonts w:hint="eastAsia" w:ascii="宋体" w:hAnsi="宋体" w:eastAsia="宋体" w:cs="宋体"/>
          <w:color w:val="auto"/>
          <w:szCs w:val="21"/>
          <w:lang w:val="en-US" w:eastAsia="zh-CN"/>
        </w:rPr>
        <w:t>信息安全责任人</w:t>
      </w:r>
      <w:r>
        <w:rPr>
          <w:rFonts w:hint="eastAsia" w:ascii="宋体" w:hAnsi="宋体" w:eastAsia="宋体" w:cs="宋体"/>
          <w:color w:val="auto"/>
          <w:szCs w:val="21"/>
        </w:rPr>
        <w:t>发生变更时及时通知贵公司。否则，导致的一切后果由本单位承担，贵公司有权立即终止合同。</w:t>
      </w:r>
    </w:p>
    <w:p w14:paraId="20775C86">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十、本单位承诺配合贵公司为公安机关、国家安全机关、网信部门等政府部门依法履行职责、维护国家安全和侦查犯罪等活动提供协助，如实提供有关安全保护的信息、资料及数据文件，积极协助查处信息网络违法犯罪行为。</w:t>
      </w:r>
    </w:p>
    <w:p w14:paraId="528B1CFF">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十一、本单位承诺利用网络发送的信息以及向贵公司提供的信息真实、准确、合法。该等信息内容应当严格符合相关规定，本单位不得通过通信网络、互联网制作、复制、查阅和传播有害信息</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不得散发传播违法、不健康、反动等信息</w:t>
      </w:r>
      <w:r>
        <w:rPr>
          <w:rFonts w:hint="eastAsia" w:ascii="宋体" w:hAnsi="宋体" w:eastAsia="宋体" w:cs="宋体"/>
          <w:color w:val="auto"/>
          <w:szCs w:val="21"/>
        </w:rPr>
        <w:t>，不得</w:t>
      </w:r>
      <w:r>
        <w:rPr>
          <w:rFonts w:hint="eastAsia" w:ascii="宋体" w:hAnsi="宋体" w:eastAsia="宋体" w:cs="宋体"/>
          <w:color w:val="auto"/>
          <w:szCs w:val="21"/>
          <w:lang w:val="en-US" w:eastAsia="zh-CN"/>
        </w:rPr>
        <w:t>制作、复制、查阅和传播</w:t>
      </w:r>
      <w:r>
        <w:rPr>
          <w:rFonts w:hint="eastAsia" w:ascii="宋体" w:hAnsi="宋体" w:eastAsia="宋体" w:cs="宋体"/>
          <w:color w:val="auto"/>
          <w:szCs w:val="21"/>
        </w:rPr>
        <w:t>任何违反下列要求（即“九不准”及“六不许”）的信息。</w:t>
      </w:r>
    </w:p>
    <w:p w14:paraId="34F0C1C7">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“九不准”，即不准</w:t>
      </w:r>
      <w:r>
        <w:rPr>
          <w:rFonts w:hint="eastAsia" w:ascii="宋体" w:hAnsi="宋体" w:eastAsia="宋体" w:cs="宋体"/>
          <w:color w:val="auto"/>
          <w:szCs w:val="21"/>
          <w:lang w:val="en-US" w:eastAsia="zh-CN"/>
        </w:rPr>
        <w:t>制作、复制、查阅和传播</w:t>
      </w:r>
      <w:r>
        <w:rPr>
          <w:rFonts w:hint="eastAsia" w:ascii="宋体" w:hAnsi="宋体" w:eastAsia="宋体" w:cs="宋体"/>
          <w:color w:val="auto"/>
          <w:szCs w:val="21"/>
        </w:rPr>
        <w:t>含有以下内容的信息：</w:t>
      </w:r>
    </w:p>
    <w:p w14:paraId="16F595D5">
      <w:pPr>
        <w:pageBreakBefore w:val="0"/>
        <w:kinsoku/>
        <w:overflowPunct/>
        <w:topLinePunct/>
        <w:bidi w:val="0"/>
        <w:snapToGrid w:val="0"/>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1、反对宪法所确定的基本原则的</w:t>
      </w:r>
      <w:r>
        <w:rPr>
          <w:rFonts w:hint="eastAsia" w:ascii="宋体" w:hAnsi="宋体" w:eastAsia="宋体" w:cs="宋体"/>
          <w:color w:val="auto"/>
          <w:szCs w:val="21"/>
          <w:lang w:eastAsia="zh-CN"/>
        </w:rPr>
        <w:t>；</w:t>
      </w:r>
    </w:p>
    <w:p w14:paraId="7BAF3AF2">
      <w:pPr>
        <w:pageBreakBefore w:val="0"/>
        <w:kinsoku/>
        <w:overflowPunct/>
        <w:topLinePunct/>
        <w:bidi w:val="0"/>
        <w:snapToGrid w:val="0"/>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2、危害国家安全，泄露国家秘密，颠覆国家政权，破坏国家统一的</w:t>
      </w:r>
      <w:r>
        <w:rPr>
          <w:rFonts w:hint="eastAsia" w:ascii="宋体" w:hAnsi="宋体" w:eastAsia="宋体" w:cs="宋体"/>
          <w:color w:val="auto"/>
          <w:szCs w:val="21"/>
          <w:lang w:eastAsia="zh-CN"/>
        </w:rPr>
        <w:t>；</w:t>
      </w:r>
    </w:p>
    <w:p w14:paraId="2F6A9319">
      <w:pPr>
        <w:pageBreakBefore w:val="0"/>
        <w:kinsoku/>
        <w:overflowPunct/>
        <w:topLinePunct/>
        <w:bidi w:val="0"/>
        <w:snapToGrid w:val="0"/>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3、损害国家荣誉和利益的</w:t>
      </w:r>
      <w:r>
        <w:rPr>
          <w:rFonts w:hint="eastAsia" w:ascii="宋体" w:hAnsi="宋体" w:eastAsia="宋体" w:cs="宋体"/>
          <w:color w:val="auto"/>
          <w:szCs w:val="21"/>
          <w:lang w:eastAsia="zh-CN"/>
        </w:rPr>
        <w:t>；</w:t>
      </w:r>
    </w:p>
    <w:p w14:paraId="53F30D25">
      <w:pPr>
        <w:pageBreakBefore w:val="0"/>
        <w:kinsoku/>
        <w:overflowPunct/>
        <w:topLinePunct/>
        <w:bidi w:val="0"/>
        <w:snapToGrid w:val="0"/>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4、煽动民族仇恨、民族歧视，破坏民族团结的</w:t>
      </w:r>
      <w:r>
        <w:rPr>
          <w:rFonts w:hint="eastAsia" w:ascii="宋体" w:hAnsi="宋体" w:eastAsia="宋体" w:cs="宋体"/>
          <w:color w:val="auto"/>
          <w:szCs w:val="21"/>
          <w:lang w:eastAsia="zh-CN"/>
        </w:rPr>
        <w:t>；</w:t>
      </w:r>
    </w:p>
    <w:p w14:paraId="7AA5F7BA">
      <w:pPr>
        <w:pageBreakBefore w:val="0"/>
        <w:kinsoku/>
        <w:overflowPunct/>
        <w:topLinePunct/>
        <w:bidi w:val="0"/>
        <w:snapToGrid w:val="0"/>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5、破坏国家宗教政策，宣扬邪教和封建迷信的</w:t>
      </w:r>
      <w:r>
        <w:rPr>
          <w:rFonts w:hint="eastAsia" w:ascii="宋体" w:hAnsi="宋体" w:eastAsia="宋体" w:cs="宋体"/>
          <w:color w:val="auto"/>
          <w:szCs w:val="21"/>
          <w:lang w:eastAsia="zh-CN"/>
        </w:rPr>
        <w:t>；</w:t>
      </w:r>
    </w:p>
    <w:p w14:paraId="6E614125">
      <w:pPr>
        <w:pageBreakBefore w:val="0"/>
        <w:kinsoku/>
        <w:overflowPunct/>
        <w:topLinePunct/>
        <w:bidi w:val="0"/>
        <w:snapToGrid w:val="0"/>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6、散布谣言，扰乱社会秩序，破坏社会稳定的</w:t>
      </w:r>
      <w:r>
        <w:rPr>
          <w:rFonts w:hint="eastAsia" w:ascii="宋体" w:hAnsi="宋体" w:eastAsia="宋体" w:cs="宋体"/>
          <w:color w:val="auto"/>
          <w:szCs w:val="21"/>
          <w:lang w:eastAsia="zh-CN"/>
        </w:rPr>
        <w:t>；</w:t>
      </w:r>
    </w:p>
    <w:p w14:paraId="5CE434C7">
      <w:pPr>
        <w:pageBreakBefore w:val="0"/>
        <w:kinsoku/>
        <w:overflowPunct/>
        <w:topLinePunct/>
        <w:bidi w:val="0"/>
        <w:snapToGrid w:val="0"/>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7、散布淫秽、色情、赌博、暴力、凶杀、恐怖或者教唆犯罪的</w:t>
      </w:r>
      <w:r>
        <w:rPr>
          <w:rFonts w:hint="eastAsia" w:ascii="宋体" w:hAnsi="宋体" w:eastAsia="宋体" w:cs="宋体"/>
          <w:color w:val="auto"/>
          <w:szCs w:val="21"/>
          <w:lang w:eastAsia="zh-CN"/>
        </w:rPr>
        <w:t>；</w:t>
      </w:r>
    </w:p>
    <w:p w14:paraId="790AB194">
      <w:pPr>
        <w:pageBreakBefore w:val="0"/>
        <w:kinsoku/>
        <w:overflowPunct/>
        <w:topLinePunct/>
        <w:bidi w:val="0"/>
        <w:snapToGrid w:val="0"/>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8、侮辱或者诽谤他人，侵害他人合法权益的</w:t>
      </w:r>
      <w:r>
        <w:rPr>
          <w:rFonts w:hint="eastAsia" w:ascii="宋体" w:hAnsi="宋体" w:eastAsia="宋体" w:cs="宋体"/>
          <w:color w:val="auto"/>
          <w:szCs w:val="21"/>
          <w:lang w:eastAsia="zh-CN"/>
        </w:rPr>
        <w:t>；</w:t>
      </w:r>
    </w:p>
    <w:p w14:paraId="3FCD5619">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9、含有法律、法规禁止的其他内容的。</w:t>
      </w:r>
    </w:p>
    <w:p w14:paraId="2BC476CC">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 “六不许”，即：</w:t>
      </w:r>
    </w:p>
    <w:p w14:paraId="1C05A80C">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1、决不允许在群众中散布违背党的理论和路线方针政策的意见。</w:t>
      </w:r>
    </w:p>
    <w:p w14:paraId="71E7513E">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2、决不允许公开发表同中央的决定相违背的言论。</w:t>
      </w:r>
    </w:p>
    <w:p w14:paraId="0041712F">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3、决不允许对中央的决策部署阳奉阴违。</w:t>
      </w:r>
    </w:p>
    <w:p w14:paraId="13149132">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4、决不允许编造、传播政治谣言及丑化党和国家形象的言论。</w:t>
      </w:r>
    </w:p>
    <w:p w14:paraId="64A42F2A">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5、决不允许以任何形式泄露党和国家的秘密。</w:t>
      </w:r>
    </w:p>
    <w:p w14:paraId="7B7A01BA">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6、决不允许参与各种非法组织和非法活动。</w:t>
      </w:r>
    </w:p>
    <w:p w14:paraId="17CC55C3">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十二、本单位承诺不利用提供给贵公司的产品或服务或通过网络从事危害中华人民共和国安全、泄露中华人民共和国国家秘密等活动，不从事任何危害网络安全、数据安全的活动，不从事侵犯他人合法权益的活动，包括但不限于：</w:t>
      </w:r>
    </w:p>
    <w:p w14:paraId="15C56C01">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1、未经允许进入网络或者使用网络资源；</w:t>
      </w:r>
    </w:p>
    <w:p w14:paraId="17255973">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2、未经允许对网络功能进行删除、修改或者增加；</w:t>
      </w:r>
    </w:p>
    <w:p w14:paraId="75ED8A76">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3、未经允许对网络中存储或者传输的数据和应用程序进行删除、修改或者增加；</w:t>
      </w:r>
    </w:p>
    <w:p w14:paraId="2482D000">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4、制作、传播、利用网络病毒等恶意程序或破坏性程序；</w:t>
      </w:r>
    </w:p>
    <w:p w14:paraId="2416DCE7">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5、非法收集、使用、加工、传输或以其他方式处理个人信息等数据；</w:t>
      </w:r>
    </w:p>
    <w:p w14:paraId="2C778599">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6、非法买卖、提供或者公开个人信息等数据；</w:t>
      </w:r>
    </w:p>
    <w:p w14:paraId="34B7F229">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7、从事危害国家安全、公共利益的个人信息和数据处理活动；</w:t>
      </w:r>
    </w:p>
    <w:p w14:paraId="71C57EF5">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8、其他危害网络安全、数据安全、侵犯他人合法权益的活动。</w:t>
      </w:r>
    </w:p>
    <w:p w14:paraId="62729BCA">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十三、本单位承诺在履行合同过程中发生重大安全事故或发生或者可能发生个人信息等数据泄露、篡改、丢失时，立即采取应急措施，保留有关原始记录，在24小时内向有关部门报告并书面通知贵公司。如发生重大安全事故或其他影响网络安全、数据安全和个人信息保护的突发事件，贵公司有权采取包括但不限于停止合同项下业务等紧急措施，以保证网络安全、数据安全和保护个人信息。</w:t>
      </w:r>
    </w:p>
    <w:p w14:paraId="7065A23D">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十四、本单位承诺不进行法律、法规、政府监管规定等禁止的行为，包括但不限于：</w:t>
      </w:r>
    </w:p>
    <w:p w14:paraId="49B703F0">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1、所提供或接入的设备未取得入网许可，或可能影响网络安全或网络服务质量；</w:t>
      </w:r>
    </w:p>
    <w:p w14:paraId="60807115">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2、将合同履行中获得的账号、密码私自转让、转租或以非法方式提供给第三方；</w:t>
      </w:r>
    </w:p>
    <w:p w14:paraId="5F6DAAFC">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3、在设备、系统、计算机软件等产品或服务中非法植入后门程序等恶意程序或破坏性程序；</w:t>
      </w:r>
    </w:p>
    <w:p w14:paraId="0BC08AC4">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4、利用提供产品或服务的便利条件非法获取用户个人信息等数据及重要运营数据、非法控制和操纵用户设备；</w:t>
      </w:r>
    </w:p>
    <w:p w14:paraId="47396AF0">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5、未经贵公司同意擅自公开所提供产品或服务的源代码；</w:t>
      </w:r>
    </w:p>
    <w:p w14:paraId="73155289">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6、未经贵公司同意探测、发布贵公司及其关联方（“中国电信”）的网络、终端、信息系统漏洞，对中国电信运营的网络开展渗透测试；</w:t>
      </w:r>
    </w:p>
    <w:p w14:paraId="1C20B6D7">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eastAsia="宋体" w:cs="宋体"/>
          <w:color w:val="auto"/>
          <w:szCs w:val="21"/>
        </w:rPr>
        <w:t>、法律法规规定或合同约定的其他禁止行为。</w:t>
      </w:r>
    </w:p>
    <w:p w14:paraId="66936863">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十五、本单位承诺提供给贵公司的产品或服务已关闭与合同约定无关的端口，不存在与合同约定无关的进程。</w:t>
      </w:r>
    </w:p>
    <w:p w14:paraId="2AA02C14">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十六</w:t>
      </w:r>
      <w:r>
        <w:rPr>
          <w:rFonts w:hint="eastAsia" w:ascii="宋体" w:hAnsi="宋体" w:eastAsia="宋体" w:cs="宋体"/>
          <w:color w:val="auto"/>
          <w:szCs w:val="21"/>
          <w:lang w:eastAsia="zh-CN"/>
        </w:rPr>
        <w:t>、</w:t>
      </w:r>
      <w:r>
        <w:rPr>
          <w:rFonts w:hint="eastAsia" w:ascii="宋体" w:hAnsi="宋体" w:eastAsia="宋体" w:cs="宋体"/>
          <w:color w:val="auto"/>
          <w:szCs w:val="21"/>
        </w:rPr>
        <w:t>本单位承诺未经贵公司同意不得以任何形式对提供给贵公司的产品或服务进行任何操作。本单位承诺严格按最小化原则管理相关产品或服务的操作权限并事先征得贵公司同意。</w:t>
      </w:r>
    </w:p>
    <w:p w14:paraId="6B934AF2">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十七、本单位承诺对提供给贵公司的产品或服务在交付前完成已知病毒查杀、安全缺陷</w:t>
      </w:r>
      <w:r>
        <w:rPr>
          <w:rFonts w:hint="eastAsia" w:ascii="宋体" w:hAnsi="宋体" w:eastAsia="宋体" w:cs="宋体"/>
          <w:color w:val="auto"/>
          <w:szCs w:val="21"/>
          <w:lang w:val="en-US" w:eastAsia="zh-CN"/>
        </w:rPr>
        <w:t>及</w:t>
      </w:r>
      <w:r>
        <w:rPr>
          <w:rFonts w:hint="eastAsia" w:ascii="宋体" w:hAnsi="宋体" w:eastAsia="宋体" w:cs="宋体"/>
          <w:color w:val="auto"/>
          <w:szCs w:val="21"/>
        </w:rPr>
        <w:t>漏洞扫描和修复，交付后对发现的安全缺陷、漏洞等风险及时采取补救措施。</w:t>
      </w:r>
    </w:p>
    <w:p w14:paraId="2ABC597A">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十八、本单位承诺无正当理由不会中断所提供的产品或服务，亦不会中断提供必要的技术支持服务。</w:t>
      </w:r>
    </w:p>
    <w:p w14:paraId="437E31EB">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十九、就本单位向贵公司提供的产品和服务，本单位承诺向贵公司提供该等产品或服务所包含或调用的开源软件和第三方软件清单，以及合法获取开源软件、第三方软件使用权的证明，并配合贵公司开展软件安全检测和知识产权风险审核等工作。</w:t>
      </w:r>
    </w:p>
    <w:p w14:paraId="08E700FA">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二十、本单位承诺同意并配合贵公司进行网络安全审查，检查的内容包括但不限于网络安全检查项、计算环境安全检查项、开发流程检查项、提供或委托处理数据的数据处理行为检查项等方面。</w:t>
      </w:r>
    </w:p>
    <w:p w14:paraId="5657E9EE">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二十一、本单位承诺按要求提供网络安全审查工作需要的材料，严格履行网络安全审查中作出的承诺。</w:t>
      </w:r>
    </w:p>
    <w:p w14:paraId="3ED58E56">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二十</w:t>
      </w:r>
      <w:r>
        <w:rPr>
          <w:rFonts w:hint="eastAsia" w:ascii="宋体" w:hAnsi="宋体" w:eastAsia="宋体" w:cs="宋体"/>
          <w:color w:val="auto"/>
          <w:szCs w:val="21"/>
          <w:lang w:val="en-US" w:eastAsia="zh-CN"/>
        </w:rPr>
        <w:t>二</w:t>
      </w:r>
      <w:r>
        <w:rPr>
          <w:rFonts w:hint="eastAsia" w:ascii="宋体" w:hAnsi="宋体" w:eastAsia="宋体" w:cs="宋体"/>
          <w:color w:val="auto"/>
          <w:szCs w:val="21"/>
        </w:rPr>
        <w:t>、本单位如出现任何违反上述承诺的情况，</w:t>
      </w:r>
      <w:r>
        <w:rPr>
          <w:rFonts w:hint="eastAsia" w:ascii="宋体" w:hAnsi="宋体" w:eastAsia="宋体" w:cs="宋体"/>
          <w:color w:val="auto"/>
          <w:szCs w:val="21"/>
          <w:lang w:val="en-US" w:eastAsia="zh-CN"/>
        </w:rPr>
        <w:t>将</w:t>
      </w:r>
      <w:r>
        <w:rPr>
          <w:rFonts w:hint="eastAsia" w:ascii="宋体" w:hAnsi="宋体" w:eastAsia="宋体" w:cs="宋体"/>
          <w:color w:val="auto"/>
          <w:szCs w:val="21"/>
        </w:rPr>
        <w:t>依据合同承担责任，接受有关政府主管部门的处理（包括但不限于限期整改、公开曝光），并直接承担相应法律责任，造成财产损失的，由本单位直接赔偿。同时，贵公司有权在不通知本单位的情况下暂停履行合同直至解除合同并不承担任何责任，一切责任后果全部由本单位自行承担。给贵公司造成损失或不良影响的，本单位负责消除不良影响并赔偿贵公司相应损失。</w:t>
      </w:r>
    </w:p>
    <w:p w14:paraId="2D468FB7">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二十</w:t>
      </w:r>
      <w:r>
        <w:rPr>
          <w:rFonts w:hint="eastAsia" w:ascii="宋体" w:hAnsi="宋体" w:eastAsia="宋体" w:cs="宋体"/>
          <w:color w:val="auto"/>
          <w:szCs w:val="21"/>
          <w:lang w:val="en-US" w:eastAsia="zh-CN"/>
        </w:rPr>
        <w:t>三</w:t>
      </w:r>
      <w:r>
        <w:rPr>
          <w:rFonts w:hint="eastAsia" w:ascii="宋体" w:hAnsi="宋体" w:eastAsia="宋体" w:cs="宋体"/>
          <w:color w:val="auto"/>
          <w:szCs w:val="21"/>
        </w:rPr>
        <w:t>、如出现任何违反上述承诺的情况引发的投诉、举报，由本单位负责解决并承担责任。当</w:t>
      </w:r>
      <w:r>
        <w:rPr>
          <w:rFonts w:hint="eastAsia" w:ascii="宋体" w:hAnsi="宋体" w:eastAsia="宋体" w:cs="宋体"/>
          <w:color w:val="auto"/>
          <w:szCs w:val="21"/>
          <w:lang w:val="en-US" w:eastAsia="zh-CN"/>
        </w:rPr>
        <w:t>接到</w:t>
      </w:r>
      <w:r>
        <w:rPr>
          <w:rFonts w:hint="eastAsia" w:ascii="宋体" w:hAnsi="宋体" w:eastAsia="宋体" w:cs="宋体"/>
          <w:color w:val="auto"/>
          <w:szCs w:val="21"/>
        </w:rPr>
        <w:t>通信主管部门、“12321网络不良与垃圾信息举报受理中心”、中国电信10000热线等各类渠道投诉、举报时，贵公司有权在不通知本单位的情况下立即终止合同并不承担任何责任，一切责任后果全部由本单位自行承担。给贵公司造成损失或不良影响的，本单位负责消除不良影响并赔偿贵公司相应损失。</w:t>
      </w:r>
    </w:p>
    <w:p w14:paraId="60E7A286">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二十</w:t>
      </w:r>
      <w:r>
        <w:rPr>
          <w:rFonts w:hint="eastAsia" w:ascii="宋体" w:hAnsi="宋体" w:eastAsia="宋体" w:cs="宋体"/>
          <w:color w:val="auto"/>
          <w:szCs w:val="21"/>
          <w:lang w:val="en-US" w:eastAsia="zh-CN"/>
        </w:rPr>
        <w:t>四</w:t>
      </w:r>
      <w:r>
        <w:rPr>
          <w:rFonts w:hint="eastAsia" w:ascii="宋体" w:hAnsi="宋体" w:eastAsia="宋体" w:cs="宋体"/>
          <w:color w:val="auto"/>
          <w:szCs w:val="21"/>
        </w:rPr>
        <w:t>、本单位</w:t>
      </w:r>
      <w:r>
        <w:rPr>
          <w:rFonts w:hint="eastAsia" w:ascii="宋体" w:hAnsi="宋体" w:eastAsia="宋体" w:cs="宋体"/>
          <w:color w:val="auto"/>
          <w:szCs w:val="21"/>
          <w:lang w:eastAsia="zh-CN"/>
        </w:rPr>
        <w:t>的</w:t>
      </w:r>
      <w:r>
        <w:rPr>
          <w:rFonts w:hint="eastAsia" w:ascii="宋体" w:hAnsi="宋体" w:eastAsia="宋体" w:cs="宋体"/>
          <w:color w:val="auto"/>
          <w:szCs w:val="21"/>
          <w:lang w:val="en-US" w:eastAsia="zh-CN"/>
        </w:rPr>
        <w:t>信息安全责任</w:t>
      </w:r>
      <w:r>
        <w:rPr>
          <w:rFonts w:hint="eastAsia" w:ascii="宋体" w:hAnsi="宋体" w:eastAsia="宋体" w:cs="宋体"/>
          <w:color w:val="auto"/>
          <w:szCs w:val="21"/>
        </w:rPr>
        <w:t>人如下：</w:t>
      </w:r>
    </w:p>
    <w:p w14:paraId="2DB75A09">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姓名：</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、职务：</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、联系方式：</w:t>
      </w:r>
      <w:r>
        <w:rPr>
          <w:rFonts w:hint="eastAsia" w:ascii="宋体" w:hAnsi="宋体" w:eastAsia="宋体" w:cs="宋体"/>
          <w:color w:val="auto"/>
          <w:szCs w:val="21"/>
          <w:u w:val="single"/>
        </w:rPr>
        <w:t xml:space="preserve">                   </w:t>
      </w:r>
    </w:p>
    <w:p w14:paraId="7221CDEF">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二十</w:t>
      </w:r>
      <w:r>
        <w:rPr>
          <w:rFonts w:hint="eastAsia" w:ascii="宋体" w:hAnsi="宋体" w:eastAsia="宋体" w:cs="宋体"/>
          <w:color w:val="auto"/>
          <w:szCs w:val="21"/>
          <w:lang w:val="en-US" w:eastAsia="zh-CN"/>
        </w:rPr>
        <w:t>五</w:t>
      </w:r>
      <w:r>
        <w:rPr>
          <w:rFonts w:hint="eastAsia" w:ascii="宋体" w:hAnsi="宋体" w:eastAsia="宋体" w:cs="宋体"/>
          <w:color w:val="auto"/>
          <w:szCs w:val="21"/>
        </w:rPr>
        <w:t>、本单位承诺要求并监督参与向贵公司提供产品或服务的本单位人员（“本单位人员”）履行本《网络及信息安全承诺书》项下的义务和责任，并对本单位人员的行为承担责任。</w:t>
      </w:r>
    </w:p>
    <w:p w14:paraId="4BD1ADF7">
      <w:pPr>
        <w:pageBreakBefore w:val="0"/>
        <w:kinsoku/>
        <w:overflowPunct/>
        <w:topLinePunct/>
        <w:bidi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二十</w:t>
      </w:r>
      <w:r>
        <w:rPr>
          <w:rFonts w:hint="eastAsia" w:ascii="宋体" w:hAnsi="宋体" w:eastAsia="宋体" w:cs="宋体"/>
          <w:color w:val="auto"/>
          <w:szCs w:val="21"/>
          <w:lang w:val="en-US" w:eastAsia="zh-CN"/>
        </w:rPr>
        <w:t>六</w:t>
      </w:r>
      <w:r>
        <w:rPr>
          <w:rFonts w:hint="eastAsia" w:ascii="宋体" w:hAnsi="宋体" w:eastAsia="宋体" w:cs="宋体"/>
          <w:color w:val="auto"/>
          <w:szCs w:val="21"/>
        </w:rPr>
        <w:t>、本承诺书经本单位签署后</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与合同同时</w:t>
      </w:r>
      <w:r>
        <w:rPr>
          <w:rFonts w:hint="eastAsia" w:ascii="宋体" w:hAnsi="宋体" w:eastAsia="宋体" w:cs="宋体"/>
          <w:color w:val="auto"/>
          <w:szCs w:val="21"/>
        </w:rPr>
        <w:t>生效。</w:t>
      </w:r>
    </w:p>
    <w:p w14:paraId="5B90F088">
      <w:pPr>
        <w:pStyle w:val="84"/>
        <w:pageBreakBefore w:val="0"/>
        <w:kinsoku/>
        <w:overflowPunct/>
        <w:bidi w:val="0"/>
        <w:snapToGrid w:val="0"/>
        <w:spacing w:line="360" w:lineRule="auto"/>
        <w:ind w:firstLine="425" w:firstLineChars="0"/>
        <w:rPr>
          <w:rFonts w:hint="eastAsia" w:ascii="宋体" w:hAnsi="宋体" w:eastAsia="宋体" w:cs="宋体"/>
          <w:color w:val="auto"/>
          <w:kern w:val="0"/>
          <w:szCs w:val="21"/>
        </w:rPr>
      </w:pPr>
    </w:p>
    <w:p w14:paraId="783657F4">
      <w:pPr>
        <w:pageBreakBefore w:val="0"/>
        <w:kinsoku/>
        <w:overflowPunct/>
        <w:bidi w:val="0"/>
        <w:spacing w:line="360" w:lineRule="auto"/>
        <w:ind w:firstLine="424" w:firstLineChars="202"/>
        <w:rPr>
          <w:rFonts w:hint="eastAsia" w:ascii="宋体" w:hAnsi="宋体" w:eastAsia="宋体" w:cs="宋体"/>
          <w:color w:val="auto"/>
          <w:szCs w:val="21"/>
          <w:u w:val="single"/>
        </w:rPr>
      </w:pPr>
      <w:r>
        <w:rPr>
          <w:rFonts w:hint="eastAsia" w:ascii="宋体" w:hAnsi="宋体" w:eastAsia="宋体" w:cs="宋体"/>
          <w:color w:val="auto"/>
          <w:szCs w:val="21"/>
        </w:rPr>
        <w:t>承诺单位：</w:t>
      </w:r>
      <w:r>
        <w:rPr>
          <w:rFonts w:hint="eastAsia" w:ascii="宋体" w:hAnsi="宋体" w:eastAsia="宋体" w:cs="宋体"/>
          <w:color w:val="auto"/>
          <w:szCs w:val="21"/>
          <w:u w:val="single"/>
        </w:rPr>
        <w:t xml:space="preserve">　　　　　　　　                       </w:t>
      </w:r>
    </w:p>
    <w:p w14:paraId="07ECBCC2">
      <w:pPr>
        <w:pageBreakBefore w:val="0"/>
        <w:kinsoku/>
        <w:overflowPunct/>
        <w:bidi w:val="0"/>
        <w:spacing w:line="360" w:lineRule="auto"/>
        <w:ind w:firstLine="424" w:firstLineChars="202"/>
        <w:jc w:val="left"/>
        <w:rPr>
          <w:rFonts w:hint="eastAsia" w:ascii="宋体" w:hAnsi="宋体" w:eastAsia="宋体" w:cs="宋体"/>
          <w:color w:val="auto"/>
          <w:szCs w:val="21"/>
        </w:rPr>
      </w:pPr>
      <w:r>
        <w:rPr>
          <w:rFonts w:hint="eastAsia" w:ascii="宋体" w:hAnsi="宋体" w:eastAsia="宋体" w:cs="宋体"/>
          <w:color w:val="auto"/>
        </w:rPr>
        <w:t>日期：</w:t>
      </w:r>
      <w:r>
        <w:rPr>
          <w:rFonts w:hint="eastAsia" w:ascii="宋体" w:hAnsi="宋体" w:eastAsia="宋体" w:cs="宋体"/>
          <w:color w:val="auto"/>
          <w:u w:val="single"/>
        </w:rPr>
        <w:t xml:space="preserve">_     __ </w:t>
      </w:r>
      <w:r>
        <w:rPr>
          <w:rFonts w:hint="eastAsia" w:ascii="宋体" w:hAnsi="宋体" w:eastAsia="宋体" w:cs="宋体"/>
          <w:color w:val="auto"/>
        </w:rPr>
        <w:t>年</w:t>
      </w:r>
      <w:r>
        <w:rPr>
          <w:rFonts w:hint="eastAsia" w:ascii="宋体" w:hAnsi="宋体" w:eastAsia="宋体" w:cs="宋体"/>
          <w:color w:val="auto"/>
          <w:u w:val="single"/>
        </w:rPr>
        <w:t>_     __</w:t>
      </w:r>
      <w:r>
        <w:rPr>
          <w:rFonts w:hint="eastAsia" w:ascii="宋体" w:hAnsi="宋体" w:eastAsia="宋体" w:cs="宋体"/>
          <w:color w:val="auto"/>
        </w:rPr>
        <w:t>月</w:t>
      </w:r>
      <w:r>
        <w:rPr>
          <w:rFonts w:hint="eastAsia" w:ascii="宋体" w:hAnsi="宋体" w:eastAsia="宋体" w:cs="宋体"/>
          <w:color w:val="auto"/>
          <w:u w:val="single"/>
        </w:rPr>
        <w:t>_    _ _</w:t>
      </w:r>
      <w:r>
        <w:rPr>
          <w:rFonts w:hint="eastAsia" w:ascii="宋体" w:hAnsi="宋体" w:eastAsia="宋体" w:cs="宋体"/>
          <w:color w:val="auto"/>
        </w:rPr>
        <w:t>日</w:t>
      </w:r>
    </w:p>
    <w:p w14:paraId="108AB33D">
      <w:pPr>
        <w:pageBreakBefore w:val="0"/>
        <w:kinsoku/>
        <w:overflowPunct/>
        <w:bidi w:val="0"/>
        <w:snapToGrid w:val="0"/>
        <w:spacing w:line="360" w:lineRule="auto"/>
        <w:rPr>
          <w:rFonts w:hint="eastAsia" w:ascii="宋体" w:hAnsi="宋体" w:eastAsia="宋体" w:cs="宋体"/>
          <w:b/>
          <w:color w:val="auto"/>
          <w:szCs w:val="21"/>
        </w:rPr>
      </w:pPr>
      <w:r>
        <w:rPr>
          <w:rFonts w:hint="eastAsia" w:ascii="宋体" w:hAnsi="宋体" w:eastAsia="宋体" w:cs="宋体"/>
          <w:b/>
          <w:color w:val="auto"/>
          <w:szCs w:val="21"/>
        </w:rPr>
        <w:t>编制要求：</w:t>
      </w:r>
    </w:p>
    <w:p w14:paraId="79790F93">
      <w:pPr>
        <w:pageBreakBefore w:val="0"/>
        <w:kinsoku/>
        <w:overflowPunct/>
        <w:bidi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1.代理商投标的，制造商和代理商须各自提供一份本承诺函。</w:t>
      </w:r>
    </w:p>
    <w:p w14:paraId="71D38ED3">
      <w:pPr>
        <w:pageBreakBefore w:val="0"/>
        <w:kinsoku/>
        <w:overflowPunct/>
        <w:bidi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2.投标产品制造商注册地在中华人民共和国境外（与中华人民共和国有正常贸易与往来的国家或地区）及香港、澳门、台湾地区使用代理商投标和签订销售合同且制造商无法加盖单位公章的，本文件应由有签署权的代表签字确认，并提供委托签署权的相关证明材料。</w:t>
      </w:r>
    </w:p>
    <w:p w14:paraId="3299B455">
      <w:pPr>
        <w:pageBreakBefore w:val="0"/>
        <w:kinsoku/>
        <w:overflowPunct/>
        <w:bidi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rPr>
        <w:t>除本文件允许投标人进行填写的内容以外，投标人不得对本文件进行修改。</w:t>
      </w:r>
    </w:p>
    <w:p w14:paraId="22A81067">
      <w:pPr>
        <w:pageBreakBefore w:val="0"/>
        <w:widowControl/>
        <w:kinsoku/>
        <w:overflowPunct/>
        <w:bidi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br w:type="page"/>
      </w:r>
    </w:p>
    <w:bookmarkEnd w:id="1538"/>
    <w:bookmarkEnd w:id="1539"/>
    <w:bookmarkEnd w:id="1540"/>
    <w:p w14:paraId="593554A5">
      <w:pPr>
        <w:pStyle w:val="39"/>
        <w:pageBreakBefore w:val="0"/>
        <w:numPr>
          <w:ilvl w:val="0"/>
          <w:numId w:val="29"/>
        </w:numPr>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541" w:name="_Toc106784696"/>
      <w:bookmarkEnd w:id="1541"/>
      <w:bookmarkStart w:id="1542" w:name="_Toc106784524"/>
      <w:bookmarkEnd w:id="1542"/>
      <w:bookmarkStart w:id="1543" w:name="_Toc16579"/>
      <w:r>
        <w:rPr>
          <w:rFonts w:hint="eastAsia" w:ascii="宋体" w:hAnsi="宋体" w:eastAsia="宋体" w:cs="宋体"/>
          <w:color w:val="auto"/>
          <w:sz w:val="24"/>
          <w:szCs w:val="24"/>
        </w:rPr>
        <w:t>投标</w:t>
      </w:r>
      <w:r>
        <w:rPr>
          <w:rFonts w:hint="eastAsia" w:ascii="宋体" w:hAnsi="宋体" w:eastAsia="宋体" w:cs="宋体"/>
          <w:color w:val="auto"/>
          <w:sz w:val="24"/>
          <w:szCs w:val="24"/>
          <w:lang w:val="en-US" w:eastAsia="zh-CN"/>
        </w:rPr>
        <w:t>保证金</w:t>
      </w:r>
      <w:bookmarkEnd w:id="1543"/>
    </w:p>
    <w:p w14:paraId="455E57E9">
      <w:pPr>
        <w:pageBreakBefore w:val="0"/>
        <w:kinsoku/>
        <w:overflowPunct/>
        <w:bidi w:val="0"/>
        <w:spacing w:line="360" w:lineRule="auto"/>
        <w:ind w:firstLine="562"/>
        <w:jc w:val="center"/>
        <w:rPr>
          <w:rFonts w:hint="eastAsia" w:ascii="宋体" w:hAnsi="宋体" w:eastAsia="宋体" w:cs="宋体"/>
          <w:b/>
          <w:color w:val="auto"/>
          <w:sz w:val="24"/>
          <w:szCs w:val="30"/>
        </w:rPr>
      </w:pPr>
      <w:bookmarkStart w:id="1544" w:name="_Toc297638737"/>
      <w:r>
        <w:rPr>
          <w:rFonts w:hint="eastAsia" w:ascii="宋体" w:hAnsi="宋体" w:eastAsia="宋体" w:cs="宋体"/>
          <w:b/>
          <w:color w:val="auto"/>
          <w:sz w:val="24"/>
          <w:szCs w:val="30"/>
        </w:rPr>
        <w:t>投标保函</w:t>
      </w:r>
      <w:bookmarkEnd w:id="1544"/>
      <w:r>
        <w:rPr>
          <w:rFonts w:hint="eastAsia" w:ascii="宋体" w:hAnsi="宋体" w:eastAsia="宋体" w:cs="宋体"/>
          <w:b/>
          <w:color w:val="auto"/>
          <w:sz w:val="24"/>
          <w:szCs w:val="30"/>
        </w:rPr>
        <w:t>（如有）</w:t>
      </w:r>
    </w:p>
    <w:p w14:paraId="0E99C80D">
      <w:pPr>
        <w:pageBreakBefore w:val="0"/>
        <w:kinsoku/>
        <w:overflowPunct/>
        <w:bidi w:val="0"/>
        <w:spacing w:line="360" w:lineRule="auto"/>
        <w:ind w:firstLine="560"/>
        <w:jc w:val="center"/>
        <w:rPr>
          <w:rFonts w:hint="eastAsia" w:ascii="宋体" w:hAnsi="宋体" w:eastAsia="宋体" w:cs="宋体"/>
          <w:color w:val="auto"/>
          <w:szCs w:val="21"/>
        </w:rPr>
      </w:pPr>
    </w:p>
    <w:p w14:paraId="65382B9E">
      <w:pPr>
        <w:pageBreakBefore w:val="0"/>
        <w:kinsoku/>
        <w:overflowPunct/>
        <w:bidi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致：</w:t>
      </w:r>
      <w:r>
        <w:rPr>
          <w:rFonts w:hint="eastAsia" w:ascii="宋体" w:hAnsi="宋体" w:eastAsia="宋体" w:cs="宋体"/>
          <w:color w:val="auto"/>
          <w:szCs w:val="21"/>
          <w:u w:val="single"/>
        </w:rPr>
        <w:t xml:space="preserve">          （受益人）</w:t>
      </w:r>
    </w:p>
    <w:p w14:paraId="260D6001">
      <w:pPr>
        <w:pageBreakBefore w:val="0"/>
        <w:kinsoku/>
        <w:overflowPunct/>
        <w:bidi w:val="0"/>
        <w:snapToGrid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本保函作为</w:t>
      </w:r>
      <w:r>
        <w:rPr>
          <w:rFonts w:hint="eastAsia" w:ascii="宋体" w:hAnsi="宋体" w:eastAsia="宋体" w:cs="宋体"/>
          <w:color w:val="auto"/>
          <w:szCs w:val="21"/>
          <w:u w:val="single"/>
        </w:rPr>
        <w:t xml:space="preserve">     （投标人名称）</w:t>
      </w:r>
      <w:r>
        <w:rPr>
          <w:rFonts w:hint="eastAsia" w:ascii="宋体" w:hAnsi="宋体" w:eastAsia="宋体" w:cs="宋体"/>
          <w:color w:val="auto"/>
          <w:szCs w:val="21"/>
        </w:rPr>
        <w:t>（以下简称投标人）对</w:t>
      </w:r>
      <w:r>
        <w:rPr>
          <w:rFonts w:hint="eastAsia" w:ascii="宋体" w:hAnsi="宋体" w:eastAsia="宋体" w:cs="宋体"/>
          <w:color w:val="auto"/>
          <w:szCs w:val="21"/>
          <w:u w:val="single"/>
        </w:rPr>
        <w:t xml:space="preserve">        （招标人名称）（项目名称）</w:t>
      </w:r>
      <w:r>
        <w:rPr>
          <w:rFonts w:hint="eastAsia" w:ascii="宋体" w:hAnsi="宋体" w:eastAsia="宋体" w:cs="宋体"/>
          <w:color w:val="auto"/>
          <w:szCs w:val="21"/>
        </w:rPr>
        <w:t>的投标邀请而提供的投标保函。</w:t>
      </w:r>
    </w:p>
    <w:p w14:paraId="45D8DFE7">
      <w:pPr>
        <w:pageBreakBefore w:val="0"/>
        <w:kinsoku/>
        <w:overflowPunct/>
        <w:bidi w:val="0"/>
        <w:snapToGrid w:val="0"/>
        <w:spacing w:line="360" w:lineRule="auto"/>
        <w:ind w:firstLine="424" w:firstLineChars="202"/>
        <w:rPr>
          <w:rFonts w:hint="eastAsia" w:ascii="宋体" w:hAnsi="宋体" w:eastAsia="宋体" w:cs="宋体"/>
          <w:color w:val="auto"/>
          <w:szCs w:val="21"/>
        </w:rPr>
      </w:pPr>
      <w:r>
        <w:rPr>
          <w:rFonts w:hint="eastAsia" w:ascii="宋体" w:hAnsi="宋体" w:eastAsia="宋体" w:cs="宋体"/>
          <w:iCs/>
          <w:color w:val="auto"/>
          <w:szCs w:val="21"/>
          <w:u w:val="single"/>
        </w:rPr>
        <w:t xml:space="preserve">      （保函开立人）</w:t>
      </w:r>
      <w:r>
        <w:rPr>
          <w:rFonts w:hint="eastAsia" w:ascii="宋体" w:hAnsi="宋体" w:eastAsia="宋体" w:cs="宋体"/>
          <w:color w:val="auto"/>
          <w:szCs w:val="21"/>
        </w:rPr>
        <w:t>无条件地、不可撤销地保证并约束本方、其继承人和受让人，一旦收到贵方提出的就下述任何一种事实的书面通知，立即无追索地向贵方支付金额为</w:t>
      </w:r>
      <w:r>
        <w:rPr>
          <w:rFonts w:hint="eastAsia" w:ascii="宋体" w:hAnsi="宋体" w:eastAsia="宋体" w:cs="宋体"/>
          <w:color w:val="auto"/>
          <w:szCs w:val="21"/>
          <w:u w:val="single"/>
        </w:rPr>
        <w:t xml:space="preserve">   人民币</w:t>
      </w:r>
      <w:r>
        <w:rPr>
          <w:rFonts w:hint="eastAsia" w:ascii="宋体" w:hAnsi="宋体" w:eastAsia="宋体" w:cs="宋体"/>
          <w:iCs/>
          <w:color w:val="auto"/>
          <w:szCs w:val="21"/>
          <w:u w:val="single"/>
        </w:rPr>
        <w:t>（按投标人须知要求规定的金额和币种）</w:t>
      </w:r>
      <w:r>
        <w:rPr>
          <w:rFonts w:hint="eastAsia" w:ascii="宋体" w:hAnsi="宋体" w:eastAsia="宋体" w:cs="宋体"/>
          <w:color w:val="auto"/>
          <w:szCs w:val="21"/>
        </w:rPr>
        <w:t>保证金：</w:t>
      </w:r>
    </w:p>
    <w:p w14:paraId="4FA0B4B0">
      <w:pPr>
        <w:pageBreakBefore w:val="0"/>
        <w:numPr>
          <w:ilvl w:val="0"/>
          <w:numId w:val="35"/>
        </w:numPr>
        <w:tabs>
          <w:tab w:val="clear" w:pos="780"/>
        </w:tabs>
        <w:kinsoku/>
        <w:overflowPunct/>
        <w:autoSpaceDE w:val="0"/>
        <w:autoSpaceDN w:val="0"/>
        <w:bidi w:val="0"/>
        <w:adjustRightInd w:val="0"/>
        <w:snapToGrid w:val="0"/>
        <w:spacing w:line="360" w:lineRule="auto"/>
        <w:ind w:left="0" w:firstLine="420"/>
        <w:jc w:val="left"/>
        <w:rPr>
          <w:rFonts w:hint="eastAsia" w:ascii="宋体" w:hAnsi="宋体" w:eastAsia="宋体" w:cs="宋体"/>
          <w:color w:val="auto"/>
          <w:szCs w:val="21"/>
        </w:rPr>
      </w:pPr>
      <w:r>
        <w:rPr>
          <w:rFonts w:hint="eastAsia" w:ascii="宋体" w:hAnsi="宋体" w:eastAsia="宋体" w:cs="宋体"/>
          <w:color w:val="auto"/>
          <w:szCs w:val="21"/>
        </w:rPr>
        <w:t>投标人在招标文件规定的投标截止时间后投标有效期内撤销其投标；或</w:t>
      </w:r>
    </w:p>
    <w:p w14:paraId="218DABE9">
      <w:pPr>
        <w:pageBreakBefore w:val="0"/>
        <w:numPr>
          <w:ilvl w:val="0"/>
          <w:numId w:val="35"/>
        </w:numPr>
        <w:tabs>
          <w:tab w:val="clear" w:pos="780"/>
        </w:tabs>
        <w:kinsoku/>
        <w:overflowPunct/>
        <w:autoSpaceDE w:val="0"/>
        <w:autoSpaceDN w:val="0"/>
        <w:bidi w:val="0"/>
        <w:adjustRightInd w:val="0"/>
        <w:snapToGrid w:val="0"/>
        <w:spacing w:line="360" w:lineRule="auto"/>
        <w:ind w:left="0" w:firstLine="420"/>
        <w:jc w:val="left"/>
        <w:rPr>
          <w:rFonts w:hint="eastAsia" w:ascii="宋体" w:hAnsi="宋体" w:eastAsia="宋体" w:cs="宋体"/>
          <w:color w:val="auto"/>
          <w:szCs w:val="21"/>
        </w:rPr>
      </w:pPr>
      <w:r>
        <w:rPr>
          <w:rFonts w:hint="eastAsia" w:ascii="宋体" w:hAnsi="宋体" w:eastAsia="宋体" w:cs="宋体"/>
          <w:color w:val="auto"/>
          <w:szCs w:val="21"/>
        </w:rPr>
        <w:t>投标人在招标文件规定的投标截止时间后对投标文件作实质性修改；或</w:t>
      </w:r>
    </w:p>
    <w:p w14:paraId="68116D8A">
      <w:pPr>
        <w:pageBreakBefore w:val="0"/>
        <w:numPr>
          <w:ilvl w:val="0"/>
          <w:numId w:val="35"/>
        </w:numPr>
        <w:tabs>
          <w:tab w:val="clear" w:pos="780"/>
        </w:tabs>
        <w:kinsoku/>
        <w:overflowPunct/>
        <w:autoSpaceDE w:val="0"/>
        <w:autoSpaceDN w:val="0"/>
        <w:bidi w:val="0"/>
        <w:adjustRightInd w:val="0"/>
        <w:snapToGrid w:val="0"/>
        <w:spacing w:line="360" w:lineRule="auto"/>
        <w:ind w:left="0" w:firstLine="420"/>
        <w:jc w:val="left"/>
        <w:rPr>
          <w:rFonts w:hint="eastAsia" w:ascii="宋体" w:hAnsi="宋体" w:eastAsia="宋体" w:cs="宋体"/>
          <w:color w:val="auto"/>
          <w:szCs w:val="21"/>
        </w:rPr>
      </w:pPr>
      <w:r>
        <w:rPr>
          <w:rFonts w:hint="eastAsia" w:ascii="宋体" w:hAnsi="宋体" w:eastAsia="宋体" w:cs="宋体"/>
          <w:color w:val="auto"/>
          <w:szCs w:val="21"/>
        </w:rPr>
        <w:t>投标人在收到中标通知书后，无正当理由不与招标人在规定期限内订立合同、在签订合同时向招标人提出附加条件或改变其投标文件的实质性内容，或者不按照招标文件要求递交履约保证金的；或</w:t>
      </w:r>
    </w:p>
    <w:p w14:paraId="0AE95510">
      <w:pPr>
        <w:pageBreakBefore w:val="0"/>
        <w:numPr>
          <w:ilvl w:val="0"/>
          <w:numId w:val="35"/>
        </w:numPr>
        <w:tabs>
          <w:tab w:val="clear" w:pos="780"/>
        </w:tabs>
        <w:kinsoku/>
        <w:overflowPunct/>
        <w:autoSpaceDE w:val="0"/>
        <w:autoSpaceDN w:val="0"/>
        <w:bidi w:val="0"/>
        <w:adjustRightInd w:val="0"/>
        <w:snapToGrid w:val="0"/>
        <w:spacing w:line="360" w:lineRule="auto"/>
        <w:ind w:left="0" w:firstLine="420"/>
        <w:jc w:val="left"/>
        <w:rPr>
          <w:rFonts w:hint="eastAsia" w:ascii="宋体" w:hAnsi="宋体" w:eastAsia="宋体" w:cs="宋体"/>
          <w:color w:val="auto"/>
          <w:szCs w:val="21"/>
        </w:rPr>
      </w:pPr>
      <w:r>
        <w:rPr>
          <w:rFonts w:hint="eastAsia" w:ascii="宋体" w:hAnsi="宋体" w:eastAsia="宋体" w:cs="宋体"/>
          <w:color w:val="auto"/>
          <w:szCs w:val="21"/>
        </w:rPr>
        <w:t>投标人有串通投标、弄虚作假等行为的；或</w:t>
      </w:r>
    </w:p>
    <w:p w14:paraId="4FF54F62">
      <w:pPr>
        <w:pageBreakBefore w:val="0"/>
        <w:numPr>
          <w:ilvl w:val="0"/>
          <w:numId w:val="35"/>
        </w:numPr>
        <w:tabs>
          <w:tab w:val="clear" w:pos="780"/>
        </w:tabs>
        <w:kinsoku/>
        <w:overflowPunct/>
        <w:autoSpaceDE w:val="0"/>
        <w:autoSpaceDN w:val="0"/>
        <w:bidi w:val="0"/>
        <w:adjustRightInd w:val="0"/>
        <w:snapToGrid w:val="0"/>
        <w:spacing w:line="360" w:lineRule="auto"/>
        <w:ind w:left="0" w:firstLine="420"/>
        <w:jc w:val="left"/>
        <w:rPr>
          <w:rFonts w:hint="eastAsia" w:ascii="宋体" w:hAnsi="宋体" w:eastAsia="宋体" w:cs="宋体"/>
          <w:color w:val="auto"/>
          <w:szCs w:val="21"/>
        </w:rPr>
      </w:pPr>
      <w:r>
        <w:rPr>
          <w:rFonts w:hint="eastAsia" w:ascii="宋体" w:hAnsi="宋体" w:eastAsia="宋体" w:cs="宋体"/>
          <w:color w:val="auto"/>
          <w:szCs w:val="21"/>
        </w:rPr>
        <w:t>投标人有招标文件中有关投标保证金不予退还的其它情形的。</w:t>
      </w:r>
    </w:p>
    <w:p w14:paraId="3CE47038">
      <w:pPr>
        <w:pageBreakBefore w:val="0"/>
        <w:kinsoku/>
        <w:overflowPunct/>
        <w:bidi w:val="0"/>
        <w:snapToGrid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本保函有效期应不短于投标有效期，从投标文件递交截止之日起计算，并在贵方和投标人同意延长的有效期内保持有效，延长的有效期只需通知本方即可。贵方有权提前终止或解除本保函。</w:t>
      </w:r>
    </w:p>
    <w:p w14:paraId="64CCCFAC">
      <w:pPr>
        <w:pageBreakBefore w:val="0"/>
        <w:kinsoku/>
        <w:overflowPunct/>
        <w:bidi w:val="0"/>
        <w:snapToGrid w:val="0"/>
        <w:spacing w:line="360" w:lineRule="auto"/>
        <w:ind w:firstLine="424" w:firstLineChars="202"/>
        <w:rPr>
          <w:rFonts w:hint="eastAsia" w:ascii="宋体" w:hAnsi="宋体" w:eastAsia="宋体" w:cs="宋体"/>
          <w:color w:val="auto"/>
          <w:szCs w:val="21"/>
        </w:rPr>
      </w:pPr>
    </w:p>
    <w:p w14:paraId="30401896">
      <w:pPr>
        <w:pStyle w:val="94"/>
        <w:pageBreakBefore w:val="0"/>
        <w:kinsoku/>
        <w:overflowPunct/>
        <w:bidi w:val="0"/>
        <w:snapToGrid w:val="0"/>
        <w:spacing w:line="360" w:lineRule="auto"/>
        <w:ind w:firstLine="411" w:firstLineChars="196"/>
        <w:rPr>
          <w:rFonts w:hint="eastAsia" w:ascii="宋体" w:hAnsi="宋体" w:eastAsia="宋体" w:cs="宋体"/>
          <w:color w:val="auto"/>
          <w:kern w:val="0"/>
          <w:szCs w:val="21"/>
        </w:rPr>
      </w:pPr>
      <w:r>
        <w:rPr>
          <w:rFonts w:hint="eastAsia" w:ascii="宋体" w:hAnsi="宋体" w:eastAsia="宋体" w:cs="宋体"/>
          <w:color w:val="auto"/>
          <w:szCs w:val="21"/>
        </w:rPr>
        <w:t>保函开立人名称：</w:t>
      </w:r>
      <w:r>
        <w:rPr>
          <w:rFonts w:hint="eastAsia" w:ascii="宋体" w:hAnsi="宋体" w:eastAsia="宋体" w:cs="宋体"/>
          <w:color w:val="auto"/>
          <w:kern w:val="0"/>
          <w:szCs w:val="21"/>
          <w:u w:val="single"/>
        </w:rPr>
        <w:t>　　　　　　　　</w:t>
      </w:r>
      <w:r>
        <w:rPr>
          <w:rFonts w:hint="eastAsia" w:ascii="宋体" w:hAnsi="宋体" w:eastAsia="宋体" w:cs="宋体"/>
          <w:color w:val="auto"/>
          <w:kern w:val="0"/>
          <w:szCs w:val="21"/>
        </w:rPr>
        <w:t>（盖单位公章）</w:t>
      </w:r>
    </w:p>
    <w:p w14:paraId="6B9E94C9">
      <w:pPr>
        <w:pStyle w:val="94"/>
        <w:pageBreakBefore w:val="0"/>
        <w:kinsoku/>
        <w:overflowPunct/>
        <w:bidi w:val="0"/>
        <w:snapToGrid w:val="0"/>
        <w:spacing w:line="360" w:lineRule="auto"/>
        <w:ind w:firstLine="411" w:firstLineChars="196"/>
        <w:rPr>
          <w:rFonts w:hint="eastAsia" w:ascii="宋体" w:hAnsi="宋体" w:eastAsia="宋体" w:cs="宋体"/>
          <w:color w:val="auto"/>
          <w:kern w:val="0"/>
          <w:szCs w:val="21"/>
        </w:rPr>
      </w:pPr>
      <w:r>
        <w:rPr>
          <w:rFonts w:hint="eastAsia" w:ascii="宋体" w:hAnsi="宋体" w:eastAsia="宋体" w:cs="宋体"/>
          <w:color w:val="auto"/>
          <w:kern w:val="0"/>
          <w:szCs w:val="21"/>
        </w:rPr>
        <w:t>法定代表人/负责人（签字或盖人名章）或者其委托代理人（签字）：</w:t>
      </w:r>
      <w:r>
        <w:rPr>
          <w:rFonts w:hint="eastAsia" w:ascii="宋体" w:hAnsi="宋体" w:eastAsia="宋体" w:cs="宋体"/>
          <w:color w:val="auto"/>
          <w:kern w:val="0"/>
          <w:szCs w:val="21"/>
          <w:u w:val="single"/>
        </w:rPr>
        <w:t xml:space="preserve">        </w:t>
      </w:r>
    </w:p>
    <w:p w14:paraId="45728ABE">
      <w:pPr>
        <w:pStyle w:val="94"/>
        <w:pageBreakBefore w:val="0"/>
        <w:kinsoku/>
        <w:overflowPunct/>
        <w:bidi w:val="0"/>
        <w:snapToGrid w:val="0"/>
        <w:spacing w:line="360" w:lineRule="auto"/>
        <w:ind w:firstLine="411" w:firstLineChars="196"/>
        <w:rPr>
          <w:rFonts w:hint="eastAsia" w:ascii="宋体" w:hAnsi="宋体" w:eastAsia="宋体" w:cs="宋体"/>
          <w:color w:val="auto"/>
          <w:kern w:val="0"/>
          <w:szCs w:val="21"/>
        </w:rPr>
      </w:pPr>
      <w:r>
        <w:rPr>
          <w:rFonts w:hint="eastAsia" w:ascii="宋体" w:hAnsi="宋体" w:eastAsia="宋体" w:cs="宋体"/>
          <w:color w:val="auto"/>
          <w:kern w:val="0"/>
          <w:szCs w:val="21"/>
        </w:rPr>
        <w:t>日期：</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年</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日</w:t>
      </w:r>
    </w:p>
    <w:p w14:paraId="027887B6">
      <w:pPr>
        <w:pageBreakBefore w:val="0"/>
        <w:widowControl/>
        <w:kinsoku/>
        <w:overflowPunct/>
        <w:bidi w:val="0"/>
        <w:spacing w:line="360" w:lineRule="auto"/>
        <w:jc w:val="left"/>
        <w:rPr>
          <w:rFonts w:hint="eastAsia" w:ascii="宋体" w:hAnsi="宋体" w:eastAsia="宋体" w:cs="宋体"/>
          <w:b/>
          <w:color w:val="auto"/>
        </w:rPr>
      </w:pPr>
    </w:p>
    <w:p w14:paraId="1F8C948B">
      <w:pPr>
        <w:pageBreakBefore w:val="0"/>
        <w:widowControl/>
        <w:kinsoku/>
        <w:overflowPunct/>
        <w:bidi w:val="0"/>
        <w:spacing w:line="360" w:lineRule="auto"/>
        <w:jc w:val="left"/>
        <w:rPr>
          <w:rFonts w:hint="eastAsia" w:ascii="宋体" w:hAnsi="宋体" w:eastAsia="宋体" w:cs="宋体"/>
          <w:b/>
          <w:color w:val="auto"/>
        </w:rPr>
      </w:pPr>
    </w:p>
    <w:p w14:paraId="6F394B85">
      <w:pPr>
        <w:pageBreakBefore w:val="0"/>
        <w:kinsoku/>
        <w:overflowPunct/>
        <w:bidi w:val="0"/>
        <w:snapToGrid w:val="0"/>
        <w:spacing w:line="360" w:lineRule="auto"/>
        <w:rPr>
          <w:rFonts w:hint="eastAsia" w:ascii="宋体" w:hAnsi="宋体" w:eastAsia="宋体" w:cs="宋体"/>
          <w:color w:val="auto"/>
          <w:szCs w:val="21"/>
        </w:rPr>
      </w:pPr>
      <w:r>
        <w:rPr>
          <w:rFonts w:hint="eastAsia" w:ascii="宋体" w:hAnsi="宋体" w:eastAsia="宋体" w:cs="宋体"/>
          <w:b/>
          <w:color w:val="auto"/>
          <w:szCs w:val="21"/>
        </w:rPr>
        <w:t>编制要求：</w:t>
      </w:r>
      <w:r>
        <w:rPr>
          <w:rFonts w:hint="eastAsia" w:ascii="宋体" w:hAnsi="宋体" w:eastAsia="宋体" w:cs="宋体"/>
          <w:color w:val="auto"/>
          <w:szCs w:val="21"/>
        </w:rPr>
        <w:t>投标人可以根据实际情况对本文件进行调整和修改，但应满足招标文件对本文件的要求。</w:t>
      </w:r>
      <w:r>
        <w:rPr>
          <w:rFonts w:hint="eastAsia" w:ascii="宋体" w:hAnsi="宋体" w:eastAsia="宋体" w:cs="宋体"/>
          <w:color w:val="auto"/>
          <w:szCs w:val="21"/>
        </w:rPr>
        <w:br w:type="page"/>
      </w:r>
    </w:p>
    <w:p w14:paraId="41550E3E">
      <w:pPr>
        <w:pageBreakBefore w:val="0"/>
        <w:kinsoku/>
        <w:overflowPunct/>
        <w:bidi w:val="0"/>
        <w:spacing w:before="260" w:after="260" w:line="360" w:lineRule="auto"/>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投标保证金汇款</w:t>
      </w:r>
      <w:r>
        <w:rPr>
          <w:rFonts w:hint="eastAsia" w:ascii="宋体" w:hAnsi="宋体" w:eastAsia="宋体" w:cs="宋体"/>
          <w:bCs/>
          <w:color w:val="auto"/>
          <w:sz w:val="28"/>
          <w:szCs w:val="21"/>
        </w:rPr>
        <w:t>凭据复印件</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63DC1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1" w:hRule="atLeast"/>
        </w:trPr>
        <w:tc>
          <w:tcPr>
            <w:tcW w:w="8528" w:type="dxa"/>
          </w:tcPr>
          <w:p w14:paraId="51D06257">
            <w:pPr>
              <w:pageBreakBefore w:val="0"/>
              <w:kinsoku/>
              <w:overflowPunct/>
              <w:bidi w:val="0"/>
              <w:spacing w:line="360" w:lineRule="auto"/>
              <w:rPr>
                <w:rFonts w:hint="eastAsia" w:ascii="宋体" w:hAnsi="宋体" w:eastAsia="宋体" w:cs="宋体"/>
                <w:b/>
                <w:color w:val="auto"/>
              </w:rPr>
            </w:pPr>
            <w:bookmarkStart w:id="1545" w:name="_Toc402947466"/>
            <w:bookmarkStart w:id="1546" w:name="_Toc402947290"/>
            <w:r>
              <w:rPr>
                <w:rFonts w:hint="eastAsia" w:ascii="宋体" w:hAnsi="宋体" w:eastAsia="宋体" w:cs="宋体"/>
                <w:b/>
                <w:color w:val="auto"/>
              </w:rPr>
              <w:t>投标保证金汇款凭据复印件贴附处</w:t>
            </w:r>
            <w:bookmarkEnd w:id="1545"/>
            <w:bookmarkEnd w:id="1546"/>
          </w:p>
          <w:p w14:paraId="7DF11935">
            <w:pPr>
              <w:pageBreakBefore w:val="0"/>
              <w:kinsoku/>
              <w:overflowPunct/>
              <w:bidi w:val="0"/>
              <w:spacing w:line="360" w:lineRule="auto"/>
              <w:rPr>
                <w:rFonts w:hint="eastAsia" w:ascii="宋体" w:hAnsi="宋体" w:eastAsia="宋体" w:cs="宋体"/>
                <w:b/>
                <w:color w:val="auto"/>
              </w:rPr>
            </w:pPr>
          </w:p>
        </w:tc>
      </w:tr>
    </w:tbl>
    <w:p w14:paraId="2E7158A1">
      <w:pPr>
        <w:pageBreakBefore w:val="0"/>
        <w:widowControl/>
        <w:kinsoku/>
        <w:overflowPunct/>
        <w:bidi w:val="0"/>
        <w:spacing w:line="360" w:lineRule="auto"/>
        <w:jc w:val="left"/>
        <w:rPr>
          <w:rFonts w:hint="eastAsia" w:ascii="宋体" w:hAnsi="宋体" w:eastAsia="宋体" w:cs="宋体"/>
          <w:b/>
          <w:color w:val="auto"/>
        </w:rPr>
      </w:pPr>
    </w:p>
    <w:p w14:paraId="02C6C894">
      <w:pPr>
        <w:pageBreakBefore w:val="0"/>
        <w:widowControl/>
        <w:kinsoku/>
        <w:overflowPunct/>
        <w:bidi w:val="0"/>
        <w:spacing w:line="360" w:lineRule="auto"/>
        <w:jc w:val="left"/>
        <w:rPr>
          <w:rFonts w:hint="eastAsia" w:ascii="宋体" w:hAnsi="宋体" w:eastAsia="宋体" w:cs="宋体"/>
          <w:b/>
          <w:color w:val="auto"/>
        </w:rPr>
      </w:pPr>
    </w:p>
    <w:p w14:paraId="3FF7D44C">
      <w:pPr>
        <w:pageBreakBefore w:val="0"/>
        <w:widowControl/>
        <w:kinsoku/>
        <w:overflowPunct/>
        <w:bidi w:val="0"/>
        <w:spacing w:line="360" w:lineRule="auto"/>
        <w:jc w:val="left"/>
        <w:rPr>
          <w:rFonts w:hint="eastAsia" w:ascii="宋体" w:hAnsi="宋体" w:eastAsia="宋体" w:cs="宋体"/>
          <w:b/>
          <w:color w:val="auto"/>
        </w:rPr>
      </w:pPr>
    </w:p>
    <w:p w14:paraId="4627D1B7">
      <w:pPr>
        <w:pageBreakBefore w:val="0"/>
        <w:widowControl/>
        <w:kinsoku/>
        <w:overflowPunct/>
        <w:bidi w:val="0"/>
        <w:spacing w:line="360" w:lineRule="auto"/>
        <w:jc w:val="left"/>
        <w:rPr>
          <w:rFonts w:hint="eastAsia" w:ascii="宋体" w:hAnsi="宋体" w:eastAsia="宋体" w:cs="宋体"/>
          <w:b/>
          <w:color w:val="auto"/>
        </w:rPr>
      </w:pPr>
    </w:p>
    <w:p w14:paraId="1730CC95">
      <w:pPr>
        <w:pageBreakBefore w:val="0"/>
        <w:kinsoku/>
        <w:overflowPunct/>
        <w:bidi w:val="0"/>
        <w:snapToGrid w:val="0"/>
        <w:spacing w:line="360" w:lineRule="auto"/>
        <w:rPr>
          <w:rFonts w:hint="eastAsia" w:ascii="宋体" w:hAnsi="宋体" w:eastAsia="宋体" w:cs="宋体"/>
          <w:color w:val="auto"/>
          <w:szCs w:val="21"/>
        </w:rPr>
      </w:pPr>
      <w:r>
        <w:rPr>
          <w:rFonts w:hint="eastAsia" w:ascii="宋体" w:hAnsi="宋体" w:eastAsia="宋体" w:cs="宋体"/>
          <w:b/>
          <w:color w:val="auto"/>
          <w:szCs w:val="21"/>
        </w:rPr>
        <w:t>编制要求：</w:t>
      </w:r>
      <w:r>
        <w:rPr>
          <w:rFonts w:hint="eastAsia" w:ascii="宋体" w:hAnsi="宋体" w:eastAsia="宋体" w:cs="宋体"/>
          <w:color w:val="auto"/>
          <w:szCs w:val="21"/>
        </w:rPr>
        <w:t>投标人可以根据实际情况对本文件进行调整和修改，但应满足招标文件对本文件的要求。</w:t>
      </w:r>
    </w:p>
    <w:p w14:paraId="1004DAF3">
      <w:pPr>
        <w:pageBreakBefore w:val="0"/>
        <w:kinsoku/>
        <w:overflowPunct/>
        <w:bidi w:val="0"/>
        <w:snapToGrid w:val="0"/>
        <w:spacing w:line="360" w:lineRule="auto"/>
        <w:rPr>
          <w:rFonts w:hint="eastAsia" w:ascii="宋体" w:hAnsi="宋体" w:eastAsia="宋体" w:cs="宋体"/>
          <w:color w:val="auto"/>
          <w:szCs w:val="21"/>
        </w:rPr>
      </w:pPr>
    </w:p>
    <w:p w14:paraId="3410F1F3">
      <w:pPr>
        <w:pageBreakBefore w:val="0"/>
        <w:kinsoku/>
        <w:overflowPunct/>
        <w:bidi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br w:type="page"/>
      </w:r>
    </w:p>
    <w:p w14:paraId="1A420550">
      <w:pPr>
        <w:pStyle w:val="39"/>
        <w:pageBreakBefore w:val="0"/>
        <w:tabs>
          <w:tab w:val="left" w:pos="588"/>
        </w:tabs>
        <w:kinsoku/>
        <w:overflowPunct/>
        <w:bidi w:val="0"/>
        <w:snapToGrid w:val="0"/>
        <w:spacing w:before="120" w:after="120" w:line="360" w:lineRule="auto"/>
        <w:ind w:left="425"/>
        <w:outlineLvl w:val="9"/>
        <w:rPr>
          <w:rFonts w:hint="eastAsia" w:ascii="宋体" w:hAnsi="宋体" w:eastAsia="宋体" w:cs="宋体"/>
          <w:color w:val="auto"/>
          <w:sz w:val="24"/>
          <w:szCs w:val="24"/>
        </w:rPr>
      </w:pPr>
      <w:bookmarkStart w:id="1547" w:name="_Toc31823"/>
      <w:bookmarkStart w:id="1548" w:name="_Toc13301"/>
      <w:bookmarkStart w:id="1549" w:name="_Toc51338725"/>
      <w:bookmarkStart w:id="1550" w:name="_Toc25140"/>
      <w:bookmarkStart w:id="1551" w:name="_Toc23931"/>
      <w:bookmarkStart w:id="1552" w:name="_Toc12878"/>
      <w:bookmarkStart w:id="1553" w:name="_Toc51338419"/>
      <w:bookmarkStart w:id="1554" w:name="_Toc5562"/>
      <w:bookmarkStart w:id="1555" w:name="_Toc8777"/>
      <w:bookmarkStart w:id="1556" w:name="_Toc479855107"/>
      <w:bookmarkStart w:id="1557" w:name="_Toc4979"/>
      <w:bookmarkStart w:id="1558" w:name="_Toc51338573"/>
      <w:bookmarkStart w:id="1559" w:name="_Toc20834"/>
      <w:bookmarkStart w:id="1560" w:name="_Toc28726"/>
      <w:bookmarkStart w:id="1561" w:name="_Toc327"/>
      <w:bookmarkStart w:id="1562" w:name="_Toc52360177"/>
      <w:r>
        <w:rPr>
          <w:rFonts w:hint="eastAsia" w:ascii="宋体" w:hAnsi="宋体" w:eastAsia="宋体" w:cs="宋体"/>
          <w:color w:val="auto"/>
          <w:sz w:val="24"/>
          <w:szCs w:val="24"/>
        </w:rPr>
        <w:t>投标保证金返还书</w:t>
      </w:r>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p>
    <w:p w14:paraId="70B24480">
      <w:pPr>
        <w:pageBreakBefore w:val="0"/>
        <w:kinsoku/>
        <w:overflowPunct/>
        <w:bidi w:val="0"/>
        <w:spacing w:line="360" w:lineRule="auto"/>
        <w:rPr>
          <w:rFonts w:hint="eastAsia" w:ascii="宋体" w:hAnsi="宋体" w:eastAsia="宋体" w:cs="宋体"/>
          <w:b/>
          <w:color w:val="auto"/>
          <w:sz w:val="24"/>
        </w:rPr>
      </w:pPr>
      <w:r>
        <w:rPr>
          <w:rFonts w:hint="eastAsia" w:ascii="宋体" w:hAnsi="宋体" w:eastAsia="宋体" w:cs="宋体"/>
          <w:b/>
          <w:color w:val="auto"/>
          <w:sz w:val="24"/>
        </w:rPr>
        <w:t>中通服供应链股份有限公司贵州分公司：</w:t>
      </w:r>
    </w:p>
    <w:p w14:paraId="3F56643E">
      <w:pPr>
        <w:pageBreakBefore w:val="0"/>
        <w:kinsoku/>
        <w:overflowPunct/>
        <w:bidi w:val="0"/>
        <w:spacing w:line="360" w:lineRule="auto"/>
        <w:ind w:firstLine="360" w:firstLineChars="150"/>
        <w:rPr>
          <w:rFonts w:hint="eastAsia" w:ascii="宋体" w:hAnsi="宋体" w:eastAsia="宋体" w:cs="宋体"/>
          <w:color w:val="auto"/>
          <w:szCs w:val="21"/>
        </w:rPr>
      </w:pPr>
      <w:r>
        <w:rPr>
          <w:rFonts w:hint="eastAsia" w:ascii="宋体" w:hAnsi="宋体" w:eastAsia="宋体" w:cs="宋体"/>
          <w:color w:val="auto"/>
          <w:sz w:val="24"/>
        </w:rPr>
        <w:t xml:space="preserve"> </w:t>
      </w:r>
      <w:r>
        <w:rPr>
          <w:rFonts w:hint="eastAsia" w:ascii="宋体" w:hAnsi="宋体" w:eastAsia="宋体" w:cs="宋体"/>
          <w:color w:val="auto"/>
          <w:szCs w:val="21"/>
        </w:rPr>
        <w:t>我单位参加你公司组织的招标</w:t>
      </w:r>
      <w:r>
        <w:rPr>
          <w:rFonts w:hint="eastAsia" w:ascii="宋体" w:hAnsi="宋体" w:eastAsia="宋体" w:cs="宋体"/>
          <w:color w:val="auto"/>
          <w:szCs w:val="21"/>
          <w:u w:val="single"/>
        </w:rPr>
        <w:t xml:space="preserve">       </w:t>
      </w:r>
      <w:r>
        <w:rPr>
          <w:rFonts w:hint="eastAsia" w:ascii="宋体" w:hAnsi="宋体" w:eastAsia="宋体" w:cs="宋体"/>
          <w:color w:val="auto"/>
          <w:sz w:val="24"/>
          <w:u w:val="single"/>
        </w:rPr>
        <w:t>（</w:t>
      </w:r>
      <w:r>
        <w:rPr>
          <w:rFonts w:hint="eastAsia" w:ascii="宋体" w:hAnsi="宋体" w:eastAsia="宋体" w:cs="宋体"/>
          <w:color w:val="auto"/>
          <w:szCs w:val="21"/>
          <w:u w:val="single"/>
        </w:rPr>
        <w:t>项目名称</w:t>
      </w:r>
      <w:r>
        <w:rPr>
          <w:rFonts w:hint="eastAsia" w:ascii="宋体" w:hAnsi="宋体" w:eastAsia="宋体" w:cs="宋体"/>
          <w:color w:val="auto"/>
          <w:sz w:val="24"/>
          <w:u w:val="single"/>
        </w:rPr>
        <w:t>）</w:t>
      </w:r>
      <w:r>
        <w:rPr>
          <w:rFonts w:hint="eastAsia" w:ascii="宋体" w:hAnsi="宋体" w:eastAsia="宋体" w:cs="宋体"/>
          <w:color w:val="auto"/>
          <w:sz w:val="24"/>
        </w:rPr>
        <w:t>（</w:t>
      </w:r>
      <w:r>
        <w:rPr>
          <w:rFonts w:hint="eastAsia" w:ascii="宋体" w:hAnsi="宋体" w:eastAsia="宋体" w:cs="宋体"/>
          <w:color w:val="auto"/>
          <w:szCs w:val="21"/>
        </w:rPr>
        <w:t>招标编号</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Cs w:val="21"/>
        </w:rPr>
        <w:t>的投标，如须退还投标保证金请贵公司将我单位提供的投标保证金汇入到以下帐户。</w:t>
      </w:r>
    </w:p>
    <w:p w14:paraId="5696704E">
      <w:pPr>
        <w:pageBreakBefore w:val="0"/>
        <w:kinsoku/>
        <w:overflowPunct/>
        <w:bidi w:val="0"/>
        <w:spacing w:line="360" w:lineRule="auto"/>
        <w:ind w:firstLine="315" w:firstLineChars="150"/>
        <w:rPr>
          <w:rFonts w:hint="eastAsia" w:ascii="宋体" w:hAnsi="宋体" w:eastAsia="宋体" w:cs="宋体"/>
          <w:color w:val="auto"/>
          <w:szCs w:val="21"/>
        </w:rPr>
      </w:pPr>
      <w:r>
        <w:rPr>
          <w:rFonts w:hint="eastAsia" w:ascii="宋体" w:hAnsi="宋体" w:eastAsia="宋体" w:cs="宋体"/>
          <w:color w:val="auto"/>
          <w:szCs w:val="21"/>
        </w:rPr>
        <w:t>以下是我单位提供的有关内容，保证真实。</w:t>
      </w:r>
    </w:p>
    <w:p w14:paraId="08C0E29C">
      <w:pPr>
        <w:pageBreakBefore w:val="0"/>
        <w:kinsoku/>
        <w:overflowPunct/>
        <w:bidi w:val="0"/>
        <w:spacing w:line="360" w:lineRule="auto"/>
        <w:ind w:firstLine="315" w:firstLineChars="150"/>
        <w:rPr>
          <w:rFonts w:hint="eastAsia" w:ascii="宋体" w:hAnsi="宋体" w:eastAsia="宋体" w:cs="宋体"/>
          <w:color w:val="auto"/>
          <w:sz w:val="24"/>
          <w:u w:val="single"/>
        </w:rPr>
      </w:pPr>
      <w:r>
        <w:rPr>
          <w:rFonts w:hint="eastAsia" w:ascii="宋体" w:hAnsi="宋体" w:eastAsia="宋体" w:cs="宋体"/>
          <w:color w:val="auto"/>
          <w:szCs w:val="21"/>
        </w:rPr>
        <w:t>投标单位全称：</w:t>
      </w:r>
      <w:r>
        <w:rPr>
          <w:rFonts w:hint="eastAsia" w:ascii="宋体" w:hAnsi="宋体" w:eastAsia="宋体" w:cs="宋体"/>
          <w:color w:val="auto"/>
          <w:sz w:val="24"/>
          <w:u w:val="single"/>
        </w:rPr>
        <w:t xml:space="preserve">                                                        </w:t>
      </w:r>
    </w:p>
    <w:p w14:paraId="7A5F9345">
      <w:pPr>
        <w:pageBreakBefore w:val="0"/>
        <w:kinsoku/>
        <w:overflowPunct/>
        <w:bidi w:val="0"/>
        <w:spacing w:line="360" w:lineRule="auto"/>
        <w:ind w:firstLine="315" w:firstLineChars="150"/>
        <w:rPr>
          <w:rFonts w:hint="eastAsia" w:ascii="宋体" w:hAnsi="宋体" w:eastAsia="宋体" w:cs="宋体"/>
          <w:color w:val="auto"/>
          <w:szCs w:val="21"/>
        </w:rPr>
      </w:pPr>
      <w:r>
        <w:rPr>
          <w:rFonts w:hint="eastAsia" w:ascii="宋体" w:hAnsi="宋体" w:eastAsia="宋体" w:cs="宋体"/>
          <w:color w:val="auto"/>
          <w:szCs w:val="21"/>
        </w:rPr>
        <w:t xml:space="preserve">开户名称：    </w:t>
      </w:r>
      <w:r>
        <w:rPr>
          <w:rFonts w:hint="eastAsia" w:ascii="宋体" w:hAnsi="宋体" w:eastAsia="宋体" w:cs="宋体"/>
          <w:color w:val="auto"/>
          <w:szCs w:val="21"/>
          <w:u w:val="single"/>
        </w:rPr>
        <w:t xml:space="preserve">                                                                </w:t>
      </w:r>
    </w:p>
    <w:p w14:paraId="2AF83B0D">
      <w:pPr>
        <w:pageBreakBefore w:val="0"/>
        <w:kinsoku/>
        <w:overflowPunct/>
        <w:bidi w:val="0"/>
        <w:spacing w:line="360" w:lineRule="auto"/>
        <w:ind w:firstLine="315" w:firstLineChars="150"/>
        <w:rPr>
          <w:rFonts w:hint="eastAsia" w:ascii="宋体" w:hAnsi="宋体" w:eastAsia="宋体" w:cs="宋体"/>
          <w:color w:val="auto"/>
          <w:sz w:val="24"/>
          <w:u w:val="single"/>
        </w:rPr>
      </w:pPr>
      <w:r>
        <w:rPr>
          <w:rFonts w:hint="eastAsia" w:ascii="宋体" w:hAnsi="宋体" w:eastAsia="宋体" w:cs="宋体"/>
          <w:color w:val="auto"/>
          <w:szCs w:val="21"/>
        </w:rPr>
        <w:t>投标单位地址：</w:t>
      </w:r>
      <w:r>
        <w:rPr>
          <w:rFonts w:hint="eastAsia" w:ascii="宋体" w:hAnsi="宋体" w:eastAsia="宋体" w:cs="宋体"/>
          <w:color w:val="auto"/>
          <w:sz w:val="24"/>
          <w:u w:val="single"/>
        </w:rPr>
        <w:t xml:space="preserve">                                                        </w:t>
      </w:r>
    </w:p>
    <w:p w14:paraId="670DF64C">
      <w:pPr>
        <w:pageBreakBefore w:val="0"/>
        <w:kinsoku/>
        <w:overflowPunct/>
        <w:bidi w:val="0"/>
        <w:spacing w:line="360" w:lineRule="auto"/>
        <w:ind w:firstLine="315" w:firstLineChars="150"/>
        <w:rPr>
          <w:rFonts w:hint="eastAsia" w:ascii="宋体" w:hAnsi="宋体" w:eastAsia="宋体" w:cs="宋体"/>
          <w:color w:val="auto"/>
          <w:sz w:val="24"/>
          <w:u w:val="single"/>
        </w:rPr>
      </w:pPr>
      <w:r>
        <w:rPr>
          <w:rFonts w:hint="eastAsia" w:ascii="宋体" w:hAnsi="宋体" w:eastAsia="宋体" w:cs="宋体"/>
          <w:color w:val="auto"/>
          <w:szCs w:val="21"/>
        </w:rPr>
        <w:t>开 户 银 行：</w:t>
      </w:r>
      <w:r>
        <w:rPr>
          <w:rFonts w:hint="eastAsia" w:ascii="宋体" w:hAnsi="宋体" w:eastAsia="宋体" w:cs="宋体"/>
          <w:color w:val="auto"/>
          <w:sz w:val="24"/>
          <w:u w:val="single"/>
        </w:rPr>
        <w:t xml:space="preserve">                                                         </w:t>
      </w:r>
    </w:p>
    <w:p w14:paraId="3CE735E8">
      <w:pPr>
        <w:pageBreakBefore w:val="0"/>
        <w:kinsoku/>
        <w:overflowPunct/>
        <w:bidi w:val="0"/>
        <w:spacing w:line="360" w:lineRule="auto"/>
        <w:ind w:firstLine="315" w:firstLineChars="150"/>
        <w:rPr>
          <w:rFonts w:hint="eastAsia" w:ascii="宋体" w:hAnsi="宋体" w:eastAsia="宋体" w:cs="宋体"/>
          <w:color w:val="auto"/>
          <w:sz w:val="24"/>
          <w:u w:val="single"/>
        </w:rPr>
      </w:pPr>
      <w:r>
        <w:rPr>
          <w:rFonts w:hint="eastAsia" w:ascii="宋体" w:hAnsi="宋体" w:eastAsia="宋体" w:cs="宋体"/>
          <w:color w:val="auto"/>
          <w:szCs w:val="21"/>
        </w:rPr>
        <w:t>账      号：</w:t>
      </w:r>
      <w:r>
        <w:rPr>
          <w:rFonts w:hint="eastAsia" w:ascii="宋体" w:hAnsi="宋体" w:eastAsia="宋体" w:cs="宋体"/>
          <w:color w:val="auto"/>
          <w:sz w:val="24"/>
          <w:u w:val="single"/>
        </w:rPr>
        <w:t xml:space="preserve">                                                          </w:t>
      </w:r>
    </w:p>
    <w:p w14:paraId="50542473">
      <w:pPr>
        <w:pageBreakBefore w:val="0"/>
        <w:kinsoku/>
        <w:overflowPunct/>
        <w:bidi w:val="0"/>
        <w:spacing w:line="360" w:lineRule="auto"/>
        <w:ind w:firstLine="315" w:firstLineChars="150"/>
        <w:rPr>
          <w:rFonts w:hint="eastAsia" w:ascii="宋体" w:hAnsi="宋体" w:eastAsia="宋体" w:cs="宋体"/>
          <w:color w:val="auto"/>
          <w:sz w:val="24"/>
          <w:u w:val="single"/>
        </w:rPr>
      </w:pPr>
      <w:r>
        <w:rPr>
          <w:rFonts w:hint="eastAsia" w:ascii="宋体" w:hAnsi="宋体" w:eastAsia="宋体" w:cs="宋体"/>
          <w:color w:val="auto"/>
          <w:szCs w:val="21"/>
        </w:rPr>
        <w:t>联  系  人：</w:t>
      </w:r>
      <w:r>
        <w:rPr>
          <w:rFonts w:hint="eastAsia" w:ascii="宋体" w:hAnsi="宋体" w:eastAsia="宋体" w:cs="宋体"/>
          <w:color w:val="auto"/>
          <w:sz w:val="24"/>
          <w:u w:val="single"/>
        </w:rPr>
        <w:t xml:space="preserve">                                                          </w:t>
      </w:r>
    </w:p>
    <w:p w14:paraId="49560F0D">
      <w:pPr>
        <w:pageBreakBefore w:val="0"/>
        <w:kinsoku/>
        <w:overflowPunct/>
        <w:bidi w:val="0"/>
        <w:spacing w:line="360" w:lineRule="auto"/>
        <w:ind w:firstLine="315" w:firstLineChars="150"/>
        <w:rPr>
          <w:rFonts w:hint="eastAsia" w:ascii="宋体" w:hAnsi="宋体" w:eastAsia="宋体" w:cs="宋体"/>
          <w:color w:val="auto"/>
          <w:sz w:val="24"/>
          <w:u w:val="single"/>
        </w:rPr>
      </w:pPr>
      <w:r>
        <w:rPr>
          <w:rFonts w:hint="eastAsia" w:ascii="宋体" w:hAnsi="宋体" w:eastAsia="宋体" w:cs="宋体"/>
          <w:color w:val="auto"/>
          <w:szCs w:val="21"/>
        </w:rPr>
        <w:t>联系电话及传真：</w:t>
      </w:r>
      <w:r>
        <w:rPr>
          <w:rFonts w:hint="eastAsia" w:ascii="宋体" w:hAnsi="宋体" w:eastAsia="宋体" w:cs="宋体"/>
          <w:color w:val="auto"/>
          <w:sz w:val="24"/>
          <w:u w:val="single"/>
        </w:rPr>
        <w:t xml:space="preserve">                                                      </w:t>
      </w:r>
    </w:p>
    <w:p w14:paraId="5DA8B0E6">
      <w:pPr>
        <w:pageBreakBefore w:val="0"/>
        <w:kinsoku/>
        <w:overflowPunct/>
        <w:bidi w:val="0"/>
        <w:spacing w:line="360" w:lineRule="auto"/>
        <w:ind w:firstLine="316" w:firstLineChars="150"/>
        <w:rPr>
          <w:rFonts w:hint="eastAsia" w:ascii="宋体" w:hAnsi="宋体" w:eastAsia="宋体" w:cs="宋体"/>
          <w:b/>
          <w:color w:val="auto"/>
          <w:szCs w:val="21"/>
        </w:rPr>
      </w:pPr>
      <w:r>
        <w:rPr>
          <w:rFonts w:hint="eastAsia" w:ascii="宋体" w:hAnsi="宋体" w:eastAsia="宋体" w:cs="宋体"/>
          <w:b/>
          <w:color w:val="auto"/>
          <w:szCs w:val="21"/>
        </w:rPr>
        <w:t>特别说明：</w:t>
      </w:r>
    </w:p>
    <w:p w14:paraId="37BAC30D">
      <w:pPr>
        <w:pageBreakBefore w:val="0"/>
        <w:kinsoku/>
        <w:overflowPunct/>
        <w:bidi w:val="0"/>
        <w:spacing w:line="360" w:lineRule="auto"/>
        <w:ind w:firstLine="316" w:firstLineChars="150"/>
        <w:rPr>
          <w:rFonts w:hint="eastAsia" w:ascii="宋体" w:hAnsi="宋体" w:eastAsia="宋体" w:cs="宋体"/>
          <w:b/>
          <w:color w:val="auto"/>
          <w:szCs w:val="21"/>
        </w:rPr>
      </w:pPr>
      <w:r>
        <w:rPr>
          <w:rFonts w:hint="eastAsia" w:ascii="宋体" w:hAnsi="宋体" w:eastAsia="宋体" w:cs="宋体"/>
          <w:b/>
          <w:color w:val="auto"/>
          <w:szCs w:val="21"/>
        </w:rPr>
        <w:t>1） 投标人请认真填写以上内容，如由于投标人的填写错误或字迹不清楚而造成的损失由投标人自行承担。</w:t>
      </w:r>
    </w:p>
    <w:p w14:paraId="3BB8D528">
      <w:pPr>
        <w:pageBreakBefore w:val="0"/>
        <w:kinsoku/>
        <w:overflowPunct/>
        <w:bidi w:val="0"/>
        <w:spacing w:line="360" w:lineRule="auto"/>
        <w:ind w:firstLine="316" w:firstLineChars="150"/>
        <w:rPr>
          <w:rFonts w:hint="eastAsia" w:ascii="宋体" w:hAnsi="宋体" w:eastAsia="宋体" w:cs="宋体"/>
          <w:b/>
          <w:color w:val="auto"/>
          <w:szCs w:val="21"/>
        </w:rPr>
      </w:pPr>
      <w:r>
        <w:rPr>
          <w:rFonts w:hint="eastAsia" w:ascii="宋体" w:hAnsi="宋体" w:eastAsia="宋体" w:cs="宋体"/>
          <w:b/>
          <w:color w:val="auto"/>
          <w:szCs w:val="21"/>
        </w:rPr>
        <w:t>2）“投标保证金返还书”为投标人返还投标保证金的重要依据，投标人必须加盖公章和法定代表人或授权代表签字后方能生效。</w:t>
      </w:r>
    </w:p>
    <w:p w14:paraId="1C05598C">
      <w:pPr>
        <w:pageBreakBefore w:val="0"/>
        <w:kinsoku/>
        <w:overflowPunct/>
        <w:bidi w:val="0"/>
        <w:spacing w:line="360" w:lineRule="auto"/>
        <w:ind w:firstLine="316" w:firstLineChars="150"/>
        <w:rPr>
          <w:rFonts w:hint="eastAsia" w:ascii="宋体" w:hAnsi="宋体" w:eastAsia="宋体" w:cs="宋体"/>
          <w:b/>
          <w:color w:val="auto"/>
          <w:szCs w:val="21"/>
        </w:rPr>
      </w:pPr>
      <w:r>
        <w:rPr>
          <w:rFonts w:hint="eastAsia" w:ascii="宋体" w:hAnsi="宋体" w:eastAsia="宋体" w:cs="宋体"/>
          <w:b/>
          <w:color w:val="auto"/>
          <w:szCs w:val="21"/>
        </w:rPr>
        <w:t>3）“投标保证金返还书”将作退还投标保证金的唯一凭证，我单位严格按照“投标保证金返还书”所提供资料进行返还。</w:t>
      </w:r>
    </w:p>
    <w:p w14:paraId="426DDC4B">
      <w:pPr>
        <w:pageBreakBefore w:val="0"/>
        <w:kinsoku/>
        <w:overflowPunct/>
        <w:bidi w:val="0"/>
        <w:spacing w:line="360" w:lineRule="auto"/>
        <w:ind w:firstLine="1890" w:firstLineChars="900"/>
        <w:rPr>
          <w:rFonts w:hint="eastAsia" w:ascii="宋体" w:hAnsi="宋体" w:eastAsia="宋体" w:cs="宋体"/>
          <w:color w:val="auto"/>
          <w:szCs w:val="21"/>
        </w:rPr>
      </w:pPr>
    </w:p>
    <w:p w14:paraId="7DB4B5A7">
      <w:pPr>
        <w:pageBreakBefore w:val="0"/>
        <w:kinsoku/>
        <w:overflowPunct/>
        <w:bidi w:val="0"/>
        <w:spacing w:line="360" w:lineRule="auto"/>
        <w:ind w:firstLine="1890" w:firstLineChars="900"/>
        <w:rPr>
          <w:rFonts w:hint="eastAsia" w:ascii="宋体" w:hAnsi="宋体" w:eastAsia="宋体" w:cs="宋体"/>
          <w:color w:val="auto"/>
          <w:szCs w:val="21"/>
        </w:rPr>
      </w:pPr>
    </w:p>
    <w:p w14:paraId="5E364E15">
      <w:pPr>
        <w:pageBreakBefore w:val="0"/>
        <w:kinsoku/>
        <w:overflowPunct/>
        <w:bidi w:val="0"/>
        <w:spacing w:line="360" w:lineRule="auto"/>
        <w:ind w:firstLine="1890" w:firstLineChars="900"/>
        <w:rPr>
          <w:rFonts w:hint="eastAsia" w:ascii="宋体" w:hAnsi="宋体" w:eastAsia="宋体" w:cs="宋体"/>
          <w:color w:val="auto"/>
          <w:szCs w:val="21"/>
        </w:rPr>
      </w:pPr>
    </w:p>
    <w:p w14:paraId="37D8A039">
      <w:pPr>
        <w:pageBreakBefore w:val="0"/>
        <w:kinsoku/>
        <w:overflowPunct/>
        <w:bidi w:val="0"/>
        <w:spacing w:line="360" w:lineRule="auto"/>
        <w:ind w:firstLine="1890" w:firstLineChars="900"/>
        <w:rPr>
          <w:rFonts w:hint="eastAsia" w:ascii="宋体" w:hAnsi="宋体" w:eastAsia="宋体" w:cs="宋体"/>
          <w:color w:val="auto"/>
          <w:szCs w:val="21"/>
        </w:rPr>
      </w:pPr>
      <w:r>
        <w:rPr>
          <w:rFonts w:hint="eastAsia" w:ascii="宋体" w:hAnsi="宋体" w:eastAsia="宋体" w:cs="宋体"/>
          <w:color w:val="auto"/>
          <w:szCs w:val="21"/>
        </w:rPr>
        <w:t>投标人名称：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（盖单位公章）</w:t>
      </w:r>
    </w:p>
    <w:p w14:paraId="507617B3">
      <w:pPr>
        <w:pageBreakBefore w:val="0"/>
        <w:kinsoku/>
        <w:overflowPunct/>
        <w:bidi w:val="0"/>
        <w:snapToGrid w:val="0"/>
        <w:spacing w:line="360" w:lineRule="auto"/>
        <w:ind w:firstLine="1890" w:firstLineChars="900"/>
        <w:rPr>
          <w:rFonts w:hint="eastAsia" w:ascii="宋体" w:hAnsi="宋体" w:eastAsia="宋体" w:cs="宋体"/>
          <w:color w:val="auto"/>
          <w:szCs w:val="21"/>
        </w:rPr>
        <w:sectPr>
          <w:pgSz w:w="11906" w:h="16838"/>
          <w:pgMar w:top="1440" w:right="1797" w:bottom="1440" w:left="1797" w:header="851" w:footer="992" w:gutter="0"/>
          <w:pgNumType w:fmt="decimal"/>
          <w:cols w:space="425" w:num="1"/>
          <w:docGrid w:type="lines" w:linePitch="312" w:charSpace="0"/>
        </w:sectPr>
      </w:pPr>
      <w:r>
        <w:rPr>
          <w:rFonts w:hint="eastAsia" w:ascii="宋体" w:hAnsi="宋体" w:eastAsia="宋体" w:cs="宋体"/>
          <w:color w:val="auto"/>
          <w:szCs w:val="21"/>
        </w:rPr>
        <w:t>日期：  年   月  日</w:t>
      </w:r>
      <w:r>
        <w:rPr>
          <w:rFonts w:hint="eastAsia" w:ascii="宋体" w:hAnsi="宋体" w:eastAsia="宋体" w:cs="宋体"/>
          <w:color w:val="auto"/>
          <w:szCs w:val="21"/>
        </w:rPr>
        <w:br w:type="page"/>
      </w:r>
    </w:p>
    <w:p w14:paraId="2A415086">
      <w:pPr>
        <w:pStyle w:val="39"/>
        <w:pageBreakBefore w:val="0"/>
        <w:numPr>
          <w:ilvl w:val="0"/>
          <w:numId w:val="29"/>
        </w:numPr>
        <w:tabs>
          <w:tab w:val="left" w:pos="588"/>
        </w:tabs>
        <w:kinsoku/>
        <w:overflowPunct/>
        <w:bidi w:val="0"/>
        <w:snapToGrid w:val="0"/>
        <w:spacing w:before="120" w:after="120" w:line="360" w:lineRule="auto"/>
        <w:jc w:val="left"/>
        <w:rPr>
          <w:rFonts w:hint="eastAsia" w:ascii="宋体" w:hAnsi="宋体" w:eastAsia="宋体" w:cs="宋体"/>
          <w:color w:val="auto"/>
          <w:sz w:val="24"/>
          <w:szCs w:val="24"/>
          <w:lang w:val="en-US" w:eastAsia="zh-CN"/>
        </w:rPr>
      </w:pPr>
      <w:bookmarkStart w:id="1563" w:name="_Toc31802"/>
      <w:bookmarkStart w:id="1564" w:name="_Toc447265617"/>
      <w:bookmarkStart w:id="1565" w:name="_Toc447265331"/>
      <w:bookmarkStart w:id="1566" w:name="_Toc38008095"/>
      <w:bookmarkStart w:id="1567" w:name="_Toc475472687"/>
      <w:bookmarkStart w:id="1568" w:name="_Toc12678"/>
      <w:bookmarkStart w:id="1569" w:name="_Toc475472688"/>
      <w:r>
        <w:rPr>
          <w:rFonts w:hint="eastAsia" w:ascii="宋体" w:hAnsi="宋体" w:eastAsia="宋体" w:cs="宋体"/>
          <w:color w:val="auto"/>
          <w:sz w:val="24"/>
          <w:szCs w:val="24"/>
          <w:lang w:val="en-US" w:eastAsia="zh-CN"/>
        </w:rPr>
        <w:t>基本开户银行情况</w:t>
      </w:r>
      <w:bookmarkEnd w:id="1563"/>
    </w:p>
    <w:p w14:paraId="2A5B43D5">
      <w:pPr>
        <w:pageBreakBefore w:val="0"/>
        <w:kinsoku/>
        <w:overflowPunct/>
        <w:bidi w:val="0"/>
        <w:spacing w:line="360" w:lineRule="auto"/>
        <w:rPr>
          <w:rFonts w:hint="eastAsia" w:ascii="宋体" w:hAnsi="宋体" w:eastAsia="宋体" w:cs="宋体"/>
          <w:color w:val="auto"/>
          <w:lang w:val="en-US" w:eastAsia="zh-CN"/>
        </w:rPr>
      </w:pPr>
    </w:p>
    <w:p w14:paraId="5265331A">
      <w:pPr>
        <w:pageBreakBefore w:val="0"/>
        <w:kinsoku/>
        <w:overflowPunct/>
        <w:bidi w:val="0"/>
        <w:spacing w:line="360" w:lineRule="auto"/>
        <w:rPr>
          <w:rFonts w:hint="eastAsia" w:ascii="宋体" w:hAnsi="宋体" w:eastAsia="宋体" w:cs="宋体"/>
          <w:color w:val="auto"/>
        </w:rPr>
      </w:pPr>
    </w:p>
    <w:tbl>
      <w:tblPr>
        <w:tblStyle w:val="41"/>
        <w:tblW w:w="0" w:type="auto"/>
        <w:jc w:val="center"/>
        <w:tblLayout w:type="fixed"/>
        <w:tblCellMar>
          <w:top w:w="0" w:type="dxa"/>
          <w:left w:w="28" w:type="dxa"/>
          <w:bottom w:w="0" w:type="dxa"/>
          <w:right w:w="28" w:type="dxa"/>
        </w:tblCellMar>
      </w:tblPr>
      <w:tblGrid>
        <w:gridCol w:w="1108"/>
        <w:gridCol w:w="3482"/>
        <w:gridCol w:w="3795"/>
      </w:tblGrid>
      <w:tr w14:paraId="1EFA8539">
        <w:tblPrEx>
          <w:tblCellMar>
            <w:top w:w="0" w:type="dxa"/>
            <w:left w:w="28" w:type="dxa"/>
            <w:bottom w:w="0" w:type="dxa"/>
            <w:right w:w="28" w:type="dxa"/>
          </w:tblCellMar>
        </w:tblPrEx>
        <w:trPr>
          <w:cantSplit/>
          <w:trHeight w:val="380" w:hRule="atLeast"/>
          <w:jc w:val="center"/>
        </w:trPr>
        <w:tc>
          <w:tcPr>
            <w:tcW w:w="1108" w:type="dxa"/>
            <w:vMerge w:val="restart"/>
            <w:tcBorders>
              <w:top w:val="single" w:color="auto" w:sz="4" w:space="0"/>
              <w:left w:val="single" w:color="auto" w:sz="4" w:space="0"/>
              <w:right w:val="single" w:color="auto" w:sz="4" w:space="0"/>
            </w:tcBorders>
            <w:vAlign w:val="center"/>
          </w:tcPr>
          <w:p w14:paraId="64F09E77">
            <w:pPr>
              <w:pageBreakBefore w:val="0"/>
              <w:kinsoku/>
              <w:overflowPunct/>
              <w:bidi w:val="0"/>
              <w:spacing w:line="360" w:lineRule="auto"/>
              <w:rPr>
                <w:rFonts w:hint="eastAsia" w:ascii="宋体" w:hAnsi="宋体" w:eastAsia="宋体" w:cs="宋体"/>
                <w:color w:val="auto"/>
              </w:rPr>
            </w:pPr>
            <w:r>
              <w:rPr>
                <w:rFonts w:hint="eastAsia" w:ascii="宋体" w:hAnsi="宋体" w:eastAsia="宋体" w:cs="宋体"/>
                <w:b/>
                <w:color w:val="auto"/>
              </w:rPr>
              <w:t>开户银行</w:t>
            </w:r>
          </w:p>
        </w:tc>
        <w:tc>
          <w:tcPr>
            <w:tcW w:w="7277" w:type="dxa"/>
            <w:gridSpan w:val="2"/>
            <w:tcBorders>
              <w:top w:val="single" w:color="auto" w:sz="4" w:space="0"/>
              <w:left w:val="single" w:color="auto" w:sz="4" w:space="0"/>
              <w:bottom w:val="single" w:color="auto" w:sz="4" w:space="0"/>
              <w:right w:val="single" w:color="auto" w:sz="4" w:space="0"/>
            </w:tcBorders>
            <w:vAlign w:val="center"/>
          </w:tcPr>
          <w:p w14:paraId="57B846F8">
            <w:pPr>
              <w:pageBreakBefore w:val="0"/>
              <w:kinsoku/>
              <w:overflowPunct/>
              <w:bidi w:val="0"/>
              <w:spacing w:line="360" w:lineRule="auto"/>
              <w:rPr>
                <w:rFonts w:hint="eastAsia" w:ascii="宋体" w:hAnsi="宋体" w:eastAsia="宋体" w:cs="宋体"/>
                <w:color w:val="auto"/>
              </w:rPr>
            </w:pPr>
            <w:r>
              <w:rPr>
                <w:rFonts w:hint="eastAsia" w:ascii="宋体" w:hAnsi="宋体" w:eastAsia="宋体" w:cs="宋体"/>
                <w:color w:val="auto"/>
              </w:rPr>
              <w:t>名称：</w:t>
            </w:r>
            <w:r>
              <w:rPr>
                <w:rFonts w:hint="eastAsia" w:ascii="宋体" w:hAnsi="宋体" w:eastAsia="宋体" w:cs="宋体"/>
                <w:color w:val="auto"/>
                <w:u w:val="single"/>
              </w:rPr>
              <w:t>【XX[基本账户开户银行名称]】</w:t>
            </w:r>
          </w:p>
        </w:tc>
      </w:tr>
      <w:tr w14:paraId="255A24AF">
        <w:tblPrEx>
          <w:tblCellMar>
            <w:top w:w="0" w:type="dxa"/>
            <w:left w:w="28" w:type="dxa"/>
            <w:bottom w:w="0" w:type="dxa"/>
            <w:right w:w="28" w:type="dxa"/>
          </w:tblCellMar>
        </w:tblPrEx>
        <w:trPr>
          <w:cantSplit/>
          <w:trHeight w:val="380" w:hRule="atLeast"/>
          <w:jc w:val="center"/>
        </w:trPr>
        <w:tc>
          <w:tcPr>
            <w:tcW w:w="1108" w:type="dxa"/>
            <w:vMerge w:val="continue"/>
            <w:tcBorders>
              <w:left w:val="single" w:color="auto" w:sz="4" w:space="0"/>
              <w:right w:val="single" w:color="auto" w:sz="4" w:space="0"/>
            </w:tcBorders>
            <w:vAlign w:val="center"/>
          </w:tcPr>
          <w:p w14:paraId="48093A5C">
            <w:pPr>
              <w:pageBreakBefore w:val="0"/>
              <w:kinsoku/>
              <w:overflowPunct/>
              <w:bidi w:val="0"/>
              <w:spacing w:line="360" w:lineRule="auto"/>
              <w:rPr>
                <w:rFonts w:hint="eastAsia" w:ascii="宋体" w:hAnsi="宋体" w:eastAsia="宋体" w:cs="宋体"/>
                <w:color w:val="auto"/>
              </w:rPr>
            </w:pPr>
          </w:p>
        </w:tc>
        <w:tc>
          <w:tcPr>
            <w:tcW w:w="7277" w:type="dxa"/>
            <w:gridSpan w:val="2"/>
            <w:tcBorders>
              <w:top w:val="single" w:color="auto" w:sz="4" w:space="0"/>
              <w:left w:val="single" w:color="auto" w:sz="4" w:space="0"/>
              <w:bottom w:val="single" w:color="auto" w:sz="4" w:space="0"/>
              <w:right w:val="single" w:color="auto" w:sz="4" w:space="0"/>
            </w:tcBorders>
            <w:vAlign w:val="center"/>
          </w:tcPr>
          <w:p w14:paraId="242DC2EE">
            <w:pPr>
              <w:pageBreakBefore w:val="0"/>
              <w:kinsoku/>
              <w:overflowPunct/>
              <w:bidi w:val="0"/>
              <w:spacing w:line="360" w:lineRule="auto"/>
              <w:rPr>
                <w:rFonts w:hint="eastAsia" w:ascii="宋体" w:hAnsi="宋体" w:eastAsia="宋体" w:cs="宋体"/>
                <w:color w:val="auto"/>
              </w:rPr>
            </w:pPr>
            <w:r>
              <w:rPr>
                <w:rFonts w:hint="eastAsia" w:ascii="宋体" w:hAnsi="宋体" w:eastAsia="宋体" w:cs="宋体"/>
                <w:color w:val="auto"/>
              </w:rPr>
              <w:t>地址：</w:t>
            </w:r>
            <w:r>
              <w:rPr>
                <w:rFonts w:hint="eastAsia" w:ascii="宋体" w:hAnsi="宋体" w:eastAsia="宋体" w:cs="宋体"/>
                <w:color w:val="auto"/>
                <w:u w:val="single"/>
              </w:rPr>
              <w:t>【XX[基本账户开户银行地址]】</w:t>
            </w:r>
          </w:p>
        </w:tc>
      </w:tr>
      <w:tr w14:paraId="08C41217">
        <w:tblPrEx>
          <w:tblCellMar>
            <w:top w:w="0" w:type="dxa"/>
            <w:left w:w="28" w:type="dxa"/>
            <w:bottom w:w="0" w:type="dxa"/>
            <w:right w:w="28" w:type="dxa"/>
          </w:tblCellMar>
        </w:tblPrEx>
        <w:trPr>
          <w:cantSplit/>
          <w:trHeight w:val="380" w:hRule="atLeast"/>
          <w:jc w:val="center"/>
        </w:trPr>
        <w:tc>
          <w:tcPr>
            <w:tcW w:w="1108" w:type="dxa"/>
            <w:vMerge w:val="continue"/>
            <w:tcBorders>
              <w:left w:val="single" w:color="auto" w:sz="4" w:space="0"/>
              <w:right w:val="single" w:color="auto" w:sz="4" w:space="0"/>
            </w:tcBorders>
            <w:vAlign w:val="center"/>
          </w:tcPr>
          <w:p w14:paraId="54520908">
            <w:pPr>
              <w:pageBreakBefore w:val="0"/>
              <w:kinsoku/>
              <w:overflowPunct/>
              <w:bidi w:val="0"/>
              <w:spacing w:line="360" w:lineRule="auto"/>
              <w:rPr>
                <w:rFonts w:hint="eastAsia" w:ascii="宋体" w:hAnsi="宋体" w:eastAsia="宋体" w:cs="宋体"/>
                <w:color w:val="auto"/>
              </w:rPr>
            </w:pPr>
          </w:p>
        </w:tc>
        <w:tc>
          <w:tcPr>
            <w:tcW w:w="7277" w:type="dxa"/>
            <w:gridSpan w:val="2"/>
            <w:tcBorders>
              <w:top w:val="single" w:color="auto" w:sz="4" w:space="0"/>
              <w:left w:val="single" w:color="auto" w:sz="4" w:space="0"/>
              <w:bottom w:val="single" w:color="auto" w:sz="4" w:space="0"/>
              <w:right w:val="single" w:color="auto" w:sz="4" w:space="0"/>
            </w:tcBorders>
            <w:vAlign w:val="center"/>
          </w:tcPr>
          <w:p w14:paraId="1DE79E8E">
            <w:pPr>
              <w:pageBreakBefore w:val="0"/>
              <w:kinsoku/>
              <w:overflowPunct/>
              <w:bidi w:val="0"/>
              <w:spacing w:line="360" w:lineRule="auto"/>
              <w:rPr>
                <w:rFonts w:hint="eastAsia" w:ascii="宋体" w:hAnsi="宋体" w:eastAsia="宋体" w:cs="宋体"/>
                <w:color w:val="auto"/>
              </w:rPr>
            </w:pPr>
            <w:r>
              <w:rPr>
                <w:rFonts w:hint="eastAsia" w:ascii="宋体" w:hAnsi="宋体" w:eastAsia="宋体" w:cs="宋体"/>
                <w:color w:val="auto"/>
              </w:rPr>
              <w:t>银行账户：</w:t>
            </w:r>
            <w:r>
              <w:rPr>
                <w:rFonts w:hint="eastAsia" w:ascii="宋体" w:hAnsi="宋体" w:eastAsia="宋体" w:cs="宋体"/>
                <w:color w:val="auto"/>
                <w:u w:val="single"/>
              </w:rPr>
              <w:t>【XX[基本账户开户银行账号]】</w:t>
            </w:r>
          </w:p>
        </w:tc>
      </w:tr>
      <w:tr w14:paraId="32E7FD14">
        <w:tblPrEx>
          <w:tblCellMar>
            <w:top w:w="0" w:type="dxa"/>
            <w:left w:w="28" w:type="dxa"/>
            <w:bottom w:w="0" w:type="dxa"/>
            <w:right w:w="28" w:type="dxa"/>
          </w:tblCellMar>
        </w:tblPrEx>
        <w:trPr>
          <w:cantSplit/>
          <w:trHeight w:val="380" w:hRule="atLeast"/>
          <w:jc w:val="center"/>
        </w:trPr>
        <w:tc>
          <w:tcPr>
            <w:tcW w:w="1108" w:type="dxa"/>
            <w:vMerge w:val="continue"/>
            <w:tcBorders>
              <w:left w:val="single" w:color="auto" w:sz="4" w:space="0"/>
              <w:right w:val="single" w:color="auto" w:sz="4" w:space="0"/>
            </w:tcBorders>
            <w:vAlign w:val="center"/>
          </w:tcPr>
          <w:p w14:paraId="7CA1A539">
            <w:pPr>
              <w:pageBreakBefore w:val="0"/>
              <w:kinsoku/>
              <w:overflowPunct/>
              <w:bidi w:val="0"/>
              <w:spacing w:line="360" w:lineRule="auto"/>
              <w:rPr>
                <w:rFonts w:hint="eastAsia" w:ascii="宋体" w:hAnsi="宋体" w:eastAsia="宋体" w:cs="宋体"/>
                <w:color w:val="auto"/>
              </w:rPr>
            </w:pPr>
          </w:p>
        </w:tc>
        <w:tc>
          <w:tcPr>
            <w:tcW w:w="3482" w:type="dxa"/>
            <w:tcBorders>
              <w:top w:val="single" w:color="auto" w:sz="4" w:space="0"/>
              <w:left w:val="single" w:color="auto" w:sz="4" w:space="0"/>
              <w:bottom w:val="single" w:color="auto" w:sz="4" w:space="0"/>
              <w:right w:val="single" w:color="auto" w:sz="4" w:space="0"/>
            </w:tcBorders>
            <w:vAlign w:val="center"/>
          </w:tcPr>
          <w:p w14:paraId="3F83F6B4">
            <w:pPr>
              <w:pageBreakBefore w:val="0"/>
              <w:kinsoku/>
              <w:overflowPunct/>
              <w:bidi w:val="0"/>
              <w:spacing w:line="360" w:lineRule="auto"/>
              <w:rPr>
                <w:rFonts w:hint="eastAsia" w:ascii="宋体" w:hAnsi="宋体" w:eastAsia="宋体" w:cs="宋体"/>
                <w:color w:val="auto"/>
              </w:rPr>
            </w:pPr>
            <w:r>
              <w:rPr>
                <w:rFonts w:hint="eastAsia" w:ascii="宋体" w:hAnsi="宋体" w:eastAsia="宋体" w:cs="宋体"/>
                <w:color w:val="auto"/>
              </w:rPr>
              <w:t>电话：</w:t>
            </w:r>
            <w:r>
              <w:rPr>
                <w:rFonts w:hint="eastAsia" w:ascii="宋体" w:hAnsi="宋体" w:eastAsia="宋体" w:cs="宋体"/>
                <w:color w:val="auto"/>
                <w:u w:val="single"/>
              </w:rPr>
              <w:t>【XX[基本账户开户银行电话]】</w:t>
            </w:r>
          </w:p>
        </w:tc>
        <w:tc>
          <w:tcPr>
            <w:tcW w:w="3795" w:type="dxa"/>
            <w:tcBorders>
              <w:top w:val="single" w:color="auto" w:sz="4" w:space="0"/>
              <w:left w:val="single" w:color="auto" w:sz="4" w:space="0"/>
              <w:bottom w:val="single" w:color="auto" w:sz="4" w:space="0"/>
              <w:right w:val="single" w:color="auto" w:sz="4" w:space="0"/>
            </w:tcBorders>
            <w:vAlign w:val="center"/>
          </w:tcPr>
          <w:p w14:paraId="4ED29333">
            <w:pPr>
              <w:pageBreakBefore w:val="0"/>
              <w:kinsoku/>
              <w:overflowPunct/>
              <w:bidi w:val="0"/>
              <w:spacing w:line="360" w:lineRule="auto"/>
              <w:rPr>
                <w:rFonts w:hint="eastAsia" w:ascii="宋体" w:hAnsi="宋体" w:eastAsia="宋体" w:cs="宋体"/>
                <w:color w:val="auto"/>
              </w:rPr>
            </w:pPr>
            <w:r>
              <w:rPr>
                <w:rFonts w:hint="eastAsia" w:ascii="宋体" w:hAnsi="宋体" w:eastAsia="宋体" w:cs="宋体"/>
                <w:color w:val="auto"/>
              </w:rPr>
              <w:t>联系人及职务：</w:t>
            </w:r>
            <w:r>
              <w:rPr>
                <w:rFonts w:hint="eastAsia" w:ascii="宋体" w:hAnsi="宋体" w:eastAsia="宋体" w:cs="宋体"/>
                <w:color w:val="auto"/>
                <w:u w:val="single"/>
              </w:rPr>
              <w:t>【XX[姓名]，XX[职务]】</w:t>
            </w:r>
          </w:p>
        </w:tc>
      </w:tr>
      <w:tr w14:paraId="62A55488">
        <w:tblPrEx>
          <w:tblCellMar>
            <w:top w:w="0" w:type="dxa"/>
            <w:left w:w="28" w:type="dxa"/>
            <w:bottom w:w="0" w:type="dxa"/>
            <w:right w:w="28" w:type="dxa"/>
          </w:tblCellMar>
        </w:tblPrEx>
        <w:trPr>
          <w:cantSplit/>
          <w:trHeight w:val="380" w:hRule="atLeast"/>
          <w:jc w:val="center"/>
        </w:trPr>
        <w:tc>
          <w:tcPr>
            <w:tcW w:w="1108" w:type="dxa"/>
            <w:vMerge w:val="continue"/>
            <w:tcBorders>
              <w:left w:val="single" w:color="auto" w:sz="4" w:space="0"/>
              <w:right w:val="single" w:color="auto" w:sz="4" w:space="0"/>
            </w:tcBorders>
            <w:vAlign w:val="center"/>
          </w:tcPr>
          <w:p w14:paraId="44EADC8B">
            <w:pPr>
              <w:pageBreakBefore w:val="0"/>
              <w:kinsoku/>
              <w:overflowPunct/>
              <w:bidi w:val="0"/>
              <w:spacing w:line="360" w:lineRule="auto"/>
              <w:rPr>
                <w:rFonts w:hint="eastAsia" w:ascii="宋体" w:hAnsi="宋体" w:eastAsia="宋体" w:cs="宋体"/>
                <w:color w:val="auto"/>
              </w:rPr>
            </w:pPr>
          </w:p>
        </w:tc>
        <w:tc>
          <w:tcPr>
            <w:tcW w:w="7277" w:type="dxa"/>
            <w:gridSpan w:val="2"/>
            <w:tcBorders>
              <w:top w:val="single" w:color="auto" w:sz="4" w:space="0"/>
              <w:left w:val="single" w:color="auto" w:sz="4" w:space="0"/>
              <w:bottom w:val="single" w:color="auto" w:sz="4" w:space="0"/>
              <w:right w:val="single" w:color="auto" w:sz="4" w:space="0"/>
            </w:tcBorders>
            <w:vAlign w:val="center"/>
          </w:tcPr>
          <w:p w14:paraId="3CD9CC88">
            <w:pPr>
              <w:pageBreakBefore w:val="0"/>
              <w:kinsoku/>
              <w:overflowPunct/>
              <w:bidi w:val="0"/>
              <w:spacing w:line="360" w:lineRule="auto"/>
              <w:rPr>
                <w:rFonts w:hint="eastAsia" w:ascii="宋体" w:hAnsi="宋体" w:eastAsia="宋体" w:cs="宋体"/>
                <w:color w:val="auto"/>
              </w:rPr>
            </w:pPr>
            <w:r>
              <w:rPr>
                <w:rFonts w:hint="eastAsia" w:ascii="宋体" w:hAnsi="宋体" w:eastAsia="宋体" w:cs="宋体"/>
                <w:color w:val="auto"/>
              </w:rPr>
              <w:t>传真：</w:t>
            </w:r>
            <w:r>
              <w:rPr>
                <w:rFonts w:hint="eastAsia" w:ascii="宋体" w:hAnsi="宋体" w:eastAsia="宋体" w:cs="宋体"/>
                <w:color w:val="auto"/>
                <w:u w:val="single"/>
              </w:rPr>
              <w:t>【XX[基本账户开户银行传真]】</w:t>
            </w:r>
          </w:p>
        </w:tc>
      </w:tr>
      <w:tr w14:paraId="09589D2E">
        <w:tblPrEx>
          <w:tblCellMar>
            <w:top w:w="0" w:type="dxa"/>
            <w:left w:w="28" w:type="dxa"/>
            <w:bottom w:w="0" w:type="dxa"/>
            <w:right w:w="28" w:type="dxa"/>
          </w:tblCellMar>
        </w:tblPrEx>
        <w:trPr>
          <w:cantSplit/>
          <w:trHeight w:val="380" w:hRule="atLeast"/>
          <w:jc w:val="center"/>
        </w:trPr>
        <w:tc>
          <w:tcPr>
            <w:tcW w:w="1108" w:type="dxa"/>
            <w:vMerge w:val="continue"/>
            <w:tcBorders>
              <w:left w:val="single" w:color="auto" w:sz="4" w:space="0"/>
              <w:bottom w:val="single" w:color="auto" w:sz="4" w:space="0"/>
              <w:right w:val="single" w:color="auto" w:sz="4" w:space="0"/>
            </w:tcBorders>
            <w:vAlign w:val="center"/>
          </w:tcPr>
          <w:p w14:paraId="71F75250">
            <w:pPr>
              <w:pageBreakBefore w:val="0"/>
              <w:kinsoku/>
              <w:overflowPunct/>
              <w:bidi w:val="0"/>
              <w:spacing w:line="360" w:lineRule="auto"/>
              <w:rPr>
                <w:rFonts w:hint="eastAsia" w:ascii="宋体" w:hAnsi="宋体" w:eastAsia="宋体" w:cs="宋体"/>
                <w:color w:val="auto"/>
              </w:rPr>
            </w:pPr>
          </w:p>
        </w:tc>
        <w:tc>
          <w:tcPr>
            <w:tcW w:w="7277" w:type="dxa"/>
            <w:gridSpan w:val="2"/>
            <w:tcBorders>
              <w:top w:val="single" w:color="auto" w:sz="4" w:space="0"/>
              <w:left w:val="single" w:color="auto" w:sz="4" w:space="0"/>
              <w:bottom w:val="single" w:color="auto" w:sz="4" w:space="0"/>
              <w:right w:val="single" w:color="auto" w:sz="4" w:space="0"/>
            </w:tcBorders>
            <w:vAlign w:val="center"/>
          </w:tcPr>
          <w:p w14:paraId="2788F2F4">
            <w:pPr>
              <w:pageBreakBefore w:val="0"/>
              <w:kinsoku/>
              <w:overflowPunct/>
              <w:bidi w:val="0"/>
              <w:spacing w:line="360" w:lineRule="auto"/>
              <w:rPr>
                <w:rFonts w:hint="eastAsia" w:ascii="宋体" w:hAnsi="宋体" w:eastAsia="宋体" w:cs="宋体"/>
                <w:color w:val="auto"/>
              </w:rPr>
            </w:pPr>
            <w:r>
              <w:rPr>
                <w:rFonts w:hint="eastAsia" w:ascii="宋体" w:hAnsi="宋体" w:eastAsia="宋体" w:cs="宋体"/>
                <w:color w:val="auto"/>
              </w:rPr>
              <w:t>基本账户开户行签发的银行开户证明</w:t>
            </w:r>
            <w:r>
              <w:rPr>
                <w:rFonts w:hint="eastAsia" w:ascii="宋体" w:hAnsi="宋体" w:eastAsia="宋体" w:cs="宋体"/>
                <w:color w:val="auto"/>
                <w:u w:val="single"/>
              </w:rPr>
              <w:t>[基本账户开户银行证明文件]</w:t>
            </w:r>
          </w:p>
        </w:tc>
      </w:tr>
    </w:tbl>
    <w:p w14:paraId="0ED0717D">
      <w:pPr>
        <w:pageBreakBefore w:val="0"/>
        <w:kinsoku/>
        <w:overflowPunct/>
        <w:bidi w:val="0"/>
        <w:spacing w:line="360" w:lineRule="auto"/>
        <w:rPr>
          <w:rFonts w:hint="eastAsia" w:ascii="宋体" w:hAnsi="宋体" w:eastAsia="宋体" w:cs="宋体"/>
          <w:color w:val="auto"/>
        </w:rPr>
      </w:pPr>
    </w:p>
    <w:p w14:paraId="647D20B8">
      <w:pPr>
        <w:pageBreakBefore w:val="0"/>
        <w:kinsoku/>
        <w:overflowPunct/>
        <w:bidi w:val="0"/>
        <w:spacing w:line="360" w:lineRule="auto"/>
        <w:rPr>
          <w:rFonts w:hint="eastAsia" w:ascii="宋体" w:hAnsi="宋体" w:eastAsia="宋体" w:cs="宋体"/>
          <w:color w:val="auto"/>
        </w:rPr>
      </w:pPr>
    </w:p>
    <w:p w14:paraId="48379A75">
      <w:pPr>
        <w:pageBreakBefore w:val="0"/>
        <w:kinsoku/>
        <w:overflowPunct/>
        <w:bidi w:val="0"/>
        <w:spacing w:line="360" w:lineRule="auto"/>
        <w:rPr>
          <w:rFonts w:hint="eastAsia" w:ascii="宋体" w:hAnsi="宋体" w:eastAsia="宋体" w:cs="宋体"/>
          <w:color w:val="auto"/>
        </w:rPr>
      </w:pPr>
      <w:r>
        <w:rPr>
          <w:rFonts w:hint="eastAsia" w:ascii="宋体" w:hAnsi="宋体" w:eastAsia="宋体" w:cs="宋体"/>
          <w:color w:val="auto"/>
          <w:lang w:val="en-US" w:eastAsia="zh-CN"/>
        </w:rPr>
        <w:t>[</w:t>
      </w:r>
      <w:r>
        <w:rPr>
          <w:rFonts w:hint="eastAsia" w:ascii="宋体" w:hAnsi="宋体" w:eastAsia="宋体" w:cs="宋体"/>
          <w:color w:val="auto"/>
        </w:rPr>
        <w:t>招标人可根据项目实际情况修改本文件中的条款、增加新的条款。]</w:t>
      </w:r>
    </w:p>
    <w:p w14:paraId="12B9AE7C">
      <w:pPr>
        <w:pageBreakBefore w:val="0"/>
        <w:kinsoku/>
        <w:overflowPunct/>
        <w:topLinePunct/>
        <w:bidi w:val="0"/>
        <w:spacing w:line="360" w:lineRule="auto"/>
        <w:jc w:val="left"/>
        <w:rPr>
          <w:rFonts w:hint="eastAsia" w:ascii="宋体" w:hAnsi="宋体" w:eastAsia="宋体" w:cs="宋体"/>
          <w:color w:val="auto"/>
        </w:rPr>
      </w:pPr>
      <w:r>
        <w:rPr>
          <w:rFonts w:hint="eastAsia" w:ascii="宋体" w:hAnsi="宋体" w:eastAsia="宋体" w:cs="宋体"/>
          <w:b/>
          <w:color w:val="auto"/>
        </w:rPr>
        <w:t>编制要求</w:t>
      </w:r>
      <w:r>
        <w:rPr>
          <w:rFonts w:hint="eastAsia" w:ascii="宋体" w:hAnsi="宋体" w:eastAsia="宋体" w:cs="宋体"/>
          <w:color w:val="auto"/>
        </w:rPr>
        <w:t>：</w:t>
      </w:r>
    </w:p>
    <w:p w14:paraId="6DF1A67A">
      <w:pPr>
        <w:pStyle w:val="51"/>
        <w:pageBreakBefore w:val="0"/>
        <w:numPr>
          <w:ilvl w:val="6"/>
          <w:numId w:val="36"/>
        </w:numPr>
        <w:tabs>
          <w:tab w:val="left" w:pos="426"/>
        </w:tabs>
        <w:kinsoku/>
        <w:overflowPunct/>
        <w:topLinePunct/>
        <w:bidi w:val="0"/>
        <w:spacing w:line="360" w:lineRule="auto"/>
        <w:ind w:left="0" w:firstLine="0" w:firstLineChars="0"/>
        <w:jc w:val="left"/>
        <w:rPr>
          <w:rFonts w:hint="eastAsia" w:ascii="宋体" w:hAnsi="宋体" w:eastAsia="宋体" w:cs="宋体"/>
          <w:color w:val="auto"/>
        </w:rPr>
      </w:pPr>
      <w:r>
        <w:rPr>
          <w:rFonts w:hint="eastAsia" w:ascii="宋体" w:hAnsi="宋体" w:eastAsia="宋体" w:cs="宋体"/>
          <w:color w:val="auto"/>
        </w:rPr>
        <w:t>投标人应同时提供基本户开户证明文件。</w:t>
      </w:r>
    </w:p>
    <w:p w14:paraId="5AC88754">
      <w:pPr>
        <w:pageBreakBefore w:val="0"/>
        <w:kinsoku/>
        <w:overflowPunct/>
        <w:bidi w:val="0"/>
        <w:spacing w:line="360" w:lineRule="auto"/>
        <w:rPr>
          <w:rFonts w:hint="eastAsia" w:ascii="宋体" w:hAnsi="宋体" w:eastAsia="宋体" w:cs="宋体"/>
          <w:color w:val="auto"/>
        </w:rPr>
        <w:sectPr>
          <w:type w:val="continuous"/>
          <w:pgSz w:w="11906" w:h="16838"/>
          <w:pgMar w:top="1440" w:right="1797" w:bottom="1440" w:left="1797" w:header="851" w:footer="992" w:gutter="0"/>
          <w:pgNumType w:fmt="decimal"/>
          <w:cols w:space="425" w:num="1"/>
          <w:docGrid w:type="lines" w:linePitch="312" w:charSpace="0"/>
        </w:sectPr>
      </w:pPr>
      <w:r>
        <w:rPr>
          <w:rFonts w:hint="eastAsia" w:ascii="宋体" w:hAnsi="宋体" w:eastAsia="宋体" w:cs="宋体"/>
          <w:color w:val="auto"/>
        </w:rPr>
        <w:t>投标人可以根据实际情况对本文件进行调整和修改，但应满足招标文件对本文件的要求。</w:t>
      </w:r>
    </w:p>
    <w:bookmarkEnd w:id="1564"/>
    <w:bookmarkEnd w:id="1565"/>
    <w:bookmarkEnd w:id="1566"/>
    <w:bookmarkEnd w:id="1567"/>
    <w:bookmarkEnd w:id="1568"/>
    <w:p w14:paraId="004E85D7">
      <w:pPr>
        <w:pStyle w:val="39"/>
        <w:pageBreakBefore w:val="0"/>
        <w:numPr>
          <w:ilvl w:val="0"/>
          <w:numId w:val="29"/>
        </w:numPr>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570" w:name="_Toc26993"/>
      <w:bookmarkStart w:id="1571" w:name="_Toc11145"/>
      <w:bookmarkStart w:id="1572" w:name="_Toc4082"/>
      <w:r>
        <w:rPr>
          <w:rFonts w:hint="eastAsia" w:ascii="宋体" w:hAnsi="宋体" w:eastAsia="宋体" w:cs="宋体"/>
          <w:color w:val="auto"/>
          <w:sz w:val="24"/>
          <w:szCs w:val="24"/>
        </w:rPr>
        <w:t>知识产权不侵权承诺</w:t>
      </w:r>
      <w:r>
        <w:rPr>
          <w:rFonts w:hint="eastAsia" w:ascii="宋体" w:hAnsi="宋体" w:eastAsia="宋体" w:cs="宋体"/>
          <w:color w:val="auto"/>
          <w:sz w:val="24"/>
          <w:szCs w:val="24"/>
          <w:lang w:val="en-US" w:eastAsia="zh-CN"/>
        </w:rPr>
        <w:t>函</w:t>
      </w:r>
      <w:bookmarkEnd w:id="1570"/>
    </w:p>
    <w:p w14:paraId="53C4FEFD">
      <w:pPr>
        <w:pageBreakBefore w:val="0"/>
        <w:kinsoku/>
        <w:overflowPunct/>
        <w:bidi w:val="0"/>
        <w:spacing w:line="360" w:lineRule="auto"/>
        <w:ind w:firstLine="562"/>
        <w:jc w:val="center"/>
        <w:rPr>
          <w:rFonts w:hint="eastAsia" w:ascii="宋体" w:hAnsi="宋体" w:eastAsia="宋体" w:cs="宋体"/>
          <w:b/>
          <w:color w:val="auto"/>
          <w:sz w:val="24"/>
          <w:szCs w:val="30"/>
        </w:rPr>
      </w:pPr>
      <w:r>
        <w:rPr>
          <w:rFonts w:hint="eastAsia" w:ascii="宋体" w:hAnsi="宋体" w:eastAsia="宋体" w:cs="宋体"/>
          <w:b/>
          <w:color w:val="auto"/>
          <w:sz w:val="24"/>
          <w:szCs w:val="30"/>
          <w:lang w:val="en-US" w:eastAsia="zh-CN"/>
        </w:rPr>
        <w:t>知识产权不侵权承诺</w:t>
      </w:r>
      <w:r>
        <w:rPr>
          <w:rFonts w:hint="eastAsia" w:ascii="宋体" w:hAnsi="宋体" w:eastAsia="宋体" w:cs="宋体"/>
          <w:b/>
          <w:color w:val="auto"/>
          <w:sz w:val="24"/>
          <w:szCs w:val="30"/>
        </w:rPr>
        <w:t>函</w:t>
      </w:r>
    </w:p>
    <w:p w14:paraId="2C169E81">
      <w:pPr>
        <w:pageBreakBefore w:val="0"/>
        <w:widowControl/>
        <w:kinsoku/>
        <w:overflowPunct/>
        <w:bidi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致：【中国电信[   ]公司】：</w:t>
      </w:r>
    </w:p>
    <w:p w14:paraId="66812B63">
      <w:pPr>
        <w:pStyle w:val="18"/>
        <w:pageBreakBefore w:val="0"/>
        <w:kinsoku/>
        <w:overflowPunct/>
        <w:bidi w:val="0"/>
        <w:spacing w:after="0" w:line="360" w:lineRule="auto"/>
        <w:ind w:left="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本单位郑重承诺遵守本知识产权不侵权承诺书，如违反，本单位承担由此带来的一切责任。</w:t>
      </w:r>
    </w:p>
    <w:p w14:paraId="78369E24">
      <w:pPr>
        <w:pageBreakBefore w:val="0"/>
        <w:numPr>
          <w:ilvl w:val="0"/>
          <w:numId w:val="37"/>
        </w:numPr>
        <w:kinsoku/>
        <w:overflowPunct/>
        <w:bidi w:val="0"/>
        <w:spacing w:line="360" w:lineRule="auto"/>
        <w:ind w:firstLine="420"/>
        <w:jc w:val="left"/>
        <w:rPr>
          <w:rFonts w:hint="eastAsia" w:ascii="宋体" w:hAnsi="宋体" w:eastAsia="宋体" w:cs="宋体"/>
          <w:color w:val="auto"/>
          <w:kern w:val="0"/>
          <w:szCs w:val="21"/>
        </w:rPr>
      </w:pPr>
      <w:r>
        <w:rPr>
          <w:rFonts w:hint="eastAsia" w:ascii="宋体" w:hAnsi="宋体" w:eastAsia="宋体" w:cs="宋体"/>
          <w:color w:val="auto"/>
          <w:kern w:val="0"/>
          <w:szCs w:val="21"/>
        </w:rPr>
        <w:t>就【（采购项目名称）】（“本项目”），本单位承诺按照招标文件及合同/协议履行知识产权</w:t>
      </w:r>
      <w:r>
        <w:rPr>
          <w:rFonts w:hint="eastAsia" w:ascii="宋体" w:hAnsi="宋体" w:eastAsia="宋体" w:cs="宋体"/>
          <w:color w:val="auto"/>
          <w:szCs w:val="21"/>
        </w:rPr>
        <w:t>相关义务和责任</w:t>
      </w:r>
      <w:r>
        <w:rPr>
          <w:rFonts w:hint="eastAsia" w:ascii="宋体" w:hAnsi="宋体" w:eastAsia="宋体" w:cs="宋体"/>
          <w:color w:val="auto"/>
          <w:kern w:val="0"/>
          <w:szCs w:val="21"/>
        </w:rPr>
        <w:t>。</w:t>
      </w:r>
    </w:p>
    <w:p w14:paraId="395371DD">
      <w:pPr>
        <w:pageBreakBefore w:val="0"/>
        <w:numPr>
          <w:ilvl w:val="0"/>
          <w:numId w:val="37"/>
        </w:numPr>
        <w:kinsoku/>
        <w:overflowPunct/>
        <w:bidi w:val="0"/>
        <w:spacing w:line="360" w:lineRule="auto"/>
        <w:ind w:firstLine="420"/>
        <w:jc w:val="left"/>
        <w:rPr>
          <w:rFonts w:hint="eastAsia" w:ascii="宋体" w:hAnsi="宋体" w:eastAsia="宋体" w:cs="宋体"/>
          <w:color w:val="auto"/>
          <w:kern w:val="0"/>
          <w:szCs w:val="21"/>
        </w:rPr>
      </w:pPr>
      <w:r>
        <w:rPr>
          <w:rFonts w:hint="eastAsia" w:ascii="宋体" w:hAnsi="宋体" w:eastAsia="宋体" w:cs="宋体"/>
          <w:color w:val="auto"/>
          <w:kern w:val="0"/>
          <w:szCs w:val="21"/>
        </w:rPr>
        <w:t>本单位承诺并保证，本项目</w:t>
      </w:r>
      <w:r>
        <w:rPr>
          <w:rFonts w:hint="eastAsia" w:ascii="宋体" w:hAnsi="宋体" w:eastAsia="宋体" w:cs="宋体"/>
          <w:color w:val="auto"/>
          <w:kern w:val="0"/>
          <w:szCs w:val="21"/>
          <w:lang w:val="en-US"/>
        </w:rPr>
        <w:t>投标</w:t>
      </w:r>
      <w:r>
        <w:rPr>
          <w:rFonts w:hint="eastAsia" w:ascii="宋体" w:hAnsi="宋体" w:eastAsia="宋体" w:cs="宋体"/>
          <w:color w:val="auto"/>
          <w:kern w:val="0"/>
          <w:szCs w:val="21"/>
        </w:rPr>
        <w:t>产品以及本单位向贵公司交付的所有</w:t>
      </w:r>
      <w:r>
        <w:rPr>
          <w:rFonts w:hint="eastAsia" w:ascii="宋体" w:hAnsi="宋体" w:eastAsia="宋体" w:cs="宋体"/>
          <w:color w:val="auto"/>
          <w:kern w:val="0"/>
          <w:szCs w:val="21"/>
          <w:lang w:val="en-US"/>
        </w:rPr>
        <w:t>投标</w:t>
      </w:r>
      <w:r>
        <w:rPr>
          <w:rFonts w:hint="eastAsia" w:ascii="宋体" w:hAnsi="宋体" w:eastAsia="宋体" w:cs="宋体"/>
          <w:color w:val="auto"/>
          <w:kern w:val="0"/>
          <w:szCs w:val="21"/>
        </w:rPr>
        <w:t>产品相关成果（合称“项目标的”），本单位均享有合法的知识产权和所有权，或者已从相关权利人获得合法充分的授权。本单位按照本项目招标文件及合同/协议约定将项目标的交付给贵公司以及贵公司采购、占有、使用、收益和处分项目标的不侵犯任何第三方的权利和合法权益，包括但不限于商标、专利、著作权等知识产权、专利申请权和所有权。本单位承诺向贵公司提供真实、有效、合法的权利证明文件。</w:t>
      </w:r>
    </w:p>
    <w:p w14:paraId="166AF65A">
      <w:pPr>
        <w:pageBreakBefore w:val="0"/>
        <w:numPr>
          <w:ilvl w:val="0"/>
          <w:numId w:val="37"/>
        </w:numPr>
        <w:kinsoku/>
        <w:overflowPunct/>
        <w:bidi w:val="0"/>
        <w:spacing w:line="360" w:lineRule="auto"/>
        <w:ind w:firstLine="420"/>
        <w:jc w:val="left"/>
        <w:rPr>
          <w:rFonts w:hint="eastAsia" w:ascii="宋体" w:hAnsi="宋体" w:eastAsia="宋体" w:cs="宋体"/>
          <w:color w:val="auto"/>
          <w:kern w:val="0"/>
          <w:szCs w:val="21"/>
        </w:rPr>
      </w:pPr>
      <w:r>
        <w:rPr>
          <w:rFonts w:hint="eastAsia" w:ascii="宋体" w:hAnsi="宋体" w:eastAsia="宋体" w:cs="宋体"/>
          <w:color w:val="auto"/>
          <w:kern w:val="0"/>
          <w:szCs w:val="21"/>
        </w:rPr>
        <w:t>本项目报价已包含了项目标的知识产权及所有权利的一切授权费用。本单位承诺按招标文件及</w:t>
      </w:r>
      <w:r>
        <w:rPr>
          <w:rFonts w:hint="eastAsia" w:ascii="宋体" w:hAnsi="宋体" w:eastAsia="宋体" w:cs="宋体"/>
          <w:color w:val="auto"/>
          <w:szCs w:val="21"/>
        </w:rPr>
        <w:t>合同/协议</w:t>
      </w:r>
      <w:r>
        <w:rPr>
          <w:rFonts w:hint="eastAsia" w:ascii="宋体" w:hAnsi="宋体" w:eastAsia="宋体" w:cs="宋体"/>
          <w:color w:val="auto"/>
          <w:kern w:val="0"/>
          <w:szCs w:val="21"/>
        </w:rPr>
        <w:t>约定向贵公司提供技术文档并提供技术支持。</w:t>
      </w:r>
    </w:p>
    <w:p w14:paraId="60BA096F">
      <w:pPr>
        <w:pageBreakBefore w:val="0"/>
        <w:numPr>
          <w:ilvl w:val="0"/>
          <w:numId w:val="37"/>
        </w:numPr>
        <w:kinsoku/>
        <w:overflowPunct/>
        <w:bidi w:val="0"/>
        <w:spacing w:line="360" w:lineRule="auto"/>
        <w:ind w:firstLine="420"/>
        <w:jc w:val="left"/>
        <w:rPr>
          <w:rFonts w:hint="eastAsia" w:ascii="宋体" w:hAnsi="宋体" w:eastAsia="宋体" w:cs="宋体"/>
          <w:color w:val="auto"/>
          <w:kern w:val="0"/>
          <w:szCs w:val="21"/>
        </w:rPr>
      </w:pPr>
      <w:r>
        <w:rPr>
          <w:rFonts w:hint="eastAsia" w:ascii="宋体" w:hAnsi="宋体" w:eastAsia="宋体" w:cs="宋体"/>
          <w:color w:val="auto"/>
          <w:kern w:val="0"/>
          <w:szCs w:val="21"/>
        </w:rPr>
        <w:t>如果有人提出法律或行政程序(合称“侵权指控”)，声称</w:t>
      </w:r>
      <w:r>
        <w:rPr>
          <w:rFonts w:hint="eastAsia" w:ascii="宋体" w:hAnsi="宋体" w:eastAsia="宋体" w:cs="宋体"/>
          <w:color w:val="auto"/>
          <w:szCs w:val="21"/>
        </w:rPr>
        <w:t>贵公司或</w:t>
      </w:r>
      <w:r>
        <w:rPr>
          <w:rFonts w:hint="eastAsia" w:ascii="宋体" w:hAnsi="宋体" w:eastAsia="宋体" w:cs="宋体"/>
          <w:color w:val="auto"/>
          <w:szCs w:val="21"/>
          <w:lang w:eastAsia="zh-CN"/>
        </w:rPr>
        <w:t>贵公司客户</w:t>
      </w:r>
      <w:r>
        <w:rPr>
          <w:rFonts w:hint="eastAsia" w:ascii="宋体" w:hAnsi="宋体" w:eastAsia="宋体" w:cs="宋体"/>
          <w:color w:val="auto"/>
          <w:szCs w:val="21"/>
        </w:rPr>
        <w:t>（含最终客户，下同）采购、占有、使用、收益或处分项目标的</w:t>
      </w:r>
      <w:r>
        <w:rPr>
          <w:rFonts w:hint="eastAsia" w:ascii="宋体" w:hAnsi="宋体" w:eastAsia="宋体" w:cs="宋体"/>
          <w:color w:val="auto"/>
          <w:kern w:val="0"/>
          <w:szCs w:val="21"/>
        </w:rPr>
        <w:t>侵犯了其知识产权等合法权益的，由本单位负责解决，并赔偿</w:t>
      </w:r>
      <w:r>
        <w:rPr>
          <w:rFonts w:hint="eastAsia" w:ascii="宋体" w:hAnsi="宋体" w:eastAsia="宋体" w:cs="宋体"/>
          <w:color w:val="auto"/>
          <w:szCs w:val="21"/>
        </w:rPr>
        <w:t>贵公司或</w:t>
      </w:r>
      <w:r>
        <w:rPr>
          <w:rFonts w:hint="eastAsia" w:ascii="宋体" w:hAnsi="宋体" w:eastAsia="宋体" w:cs="宋体"/>
          <w:color w:val="auto"/>
          <w:szCs w:val="21"/>
          <w:lang w:eastAsia="zh-CN"/>
        </w:rPr>
        <w:t>贵公司客户</w:t>
      </w:r>
      <w:r>
        <w:rPr>
          <w:rFonts w:hint="eastAsia" w:ascii="宋体" w:hAnsi="宋体" w:eastAsia="宋体" w:cs="宋体"/>
          <w:color w:val="auto"/>
          <w:kern w:val="0"/>
          <w:szCs w:val="21"/>
        </w:rPr>
        <w:t>就此所承担的一切损失和费用，包括但不限于上述侵权指控中所产生的诉讼费用、合理的律师费用、调查费用、和解金额或生效法律文书中规定的赔偿金额。</w:t>
      </w:r>
    </w:p>
    <w:p w14:paraId="231D6454">
      <w:pPr>
        <w:pageBreakBefore w:val="0"/>
        <w:numPr>
          <w:ilvl w:val="0"/>
          <w:numId w:val="37"/>
        </w:numPr>
        <w:kinsoku/>
        <w:overflowPunct/>
        <w:bidi w:val="0"/>
        <w:spacing w:line="360" w:lineRule="auto"/>
        <w:ind w:firstLine="420"/>
        <w:jc w:val="left"/>
        <w:rPr>
          <w:rFonts w:hint="eastAsia" w:ascii="宋体" w:hAnsi="宋体" w:eastAsia="宋体" w:cs="宋体"/>
          <w:color w:val="auto"/>
          <w:kern w:val="0"/>
          <w:szCs w:val="21"/>
        </w:rPr>
      </w:pPr>
      <w:r>
        <w:rPr>
          <w:rFonts w:hint="eastAsia" w:ascii="宋体" w:hAnsi="宋体" w:eastAsia="宋体" w:cs="宋体"/>
          <w:color w:val="auto"/>
          <w:kern w:val="0"/>
          <w:szCs w:val="21"/>
        </w:rPr>
        <w:t>如果在侵权指控的审理过程中有关机关禁止贵公司</w:t>
      </w:r>
      <w:r>
        <w:rPr>
          <w:rFonts w:hint="eastAsia" w:ascii="宋体" w:hAnsi="宋体" w:eastAsia="宋体" w:cs="宋体"/>
          <w:color w:val="auto"/>
          <w:szCs w:val="21"/>
        </w:rPr>
        <w:t>或贵公司客户</w:t>
      </w:r>
      <w:r>
        <w:rPr>
          <w:rFonts w:hint="eastAsia" w:ascii="宋体" w:hAnsi="宋体" w:eastAsia="宋体" w:cs="宋体"/>
          <w:color w:val="auto"/>
          <w:kern w:val="0"/>
          <w:szCs w:val="21"/>
        </w:rPr>
        <w:t>继续使用项目标的的部分或全部的，本单位承诺采取以下措施：</w:t>
      </w:r>
    </w:p>
    <w:p w14:paraId="120F185F">
      <w:pPr>
        <w:pageBreakBefore w:val="0"/>
        <w:kinsoku/>
        <w:overflowPunct/>
        <w:bidi w:val="0"/>
        <w:spacing w:line="360" w:lineRule="auto"/>
        <w:ind w:firstLine="420"/>
        <w:jc w:val="left"/>
        <w:rPr>
          <w:rFonts w:hint="eastAsia" w:ascii="宋体" w:hAnsi="宋体" w:eastAsia="宋体" w:cs="宋体"/>
          <w:color w:val="auto"/>
          <w:kern w:val="0"/>
          <w:szCs w:val="21"/>
        </w:rPr>
      </w:pPr>
      <w:r>
        <w:rPr>
          <w:rFonts w:hint="eastAsia" w:ascii="宋体" w:hAnsi="宋体" w:eastAsia="宋体" w:cs="宋体"/>
          <w:color w:val="auto"/>
          <w:kern w:val="0"/>
          <w:szCs w:val="21"/>
        </w:rPr>
        <w:t>（1）贵公司</w:t>
      </w:r>
      <w:r>
        <w:rPr>
          <w:rFonts w:hint="eastAsia" w:ascii="宋体" w:hAnsi="宋体" w:eastAsia="宋体" w:cs="宋体"/>
          <w:color w:val="auto"/>
          <w:szCs w:val="21"/>
        </w:rPr>
        <w:t>或贵公司客户</w:t>
      </w:r>
      <w:r>
        <w:rPr>
          <w:rFonts w:hint="eastAsia" w:ascii="宋体" w:hAnsi="宋体" w:eastAsia="宋体" w:cs="宋体"/>
          <w:color w:val="auto"/>
          <w:kern w:val="0"/>
          <w:szCs w:val="21"/>
        </w:rPr>
        <w:t>免费获得使用项目标的的权利，或</w:t>
      </w:r>
    </w:p>
    <w:p w14:paraId="2347ECFB">
      <w:pPr>
        <w:pageBreakBefore w:val="0"/>
        <w:kinsoku/>
        <w:overflowPunct/>
        <w:bidi w:val="0"/>
        <w:spacing w:line="360" w:lineRule="auto"/>
        <w:ind w:firstLine="420"/>
        <w:jc w:val="left"/>
        <w:rPr>
          <w:rFonts w:hint="eastAsia" w:ascii="宋体" w:hAnsi="宋体" w:eastAsia="宋体" w:cs="宋体"/>
          <w:color w:val="auto"/>
          <w:kern w:val="0"/>
          <w:szCs w:val="21"/>
        </w:rPr>
      </w:pPr>
      <w:r>
        <w:rPr>
          <w:rFonts w:hint="eastAsia" w:ascii="宋体" w:hAnsi="宋体" w:eastAsia="宋体" w:cs="宋体"/>
          <w:color w:val="auto"/>
          <w:kern w:val="0"/>
          <w:szCs w:val="21"/>
        </w:rPr>
        <w:t>（2）免费更换或改造项目标的，使贵公司</w:t>
      </w:r>
      <w:r>
        <w:rPr>
          <w:rFonts w:hint="eastAsia" w:ascii="宋体" w:hAnsi="宋体" w:eastAsia="宋体" w:cs="宋体"/>
          <w:color w:val="auto"/>
          <w:szCs w:val="21"/>
        </w:rPr>
        <w:t>或贵公司客户</w:t>
      </w:r>
      <w:r>
        <w:rPr>
          <w:rFonts w:hint="eastAsia" w:ascii="宋体" w:hAnsi="宋体" w:eastAsia="宋体" w:cs="宋体"/>
          <w:color w:val="auto"/>
          <w:kern w:val="0"/>
          <w:szCs w:val="21"/>
        </w:rPr>
        <w:t>不受上述禁令限制继续使用项目标的，或</w:t>
      </w:r>
    </w:p>
    <w:p w14:paraId="5BF6C151">
      <w:pPr>
        <w:pageBreakBefore w:val="0"/>
        <w:kinsoku/>
        <w:overflowPunct/>
        <w:bidi w:val="0"/>
        <w:spacing w:line="360" w:lineRule="auto"/>
        <w:ind w:firstLine="420"/>
        <w:jc w:val="left"/>
        <w:rPr>
          <w:rFonts w:hint="eastAsia" w:ascii="宋体" w:hAnsi="宋体" w:eastAsia="宋体" w:cs="宋体"/>
          <w:color w:val="auto"/>
          <w:kern w:val="0"/>
          <w:szCs w:val="21"/>
        </w:rPr>
      </w:pPr>
      <w:r>
        <w:rPr>
          <w:rFonts w:hint="eastAsia" w:ascii="宋体" w:hAnsi="宋体" w:eastAsia="宋体" w:cs="宋体"/>
          <w:color w:val="auto"/>
          <w:kern w:val="0"/>
          <w:szCs w:val="21"/>
        </w:rPr>
        <w:t>（3）其他使贵公司</w:t>
      </w:r>
      <w:r>
        <w:rPr>
          <w:rFonts w:hint="eastAsia" w:ascii="宋体" w:hAnsi="宋体" w:eastAsia="宋体" w:cs="宋体"/>
          <w:color w:val="auto"/>
          <w:szCs w:val="21"/>
        </w:rPr>
        <w:t>或贵公司客户</w:t>
      </w:r>
      <w:r>
        <w:rPr>
          <w:rFonts w:hint="eastAsia" w:ascii="宋体" w:hAnsi="宋体" w:eastAsia="宋体" w:cs="宋体"/>
          <w:color w:val="auto"/>
          <w:kern w:val="0"/>
          <w:szCs w:val="21"/>
        </w:rPr>
        <w:t>对项目标的拥有合法使用权，或其他弥补贵公司或贵公司客户受损利益、实现合同目的的合理方式。</w:t>
      </w:r>
    </w:p>
    <w:p w14:paraId="1D5FD4A3">
      <w:pPr>
        <w:pStyle w:val="94"/>
        <w:pageBreakBefore w:val="0"/>
        <w:kinsoku/>
        <w:overflowPunct/>
        <w:bidi w:val="0"/>
        <w:snapToGrid w:val="0"/>
        <w:spacing w:line="360" w:lineRule="auto"/>
        <w:ind w:firstLine="411" w:firstLineChars="196"/>
        <w:jc w:val="left"/>
        <w:rPr>
          <w:rFonts w:hint="eastAsia" w:ascii="宋体" w:hAnsi="宋体" w:eastAsia="宋体" w:cs="宋体"/>
          <w:color w:val="auto"/>
          <w:kern w:val="0"/>
          <w:szCs w:val="21"/>
        </w:rPr>
      </w:pPr>
      <w:r>
        <w:rPr>
          <w:rFonts w:hint="eastAsia" w:ascii="宋体" w:hAnsi="宋体" w:eastAsia="宋体" w:cs="宋体"/>
          <w:color w:val="auto"/>
          <w:kern w:val="0"/>
          <w:szCs w:val="21"/>
        </w:rPr>
        <w:t>本单位采取上述措施不能免除本单位就贵公司和/或贵公司客户因此遭受的损失进行赔偿的义务。</w:t>
      </w:r>
    </w:p>
    <w:p w14:paraId="7AEF3D80">
      <w:pPr>
        <w:pageBreakBefore w:val="0"/>
        <w:numPr>
          <w:ilvl w:val="0"/>
          <w:numId w:val="37"/>
        </w:numPr>
        <w:kinsoku/>
        <w:overflowPunct/>
        <w:bidi w:val="0"/>
        <w:spacing w:line="360" w:lineRule="auto"/>
        <w:ind w:firstLine="420"/>
        <w:jc w:val="left"/>
        <w:rPr>
          <w:rFonts w:hint="eastAsia" w:ascii="宋体" w:hAnsi="宋体" w:eastAsia="宋体" w:cs="宋体"/>
          <w:color w:val="auto"/>
          <w:kern w:val="0"/>
          <w:szCs w:val="21"/>
        </w:rPr>
      </w:pPr>
      <w:r>
        <w:rPr>
          <w:rFonts w:hint="eastAsia" w:ascii="宋体" w:hAnsi="宋体" w:eastAsia="宋体" w:cs="宋体"/>
          <w:color w:val="auto"/>
          <w:kern w:val="0"/>
          <w:szCs w:val="21"/>
        </w:rPr>
        <w:t>本单位承诺本单位及本单位所代表的制造商（如有）、相关权利人（如有，相关权利人包括但不限于软件著作权权利人、商标权权利人、专利权权利人、专利申请权权利人，下同）接受不时修订的《中国电信供应商不良行为管理规则》（发布于“中国电信阳光采购网”[https://caigou.chinatelecom.com.cn]）的约束，贵公司有权按照《中国电信供应商不良行为管理规则》，对本单位和/或上述制造商、权利人进行不良行为管理和处理。</w:t>
      </w:r>
    </w:p>
    <w:p w14:paraId="45C0CDAA">
      <w:pPr>
        <w:pageBreakBefore w:val="0"/>
        <w:widowControl/>
        <w:numPr>
          <w:ilvl w:val="0"/>
          <w:numId w:val="37"/>
        </w:numPr>
        <w:kinsoku/>
        <w:wordWrap/>
        <w:overflowPunct/>
        <w:bidi w:val="0"/>
        <w:spacing w:line="360" w:lineRule="auto"/>
        <w:ind w:firstLine="42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本单位承诺与本单位所代表的制造商（如有）、相关权利人（如有）参照签订此类《知识产权不侵权承诺函》，并督促上述制造商、权利人履行相应责任。否则，本单位承担连带责任。</w:t>
      </w:r>
    </w:p>
    <w:p w14:paraId="67EDBBE2">
      <w:pPr>
        <w:pageBreakBefore w:val="0"/>
        <w:widowControl/>
        <w:kinsoku/>
        <w:overflowPunct/>
        <w:bidi w:val="0"/>
        <w:spacing w:line="360" w:lineRule="auto"/>
        <w:jc w:val="left"/>
        <w:rPr>
          <w:rFonts w:hint="eastAsia" w:ascii="宋体" w:hAnsi="宋体" w:eastAsia="宋体" w:cs="宋体"/>
          <w:color w:val="auto"/>
          <w:sz w:val="24"/>
        </w:rPr>
      </w:pPr>
    </w:p>
    <w:p w14:paraId="0367073F">
      <w:pPr>
        <w:pageBreakBefore w:val="0"/>
        <w:kinsoku/>
        <w:overflowPunct/>
        <w:bidi w:val="0"/>
        <w:spacing w:line="360" w:lineRule="auto"/>
        <w:ind w:firstLine="424" w:firstLineChars="202"/>
        <w:rPr>
          <w:rFonts w:hint="eastAsia" w:ascii="宋体" w:hAnsi="宋体" w:eastAsia="宋体" w:cs="宋体"/>
          <w:color w:val="auto"/>
          <w:szCs w:val="21"/>
          <w:u w:val="single"/>
        </w:rPr>
      </w:pPr>
      <w:r>
        <w:rPr>
          <w:rFonts w:hint="eastAsia" w:ascii="宋体" w:hAnsi="宋体" w:eastAsia="宋体" w:cs="宋体"/>
          <w:color w:val="auto"/>
          <w:szCs w:val="21"/>
        </w:rPr>
        <w:t>承诺单位：</w:t>
      </w:r>
      <w:r>
        <w:rPr>
          <w:rFonts w:hint="eastAsia" w:ascii="宋体" w:hAnsi="宋体" w:eastAsia="宋体" w:cs="宋体"/>
          <w:color w:val="auto"/>
          <w:szCs w:val="21"/>
          <w:u w:val="single"/>
        </w:rPr>
        <w:t xml:space="preserve">　　　　　　　　                       </w:t>
      </w:r>
    </w:p>
    <w:p w14:paraId="6870DFE6">
      <w:pPr>
        <w:pageBreakBefore w:val="0"/>
        <w:kinsoku/>
        <w:overflowPunct/>
        <w:bidi w:val="0"/>
        <w:spacing w:line="360" w:lineRule="auto"/>
        <w:ind w:firstLine="424" w:firstLineChars="202"/>
        <w:jc w:val="left"/>
        <w:rPr>
          <w:rFonts w:hint="eastAsia" w:ascii="宋体" w:hAnsi="宋体" w:eastAsia="宋体" w:cs="宋体"/>
          <w:color w:val="auto"/>
          <w:szCs w:val="21"/>
        </w:rPr>
      </w:pPr>
      <w:r>
        <w:rPr>
          <w:rFonts w:hint="eastAsia" w:ascii="宋体" w:hAnsi="宋体" w:eastAsia="宋体" w:cs="宋体"/>
          <w:color w:val="auto"/>
        </w:rPr>
        <w:t>日期：</w:t>
      </w:r>
      <w:r>
        <w:rPr>
          <w:rFonts w:hint="eastAsia" w:ascii="宋体" w:hAnsi="宋体" w:eastAsia="宋体" w:cs="宋体"/>
          <w:color w:val="auto"/>
          <w:u w:val="single"/>
        </w:rPr>
        <w:t xml:space="preserve">_     __ </w:t>
      </w:r>
      <w:r>
        <w:rPr>
          <w:rFonts w:hint="eastAsia" w:ascii="宋体" w:hAnsi="宋体" w:eastAsia="宋体" w:cs="宋体"/>
          <w:color w:val="auto"/>
        </w:rPr>
        <w:t>年</w:t>
      </w:r>
      <w:r>
        <w:rPr>
          <w:rFonts w:hint="eastAsia" w:ascii="宋体" w:hAnsi="宋体" w:eastAsia="宋体" w:cs="宋体"/>
          <w:color w:val="auto"/>
          <w:u w:val="single"/>
        </w:rPr>
        <w:t>_     __</w:t>
      </w:r>
      <w:r>
        <w:rPr>
          <w:rFonts w:hint="eastAsia" w:ascii="宋体" w:hAnsi="宋体" w:eastAsia="宋体" w:cs="宋体"/>
          <w:color w:val="auto"/>
        </w:rPr>
        <w:t>月</w:t>
      </w:r>
      <w:r>
        <w:rPr>
          <w:rFonts w:hint="eastAsia" w:ascii="宋体" w:hAnsi="宋体" w:eastAsia="宋体" w:cs="宋体"/>
          <w:color w:val="auto"/>
          <w:u w:val="single"/>
        </w:rPr>
        <w:t>_    _ _</w:t>
      </w:r>
      <w:r>
        <w:rPr>
          <w:rFonts w:hint="eastAsia" w:ascii="宋体" w:hAnsi="宋体" w:eastAsia="宋体" w:cs="宋体"/>
          <w:color w:val="auto"/>
        </w:rPr>
        <w:t>日</w:t>
      </w:r>
    </w:p>
    <w:p w14:paraId="1469DE1D">
      <w:pPr>
        <w:pageBreakBefore w:val="0"/>
        <w:widowControl/>
        <w:kinsoku/>
        <w:overflowPunct/>
        <w:bidi w:val="0"/>
        <w:snapToGrid w:val="0"/>
        <w:spacing w:line="360" w:lineRule="auto"/>
        <w:jc w:val="left"/>
        <w:rPr>
          <w:rFonts w:hint="eastAsia" w:ascii="宋体" w:hAnsi="宋体" w:eastAsia="宋体" w:cs="宋体"/>
          <w:color w:val="auto"/>
          <w:sz w:val="24"/>
        </w:rPr>
      </w:pPr>
      <w:r>
        <w:rPr>
          <w:rFonts w:hint="eastAsia" w:ascii="宋体" w:hAnsi="宋体" w:eastAsia="宋体" w:cs="宋体"/>
          <w:color w:val="auto"/>
        </w:rPr>
        <w:t xml:space="preserve">    </w:t>
      </w:r>
    </w:p>
    <w:p w14:paraId="76CC1271">
      <w:pPr>
        <w:pageBreakBefore w:val="0"/>
        <w:widowControl/>
        <w:kinsoku/>
        <w:overflowPunct/>
        <w:bidi w:val="0"/>
        <w:spacing w:line="360" w:lineRule="auto"/>
        <w:jc w:val="left"/>
        <w:rPr>
          <w:rFonts w:hint="eastAsia" w:ascii="宋体" w:hAnsi="宋体" w:eastAsia="宋体" w:cs="宋体"/>
          <w:color w:val="auto"/>
          <w:sz w:val="24"/>
        </w:rPr>
      </w:pPr>
    </w:p>
    <w:p w14:paraId="3211DAB6">
      <w:pPr>
        <w:pageBreakBefore w:val="0"/>
        <w:widowControl/>
        <w:kinsoku/>
        <w:overflowPunct/>
        <w:bidi w:val="0"/>
        <w:spacing w:line="360" w:lineRule="auto"/>
        <w:jc w:val="left"/>
        <w:rPr>
          <w:rFonts w:hint="eastAsia" w:ascii="宋体" w:hAnsi="宋体" w:eastAsia="宋体" w:cs="宋体"/>
          <w:color w:val="auto"/>
          <w:sz w:val="24"/>
        </w:rPr>
      </w:pPr>
    </w:p>
    <w:p w14:paraId="05558476">
      <w:pPr>
        <w:pageBreakBefore w:val="0"/>
        <w:widowControl/>
        <w:kinsoku/>
        <w:overflowPunct/>
        <w:bidi w:val="0"/>
        <w:spacing w:line="36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编制要求：</w:t>
      </w:r>
    </w:p>
    <w:p w14:paraId="6C19D6A4">
      <w:pPr>
        <w:pageBreakBefore w:val="0"/>
        <w:widowControl/>
        <w:kinsoku/>
        <w:overflowPunct/>
        <w:bidi w:val="0"/>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1.代理商投标的，制造商和代理商须各自提供一份本承诺函。</w:t>
      </w:r>
    </w:p>
    <w:p w14:paraId="0534E1F9">
      <w:pPr>
        <w:pageBreakBefore w:val="0"/>
        <w:widowControl/>
        <w:kinsoku/>
        <w:overflowPunct/>
        <w:bidi w:val="0"/>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2.投标产品制造商注册地在中华人民共和国境外（与中华人民共和国有正常贸易与往来的国家或地区）及香港、澳门、台湾地区使用代理商投标和签订销售合同且制造商无法加盖单位公章的，本文件应由有签署权的代表签字确认，并提供委托签署权的相关证明材料。</w:t>
      </w:r>
    </w:p>
    <w:p w14:paraId="7310105F">
      <w:pPr>
        <w:pageBreakBefore w:val="0"/>
        <w:kinsoku/>
        <w:overflowPunct/>
        <w:bidi w:val="0"/>
        <w:spacing w:line="360" w:lineRule="auto"/>
        <w:rPr>
          <w:rFonts w:hint="eastAsia" w:ascii="宋体" w:hAnsi="宋体" w:eastAsia="宋体" w:cs="宋体"/>
          <w:color w:val="auto"/>
          <w:lang w:val="en-US" w:eastAsia="zh-CN"/>
        </w:rPr>
      </w:pPr>
      <w:r>
        <w:rPr>
          <w:rFonts w:hint="eastAsia" w:ascii="宋体" w:hAnsi="宋体" w:eastAsia="宋体" w:cs="宋体"/>
          <w:color w:val="auto"/>
          <w:szCs w:val="21"/>
        </w:rPr>
        <w:t>3.</w:t>
      </w:r>
      <w:r>
        <w:rPr>
          <w:rFonts w:hint="eastAsia" w:ascii="宋体" w:hAnsi="宋体" w:eastAsia="宋体" w:cs="宋体"/>
          <w:color w:val="auto"/>
        </w:rPr>
        <w:t>除本文件允许投标人进行填写的内容以外，投标人不得对本文件进行修改。</w:t>
      </w:r>
    </w:p>
    <w:p w14:paraId="0F86B8BB">
      <w:pPr>
        <w:pageBreakBefore w:val="0"/>
        <w:kinsoku/>
        <w:overflowPunct/>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6BDF05AF">
      <w:pPr>
        <w:pStyle w:val="39"/>
        <w:pageBreakBefore w:val="0"/>
        <w:numPr>
          <w:ilvl w:val="0"/>
          <w:numId w:val="29"/>
        </w:numPr>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573" w:name="_Toc17063"/>
      <w:r>
        <w:rPr>
          <w:rFonts w:hint="eastAsia" w:ascii="宋体" w:hAnsi="宋体" w:eastAsia="宋体" w:cs="宋体"/>
          <w:color w:val="auto"/>
          <w:sz w:val="24"/>
          <w:szCs w:val="24"/>
        </w:rPr>
        <w:t>主要股东和高管人员信息表</w:t>
      </w:r>
      <w:bookmarkEnd w:id="1571"/>
      <w:bookmarkEnd w:id="1572"/>
      <w:bookmarkEnd w:id="1573"/>
    </w:p>
    <w:p w14:paraId="3063B804">
      <w:pPr>
        <w:pageBreakBefore w:val="0"/>
        <w:kinsoku/>
        <w:overflowPunct/>
        <w:bidi w:val="0"/>
        <w:spacing w:line="360" w:lineRule="auto"/>
        <w:jc w:val="center"/>
        <w:rPr>
          <w:rFonts w:hint="eastAsia" w:ascii="宋体" w:hAnsi="宋体" w:eastAsia="宋体" w:cs="宋体"/>
          <w:b/>
          <w:bCs/>
          <w:color w:val="auto"/>
          <w:sz w:val="28"/>
          <w:szCs w:val="36"/>
        </w:rPr>
      </w:pPr>
      <w:bookmarkStart w:id="1574" w:name="_Toc3995"/>
      <w:bookmarkStart w:id="1575" w:name="_Toc6680"/>
      <w:r>
        <w:rPr>
          <w:rFonts w:hint="eastAsia" w:ascii="宋体" w:hAnsi="宋体" w:eastAsia="宋体" w:cs="宋体"/>
          <w:b/>
          <w:bCs/>
          <w:color w:val="auto"/>
          <w:sz w:val="28"/>
          <w:szCs w:val="36"/>
        </w:rPr>
        <w:t>主要股东和高管人员信息表</w:t>
      </w:r>
      <w:bookmarkEnd w:id="1574"/>
      <w:bookmarkEnd w:id="1575"/>
    </w:p>
    <w:tbl>
      <w:tblPr>
        <w:tblStyle w:val="41"/>
        <w:tblW w:w="8363" w:type="dxa"/>
        <w:tblInd w:w="0" w:type="dxa"/>
        <w:tblLayout w:type="autofit"/>
        <w:tblCellMar>
          <w:top w:w="0" w:type="dxa"/>
          <w:left w:w="108" w:type="dxa"/>
          <w:bottom w:w="0" w:type="dxa"/>
          <w:right w:w="108" w:type="dxa"/>
        </w:tblCellMar>
      </w:tblPr>
      <w:tblGrid>
        <w:gridCol w:w="662"/>
        <w:gridCol w:w="1789"/>
        <w:gridCol w:w="3513"/>
        <w:gridCol w:w="2399"/>
      </w:tblGrid>
      <w:tr w14:paraId="249F64F6">
        <w:tblPrEx>
          <w:tblCellMar>
            <w:top w:w="0" w:type="dxa"/>
            <w:left w:w="108" w:type="dxa"/>
            <w:bottom w:w="0" w:type="dxa"/>
            <w:right w:w="108" w:type="dxa"/>
          </w:tblCellMar>
        </w:tblPrEx>
        <w:trPr>
          <w:trHeight w:val="1584" w:hRule="atLeast"/>
        </w:trPr>
        <w:tc>
          <w:tcPr>
            <w:tcW w:w="6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433389">
            <w:pPr>
              <w:pageBreakBefore w:val="0"/>
              <w:widowControl/>
              <w:kinsoku/>
              <w:overflowPunct/>
              <w:bidi w:val="0"/>
              <w:spacing w:line="360" w:lineRule="auto"/>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序号</w:t>
            </w:r>
          </w:p>
        </w:tc>
        <w:tc>
          <w:tcPr>
            <w:tcW w:w="1789" w:type="dxa"/>
            <w:tcBorders>
              <w:top w:val="single" w:color="auto" w:sz="4" w:space="0"/>
              <w:left w:val="nil"/>
              <w:bottom w:val="single" w:color="auto" w:sz="4" w:space="0"/>
              <w:right w:val="single" w:color="auto" w:sz="4" w:space="0"/>
            </w:tcBorders>
            <w:shd w:val="clear" w:color="auto" w:fill="auto"/>
            <w:vAlign w:val="center"/>
          </w:tcPr>
          <w:p w14:paraId="14349504">
            <w:pPr>
              <w:pageBreakBefore w:val="0"/>
              <w:widowControl/>
              <w:kinsoku/>
              <w:overflowPunct/>
              <w:bidi w:val="0"/>
              <w:spacing w:line="360" w:lineRule="auto"/>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投标人主要股东/高管人员姓名</w:t>
            </w:r>
          </w:p>
        </w:tc>
        <w:tc>
          <w:tcPr>
            <w:tcW w:w="3513" w:type="dxa"/>
            <w:tcBorders>
              <w:top w:val="single" w:color="auto" w:sz="4" w:space="0"/>
              <w:left w:val="nil"/>
              <w:bottom w:val="single" w:color="auto" w:sz="4" w:space="0"/>
              <w:right w:val="single" w:color="auto" w:sz="4" w:space="0"/>
            </w:tcBorders>
            <w:shd w:val="clear" w:color="auto" w:fill="auto"/>
            <w:noWrap/>
            <w:vAlign w:val="center"/>
          </w:tcPr>
          <w:p w14:paraId="77D85932">
            <w:pPr>
              <w:pageBreakBefore w:val="0"/>
              <w:widowControl/>
              <w:kinsoku/>
              <w:overflowPunct/>
              <w:bidi w:val="0"/>
              <w:spacing w:line="360" w:lineRule="auto"/>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股东/高管在投标人单位担任职务及股权关系</w:t>
            </w:r>
          </w:p>
        </w:tc>
        <w:tc>
          <w:tcPr>
            <w:tcW w:w="2399" w:type="dxa"/>
            <w:tcBorders>
              <w:top w:val="single" w:color="auto" w:sz="4" w:space="0"/>
              <w:left w:val="nil"/>
              <w:bottom w:val="single" w:color="auto" w:sz="4" w:space="0"/>
              <w:right w:val="single" w:color="auto" w:sz="4" w:space="0"/>
            </w:tcBorders>
            <w:shd w:val="clear" w:color="auto" w:fill="auto"/>
            <w:vAlign w:val="center"/>
          </w:tcPr>
          <w:p w14:paraId="48A6E613">
            <w:pPr>
              <w:pageBreakBefore w:val="0"/>
              <w:widowControl/>
              <w:kinsoku/>
              <w:overflowPunct/>
              <w:bidi w:val="0"/>
              <w:spacing w:line="360" w:lineRule="auto"/>
              <w:jc w:val="center"/>
              <w:rPr>
                <w:rFonts w:hint="eastAsia" w:ascii="宋体" w:hAnsi="宋体" w:eastAsia="宋体" w:cs="宋体"/>
                <w:b/>
                <w:bCs/>
                <w:color w:val="auto"/>
                <w:kern w:val="0"/>
                <w:sz w:val="22"/>
                <w:lang w:eastAsia="zh-CN"/>
              </w:rPr>
            </w:pPr>
            <w:r>
              <w:rPr>
                <w:rFonts w:hint="eastAsia" w:ascii="宋体" w:hAnsi="宋体" w:eastAsia="宋体" w:cs="宋体"/>
                <w:b/>
                <w:bCs/>
                <w:color w:val="auto"/>
                <w:kern w:val="0"/>
                <w:sz w:val="22"/>
              </w:rPr>
              <w:t>股东/高管人员身份证号</w:t>
            </w:r>
          </w:p>
          <w:p w14:paraId="1D030CA6">
            <w:pPr>
              <w:pageBreakBefore w:val="0"/>
              <w:widowControl/>
              <w:kinsoku/>
              <w:overflowPunct/>
              <w:bidi w:val="0"/>
              <w:spacing w:line="360" w:lineRule="auto"/>
              <w:jc w:val="center"/>
              <w:rPr>
                <w:rFonts w:hint="eastAsia" w:ascii="宋体" w:hAnsi="宋体" w:eastAsia="宋体" w:cs="宋体"/>
                <w:b/>
                <w:bCs/>
                <w:color w:val="auto"/>
                <w:kern w:val="0"/>
                <w:sz w:val="22"/>
              </w:rPr>
            </w:pPr>
            <w:r>
              <w:rPr>
                <w:rFonts w:hint="eastAsia" w:ascii="宋体" w:hAnsi="宋体" w:eastAsia="宋体" w:cs="宋体"/>
                <w:color w:val="auto"/>
                <w:kern w:val="0"/>
                <w:sz w:val="22"/>
              </w:rPr>
              <w:t>（境内人员填写身份证号，境外人员根据实际情况填写，并注明证件类型）</w:t>
            </w:r>
          </w:p>
        </w:tc>
      </w:tr>
      <w:tr w14:paraId="34B7C663">
        <w:tblPrEx>
          <w:tblCellMar>
            <w:top w:w="0" w:type="dxa"/>
            <w:left w:w="108" w:type="dxa"/>
            <w:bottom w:w="0" w:type="dxa"/>
            <w:right w:w="108" w:type="dxa"/>
          </w:tblCellMar>
        </w:tblPrEx>
        <w:trPr>
          <w:trHeight w:val="630" w:hRule="atLeast"/>
        </w:trPr>
        <w:tc>
          <w:tcPr>
            <w:tcW w:w="662" w:type="dxa"/>
            <w:tcBorders>
              <w:top w:val="nil"/>
              <w:left w:val="single" w:color="auto" w:sz="4" w:space="0"/>
              <w:bottom w:val="single" w:color="auto" w:sz="4" w:space="0"/>
              <w:right w:val="single" w:color="auto" w:sz="4" w:space="0"/>
            </w:tcBorders>
            <w:shd w:val="clear" w:color="auto" w:fill="auto"/>
            <w:noWrap/>
            <w:vAlign w:val="center"/>
          </w:tcPr>
          <w:p w14:paraId="095D5300">
            <w:pPr>
              <w:pageBreakBefore w:val="0"/>
              <w:widowControl/>
              <w:kinsoku/>
              <w:overflowPunct/>
              <w:bidi w:val="0"/>
              <w:spacing w:line="360" w:lineRule="auto"/>
              <w:jc w:val="center"/>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1789" w:type="dxa"/>
            <w:tcBorders>
              <w:top w:val="nil"/>
              <w:left w:val="nil"/>
              <w:bottom w:val="single" w:color="auto" w:sz="4" w:space="0"/>
              <w:right w:val="single" w:color="auto" w:sz="4" w:space="0"/>
            </w:tcBorders>
            <w:shd w:val="clear" w:color="auto" w:fill="auto"/>
            <w:noWrap/>
            <w:vAlign w:val="bottom"/>
          </w:tcPr>
          <w:p w14:paraId="11D45752">
            <w:pPr>
              <w:pageBreakBefore w:val="0"/>
              <w:widowControl/>
              <w:kinsoku/>
              <w:overflowPunct/>
              <w:bidi w:val="0"/>
              <w:spacing w:line="360" w:lineRule="auto"/>
              <w:jc w:val="left"/>
              <w:rPr>
                <w:rFonts w:hint="eastAsia" w:ascii="宋体" w:hAnsi="宋体" w:eastAsia="宋体" w:cs="宋体"/>
                <w:color w:val="auto"/>
                <w:kern w:val="0"/>
                <w:sz w:val="22"/>
              </w:rPr>
            </w:pPr>
            <w:r>
              <w:rPr>
                <w:rFonts w:hint="eastAsia" w:ascii="宋体" w:hAnsi="宋体" w:eastAsia="宋体" w:cs="宋体"/>
                <w:color w:val="auto"/>
                <w:kern w:val="0"/>
                <w:sz w:val="22"/>
              </w:rPr>
              <w:t>　</w:t>
            </w:r>
          </w:p>
        </w:tc>
        <w:tc>
          <w:tcPr>
            <w:tcW w:w="3513" w:type="dxa"/>
            <w:tcBorders>
              <w:top w:val="nil"/>
              <w:left w:val="nil"/>
              <w:bottom w:val="single" w:color="auto" w:sz="4" w:space="0"/>
              <w:right w:val="single" w:color="auto" w:sz="4" w:space="0"/>
            </w:tcBorders>
            <w:shd w:val="clear" w:color="auto" w:fill="auto"/>
            <w:noWrap/>
            <w:vAlign w:val="bottom"/>
          </w:tcPr>
          <w:p w14:paraId="03F9E0E5">
            <w:pPr>
              <w:pageBreakBefore w:val="0"/>
              <w:widowControl/>
              <w:kinsoku/>
              <w:overflowPunct/>
              <w:bidi w:val="0"/>
              <w:spacing w:line="360" w:lineRule="auto"/>
              <w:jc w:val="left"/>
              <w:rPr>
                <w:rFonts w:hint="eastAsia" w:ascii="宋体" w:hAnsi="宋体" w:eastAsia="宋体" w:cs="宋体"/>
                <w:color w:val="auto"/>
                <w:kern w:val="0"/>
                <w:sz w:val="22"/>
              </w:rPr>
            </w:pPr>
            <w:r>
              <w:rPr>
                <w:rFonts w:hint="eastAsia" w:ascii="宋体" w:hAnsi="宋体" w:eastAsia="宋体" w:cs="宋体"/>
                <w:color w:val="auto"/>
                <w:kern w:val="0"/>
                <w:sz w:val="22"/>
              </w:rPr>
              <w:t>　</w:t>
            </w:r>
          </w:p>
        </w:tc>
        <w:tc>
          <w:tcPr>
            <w:tcW w:w="2399" w:type="dxa"/>
            <w:tcBorders>
              <w:top w:val="nil"/>
              <w:left w:val="nil"/>
              <w:bottom w:val="single" w:color="auto" w:sz="4" w:space="0"/>
              <w:right w:val="single" w:color="auto" w:sz="4" w:space="0"/>
            </w:tcBorders>
            <w:shd w:val="clear" w:color="auto" w:fill="auto"/>
            <w:noWrap/>
            <w:vAlign w:val="center"/>
          </w:tcPr>
          <w:p w14:paraId="07CCD279">
            <w:pPr>
              <w:pageBreakBefore w:val="0"/>
              <w:widowControl/>
              <w:kinsoku/>
              <w:overflowPunct/>
              <w:bidi w:val="0"/>
              <w:spacing w:line="360" w:lineRule="auto"/>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　</w:t>
            </w:r>
          </w:p>
        </w:tc>
      </w:tr>
      <w:tr w14:paraId="25370129">
        <w:tblPrEx>
          <w:tblCellMar>
            <w:top w:w="0" w:type="dxa"/>
            <w:left w:w="108" w:type="dxa"/>
            <w:bottom w:w="0" w:type="dxa"/>
            <w:right w:w="108" w:type="dxa"/>
          </w:tblCellMar>
        </w:tblPrEx>
        <w:trPr>
          <w:trHeight w:val="630" w:hRule="atLeast"/>
        </w:trPr>
        <w:tc>
          <w:tcPr>
            <w:tcW w:w="662" w:type="dxa"/>
            <w:tcBorders>
              <w:top w:val="nil"/>
              <w:left w:val="single" w:color="auto" w:sz="4" w:space="0"/>
              <w:bottom w:val="single" w:color="auto" w:sz="4" w:space="0"/>
              <w:right w:val="single" w:color="auto" w:sz="4" w:space="0"/>
            </w:tcBorders>
            <w:shd w:val="clear" w:color="auto" w:fill="auto"/>
            <w:noWrap/>
            <w:vAlign w:val="center"/>
          </w:tcPr>
          <w:p w14:paraId="28D3F4C2">
            <w:pPr>
              <w:pageBreakBefore w:val="0"/>
              <w:widowControl/>
              <w:kinsoku/>
              <w:overflowPunct/>
              <w:bidi w:val="0"/>
              <w:spacing w:line="360" w:lineRule="auto"/>
              <w:jc w:val="center"/>
              <w:rPr>
                <w:rFonts w:hint="eastAsia" w:ascii="宋体" w:hAnsi="宋体" w:eastAsia="宋体" w:cs="宋体"/>
                <w:color w:val="auto"/>
                <w:kern w:val="0"/>
                <w:sz w:val="22"/>
              </w:rPr>
            </w:pPr>
            <w:r>
              <w:rPr>
                <w:rFonts w:hint="eastAsia" w:ascii="宋体" w:hAnsi="宋体" w:eastAsia="宋体" w:cs="宋体"/>
                <w:color w:val="auto"/>
                <w:kern w:val="0"/>
                <w:sz w:val="22"/>
              </w:rPr>
              <w:t>2</w:t>
            </w:r>
          </w:p>
        </w:tc>
        <w:tc>
          <w:tcPr>
            <w:tcW w:w="1789" w:type="dxa"/>
            <w:tcBorders>
              <w:top w:val="nil"/>
              <w:left w:val="nil"/>
              <w:bottom w:val="single" w:color="auto" w:sz="4" w:space="0"/>
              <w:right w:val="single" w:color="auto" w:sz="4" w:space="0"/>
            </w:tcBorders>
            <w:shd w:val="clear" w:color="auto" w:fill="auto"/>
            <w:noWrap/>
            <w:vAlign w:val="bottom"/>
          </w:tcPr>
          <w:p w14:paraId="79552C44">
            <w:pPr>
              <w:pageBreakBefore w:val="0"/>
              <w:widowControl/>
              <w:kinsoku/>
              <w:overflowPunct/>
              <w:bidi w:val="0"/>
              <w:spacing w:line="360" w:lineRule="auto"/>
              <w:jc w:val="left"/>
              <w:rPr>
                <w:rFonts w:hint="eastAsia" w:ascii="宋体" w:hAnsi="宋体" w:eastAsia="宋体" w:cs="宋体"/>
                <w:color w:val="auto"/>
                <w:kern w:val="0"/>
                <w:sz w:val="22"/>
              </w:rPr>
            </w:pPr>
            <w:r>
              <w:rPr>
                <w:rFonts w:hint="eastAsia" w:ascii="宋体" w:hAnsi="宋体" w:eastAsia="宋体" w:cs="宋体"/>
                <w:color w:val="auto"/>
                <w:kern w:val="0"/>
                <w:sz w:val="22"/>
              </w:rPr>
              <w:t>　</w:t>
            </w:r>
          </w:p>
        </w:tc>
        <w:tc>
          <w:tcPr>
            <w:tcW w:w="3513" w:type="dxa"/>
            <w:tcBorders>
              <w:top w:val="nil"/>
              <w:left w:val="nil"/>
              <w:bottom w:val="single" w:color="auto" w:sz="4" w:space="0"/>
              <w:right w:val="single" w:color="auto" w:sz="4" w:space="0"/>
            </w:tcBorders>
            <w:shd w:val="clear" w:color="auto" w:fill="auto"/>
            <w:noWrap/>
            <w:vAlign w:val="bottom"/>
          </w:tcPr>
          <w:p w14:paraId="232C3ACB">
            <w:pPr>
              <w:pageBreakBefore w:val="0"/>
              <w:widowControl/>
              <w:kinsoku/>
              <w:overflowPunct/>
              <w:bidi w:val="0"/>
              <w:spacing w:line="360" w:lineRule="auto"/>
              <w:jc w:val="left"/>
              <w:rPr>
                <w:rFonts w:hint="eastAsia" w:ascii="宋体" w:hAnsi="宋体" w:eastAsia="宋体" w:cs="宋体"/>
                <w:color w:val="auto"/>
                <w:kern w:val="0"/>
                <w:sz w:val="22"/>
              </w:rPr>
            </w:pPr>
            <w:r>
              <w:rPr>
                <w:rFonts w:hint="eastAsia" w:ascii="宋体" w:hAnsi="宋体" w:eastAsia="宋体" w:cs="宋体"/>
                <w:color w:val="auto"/>
                <w:kern w:val="0"/>
                <w:sz w:val="22"/>
              </w:rPr>
              <w:t>　</w:t>
            </w:r>
          </w:p>
        </w:tc>
        <w:tc>
          <w:tcPr>
            <w:tcW w:w="2399" w:type="dxa"/>
            <w:tcBorders>
              <w:top w:val="nil"/>
              <w:left w:val="nil"/>
              <w:bottom w:val="single" w:color="auto" w:sz="4" w:space="0"/>
              <w:right w:val="single" w:color="auto" w:sz="4" w:space="0"/>
            </w:tcBorders>
            <w:shd w:val="clear" w:color="auto" w:fill="auto"/>
            <w:noWrap/>
            <w:vAlign w:val="center"/>
          </w:tcPr>
          <w:p w14:paraId="3C54BA31">
            <w:pPr>
              <w:pageBreakBefore w:val="0"/>
              <w:widowControl/>
              <w:kinsoku/>
              <w:overflowPunct/>
              <w:bidi w:val="0"/>
              <w:spacing w:line="360" w:lineRule="auto"/>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　</w:t>
            </w:r>
          </w:p>
        </w:tc>
      </w:tr>
      <w:tr w14:paraId="1D08173F">
        <w:tblPrEx>
          <w:tblCellMar>
            <w:top w:w="0" w:type="dxa"/>
            <w:left w:w="108" w:type="dxa"/>
            <w:bottom w:w="0" w:type="dxa"/>
            <w:right w:w="108" w:type="dxa"/>
          </w:tblCellMar>
        </w:tblPrEx>
        <w:trPr>
          <w:trHeight w:val="630" w:hRule="atLeast"/>
        </w:trPr>
        <w:tc>
          <w:tcPr>
            <w:tcW w:w="662" w:type="dxa"/>
            <w:tcBorders>
              <w:top w:val="nil"/>
              <w:left w:val="single" w:color="auto" w:sz="4" w:space="0"/>
              <w:bottom w:val="single" w:color="auto" w:sz="4" w:space="0"/>
              <w:right w:val="single" w:color="auto" w:sz="4" w:space="0"/>
            </w:tcBorders>
            <w:shd w:val="clear" w:color="auto" w:fill="auto"/>
            <w:noWrap/>
            <w:vAlign w:val="center"/>
          </w:tcPr>
          <w:p w14:paraId="36B48E8D">
            <w:pPr>
              <w:pageBreakBefore w:val="0"/>
              <w:widowControl/>
              <w:kinsoku/>
              <w:overflowPunct/>
              <w:bidi w:val="0"/>
              <w:spacing w:line="360" w:lineRule="auto"/>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1789" w:type="dxa"/>
            <w:tcBorders>
              <w:top w:val="nil"/>
              <w:left w:val="nil"/>
              <w:bottom w:val="single" w:color="auto" w:sz="4" w:space="0"/>
              <w:right w:val="single" w:color="auto" w:sz="4" w:space="0"/>
            </w:tcBorders>
            <w:shd w:val="clear" w:color="auto" w:fill="auto"/>
            <w:noWrap/>
            <w:vAlign w:val="bottom"/>
          </w:tcPr>
          <w:p w14:paraId="74C18EB6">
            <w:pPr>
              <w:pageBreakBefore w:val="0"/>
              <w:widowControl/>
              <w:kinsoku/>
              <w:overflowPunct/>
              <w:bidi w:val="0"/>
              <w:spacing w:line="360" w:lineRule="auto"/>
              <w:jc w:val="left"/>
              <w:rPr>
                <w:rFonts w:hint="eastAsia" w:ascii="宋体" w:hAnsi="宋体" w:eastAsia="宋体" w:cs="宋体"/>
                <w:color w:val="auto"/>
                <w:kern w:val="0"/>
                <w:sz w:val="22"/>
              </w:rPr>
            </w:pPr>
            <w:r>
              <w:rPr>
                <w:rFonts w:hint="eastAsia" w:ascii="宋体" w:hAnsi="宋体" w:eastAsia="宋体" w:cs="宋体"/>
                <w:color w:val="auto"/>
                <w:kern w:val="0"/>
                <w:sz w:val="22"/>
              </w:rPr>
              <w:t>　</w:t>
            </w:r>
          </w:p>
        </w:tc>
        <w:tc>
          <w:tcPr>
            <w:tcW w:w="3513" w:type="dxa"/>
            <w:tcBorders>
              <w:top w:val="nil"/>
              <w:left w:val="nil"/>
              <w:bottom w:val="single" w:color="auto" w:sz="4" w:space="0"/>
              <w:right w:val="single" w:color="auto" w:sz="4" w:space="0"/>
            </w:tcBorders>
            <w:shd w:val="clear" w:color="auto" w:fill="auto"/>
            <w:noWrap/>
            <w:vAlign w:val="bottom"/>
          </w:tcPr>
          <w:p w14:paraId="66A75661">
            <w:pPr>
              <w:pageBreakBefore w:val="0"/>
              <w:widowControl/>
              <w:kinsoku/>
              <w:overflowPunct/>
              <w:bidi w:val="0"/>
              <w:spacing w:line="360" w:lineRule="auto"/>
              <w:jc w:val="left"/>
              <w:rPr>
                <w:rFonts w:hint="eastAsia" w:ascii="宋体" w:hAnsi="宋体" w:eastAsia="宋体" w:cs="宋体"/>
                <w:color w:val="auto"/>
                <w:kern w:val="0"/>
                <w:sz w:val="22"/>
              </w:rPr>
            </w:pPr>
            <w:r>
              <w:rPr>
                <w:rFonts w:hint="eastAsia" w:ascii="宋体" w:hAnsi="宋体" w:eastAsia="宋体" w:cs="宋体"/>
                <w:color w:val="auto"/>
                <w:kern w:val="0"/>
                <w:sz w:val="22"/>
              </w:rPr>
              <w:t>　</w:t>
            </w:r>
          </w:p>
        </w:tc>
        <w:tc>
          <w:tcPr>
            <w:tcW w:w="2399" w:type="dxa"/>
            <w:tcBorders>
              <w:top w:val="nil"/>
              <w:left w:val="nil"/>
              <w:bottom w:val="single" w:color="auto" w:sz="4" w:space="0"/>
              <w:right w:val="single" w:color="auto" w:sz="4" w:space="0"/>
            </w:tcBorders>
            <w:shd w:val="clear" w:color="auto" w:fill="auto"/>
            <w:noWrap/>
            <w:vAlign w:val="center"/>
          </w:tcPr>
          <w:p w14:paraId="453BFB9B">
            <w:pPr>
              <w:pageBreakBefore w:val="0"/>
              <w:widowControl/>
              <w:kinsoku/>
              <w:overflowPunct/>
              <w:bidi w:val="0"/>
              <w:spacing w:line="360" w:lineRule="auto"/>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　</w:t>
            </w:r>
          </w:p>
        </w:tc>
      </w:tr>
    </w:tbl>
    <w:p w14:paraId="0A0FD581">
      <w:pPr>
        <w:pStyle w:val="51"/>
        <w:pageBreakBefore w:val="0"/>
        <w:kinsoku/>
        <w:overflowPunct/>
        <w:bidi w:val="0"/>
        <w:spacing w:line="360" w:lineRule="auto"/>
        <w:ind w:left="567" w:firstLine="0" w:firstLineChars="0"/>
        <w:rPr>
          <w:rFonts w:hint="eastAsia" w:ascii="宋体" w:hAnsi="宋体" w:eastAsia="宋体" w:cs="宋体"/>
          <w:color w:val="auto"/>
        </w:rPr>
      </w:pPr>
      <w:r>
        <w:rPr>
          <w:rFonts w:hint="eastAsia" w:ascii="宋体" w:hAnsi="宋体" w:eastAsia="宋体" w:cs="宋体"/>
          <w:color w:val="auto"/>
        </w:rPr>
        <w:t>说明：主要股东包括股东中的控股股东、共同控制股东、第一大持股比例股东、个人独资企业的企业主、个体工商户业主；事故单位为非法人分支机构的考虑其所属法人单位的主要股东，合伙企业考虑合伙方；确定主要股东时仅考虑其中的个人，且不考虑多级股权间接控制；主要高管指事故单位的法定代表人（单位负责人）、董事长、（总）经理。</w:t>
      </w:r>
    </w:p>
    <w:p w14:paraId="20D00DA2">
      <w:pPr>
        <w:pageBreakBefore w:val="0"/>
        <w:kinsoku/>
        <w:overflowPunct/>
        <w:bidi w:val="0"/>
        <w:spacing w:line="360" w:lineRule="auto"/>
        <w:rPr>
          <w:rFonts w:hint="eastAsia" w:ascii="宋体" w:hAnsi="宋体" w:eastAsia="宋体" w:cs="宋体"/>
          <w:color w:val="auto"/>
        </w:rPr>
      </w:pPr>
    </w:p>
    <w:p w14:paraId="18BEA6A6">
      <w:pPr>
        <w:pStyle w:val="51"/>
        <w:pageBreakBefore w:val="0"/>
        <w:kinsoku/>
        <w:overflowPunct/>
        <w:bidi w:val="0"/>
        <w:spacing w:line="360" w:lineRule="auto"/>
        <w:ind w:left="567" w:firstLine="0" w:firstLineChars="0"/>
        <w:rPr>
          <w:rFonts w:hint="eastAsia" w:ascii="宋体" w:hAnsi="宋体" w:eastAsia="宋体" w:cs="宋体"/>
          <w:color w:val="auto"/>
          <w:szCs w:val="21"/>
          <w:u w:val="single"/>
        </w:rPr>
      </w:pPr>
      <w:r>
        <w:rPr>
          <w:rFonts w:hint="eastAsia" w:ascii="宋体" w:hAnsi="宋体" w:eastAsia="宋体" w:cs="宋体"/>
          <w:color w:val="auto"/>
          <w:szCs w:val="21"/>
        </w:rPr>
        <w:t>投标人名称：</w:t>
      </w:r>
      <w:r>
        <w:rPr>
          <w:rFonts w:hint="eastAsia" w:ascii="宋体" w:hAnsi="宋体" w:eastAsia="宋体" w:cs="宋体"/>
          <w:color w:val="auto"/>
          <w:szCs w:val="21"/>
          <w:u w:val="single"/>
        </w:rPr>
        <w:t xml:space="preserve">　　　　　　　　                      </w:t>
      </w:r>
    </w:p>
    <w:p w14:paraId="6375AA8D">
      <w:pPr>
        <w:pageBreakBefore w:val="0"/>
        <w:kinsoku/>
        <w:overflowPunct/>
        <w:bidi w:val="0"/>
        <w:spacing w:line="360" w:lineRule="auto"/>
        <w:ind w:firstLine="630" w:firstLineChars="300"/>
        <w:jc w:val="left"/>
        <w:rPr>
          <w:rFonts w:hint="eastAsia" w:ascii="宋体" w:hAnsi="宋体" w:eastAsia="宋体" w:cs="宋体"/>
          <w:color w:val="auto"/>
          <w:szCs w:val="21"/>
        </w:rPr>
      </w:pPr>
      <w:r>
        <w:rPr>
          <w:rFonts w:hint="eastAsia" w:ascii="宋体" w:hAnsi="宋体" w:eastAsia="宋体" w:cs="宋体"/>
          <w:color w:val="auto"/>
        </w:rPr>
        <w:t>日期：</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14:paraId="57B4876C">
      <w:pPr>
        <w:pStyle w:val="51"/>
        <w:pageBreakBefore w:val="0"/>
        <w:kinsoku/>
        <w:overflowPunct/>
        <w:bidi w:val="0"/>
        <w:spacing w:line="360" w:lineRule="auto"/>
        <w:ind w:left="567" w:firstLine="0" w:firstLineChars="0"/>
        <w:rPr>
          <w:rFonts w:hint="eastAsia" w:ascii="宋体" w:hAnsi="宋体" w:eastAsia="宋体" w:cs="宋体"/>
          <w:color w:val="auto"/>
          <w:kern w:val="0"/>
          <w:sz w:val="22"/>
        </w:rPr>
      </w:pPr>
      <w:r>
        <w:rPr>
          <w:rFonts w:hint="eastAsia" w:ascii="宋体" w:hAnsi="宋体" w:eastAsia="宋体" w:cs="宋体"/>
          <w:color w:val="auto"/>
          <w:kern w:val="0"/>
          <w:sz w:val="22"/>
        </w:rPr>
        <w:t xml:space="preserve"> </w:t>
      </w:r>
    </w:p>
    <w:p w14:paraId="10DB1EFA">
      <w:pPr>
        <w:pageBreakBefore w:val="0"/>
        <w:widowControl/>
        <w:kinsoku/>
        <w:overflowPunct/>
        <w:bidi w:val="0"/>
        <w:spacing w:line="360" w:lineRule="auto"/>
        <w:jc w:val="left"/>
        <w:rPr>
          <w:rFonts w:hint="eastAsia" w:ascii="宋体" w:hAnsi="宋体" w:eastAsia="宋体" w:cs="宋体"/>
          <w:color w:val="auto"/>
          <w:sz w:val="24"/>
        </w:rPr>
      </w:pPr>
      <w:r>
        <w:rPr>
          <w:rFonts w:hint="eastAsia" w:ascii="宋体" w:hAnsi="宋体" w:eastAsia="宋体" w:cs="宋体"/>
          <w:b/>
          <w:color w:val="auto"/>
          <w:szCs w:val="22"/>
        </w:rPr>
        <w:t>编制要求：</w:t>
      </w:r>
      <w:r>
        <w:rPr>
          <w:rFonts w:hint="eastAsia" w:ascii="宋体" w:hAnsi="宋体" w:eastAsia="宋体" w:cs="宋体"/>
          <w:color w:val="auto"/>
          <w:szCs w:val="22"/>
        </w:rPr>
        <w:t>除本文件允许投标人进行填写的内容以外，投标人不得对本文件进行修改。</w:t>
      </w:r>
    </w:p>
    <w:p w14:paraId="3F85A13E">
      <w:pPr>
        <w:pageBreakBefore w:val="0"/>
        <w:widowControl/>
        <w:kinsoku/>
        <w:overflowPunct/>
        <w:bidi w:val="0"/>
        <w:spacing w:line="360" w:lineRule="auto"/>
        <w:jc w:val="left"/>
        <w:rPr>
          <w:rFonts w:hint="eastAsia" w:ascii="宋体" w:hAnsi="宋体" w:eastAsia="宋体" w:cs="宋体"/>
          <w:color w:val="auto"/>
          <w:sz w:val="24"/>
        </w:rPr>
      </w:pPr>
    </w:p>
    <w:p w14:paraId="1A2E7095">
      <w:pPr>
        <w:pageBreakBefore w:val="0"/>
        <w:kinsoku/>
        <w:overflowPunct/>
        <w:bidi w:val="0"/>
        <w:spacing w:line="360" w:lineRule="auto"/>
        <w:rPr>
          <w:rFonts w:hint="eastAsia" w:ascii="宋体" w:hAnsi="宋体" w:eastAsia="宋体" w:cs="宋体"/>
          <w:color w:val="auto"/>
        </w:rPr>
      </w:pPr>
      <w:r>
        <w:rPr>
          <w:rFonts w:hint="eastAsia" w:ascii="宋体" w:hAnsi="宋体" w:eastAsia="宋体" w:cs="宋体"/>
          <w:color w:val="auto"/>
          <w:sz w:val="24"/>
        </w:rPr>
        <w:br w:type="page"/>
      </w:r>
    </w:p>
    <w:p w14:paraId="7D89CA29">
      <w:pPr>
        <w:pStyle w:val="39"/>
        <w:pageBreakBefore w:val="0"/>
        <w:numPr>
          <w:ilvl w:val="0"/>
          <w:numId w:val="29"/>
        </w:numPr>
        <w:tabs>
          <w:tab w:val="left" w:pos="588"/>
        </w:tabs>
        <w:kinsoku/>
        <w:overflowPunct/>
        <w:bidi w:val="0"/>
        <w:snapToGrid w:val="0"/>
        <w:spacing w:before="120" w:after="120" w:line="360" w:lineRule="auto"/>
        <w:jc w:val="left"/>
        <w:rPr>
          <w:rFonts w:hint="eastAsia" w:ascii="宋体" w:hAnsi="宋体" w:eastAsia="宋体" w:cs="宋体"/>
          <w:color w:val="auto"/>
          <w:sz w:val="24"/>
          <w:szCs w:val="24"/>
          <w:lang w:val="en-US" w:eastAsia="zh-CN"/>
        </w:rPr>
      </w:pPr>
      <w:bookmarkStart w:id="1576" w:name="_Toc16312"/>
      <w:bookmarkStart w:id="1577" w:name="_Toc1456"/>
      <w:bookmarkStart w:id="1578" w:name="_Toc32583"/>
      <w:bookmarkStart w:id="1579" w:name="_Toc5638"/>
      <w:r>
        <w:rPr>
          <w:rFonts w:hint="eastAsia" w:ascii="宋体" w:hAnsi="宋体" w:eastAsia="宋体" w:cs="宋体"/>
          <w:color w:val="auto"/>
          <w:sz w:val="24"/>
          <w:szCs w:val="24"/>
          <w:lang w:val="en-US" w:eastAsia="zh-CN"/>
        </w:rPr>
        <w:t>不得存在的情形（承诺函）</w:t>
      </w:r>
      <w:bookmarkEnd w:id="1576"/>
    </w:p>
    <w:p w14:paraId="71EAF5B8">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w:t>
      </w:r>
      <w:r>
        <w:rPr>
          <w:rFonts w:hint="eastAsia" w:ascii="宋体" w:hAnsi="宋体" w:eastAsia="宋体" w:cs="宋体"/>
          <w:color w:val="auto"/>
          <w:highlight w:val="none"/>
          <w:u w:val="single"/>
        </w:rPr>
        <w:t>XX公司</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采购人</w:t>
      </w:r>
      <w:r>
        <w:rPr>
          <w:rFonts w:hint="eastAsia" w:ascii="宋体" w:hAnsi="宋体" w:eastAsia="宋体" w:cs="宋体"/>
          <w:color w:val="auto"/>
          <w:szCs w:val="21"/>
          <w:highlight w:val="none"/>
          <w:u w:val="single"/>
        </w:rPr>
        <w:t>名称]】</w:t>
      </w:r>
      <w:r>
        <w:rPr>
          <w:rFonts w:hint="eastAsia" w:ascii="宋体" w:hAnsi="宋体" w:eastAsia="宋体" w:cs="宋体"/>
          <w:color w:val="auto"/>
          <w:highlight w:val="none"/>
          <w:u w:val="single"/>
        </w:rPr>
        <w:t>：</w:t>
      </w:r>
    </w:p>
    <w:p w14:paraId="35E6E07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（1）为招标人不具有独立法人资格的附属机构（单位）；</w:t>
      </w:r>
    </w:p>
    <w:p w14:paraId="0064FBE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（2）被依法暂停或取消投标资格的；</w:t>
      </w:r>
    </w:p>
    <w:p w14:paraId="69DC2C2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（3）被责令停产停业、暂扣或者吊销许可证、暂扣或者吊销执照；</w:t>
      </w:r>
    </w:p>
    <w:p w14:paraId="61935C3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（4）进入清算程序，或被宣告破产，或其他丧失履约能力的情形；</w:t>
      </w:r>
    </w:p>
    <w:p w14:paraId="02F90D0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（5）在最近三年内（投标截止时间前36个月）被相关行业主管部门或司法机关认定有骗取中标、严重违约、重大工程质量或者安全问题的；</w:t>
      </w:r>
    </w:p>
    <w:p w14:paraId="5F7E47B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（6）在最近五年内（投标截止时间前60个月）被判处单位行贿罪，且行贿行为与采购活动相关的（以“中国裁判文书网”的生效判决为准）；</w:t>
      </w:r>
    </w:p>
    <w:p w14:paraId="20EFEE4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（7）在最近五年内（投标截止时间前60个月）被判处合同诈骗罪的（以“中国裁判文书网”的生效判决为准）；</w:t>
      </w:r>
    </w:p>
    <w:p w14:paraId="0D75DFB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（8）被最高人民法院在“信用中国”网站（www.creditchina.gov.cn）或各级信用信息共享平台中列入失信被执行人名单，已执行完毕或不再执行的除外；</w:t>
      </w:r>
    </w:p>
    <w:p w14:paraId="62AC0B4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（9）为本招标项目提供过设计、编制技术规范和其他文件的咨询服务；</w:t>
      </w:r>
    </w:p>
    <w:p w14:paraId="435CF3C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（10）为本工程项目的相关监理人，或者与本工程项目的相关监理人存在隶属关系或者其他利害关系；</w:t>
      </w:r>
    </w:p>
    <w:p w14:paraId="7FBEBA2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（11）为本招标项目的代建人；</w:t>
      </w:r>
    </w:p>
    <w:p w14:paraId="2FE8EDE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（12）为本招标项目的招标代理机构；</w:t>
      </w:r>
    </w:p>
    <w:p w14:paraId="31F7B18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（13）与本招标项目的监理人或代建人或招标代理机构同为一个法定代表人；</w:t>
      </w:r>
    </w:p>
    <w:p w14:paraId="6ADFEB8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（14）与本招标项目的监理人或代建人或招标代理机构存在控股或参股关系；</w:t>
      </w:r>
    </w:p>
    <w:p w14:paraId="73EBC80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（15）被工商行政管理机关在国家企业信用信息公示系统中列入严重违法失信企业名单的；</w:t>
      </w:r>
    </w:p>
    <w:p w14:paraId="4B88CB9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（16）中国电信在职员工违规担任供应商法定代表人并参与采购活动的；</w:t>
      </w:r>
    </w:p>
    <w:p w14:paraId="67A73A2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（17）中国电信集团有限公司/中国电信股份有限公司中层及以上管理人员违反有关领导人员配偶、子女及其配偶经商办企业行为管理规定，其配偶、子女及其配偶经商办企业参与采购活动的；</w:t>
      </w:r>
    </w:p>
    <w:p w14:paraId="790A97D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（18）中国电信领导人员离职或退休后三年内违反《国有企业领导人员廉洁从业若干规定》等相关规定任职、投资入股的私营企业、外资企业和中介机构，参与其原任职单位采购活动的；</w:t>
      </w:r>
    </w:p>
    <w:p w14:paraId="3ABBBD3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（19）【其他按照中国电信供应商不良行为处理结果及《中国电信供应商不良行为管理规则》的结果执行规则，应对投标人及其投标产品在本项目中执行禁止采购处理措施的；</w:t>
      </w:r>
    </w:p>
    <w:p w14:paraId="6D0C1CD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（20）法律法规、招标文件限定的其他情形。</w:t>
      </w:r>
    </w:p>
    <w:p w14:paraId="00D3121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lang w:eastAsia="zh-CN"/>
        </w:rPr>
      </w:pPr>
    </w:p>
    <w:p w14:paraId="20D3FE2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（盖单位公章）</w:t>
      </w:r>
    </w:p>
    <w:p w14:paraId="62A7E038">
      <w:pPr>
        <w:widowControl/>
        <w:tabs>
          <w:tab w:val="left" w:pos="3018"/>
          <w:tab w:val="left" w:pos="6260"/>
        </w:tabs>
        <w:ind w:firstLine="2604" w:firstLineChars="124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日期：XX年 XX月XX日</w:t>
      </w:r>
    </w:p>
    <w:p w14:paraId="099C927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40F65A3">
      <w:pPr>
        <w:rPr>
          <w:rFonts w:hint="eastAsia" w:ascii="宋体" w:hAnsi="宋体" w:eastAsia="宋体" w:cs="宋体"/>
          <w:color w:val="auto"/>
        </w:rPr>
      </w:pPr>
    </w:p>
    <w:tbl>
      <w:tblPr>
        <w:tblStyle w:val="4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0"/>
        <w:gridCol w:w="777"/>
        <w:gridCol w:w="1565"/>
        <w:gridCol w:w="1287"/>
        <w:gridCol w:w="1545"/>
        <w:gridCol w:w="1275"/>
        <w:gridCol w:w="1433"/>
      </w:tblGrid>
      <w:tr w14:paraId="6F6B2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7"/>
            <w:tcBorders>
              <w:top w:val="nil"/>
              <w:left w:val="nil"/>
              <w:bottom w:val="nil"/>
              <w:right w:val="nil"/>
            </w:tcBorders>
            <w:shd w:val="clear" w:color="auto" w:fill="auto"/>
            <w:noWrap/>
            <w:vAlign w:val="center"/>
          </w:tcPr>
          <w:p w14:paraId="08C6E24C">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近三年行政处罚决定情况申报表</w:t>
            </w:r>
          </w:p>
        </w:tc>
      </w:tr>
      <w:tr w14:paraId="5BA4F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E74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B691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行政处罚具体项目名称/事件</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7EB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处罚部门（机关）</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AFD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处罚决定书编号</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713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处理内容及结果</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712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处罚生效日期</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6053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网络查询链接（如有）</w:t>
            </w:r>
          </w:p>
        </w:tc>
      </w:tr>
      <w:tr w14:paraId="097C6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AD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6DAD">
            <w:pPr>
              <w:jc w:val="center"/>
              <w:rPr>
                <w:rFonts w:hint="eastAsia" w:ascii="宋体" w:hAnsi="宋体" w:eastAsia="宋体" w:cs="宋体"/>
                <w:i w:val="0"/>
                <w:iCs w:val="0"/>
                <w:color w:val="auto"/>
                <w:sz w:val="22"/>
                <w:szCs w:val="22"/>
                <w:u w:val="none"/>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008D">
            <w:pPr>
              <w:jc w:val="center"/>
              <w:rPr>
                <w:rFonts w:hint="eastAsia" w:ascii="宋体" w:hAnsi="宋体" w:eastAsia="宋体" w:cs="宋体"/>
                <w:i w:val="0"/>
                <w:iCs w:val="0"/>
                <w:color w:val="auto"/>
                <w:sz w:val="22"/>
                <w:szCs w:val="22"/>
                <w:u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87C7">
            <w:pPr>
              <w:jc w:val="center"/>
              <w:rPr>
                <w:rFonts w:hint="eastAsia" w:ascii="宋体" w:hAnsi="宋体" w:eastAsia="宋体" w:cs="宋体"/>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B4E1">
            <w:pPr>
              <w:jc w:val="center"/>
              <w:rPr>
                <w:rFonts w:hint="eastAsia" w:ascii="宋体" w:hAnsi="宋体" w:eastAsia="宋体" w:cs="宋体"/>
                <w:i w:val="0"/>
                <w:iCs w:val="0"/>
                <w:color w:val="auto"/>
                <w:sz w:val="22"/>
                <w:szCs w:val="22"/>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E78A">
            <w:pPr>
              <w:jc w:val="center"/>
              <w:rPr>
                <w:rFonts w:hint="eastAsia" w:ascii="宋体" w:hAnsi="宋体" w:eastAsia="宋体" w:cs="宋体"/>
                <w:i w:val="0"/>
                <w:iCs w:val="0"/>
                <w:color w:val="auto"/>
                <w:sz w:val="22"/>
                <w:szCs w:val="22"/>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3A8E">
            <w:pPr>
              <w:jc w:val="center"/>
              <w:rPr>
                <w:rFonts w:hint="eastAsia" w:ascii="宋体" w:hAnsi="宋体" w:eastAsia="宋体" w:cs="宋体"/>
                <w:i w:val="0"/>
                <w:iCs w:val="0"/>
                <w:color w:val="auto"/>
                <w:sz w:val="22"/>
                <w:szCs w:val="22"/>
                <w:u w:val="none"/>
              </w:rPr>
            </w:pPr>
          </w:p>
        </w:tc>
      </w:tr>
      <w:tr w14:paraId="6701C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CB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C1B9">
            <w:pPr>
              <w:jc w:val="center"/>
              <w:rPr>
                <w:rFonts w:hint="eastAsia" w:ascii="宋体" w:hAnsi="宋体" w:eastAsia="宋体" w:cs="宋体"/>
                <w:i w:val="0"/>
                <w:iCs w:val="0"/>
                <w:color w:val="auto"/>
                <w:sz w:val="22"/>
                <w:szCs w:val="22"/>
                <w:u w:val="none"/>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B87D">
            <w:pPr>
              <w:jc w:val="center"/>
              <w:rPr>
                <w:rFonts w:hint="eastAsia" w:ascii="宋体" w:hAnsi="宋体" w:eastAsia="宋体" w:cs="宋体"/>
                <w:i w:val="0"/>
                <w:iCs w:val="0"/>
                <w:color w:val="auto"/>
                <w:sz w:val="22"/>
                <w:szCs w:val="22"/>
                <w:u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BED9">
            <w:pPr>
              <w:jc w:val="center"/>
              <w:rPr>
                <w:rFonts w:hint="eastAsia" w:ascii="宋体" w:hAnsi="宋体" w:eastAsia="宋体" w:cs="宋体"/>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93434">
            <w:pPr>
              <w:jc w:val="center"/>
              <w:rPr>
                <w:rFonts w:hint="eastAsia" w:ascii="宋体" w:hAnsi="宋体" w:eastAsia="宋体" w:cs="宋体"/>
                <w:i w:val="0"/>
                <w:iCs w:val="0"/>
                <w:color w:val="auto"/>
                <w:sz w:val="22"/>
                <w:szCs w:val="22"/>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E9A6">
            <w:pPr>
              <w:jc w:val="center"/>
              <w:rPr>
                <w:rFonts w:hint="eastAsia" w:ascii="宋体" w:hAnsi="宋体" w:eastAsia="宋体" w:cs="宋体"/>
                <w:i w:val="0"/>
                <w:iCs w:val="0"/>
                <w:color w:val="auto"/>
                <w:sz w:val="22"/>
                <w:szCs w:val="22"/>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C322">
            <w:pPr>
              <w:jc w:val="center"/>
              <w:rPr>
                <w:rFonts w:hint="eastAsia" w:ascii="宋体" w:hAnsi="宋体" w:eastAsia="宋体" w:cs="宋体"/>
                <w:i w:val="0"/>
                <w:iCs w:val="0"/>
                <w:color w:val="auto"/>
                <w:sz w:val="22"/>
                <w:szCs w:val="22"/>
                <w:u w:val="none"/>
              </w:rPr>
            </w:pPr>
          </w:p>
        </w:tc>
      </w:tr>
      <w:tr w14:paraId="4CE64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04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964A">
            <w:pPr>
              <w:jc w:val="center"/>
              <w:rPr>
                <w:rFonts w:hint="eastAsia" w:ascii="宋体" w:hAnsi="宋体" w:eastAsia="宋体" w:cs="宋体"/>
                <w:i w:val="0"/>
                <w:iCs w:val="0"/>
                <w:color w:val="auto"/>
                <w:sz w:val="22"/>
                <w:szCs w:val="22"/>
                <w:u w:val="none"/>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CFA6">
            <w:pPr>
              <w:jc w:val="center"/>
              <w:rPr>
                <w:rFonts w:hint="eastAsia" w:ascii="宋体" w:hAnsi="宋体" w:eastAsia="宋体" w:cs="宋体"/>
                <w:i w:val="0"/>
                <w:iCs w:val="0"/>
                <w:color w:val="auto"/>
                <w:sz w:val="22"/>
                <w:szCs w:val="22"/>
                <w:u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3D2D">
            <w:pPr>
              <w:jc w:val="center"/>
              <w:rPr>
                <w:rFonts w:hint="eastAsia" w:ascii="宋体" w:hAnsi="宋体" w:eastAsia="宋体" w:cs="宋体"/>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3140">
            <w:pPr>
              <w:jc w:val="center"/>
              <w:rPr>
                <w:rFonts w:hint="eastAsia" w:ascii="宋体" w:hAnsi="宋体" w:eastAsia="宋体" w:cs="宋体"/>
                <w:i w:val="0"/>
                <w:iCs w:val="0"/>
                <w:color w:val="auto"/>
                <w:sz w:val="22"/>
                <w:szCs w:val="22"/>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D773">
            <w:pPr>
              <w:jc w:val="center"/>
              <w:rPr>
                <w:rFonts w:hint="eastAsia" w:ascii="宋体" w:hAnsi="宋体" w:eastAsia="宋体" w:cs="宋体"/>
                <w:i w:val="0"/>
                <w:iCs w:val="0"/>
                <w:color w:val="auto"/>
                <w:sz w:val="22"/>
                <w:szCs w:val="22"/>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5D7C">
            <w:pPr>
              <w:jc w:val="center"/>
              <w:rPr>
                <w:rFonts w:hint="eastAsia" w:ascii="宋体" w:hAnsi="宋体" w:eastAsia="宋体" w:cs="宋体"/>
                <w:i w:val="0"/>
                <w:iCs w:val="0"/>
                <w:color w:val="auto"/>
                <w:sz w:val="22"/>
                <w:szCs w:val="22"/>
                <w:u w:val="none"/>
              </w:rPr>
            </w:pPr>
          </w:p>
        </w:tc>
      </w:tr>
      <w:tr w14:paraId="435C4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0F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A669">
            <w:pPr>
              <w:jc w:val="center"/>
              <w:rPr>
                <w:rFonts w:hint="eastAsia" w:ascii="宋体" w:hAnsi="宋体" w:eastAsia="宋体" w:cs="宋体"/>
                <w:i w:val="0"/>
                <w:iCs w:val="0"/>
                <w:color w:val="auto"/>
                <w:sz w:val="22"/>
                <w:szCs w:val="22"/>
                <w:u w:val="none"/>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1793">
            <w:pPr>
              <w:jc w:val="center"/>
              <w:rPr>
                <w:rFonts w:hint="eastAsia" w:ascii="宋体" w:hAnsi="宋体" w:eastAsia="宋体" w:cs="宋体"/>
                <w:i w:val="0"/>
                <w:iCs w:val="0"/>
                <w:color w:val="auto"/>
                <w:sz w:val="22"/>
                <w:szCs w:val="22"/>
                <w:u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81BA">
            <w:pPr>
              <w:jc w:val="center"/>
              <w:rPr>
                <w:rFonts w:hint="eastAsia" w:ascii="宋体" w:hAnsi="宋体" w:eastAsia="宋体" w:cs="宋体"/>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1E4A">
            <w:pPr>
              <w:jc w:val="center"/>
              <w:rPr>
                <w:rFonts w:hint="eastAsia" w:ascii="宋体" w:hAnsi="宋体" w:eastAsia="宋体" w:cs="宋体"/>
                <w:i w:val="0"/>
                <w:iCs w:val="0"/>
                <w:color w:val="auto"/>
                <w:sz w:val="22"/>
                <w:szCs w:val="22"/>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34BC">
            <w:pPr>
              <w:jc w:val="center"/>
              <w:rPr>
                <w:rFonts w:hint="eastAsia" w:ascii="宋体" w:hAnsi="宋体" w:eastAsia="宋体" w:cs="宋体"/>
                <w:i w:val="0"/>
                <w:iCs w:val="0"/>
                <w:color w:val="auto"/>
                <w:sz w:val="22"/>
                <w:szCs w:val="22"/>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EE48">
            <w:pPr>
              <w:jc w:val="center"/>
              <w:rPr>
                <w:rFonts w:hint="eastAsia" w:ascii="宋体" w:hAnsi="宋体" w:eastAsia="宋体" w:cs="宋体"/>
                <w:i w:val="0"/>
                <w:iCs w:val="0"/>
                <w:color w:val="auto"/>
                <w:sz w:val="22"/>
                <w:szCs w:val="22"/>
                <w:u w:val="none"/>
              </w:rPr>
            </w:pPr>
          </w:p>
        </w:tc>
      </w:tr>
      <w:tr w14:paraId="3A449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48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6630">
            <w:pPr>
              <w:jc w:val="center"/>
              <w:rPr>
                <w:rFonts w:hint="eastAsia" w:ascii="宋体" w:hAnsi="宋体" w:eastAsia="宋体" w:cs="宋体"/>
                <w:i w:val="0"/>
                <w:iCs w:val="0"/>
                <w:color w:val="auto"/>
                <w:sz w:val="22"/>
                <w:szCs w:val="22"/>
                <w:u w:val="none"/>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2A2B">
            <w:pPr>
              <w:jc w:val="center"/>
              <w:rPr>
                <w:rFonts w:hint="eastAsia" w:ascii="宋体" w:hAnsi="宋体" w:eastAsia="宋体" w:cs="宋体"/>
                <w:i w:val="0"/>
                <w:iCs w:val="0"/>
                <w:color w:val="auto"/>
                <w:sz w:val="22"/>
                <w:szCs w:val="22"/>
                <w:u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A678">
            <w:pPr>
              <w:jc w:val="center"/>
              <w:rPr>
                <w:rFonts w:hint="eastAsia" w:ascii="宋体" w:hAnsi="宋体" w:eastAsia="宋体" w:cs="宋体"/>
                <w:i w:val="0"/>
                <w:iCs w:val="0"/>
                <w:color w:val="auto"/>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8098B">
            <w:pPr>
              <w:jc w:val="center"/>
              <w:rPr>
                <w:rFonts w:hint="eastAsia" w:ascii="宋体" w:hAnsi="宋体" w:eastAsia="宋体" w:cs="宋体"/>
                <w:i w:val="0"/>
                <w:iCs w:val="0"/>
                <w:color w:val="auto"/>
                <w:sz w:val="22"/>
                <w:szCs w:val="22"/>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DA04">
            <w:pPr>
              <w:jc w:val="center"/>
              <w:rPr>
                <w:rFonts w:hint="eastAsia" w:ascii="宋体" w:hAnsi="宋体" w:eastAsia="宋体" w:cs="宋体"/>
                <w:i w:val="0"/>
                <w:iCs w:val="0"/>
                <w:color w:val="auto"/>
                <w:sz w:val="22"/>
                <w:szCs w:val="22"/>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2673">
            <w:pPr>
              <w:jc w:val="center"/>
              <w:rPr>
                <w:rFonts w:hint="eastAsia" w:ascii="宋体" w:hAnsi="宋体" w:eastAsia="宋体" w:cs="宋体"/>
                <w:i w:val="0"/>
                <w:iCs w:val="0"/>
                <w:color w:val="auto"/>
                <w:sz w:val="22"/>
                <w:szCs w:val="22"/>
                <w:u w:val="none"/>
              </w:rPr>
            </w:pPr>
          </w:p>
        </w:tc>
      </w:tr>
      <w:tr w14:paraId="6A2FF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000" w:type="pct"/>
            <w:gridSpan w:val="7"/>
            <w:tcBorders>
              <w:top w:val="nil"/>
              <w:left w:val="nil"/>
              <w:bottom w:val="nil"/>
              <w:right w:val="nil"/>
            </w:tcBorders>
            <w:shd w:val="clear" w:color="auto" w:fill="auto"/>
            <w:vAlign w:val="center"/>
          </w:tcPr>
          <w:p w14:paraId="190EDF77">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注：1、投标人须如实提供本申报表，如存在涉及骗取中标、违约、质量或者安全问题的行政处罚须提供有关资料（包括相关行业主管部门的行政处罚决定文件等，附于本表之后）；未如实填报上述行政处罚的将可能被否决投标。</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 xml:space="preserve">    2、如投标人无行政处罚的，则应在表格中第一行“行政处罚具体项目名称/事件”列填写“不涉及”。</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 xml:space="preserve">    3、行政处罚是否涉及不得存在的情形及评审内容由评审委员会判定。</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 xml:space="preserve">    4、近三年指投标截止时间前36个月。</w:t>
            </w:r>
          </w:p>
        </w:tc>
      </w:tr>
    </w:tbl>
    <w:p w14:paraId="4EBEDAAF">
      <w:pPr>
        <w:rPr>
          <w:rFonts w:hint="eastAsia" w:ascii="宋体" w:hAnsi="宋体" w:eastAsia="宋体" w:cs="宋体"/>
          <w:color w:val="auto"/>
        </w:rPr>
      </w:pPr>
    </w:p>
    <w:p w14:paraId="41E12BBB">
      <w:pPr>
        <w:rPr>
          <w:rFonts w:hint="eastAsia" w:ascii="宋体" w:hAnsi="宋体" w:eastAsia="宋体" w:cs="宋体"/>
          <w:color w:val="auto"/>
        </w:rPr>
      </w:pPr>
    </w:p>
    <w:p w14:paraId="21D702E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（盖单位公章）</w:t>
      </w:r>
    </w:p>
    <w:p w14:paraId="71713452">
      <w:pPr>
        <w:widowControl/>
        <w:tabs>
          <w:tab w:val="left" w:pos="3018"/>
          <w:tab w:val="left" w:pos="6260"/>
        </w:tabs>
        <w:ind w:firstLine="2604" w:firstLineChars="124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日期：XX年 XX月XX日</w:t>
      </w:r>
    </w:p>
    <w:p w14:paraId="4ACC4493">
      <w:pPr>
        <w:rPr>
          <w:rFonts w:hint="eastAsia" w:ascii="宋体" w:hAnsi="宋体" w:eastAsia="宋体" w:cs="宋体"/>
          <w:color w:val="auto"/>
        </w:rPr>
        <w:sectPr>
          <w:pgSz w:w="11906" w:h="16838"/>
          <w:pgMar w:top="1440" w:right="1800" w:bottom="1440" w:left="1800" w:header="851" w:footer="992" w:gutter="0"/>
          <w:pgNumType w:fmt="decimal"/>
          <w:cols w:space="425" w:num="1"/>
          <w:docGrid w:type="lines" w:linePitch="312" w:charSpace="0"/>
        </w:sectPr>
      </w:pPr>
    </w:p>
    <w:p w14:paraId="745D1C46">
      <w:pPr>
        <w:bidi w:val="0"/>
        <w:rPr>
          <w:rFonts w:hint="eastAsia" w:ascii="宋体" w:hAnsi="宋体" w:eastAsia="宋体" w:cs="宋体"/>
          <w:color w:val="auto"/>
          <w:lang w:val="en-US" w:eastAsia="zh-CN"/>
        </w:rPr>
      </w:pPr>
    </w:p>
    <w:p w14:paraId="0C830584">
      <w:pPr>
        <w:pStyle w:val="39"/>
        <w:pageBreakBefore w:val="0"/>
        <w:numPr>
          <w:ilvl w:val="0"/>
          <w:numId w:val="29"/>
        </w:numPr>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投标人提供的其他商务及服务部分资料</w:t>
      </w:r>
      <w:bookmarkEnd w:id="1577"/>
      <w:bookmarkEnd w:id="1578"/>
      <w:bookmarkEnd w:id="1579"/>
    </w:p>
    <w:p w14:paraId="714409EF">
      <w:pPr>
        <w:pageBreakBefore w:val="0"/>
        <w:kinsoku/>
        <w:overflowPunct/>
        <w:bidi w:val="0"/>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格式自拟（建议按商务、服务评分要求顺序编制）</w:t>
      </w:r>
    </w:p>
    <w:p w14:paraId="21D342ED">
      <w:pPr>
        <w:pageBreakBefore w:val="0"/>
        <w:numPr>
          <w:ilvl w:val="0"/>
          <w:numId w:val="0"/>
        </w:numPr>
        <w:kinsoku/>
        <w:overflowPunct/>
        <w:bidi w:val="0"/>
        <w:spacing w:line="360" w:lineRule="auto"/>
        <w:ind w:leftChars="0"/>
        <w:rPr>
          <w:rFonts w:hint="eastAsia" w:ascii="宋体" w:hAnsi="宋体" w:eastAsia="宋体" w:cs="宋体"/>
          <w:color w:val="auto"/>
        </w:rPr>
      </w:pPr>
    </w:p>
    <w:p w14:paraId="40DFB0C6">
      <w:pPr>
        <w:pageBreakBefore w:val="0"/>
        <w:numPr>
          <w:ilvl w:val="0"/>
          <w:numId w:val="0"/>
        </w:numPr>
        <w:kinsoku/>
        <w:overflowPunct/>
        <w:topLinePunct/>
        <w:bidi w:val="0"/>
        <w:spacing w:line="360" w:lineRule="auto"/>
        <w:ind w:leftChars="-201"/>
        <w:jc w:val="left"/>
        <w:rPr>
          <w:rFonts w:hint="eastAsia" w:ascii="宋体" w:hAnsi="宋体" w:eastAsia="宋体" w:cs="宋体"/>
          <w:color w:val="auto"/>
        </w:rPr>
      </w:pPr>
      <w:r>
        <w:rPr>
          <w:rFonts w:hint="eastAsia" w:ascii="宋体" w:hAnsi="宋体" w:eastAsia="宋体" w:cs="宋体"/>
          <w:color w:val="auto"/>
          <w:lang w:val="en-US" w:eastAsia="zh-CN"/>
        </w:rPr>
        <w:t>1、</w:t>
      </w:r>
      <w:r>
        <w:rPr>
          <w:rFonts w:hint="eastAsia" w:ascii="宋体" w:hAnsi="宋体" w:eastAsia="宋体" w:cs="宋体"/>
          <w:color w:val="auto"/>
        </w:rPr>
        <w:t>业绩情况表</w:t>
      </w:r>
    </w:p>
    <w:p w14:paraId="3FB5B530">
      <w:pPr>
        <w:pStyle w:val="51"/>
        <w:pageBreakBefore w:val="0"/>
        <w:kinsoku/>
        <w:overflowPunct/>
        <w:bidi w:val="0"/>
        <w:spacing w:line="360" w:lineRule="auto"/>
        <w:ind w:firstLine="0" w:firstLineChars="0"/>
        <w:jc w:val="center"/>
        <w:rPr>
          <w:rFonts w:hint="eastAsia" w:ascii="宋体" w:hAnsi="宋体" w:eastAsia="宋体" w:cs="宋体"/>
          <w:b/>
          <w:color w:val="auto"/>
          <w:sz w:val="24"/>
        </w:rPr>
      </w:pPr>
    </w:p>
    <w:p w14:paraId="02AA99CB">
      <w:pPr>
        <w:pStyle w:val="51"/>
        <w:pageBreakBefore w:val="0"/>
        <w:kinsoku/>
        <w:overflowPunct/>
        <w:bidi w:val="0"/>
        <w:spacing w:line="360" w:lineRule="auto"/>
        <w:ind w:firstLine="0" w:firstLineChars="0"/>
        <w:jc w:val="center"/>
        <w:rPr>
          <w:rFonts w:hint="eastAsia" w:ascii="宋体" w:hAnsi="宋体" w:eastAsia="宋体" w:cs="宋体"/>
          <w:b/>
          <w:color w:val="auto"/>
          <w:sz w:val="24"/>
        </w:rPr>
      </w:pPr>
      <w:r>
        <w:rPr>
          <w:rFonts w:hint="eastAsia" w:ascii="宋体" w:hAnsi="宋体" w:eastAsia="宋体" w:cs="宋体"/>
          <w:b/>
          <w:color w:val="auto"/>
          <w:sz w:val="24"/>
        </w:rPr>
        <w:t>近年（年月日至年月日）业绩情况表</w:t>
      </w:r>
    </w:p>
    <w:tbl>
      <w:tblPr>
        <w:tblStyle w:val="4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356"/>
        <w:gridCol w:w="1097"/>
        <w:gridCol w:w="1097"/>
        <w:gridCol w:w="1095"/>
        <w:gridCol w:w="1013"/>
        <w:gridCol w:w="665"/>
        <w:gridCol w:w="839"/>
        <w:gridCol w:w="721"/>
      </w:tblGrid>
      <w:tr w14:paraId="4713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3" w:type="pct"/>
            <w:shd w:val="clear" w:color="auto" w:fill="auto"/>
            <w:vAlign w:val="center"/>
          </w:tcPr>
          <w:p w14:paraId="29BAF2C6">
            <w:pPr>
              <w:pageBreakBefore w:val="0"/>
              <w:kinsoku/>
              <w:overflowPunct/>
              <w:bidi w:val="0"/>
              <w:snapToGrid w:val="0"/>
              <w:spacing w:line="360" w:lineRule="auto"/>
              <w:jc w:val="center"/>
              <w:rPr>
                <w:rFonts w:hint="eastAsia" w:ascii="宋体" w:hAnsi="宋体" w:eastAsia="宋体" w:cs="宋体"/>
                <w:color w:val="auto"/>
                <w:szCs w:val="21"/>
              </w:rPr>
            </w:pPr>
            <w:r>
              <w:rPr>
                <w:rFonts w:hint="eastAsia" w:ascii="宋体" w:hAnsi="宋体" w:eastAsia="宋体" w:cs="宋体"/>
                <w:b/>
                <w:bCs/>
                <w:color w:val="auto"/>
                <w:kern w:val="0"/>
                <w:szCs w:val="21"/>
              </w:rPr>
              <w:t>序号</w:t>
            </w:r>
          </w:p>
        </w:tc>
        <w:tc>
          <w:tcPr>
            <w:tcW w:w="811" w:type="pct"/>
            <w:shd w:val="clear" w:color="auto" w:fill="auto"/>
            <w:vAlign w:val="center"/>
          </w:tcPr>
          <w:p w14:paraId="7EEDE8B7">
            <w:pPr>
              <w:pageBreakBefore w:val="0"/>
              <w:kinsoku/>
              <w:overflowPunct/>
              <w:bidi w:val="0"/>
              <w:snapToGrid w:val="0"/>
              <w:spacing w:line="360" w:lineRule="auto"/>
              <w:jc w:val="center"/>
              <w:rPr>
                <w:rFonts w:hint="eastAsia" w:ascii="宋体" w:hAnsi="宋体" w:eastAsia="宋体" w:cs="宋体"/>
                <w:color w:val="auto"/>
                <w:szCs w:val="21"/>
              </w:rPr>
            </w:pPr>
            <w:r>
              <w:rPr>
                <w:rFonts w:hint="eastAsia" w:ascii="宋体" w:hAnsi="宋体" w:eastAsia="宋体" w:cs="宋体"/>
                <w:b/>
                <w:bCs/>
                <w:color w:val="auto"/>
                <w:kern w:val="0"/>
                <w:szCs w:val="21"/>
              </w:rPr>
              <w:t>项目名称</w:t>
            </w:r>
          </w:p>
        </w:tc>
        <w:tc>
          <w:tcPr>
            <w:tcW w:w="659" w:type="pct"/>
            <w:shd w:val="clear" w:color="auto" w:fill="auto"/>
            <w:vAlign w:val="center"/>
          </w:tcPr>
          <w:p w14:paraId="112010FC">
            <w:pPr>
              <w:pageBreakBefore w:val="0"/>
              <w:kinsoku/>
              <w:overflowPunct/>
              <w:bidi w:val="0"/>
              <w:snapToGrid w:val="0"/>
              <w:spacing w:line="360" w:lineRule="auto"/>
              <w:jc w:val="center"/>
              <w:rPr>
                <w:rFonts w:hint="eastAsia" w:ascii="宋体" w:hAnsi="宋体" w:eastAsia="宋体" w:cs="宋体"/>
                <w:color w:val="auto"/>
                <w:szCs w:val="21"/>
              </w:rPr>
            </w:pPr>
            <w:r>
              <w:rPr>
                <w:rFonts w:hint="eastAsia" w:ascii="宋体" w:hAnsi="宋体" w:eastAsia="宋体" w:cs="宋体"/>
                <w:b/>
                <w:bCs/>
                <w:color w:val="auto"/>
                <w:kern w:val="0"/>
                <w:szCs w:val="21"/>
              </w:rPr>
              <w:t>投标产品</w:t>
            </w:r>
          </w:p>
        </w:tc>
        <w:tc>
          <w:tcPr>
            <w:tcW w:w="659" w:type="pct"/>
            <w:shd w:val="clear" w:color="auto" w:fill="auto"/>
            <w:vAlign w:val="center"/>
          </w:tcPr>
          <w:p w14:paraId="23426848">
            <w:pPr>
              <w:pageBreakBefore w:val="0"/>
              <w:kinsoku/>
              <w:overflowPunct/>
              <w:bidi w:val="0"/>
              <w:snapToGrid w:val="0"/>
              <w:spacing w:line="360" w:lineRule="auto"/>
              <w:jc w:val="center"/>
              <w:rPr>
                <w:rFonts w:hint="eastAsia" w:ascii="宋体" w:hAnsi="宋体" w:eastAsia="宋体" w:cs="宋体"/>
                <w:color w:val="auto"/>
                <w:szCs w:val="21"/>
              </w:rPr>
            </w:pPr>
            <w:r>
              <w:rPr>
                <w:rFonts w:hint="eastAsia" w:ascii="宋体" w:hAnsi="宋体" w:eastAsia="宋体" w:cs="宋体"/>
                <w:b/>
                <w:bCs/>
                <w:color w:val="auto"/>
                <w:kern w:val="0"/>
                <w:szCs w:val="21"/>
              </w:rPr>
              <w:t>最终用户</w:t>
            </w:r>
          </w:p>
        </w:tc>
        <w:tc>
          <w:tcPr>
            <w:tcW w:w="658" w:type="pct"/>
            <w:shd w:val="clear" w:color="auto" w:fill="auto"/>
            <w:vAlign w:val="center"/>
          </w:tcPr>
          <w:p w14:paraId="00BB6D97">
            <w:pPr>
              <w:pageBreakBefore w:val="0"/>
              <w:kinsoku/>
              <w:overflowPunct/>
              <w:bidi w:val="0"/>
              <w:snapToGrid w:val="0"/>
              <w:spacing w:line="360" w:lineRule="auto"/>
              <w:jc w:val="center"/>
              <w:rPr>
                <w:rFonts w:hint="eastAsia" w:ascii="宋体" w:hAnsi="宋体" w:eastAsia="宋体" w:cs="宋体"/>
                <w:color w:val="auto"/>
                <w:szCs w:val="21"/>
              </w:rPr>
            </w:pPr>
            <w:r>
              <w:rPr>
                <w:rFonts w:hint="eastAsia" w:ascii="宋体" w:hAnsi="宋体" w:eastAsia="宋体" w:cs="宋体"/>
                <w:b/>
                <w:bCs/>
                <w:color w:val="auto"/>
                <w:kern w:val="0"/>
                <w:szCs w:val="21"/>
              </w:rPr>
              <w:t>最终用户联系人及联系方式</w:t>
            </w:r>
          </w:p>
        </w:tc>
        <w:tc>
          <w:tcPr>
            <w:tcW w:w="607" w:type="pct"/>
            <w:shd w:val="clear" w:color="auto" w:fill="auto"/>
            <w:vAlign w:val="center"/>
          </w:tcPr>
          <w:p w14:paraId="1AB866A8">
            <w:pPr>
              <w:pageBreakBefore w:val="0"/>
              <w:kinsoku/>
              <w:overflowPunct/>
              <w:bidi w:val="0"/>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b/>
                <w:bCs/>
                <w:color w:val="auto"/>
                <w:kern w:val="0"/>
                <w:szCs w:val="21"/>
                <w:lang w:val="en-US" w:eastAsia="zh-CN"/>
              </w:rPr>
              <w:t>合同签约日期</w:t>
            </w:r>
          </w:p>
        </w:tc>
        <w:tc>
          <w:tcPr>
            <w:tcW w:w="405" w:type="pct"/>
            <w:shd w:val="clear" w:color="auto" w:fill="auto"/>
            <w:vAlign w:val="center"/>
          </w:tcPr>
          <w:p w14:paraId="6923B9DF">
            <w:pPr>
              <w:pageBreakBefore w:val="0"/>
              <w:kinsoku/>
              <w:overflowPunct/>
              <w:bidi w:val="0"/>
              <w:snapToGrid w:val="0"/>
              <w:spacing w:line="360" w:lineRule="auto"/>
              <w:jc w:val="center"/>
              <w:rPr>
                <w:rFonts w:hint="eastAsia" w:ascii="宋体" w:hAnsi="宋体" w:eastAsia="宋体" w:cs="宋体"/>
                <w:color w:val="auto"/>
                <w:szCs w:val="21"/>
              </w:rPr>
            </w:pPr>
            <w:r>
              <w:rPr>
                <w:rFonts w:hint="eastAsia" w:ascii="宋体" w:hAnsi="宋体" w:eastAsia="宋体" w:cs="宋体"/>
                <w:b/>
                <w:bCs/>
                <w:color w:val="auto"/>
                <w:kern w:val="0"/>
                <w:szCs w:val="21"/>
              </w:rPr>
              <w:t>销售金额（万元）</w:t>
            </w:r>
          </w:p>
        </w:tc>
        <w:tc>
          <w:tcPr>
            <w:tcW w:w="507" w:type="pct"/>
            <w:shd w:val="clear" w:color="auto" w:fill="auto"/>
            <w:vAlign w:val="center"/>
          </w:tcPr>
          <w:p w14:paraId="29EB1BE4">
            <w:pPr>
              <w:pageBreakBefore w:val="0"/>
              <w:kinsoku/>
              <w:overflowPunct/>
              <w:bidi w:val="0"/>
              <w:snapToGrid w:val="0"/>
              <w:spacing w:line="360" w:lineRule="auto"/>
              <w:jc w:val="center"/>
              <w:rPr>
                <w:rFonts w:hint="eastAsia" w:ascii="宋体" w:hAnsi="宋体" w:eastAsia="宋体" w:cs="宋体"/>
                <w:color w:val="auto"/>
                <w:szCs w:val="21"/>
              </w:rPr>
            </w:pPr>
            <w:r>
              <w:rPr>
                <w:rFonts w:hint="eastAsia" w:ascii="宋体" w:hAnsi="宋体" w:eastAsia="宋体" w:cs="宋体"/>
                <w:b/>
                <w:bCs/>
                <w:color w:val="auto"/>
                <w:kern w:val="0"/>
                <w:szCs w:val="21"/>
              </w:rPr>
              <w:t>证明文件所在页码</w:t>
            </w:r>
          </w:p>
        </w:tc>
        <w:tc>
          <w:tcPr>
            <w:tcW w:w="438" w:type="pct"/>
            <w:shd w:val="clear" w:color="auto" w:fill="auto"/>
            <w:vAlign w:val="center"/>
          </w:tcPr>
          <w:p w14:paraId="0BAA4B3B">
            <w:pPr>
              <w:pageBreakBefore w:val="0"/>
              <w:kinsoku/>
              <w:overflowPunct/>
              <w:bidi w:val="0"/>
              <w:snapToGrid w:val="0"/>
              <w:spacing w:line="360" w:lineRule="auto"/>
              <w:jc w:val="center"/>
              <w:rPr>
                <w:rFonts w:hint="eastAsia" w:ascii="宋体" w:hAnsi="宋体" w:eastAsia="宋体" w:cs="宋体"/>
                <w:color w:val="auto"/>
                <w:szCs w:val="21"/>
              </w:rPr>
            </w:pPr>
            <w:r>
              <w:rPr>
                <w:rFonts w:hint="eastAsia" w:ascii="宋体" w:hAnsi="宋体" w:eastAsia="宋体" w:cs="宋体"/>
                <w:b/>
                <w:bCs/>
                <w:color w:val="auto"/>
                <w:kern w:val="0"/>
                <w:szCs w:val="21"/>
              </w:rPr>
              <w:t>备注</w:t>
            </w:r>
          </w:p>
        </w:tc>
      </w:tr>
      <w:tr w14:paraId="68BC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3" w:type="pct"/>
            <w:shd w:val="clear" w:color="auto" w:fill="auto"/>
          </w:tcPr>
          <w:p w14:paraId="707A8A2C">
            <w:pPr>
              <w:pageBreakBefore w:val="0"/>
              <w:kinsoku/>
              <w:overflowPunct/>
              <w:bidi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811" w:type="pct"/>
            <w:shd w:val="clear" w:color="auto" w:fill="auto"/>
          </w:tcPr>
          <w:p w14:paraId="1D37E367">
            <w:pPr>
              <w:pageBreakBefore w:val="0"/>
              <w:kinsoku/>
              <w:overflowPunct/>
              <w:bidi w:val="0"/>
              <w:snapToGrid w:val="0"/>
              <w:spacing w:line="360" w:lineRule="auto"/>
              <w:jc w:val="center"/>
              <w:rPr>
                <w:rFonts w:hint="eastAsia" w:ascii="宋体" w:hAnsi="宋体" w:eastAsia="宋体" w:cs="宋体"/>
                <w:color w:val="auto"/>
                <w:szCs w:val="21"/>
              </w:rPr>
            </w:pPr>
          </w:p>
        </w:tc>
        <w:tc>
          <w:tcPr>
            <w:tcW w:w="659" w:type="pct"/>
            <w:shd w:val="clear" w:color="auto" w:fill="auto"/>
          </w:tcPr>
          <w:p w14:paraId="2E6E165A">
            <w:pPr>
              <w:pageBreakBefore w:val="0"/>
              <w:kinsoku/>
              <w:overflowPunct/>
              <w:bidi w:val="0"/>
              <w:snapToGrid w:val="0"/>
              <w:spacing w:line="360" w:lineRule="auto"/>
              <w:jc w:val="center"/>
              <w:rPr>
                <w:rFonts w:hint="eastAsia" w:ascii="宋体" w:hAnsi="宋体" w:eastAsia="宋体" w:cs="宋体"/>
                <w:color w:val="auto"/>
                <w:szCs w:val="21"/>
              </w:rPr>
            </w:pPr>
          </w:p>
        </w:tc>
        <w:tc>
          <w:tcPr>
            <w:tcW w:w="659" w:type="pct"/>
            <w:shd w:val="clear" w:color="auto" w:fill="auto"/>
          </w:tcPr>
          <w:p w14:paraId="1844BD62">
            <w:pPr>
              <w:pageBreakBefore w:val="0"/>
              <w:kinsoku/>
              <w:overflowPunct/>
              <w:bidi w:val="0"/>
              <w:snapToGrid w:val="0"/>
              <w:spacing w:line="360" w:lineRule="auto"/>
              <w:jc w:val="center"/>
              <w:rPr>
                <w:rFonts w:hint="eastAsia" w:ascii="宋体" w:hAnsi="宋体" w:eastAsia="宋体" w:cs="宋体"/>
                <w:color w:val="auto"/>
                <w:szCs w:val="21"/>
              </w:rPr>
            </w:pPr>
          </w:p>
        </w:tc>
        <w:tc>
          <w:tcPr>
            <w:tcW w:w="658" w:type="pct"/>
            <w:shd w:val="clear" w:color="auto" w:fill="auto"/>
          </w:tcPr>
          <w:p w14:paraId="03AB939F">
            <w:pPr>
              <w:pageBreakBefore w:val="0"/>
              <w:kinsoku/>
              <w:overflowPunct/>
              <w:bidi w:val="0"/>
              <w:snapToGrid w:val="0"/>
              <w:spacing w:line="360" w:lineRule="auto"/>
              <w:jc w:val="center"/>
              <w:rPr>
                <w:rFonts w:hint="eastAsia" w:ascii="宋体" w:hAnsi="宋体" w:eastAsia="宋体" w:cs="宋体"/>
                <w:color w:val="auto"/>
                <w:szCs w:val="21"/>
              </w:rPr>
            </w:pPr>
          </w:p>
        </w:tc>
        <w:tc>
          <w:tcPr>
            <w:tcW w:w="607" w:type="pct"/>
            <w:shd w:val="clear" w:color="auto" w:fill="auto"/>
          </w:tcPr>
          <w:p w14:paraId="4A6EE87A">
            <w:pPr>
              <w:pageBreakBefore w:val="0"/>
              <w:kinsoku/>
              <w:overflowPunct/>
              <w:bidi w:val="0"/>
              <w:snapToGrid w:val="0"/>
              <w:spacing w:line="360" w:lineRule="auto"/>
              <w:jc w:val="center"/>
              <w:rPr>
                <w:rFonts w:hint="eastAsia" w:ascii="宋体" w:hAnsi="宋体" w:eastAsia="宋体" w:cs="宋体"/>
                <w:color w:val="auto"/>
                <w:szCs w:val="21"/>
              </w:rPr>
            </w:pPr>
          </w:p>
        </w:tc>
        <w:tc>
          <w:tcPr>
            <w:tcW w:w="405" w:type="pct"/>
            <w:shd w:val="clear" w:color="auto" w:fill="auto"/>
          </w:tcPr>
          <w:p w14:paraId="1C4386FD">
            <w:pPr>
              <w:pageBreakBefore w:val="0"/>
              <w:kinsoku/>
              <w:overflowPunct/>
              <w:bidi w:val="0"/>
              <w:snapToGrid w:val="0"/>
              <w:spacing w:line="360" w:lineRule="auto"/>
              <w:jc w:val="center"/>
              <w:rPr>
                <w:rFonts w:hint="eastAsia" w:ascii="宋体" w:hAnsi="宋体" w:eastAsia="宋体" w:cs="宋体"/>
                <w:color w:val="auto"/>
                <w:szCs w:val="21"/>
              </w:rPr>
            </w:pPr>
          </w:p>
        </w:tc>
        <w:tc>
          <w:tcPr>
            <w:tcW w:w="507" w:type="pct"/>
            <w:shd w:val="clear" w:color="auto" w:fill="auto"/>
          </w:tcPr>
          <w:p w14:paraId="6B73EAE7">
            <w:pPr>
              <w:pageBreakBefore w:val="0"/>
              <w:kinsoku/>
              <w:overflowPunct/>
              <w:bidi w:val="0"/>
              <w:snapToGrid w:val="0"/>
              <w:spacing w:line="360" w:lineRule="auto"/>
              <w:jc w:val="center"/>
              <w:rPr>
                <w:rFonts w:hint="eastAsia" w:ascii="宋体" w:hAnsi="宋体" w:eastAsia="宋体" w:cs="宋体"/>
                <w:color w:val="auto"/>
                <w:szCs w:val="21"/>
              </w:rPr>
            </w:pPr>
          </w:p>
        </w:tc>
        <w:tc>
          <w:tcPr>
            <w:tcW w:w="438" w:type="pct"/>
            <w:shd w:val="clear" w:color="auto" w:fill="auto"/>
          </w:tcPr>
          <w:p w14:paraId="52F89B5A">
            <w:pPr>
              <w:pageBreakBefore w:val="0"/>
              <w:kinsoku/>
              <w:overflowPunct/>
              <w:bidi w:val="0"/>
              <w:snapToGrid w:val="0"/>
              <w:spacing w:line="360" w:lineRule="auto"/>
              <w:jc w:val="center"/>
              <w:rPr>
                <w:rFonts w:hint="eastAsia" w:ascii="宋体" w:hAnsi="宋体" w:eastAsia="宋体" w:cs="宋体"/>
                <w:color w:val="auto"/>
                <w:szCs w:val="21"/>
              </w:rPr>
            </w:pPr>
          </w:p>
        </w:tc>
      </w:tr>
      <w:tr w14:paraId="2490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3" w:type="pct"/>
            <w:shd w:val="clear" w:color="auto" w:fill="auto"/>
          </w:tcPr>
          <w:p w14:paraId="05919477">
            <w:pPr>
              <w:pageBreakBefore w:val="0"/>
              <w:kinsoku/>
              <w:overflowPunct/>
              <w:bidi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811" w:type="pct"/>
            <w:shd w:val="clear" w:color="auto" w:fill="auto"/>
          </w:tcPr>
          <w:p w14:paraId="1B80BA84">
            <w:pPr>
              <w:pageBreakBefore w:val="0"/>
              <w:kinsoku/>
              <w:overflowPunct/>
              <w:bidi w:val="0"/>
              <w:snapToGrid w:val="0"/>
              <w:spacing w:line="360" w:lineRule="auto"/>
              <w:jc w:val="center"/>
              <w:rPr>
                <w:rFonts w:hint="eastAsia" w:ascii="宋体" w:hAnsi="宋体" w:eastAsia="宋体" w:cs="宋体"/>
                <w:color w:val="auto"/>
                <w:szCs w:val="21"/>
              </w:rPr>
            </w:pPr>
          </w:p>
        </w:tc>
        <w:tc>
          <w:tcPr>
            <w:tcW w:w="659" w:type="pct"/>
            <w:shd w:val="clear" w:color="auto" w:fill="auto"/>
          </w:tcPr>
          <w:p w14:paraId="18E8BF98">
            <w:pPr>
              <w:pageBreakBefore w:val="0"/>
              <w:kinsoku/>
              <w:overflowPunct/>
              <w:bidi w:val="0"/>
              <w:snapToGrid w:val="0"/>
              <w:spacing w:line="360" w:lineRule="auto"/>
              <w:jc w:val="center"/>
              <w:rPr>
                <w:rFonts w:hint="eastAsia" w:ascii="宋体" w:hAnsi="宋体" w:eastAsia="宋体" w:cs="宋体"/>
                <w:color w:val="auto"/>
                <w:szCs w:val="21"/>
              </w:rPr>
            </w:pPr>
          </w:p>
        </w:tc>
        <w:tc>
          <w:tcPr>
            <w:tcW w:w="659" w:type="pct"/>
            <w:shd w:val="clear" w:color="auto" w:fill="auto"/>
          </w:tcPr>
          <w:p w14:paraId="7BB158E6">
            <w:pPr>
              <w:pageBreakBefore w:val="0"/>
              <w:kinsoku/>
              <w:overflowPunct/>
              <w:bidi w:val="0"/>
              <w:snapToGrid w:val="0"/>
              <w:spacing w:line="360" w:lineRule="auto"/>
              <w:jc w:val="center"/>
              <w:rPr>
                <w:rFonts w:hint="eastAsia" w:ascii="宋体" w:hAnsi="宋体" w:eastAsia="宋体" w:cs="宋体"/>
                <w:color w:val="auto"/>
                <w:szCs w:val="21"/>
              </w:rPr>
            </w:pPr>
          </w:p>
        </w:tc>
        <w:tc>
          <w:tcPr>
            <w:tcW w:w="658" w:type="pct"/>
            <w:shd w:val="clear" w:color="auto" w:fill="auto"/>
          </w:tcPr>
          <w:p w14:paraId="2FDDA341">
            <w:pPr>
              <w:pageBreakBefore w:val="0"/>
              <w:kinsoku/>
              <w:overflowPunct/>
              <w:bidi w:val="0"/>
              <w:snapToGrid w:val="0"/>
              <w:spacing w:line="360" w:lineRule="auto"/>
              <w:jc w:val="center"/>
              <w:rPr>
                <w:rFonts w:hint="eastAsia" w:ascii="宋体" w:hAnsi="宋体" w:eastAsia="宋体" w:cs="宋体"/>
                <w:color w:val="auto"/>
                <w:szCs w:val="21"/>
              </w:rPr>
            </w:pPr>
          </w:p>
        </w:tc>
        <w:tc>
          <w:tcPr>
            <w:tcW w:w="607" w:type="pct"/>
            <w:shd w:val="clear" w:color="auto" w:fill="auto"/>
          </w:tcPr>
          <w:p w14:paraId="6061448E">
            <w:pPr>
              <w:pageBreakBefore w:val="0"/>
              <w:kinsoku/>
              <w:overflowPunct/>
              <w:bidi w:val="0"/>
              <w:snapToGrid w:val="0"/>
              <w:spacing w:line="360" w:lineRule="auto"/>
              <w:jc w:val="center"/>
              <w:rPr>
                <w:rFonts w:hint="eastAsia" w:ascii="宋体" w:hAnsi="宋体" w:eastAsia="宋体" w:cs="宋体"/>
                <w:color w:val="auto"/>
                <w:szCs w:val="21"/>
              </w:rPr>
            </w:pPr>
          </w:p>
        </w:tc>
        <w:tc>
          <w:tcPr>
            <w:tcW w:w="405" w:type="pct"/>
            <w:shd w:val="clear" w:color="auto" w:fill="auto"/>
          </w:tcPr>
          <w:p w14:paraId="3847A2AF">
            <w:pPr>
              <w:pageBreakBefore w:val="0"/>
              <w:kinsoku/>
              <w:overflowPunct/>
              <w:bidi w:val="0"/>
              <w:snapToGrid w:val="0"/>
              <w:spacing w:line="360" w:lineRule="auto"/>
              <w:jc w:val="center"/>
              <w:rPr>
                <w:rFonts w:hint="eastAsia" w:ascii="宋体" w:hAnsi="宋体" w:eastAsia="宋体" w:cs="宋体"/>
                <w:color w:val="auto"/>
                <w:szCs w:val="21"/>
              </w:rPr>
            </w:pPr>
          </w:p>
        </w:tc>
        <w:tc>
          <w:tcPr>
            <w:tcW w:w="507" w:type="pct"/>
            <w:shd w:val="clear" w:color="auto" w:fill="auto"/>
          </w:tcPr>
          <w:p w14:paraId="00CE3553">
            <w:pPr>
              <w:pageBreakBefore w:val="0"/>
              <w:kinsoku/>
              <w:overflowPunct/>
              <w:bidi w:val="0"/>
              <w:snapToGrid w:val="0"/>
              <w:spacing w:line="360" w:lineRule="auto"/>
              <w:jc w:val="center"/>
              <w:rPr>
                <w:rFonts w:hint="eastAsia" w:ascii="宋体" w:hAnsi="宋体" w:eastAsia="宋体" w:cs="宋体"/>
                <w:color w:val="auto"/>
                <w:szCs w:val="21"/>
              </w:rPr>
            </w:pPr>
          </w:p>
        </w:tc>
        <w:tc>
          <w:tcPr>
            <w:tcW w:w="438" w:type="pct"/>
            <w:shd w:val="clear" w:color="auto" w:fill="auto"/>
          </w:tcPr>
          <w:p w14:paraId="730EA2B2">
            <w:pPr>
              <w:pageBreakBefore w:val="0"/>
              <w:kinsoku/>
              <w:overflowPunct/>
              <w:bidi w:val="0"/>
              <w:snapToGrid w:val="0"/>
              <w:spacing w:line="360" w:lineRule="auto"/>
              <w:jc w:val="center"/>
              <w:rPr>
                <w:rFonts w:hint="eastAsia" w:ascii="宋体" w:hAnsi="宋体" w:eastAsia="宋体" w:cs="宋体"/>
                <w:color w:val="auto"/>
                <w:szCs w:val="21"/>
              </w:rPr>
            </w:pPr>
          </w:p>
        </w:tc>
      </w:tr>
      <w:tr w14:paraId="57F9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3" w:type="pct"/>
            <w:shd w:val="clear" w:color="auto" w:fill="auto"/>
          </w:tcPr>
          <w:p w14:paraId="0AEB23B3">
            <w:pPr>
              <w:pageBreakBefore w:val="0"/>
              <w:kinsoku/>
              <w:overflowPunct/>
              <w:bidi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w:t>
            </w:r>
          </w:p>
        </w:tc>
        <w:tc>
          <w:tcPr>
            <w:tcW w:w="811" w:type="pct"/>
            <w:shd w:val="clear" w:color="auto" w:fill="auto"/>
          </w:tcPr>
          <w:p w14:paraId="4C512DF5">
            <w:pPr>
              <w:pageBreakBefore w:val="0"/>
              <w:kinsoku/>
              <w:overflowPunct/>
              <w:bidi w:val="0"/>
              <w:snapToGrid w:val="0"/>
              <w:spacing w:line="360" w:lineRule="auto"/>
              <w:jc w:val="center"/>
              <w:rPr>
                <w:rFonts w:hint="eastAsia" w:ascii="宋体" w:hAnsi="宋体" w:eastAsia="宋体" w:cs="宋体"/>
                <w:color w:val="auto"/>
                <w:szCs w:val="21"/>
              </w:rPr>
            </w:pPr>
          </w:p>
        </w:tc>
        <w:tc>
          <w:tcPr>
            <w:tcW w:w="659" w:type="pct"/>
            <w:shd w:val="clear" w:color="auto" w:fill="auto"/>
          </w:tcPr>
          <w:p w14:paraId="24A90D34">
            <w:pPr>
              <w:pageBreakBefore w:val="0"/>
              <w:kinsoku/>
              <w:overflowPunct/>
              <w:bidi w:val="0"/>
              <w:snapToGrid w:val="0"/>
              <w:spacing w:line="360" w:lineRule="auto"/>
              <w:jc w:val="center"/>
              <w:rPr>
                <w:rFonts w:hint="eastAsia" w:ascii="宋体" w:hAnsi="宋体" w:eastAsia="宋体" w:cs="宋体"/>
                <w:color w:val="auto"/>
                <w:szCs w:val="21"/>
              </w:rPr>
            </w:pPr>
          </w:p>
        </w:tc>
        <w:tc>
          <w:tcPr>
            <w:tcW w:w="659" w:type="pct"/>
            <w:shd w:val="clear" w:color="auto" w:fill="auto"/>
          </w:tcPr>
          <w:p w14:paraId="03C05C97">
            <w:pPr>
              <w:pageBreakBefore w:val="0"/>
              <w:kinsoku/>
              <w:overflowPunct/>
              <w:bidi w:val="0"/>
              <w:snapToGrid w:val="0"/>
              <w:spacing w:line="360" w:lineRule="auto"/>
              <w:jc w:val="center"/>
              <w:rPr>
                <w:rFonts w:hint="eastAsia" w:ascii="宋体" w:hAnsi="宋体" w:eastAsia="宋体" w:cs="宋体"/>
                <w:color w:val="auto"/>
                <w:szCs w:val="21"/>
              </w:rPr>
            </w:pPr>
          </w:p>
        </w:tc>
        <w:tc>
          <w:tcPr>
            <w:tcW w:w="658" w:type="pct"/>
            <w:shd w:val="clear" w:color="auto" w:fill="auto"/>
          </w:tcPr>
          <w:p w14:paraId="467141AC">
            <w:pPr>
              <w:pageBreakBefore w:val="0"/>
              <w:kinsoku/>
              <w:overflowPunct/>
              <w:bidi w:val="0"/>
              <w:snapToGrid w:val="0"/>
              <w:spacing w:line="360" w:lineRule="auto"/>
              <w:jc w:val="center"/>
              <w:rPr>
                <w:rFonts w:hint="eastAsia" w:ascii="宋体" w:hAnsi="宋体" w:eastAsia="宋体" w:cs="宋体"/>
                <w:color w:val="auto"/>
                <w:szCs w:val="21"/>
              </w:rPr>
            </w:pPr>
          </w:p>
        </w:tc>
        <w:tc>
          <w:tcPr>
            <w:tcW w:w="607" w:type="pct"/>
            <w:shd w:val="clear" w:color="auto" w:fill="auto"/>
          </w:tcPr>
          <w:p w14:paraId="5BEB7F5F">
            <w:pPr>
              <w:pageBreakBefore w:val="0"/>
              <w:kinsoku/>
              <w:overflowPunct/>
              <w:bidi w:val="0"/>
              <w:snapToGrid w:val="0"/>
              <w:spacing w:line="360" w:lineRule="auto"/>
              <w:jc w:val="center"/>
              <w:rPr>
                <w:rFonts w:hint="eastAsia" w:ascii="宋体" w:hAnsi="宋体" w:eastAsia="宋体" w:cs="宋体"/>
                <w:color w:val="auto"/>
                <w:szCs w:val="21"/>
              </w:rPr>
            </w:pPr>
          </w:p>
        </w:tc>
        <w:tc>
          <w:tcPr>
            <w:tcW w:w="405" w:type="pct"/>
            <w:shd w:val="clear" w:color="auto" w:fill="auto"/>
          </w:tcPr>
          <w:p w14:paraId="5C186673">
            <w:pPr>
              <w:pageBreakBefore w:val="0"/>
              <w:kinsoku/>
              <w:overflowPunct/>
              <w:bidi w:val="0"/>
              <w:snapToGrid w:val="0"/>
              <w:spacing w:line="360" w:lineRule="auto"/>
              <w:jc w:val="center"/>
              <w:rPr>
                <w:rFonts w:hint="eastAsia" w:ascii="宋体" w:hAnsi="宋体" w:eastAsia="宋体" w:cs="宋体"/>
                <w:color w:val="auto"/>
                <w:szCs w:val="21"/>
              </w:rPr>
            </w:pPr>
          </w:p>
        </w:tc>
        <w:tc>
          <w:tcPr>
            <w:tcW w:w="507" w:type="pct"/>
            <w:shd w:val="clear" w:color="auto" w:fill="auto"/>
          </w:tcPr>
          <w:p w14:paraId="4A451CE7">
            <w:pPr>
              <w:pageBreakBefore w:val="0"/>
              <w:kinsoku/>
              <w:overflowPunct/>
              <w:bidi w:val="0"/>
              <w:snapToGrid w:val="0"/>
              <w:spacing w:line="360" w:lineRule="auto"/>
              <w:jc w:val="center"/>
              <w:rPr>
                <w:rFonts w:hint="eastAsia" w:ascii="宋体" w:hAnsi="宋体" w:eastAsia="宋体" w:cs="宋体"/>
                <w:color w:val="auto"/>
                <w:szCs w:val="21"/>
              </w:rPr>
            </w:pPr>
          </w:p>
        </w:tc>
        <w:tc>
          <w:tcPr>
            <w:tcW w:w="438" w:type="pct"/>
            <w:shd w:val="clear" w:color="auto" w:fill="auto"/>
          </w:tcPr>
          <w:p w14:paraId="5748C701">
            <w:pPr>
              <w:pageBreakBefore w:val="0"/>
              <w:kinsoku/>
              <w:overflowPunct/>
              <w:bidi w:val="0"/>
              <w:snapToGrid w:val="0"/>
              <w:spacing w:line="360" w:lineRule="auto"/>
              <w:jc w:val="center"/>
              <w:rPr>
                <w:rFonts w:hint="eastAsia" w:ascii="宋体" w:hAnsi="宋体" w:eastAsia="宋体" w:cs="宋体"/>
                <w:color w:val="auto"/>
                <w:szCs w:val="21"/>
              </w:rPr>
            </w:pPr>
          </w:p>
        </w:tc>
      </w:tr>
      <w:tr w14:paraId="43C1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49" w:type="pct"/>
            <w:gridSpan w:val="6"/>
            <w:shd w:val="clear" w:color="auto" w:fill="auto"/>
            <w:vAlign w:val="center"/>
          </w:tcPr>
          <w:p w14:paraId="0CFC0D04">
            <w:pPr>
              <w:pageBreakBefore w:val="0"/>
              <w:kinsoku/>
              <w:overflowPunct/>
              <w:bidi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总计</w:t>
            </w:r>
          </w:p>
        </w:tc>
        <w:tc>
          <w:tcPr>
            <w:tcW w:w="1350" w:type="pct"/>
            <w:gridSpan w:val="3"/>
            <w:shd w:val="clear" w:color="auto" w:fill="auto"/>
            <w:vAlign w:val="center"/>
          </w:tcPr>
          <w:p w14:paraId="0309A977">
            <w:pPr>
              <w:pageBreakBefore w:val="0"/>
              <w:kinsoku/>
              <w:overflowPunct/>
              <w:bidi w:val="0"/>
              <w:snapToGrid w:val="0"/>
              <w:spacing w:line="360" w:lineRule="auto"/>
              <w:jc w:val="center"/>
              <w:rPr>
                <w:rFonts w:hint="eastAsia" w:ascii="宋体" w:hAnsi="宋体" w:eastAsia="宋体" w:cs="宋体"/>
                <w:color w:val="auto"/>
                <w:szCs w:val="21"/>
                <w:u w:val="single"/>
              </w:rPr>
            </w:pPr>
          </w:p>
        </w:tc>
      </w:tr>
    </w:tbl>
    <w:p w14:paraId="2B3F78A0">
      <w:pPr>
        <w:pageBreakBefore w:val="0"/>
        <w:kinsoku/>
        <w:overflowPunct/>
        <w:bidi w:val="0"/>
        <w:spacing w:line="360" w:lineRule="auto"/>
        <w:ind w:firstLine="1274" w:firstLineChars="607"/>
        <w:rPr>
          <w:rFonts w:hint="eastAsia" w:ascii="宋体" w:hAnsi="宋体" w:eastAsia="宋体" w:cs="宋体"/>
          <w:color w:val="auto"/>
          <w:szCs w:val="21"/>
        </w:rPr>
      </w:pPr>
    </w:p>
    <w:p w14:paraId="2DB7F8F6">
      <w:pPr>
        <w:pageBreakBefore w:val="0"/>
        <w:kinsoku/>
        <w:overflowPunct/>
        <w:bidi w:val="0"/>
        <w:spacing w:line="360" w:lineRule="auto"/>
        <w:ind w:firstLine="1274" w:firstLineChars="607"/>
        <w:rPr>
          <w:rFonts w:hint="eastAsia" w:ascii="宋体" w:hAnsi="宋体" w:eastAsia="宋体" w:cs="宋体"/>
          <w:color w:val="auto"/>
          <w:szCs w:val="21"/>
        </w:rPr>
      </w:pPr>
      <w:r>
        <w:rPr>
          <w:rFonts w:hint="eastAsia" w:ascii="宋体" w:hAnsi="宋体" w:eastAsia="宋体" w:cs="宋体"/>
          <w:color w:val="auto"/>
          <w:szCs w:val="21"/>
        </w:rPr>
        <w:t>投标人名称：</w:t>
      </w:r>
      <w:r>
        <w:rPr>
          <w:rFonts w:hint="eastAsia" w:ascii="宋体" w:hAnsi="宋体" w:eastAsia="宋体" w:cs="宋体"/>
          <w:color w:val="auto"/>
          <w:szCs w:val="21"/>
          <w:u w:val="single"/>
        </w:rPr>
        <w:t xml:space="preserve">　　　　　　　　            </w:t>
      </w:r>
    </w:p>
    <w:p w14:paraId="693284A9">
      <w:pPr>
        <w:pageBreakBefore w:val="0"/>
        <w:kinsoku/>
        <w:overflowPunct/>
        <w:bidi w:val="0"/>
        <w:spacing w:line="360" w:lineRule="auto"/>
        <w:ind w:firstLine="1274" w:firstLineChars="607"/>
        <w:jc w:val="lef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xml:space="preserve">_     __ </w:t>
      </w:r>
      <w:r>
        <w:rPr>
          <w:rFonts w:hint="eastAsia" w:ascii="宋体" w:hAnsi="宋体" w:eastAsia="宋体" w:cs="宋体"/>
          <w:color w:val="auto"/>
        </w:rPr>
        <w:t>年</w:t>
      </w:r>
      <w:r>
        <w:rPr>
          <w:rFonts w:hint="eastAsia" w:ascii="宋体" w:hAnsi="宋体" w:eastAsia="宋体" w:cs="宋体"/>
          <w:color w:val="auto"/>
          <w:u w:val="single"/>
        </w:rPr>
        <w:t>_     __</w:t>
      </w:r>
      <w:r>
        <w:rPr>
          <w:rFonts w:hint="eastAsia" w:ascii="宋体" w:hAnsi="宋体" w:eastAsia="宋体" w:cs="宋体"/>
          <w:color w:val="auto"/>
        </w:rPr>
        <w:t>月</w:t>
      </w:r>
      <w:r>
        <w:rPr>
          <w:rFonts w:hint="eastAsia" w:ascii="宋体" w:hAnsi="宋体" w:eastAsia="宋体" w:cs="宋体"/>
          <w:color w:val="auto"/>
          <w:u w:val="single"/>
        </w:rPr>
        <w:t>_    _ _</w:t>
      </w:r>
      <w:r>
        <w:rPr>
          <w:rFonts w:hint="eastAsia" w:ascii="宋体" w:hAnsi="宋体" w:eastAsia="宋体" w:cs="宋体"/>
          <w:color w:val="auto"/>
        </w:rPr>
        <w:t>日</w:t>
      </w:r>
    </w:p>
    <w:p w14:paraId="797F0029">
      <w:pPr>
        <w:pStyle w:val="49"/>
        <w:pageBreakBefore w:val="0"/>
        <w:kinsoku/>
        <w:overflowPunct/>
        <w:bidi w:val="0"/>
        <w:spacing w:line="360" w:lineRule="auto"/>
        <w:rPr>
          <w:rFonts w:hint="eastAsia" w:ascii="宋体" w:hAnsi="宋体" w:eastAsia="宋体" w:cs="宋体"/>
          <w:color w:val="auto"/>
        </w:rPr>
      </w:pPr>
    </w:p>
    <w:p w14:paraId="3C253CD7">
      <w:pPr>
        <w:pageBreakBefore w:val="0"/>
        <w:kinsoku/>
        <w:overflowPunct/>
        <w:topLinePunct/>
        <w:bidi w:val="0"/>
        <w:spacing w:line="360" w:lineRule="auto"/>
        <w:ind w:left="424" w:hanging="424" w:hangingChars="201"/>
        <w:jc w:val="left"/>
        <w:rPr>
          <w:rFonts w:hint="eastAsia" w:ascii="宋体" w:hAnsi="宋体" w:eastAsia="宋体" w:cs="宋体"/>
          <w:b/>
          <w:color w:val="auto"/>
        </w:rPr>
      </w:pPr>
      <w:r>
        <w:rPr>
          <w:rFonts w:hint="eastAsia" w:ascii="宋体" w:hAnsi="宋体" w:eastAsia="宋体" w:cs="宋体"/>
          <w:b/>
          <w:color w:val="auto"/>
        </w:rPr>
        <w:t>编制要求：</w:t>
      </w:r>
    </w:p>
    <w:p w14:paraId="23CC4CC4">
      <w:pPr>
        <w:topLinePunct/>
        <w:spacing w:line="440" w:lineRule="exact"/>
        <w:jc w:val="left"/>
        <w:rPr>
          <w:rFonts w:hint="eastAsia" w:ascii="宋体" w:hAnsi="宋体" w:eastAsia="宋体" w:cs="宋体"/>
          <w:color w:val="auto"/>
        </w:rPr>
      </w:pPr>
      <w:r>
        <w:rPr>
          <w:rFonts w:hint="eastAsia" w:ascii="宋体" w:hAnsi="宋体" w:eastAsia="宋体" w:cs="宋体"/>
          <w:color w:val="auto"/>
        </w:rPr>
        <w:t>1.招标文件要求提供证明文件的，应提供业绩证明文件的扫描件，证明文件顺序应与“业绩情况表”一一对应。</w:t>
      </w:r>
    </w:p>
    <w:p w14:paraId="5BC6CE77">
      <w:pPr>
        <w:topLinePunct/>
        <w:spacing w:line="440" w:lineRule="exact"/>
        <w:jc w:val="left"/>
        <w:rPr>
          <w:rFonts w:hint="eastAsia" w:ascii="宋体" w:hAnsi="宋体" w:eastAsia="宋体" w:cs="宋体"/>
          <w:color w:val="auto"/>
        </w:rPr>
      </w:pPr>
      <w:r>
        <w:rPr>
          <w:rFonts w:hint="eastAsia" w:ascii="宋体" w:hAnsi="宋体" w:eastAsia="宋体" w:cs="宋体"/>
          <w:color w:val="auto"/>
        </w:rPr>
        <w:t>2.如【本招标项目/本标包】对投标人或者投标业绩有要求，投标人应当如实填写本表并根据第二章“投标人须知”和第三章“评分办法”等相关要求提供相关证明材料。</w:t>
      </w:r>
    </w:p>
    <w:p w14:paraId="0E214CC9">
      <w:pPr>
        <w:pageBreakBefore w:val="0"/>
        <w:kinsoku/>
        <w:overflowPunct/>
        <w:bidi w:val="0"/>
        <w:spacing w:line="360" w:lineRule="auto"/>
        <w:rPr>
          <w:rFonts w:hint="eastAsia" w:ascii="宋体" w:hAnsi="宋体" w:eastAsia="宋体" w:cs="宋体"/>
          <w:b/>
          <w:bCs/>
          <w:color w:val="auto"/>
          <w:sz w:val="24"/>
        </w:rPr>
      </w:pPr>
      <w:r>
        <w:rPr>
          <w:rFonts w:hint="eastAsia" w:ascii="宋体" w:hAnsi="宋体" w:eastAsia="宋体" w:cs="宋体"/>
          <w:color w:val="auto"/>
        </w:rPr>
        <w:t>3.投标人可以根据实际情况对本文件进行调整和修改，但应满足招标文件对本文件的要求。</w:t>
      </w:r>
      <w:r>
        <w:rPr>
          <w:rFonts w:hint="eastAsia" w:ascii="宋体" w:hAnsi="宋体" w:eastAsia="宋体" w:cs="宋体"/>
          <w:color w:val="auto"/>
          <w:sz w:val="24"/>
        </w:rPr>
        <w:br w:type="page"/>
      </w:r>
    </w:p>
    <w:p w14:paraId="6800A7C8">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580" w:name="_Toc25539"/>
      <w:bookmarkStart w:id="1581" w:name="_Toc38008097"/>
      <w:r>
        <w:rPr>
          <w:rFonts w:hint="eastAsia" w:ascii="宋体" w:hAnsi="宋体" w:eastAsia="宋体" w:cs="宋体"/>
          <w:color w:val="auto"/>
          <w:sz w:val="24"/>
          <w:szCs w:val="24"/>
        </w:rPr>
        <w:t>第二分册 技术投标文件</w:t>
      </w:r>
      <w:bookmarkEnd w:id="1580"/>
      <w:bookmarkEnd w:id="1581"/>
    </w:p>
    <w:p w14:paraId="2EC16232">
      <w:pPr>
        <w:pStyle w:val="39"/>
        <w:pageBreakBefore w:val="0"/>
        <w:numPr>
          <w:ilvl w:val="0"/>
          <w:numId w:val="29"/>
        </w:numPr>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582" w:name="_Toc38008098"/>
      <w:bookmarkStart w:id="1583" w:name="_Toc13955"/>
      <w:r>
        <w:rPr>
          <w:rFonts w:hint="eastAsia" w:ascii="宋体" w:hAnsi="宋体" w:eastAsia="宋体" w:cs="宋体"/>
          <w:color w:val="auto"/>
          <w:sz w:val="24"/>
          <w:szCs w:val="24"/>
        </w:rPr>
        <w:t>技术投标文件封面</w:t>
      </w:r>
      <w:bookmarkEnd w:id="1569"/>
      <w:bookmarkEnd w:id="1582"/>
      <w:bookmarkEnd w:id="1583"/>
    </w:p>
    <w:p w14:paraId="16659CF4">
      <w:pPr>
        <w:pageBreakBefore w:val="0"/>
        <w:kinsoku/>
        <w:overflowPunct/>
        <w:bidi w:val="0"/>
        <w:spacing w:after="120" w:line="360" w:lineRule="auto"/>
        <w:jc w:val="center"/>
        <w:rPr>
          <w:rFonts w:hint="eastAsia" w:ascii="宋体" w:hAnsi="宋体" w:eastAsia="宋体" w:cs="宋体"/>
          <w:color w:val="auto"/>
          <w:sz w:val="32"/>
          <w:szCs w:val="32"/>
          <w:u w:val="single"/>
        </w:rPr>
      </w:pPr>
    </w:p>
    <w:p w14:paraId="572404F3">
      <w:pPr>
        <w:pageBreakBefore w:val="0"/>
        <w:kinsoku/>
        <w:overflowPunct/>
        <w:bidi w:val="0"/>
        <w:spacing w:after="120" w:line="360" w:lineRule="auto"/>
        <w:jc w:val="center"/>
        <w:rPr>
          <w:rFonts w:hint="eastAsia" w:ascii="宋体" w:hAnsi="宋体" w:eastAsia="宋体" w:cs="宋体"/>
          <w:color w:val="auto"/>
          <w:sz w:val="32"/>
          <w:szCs w:val="32"/>
          <w:u w:val="single"/>
        </w:rPr>
      </w:pPr>
    </w:p>
    <w:p w14:paraId="18C53D15">
      <w:pPr>
        <w:pageBreakBefore w:val="0"/>
        <w:kinsoku/>
        <w:overflowPunct/>
        <w:bidi w:val="0"/>
        <w:spacing w:after="120" w:line="360" w:lineRule="auto"/>
        <w:jc w:val="center"/>
        <w:rPr>
          <w:rFonts w:hint="eastAsia" w:ascii="宋体" w:hAnsi="宋体" w:eastAsia="宋体" w:cs="宋体"/>
          <w:b/>
          <w:color w:val="auto"/>
          <w:sz w:val="30"/>
          <w:szCs w:val="30"/>
        </w:rPr>
      </w:pPr>
      <w:r>
        <w:rPr>
          <w:rFonts w:hint="eastAsia" w:ascii="宋体" w:hAnsi="宋体" w:eastAsia="宋体" w:cs="宋体"/>
          <w:color w:val="auto"/>
          <w:sz w:val="28"/>
          <w:szCs w:val="28"/>
        </w:rPr>
        <w:t>（项目名称）</w:t>
      </w:r>
    </w:p>
    <w:p w14:paraId="6138123E">
      <w:pPr>
        <w:pageBreakBefore w:val="0"/>
        <w:kinsoku/>
        <w:overflowPunct/>
        <w:bidi w:val="0"/>
        <w:spacing w:line="360" w:lineRule="auto"/>
        <w:jc w:val="center"/>
        <w:rPr>
          <w:rFonts w:hint="eastAsia" w:ascii="宋体" w:hAnsi="宋体" w:eastAsia="宋体" w:cs="宋体"/>
          <w:color w:val="auto"/>
          <w:sz w:val="28"/>
          <w:szCs w:val="28"/>
        </w:rPr>
      </w:pPr>
    </w:p>
    <w:p w14:paraId="3BC635BE">
      <w:pPr>
        <w:pageBreakBefore w:val="0"/>
        <w:kinsoku/>
        <w:overflowPunct/>
        <w:bidi w:val="0"/>
        <w:spacing w:line="360" w:lineRule="auto"/>
        <w:jc w:val="center"/>
        <w:rPr>
          <w:rFonts w:hint="eastAsia" w:ascii="宋体" w:hAnsi="宋体" w:eastAsia="宋体" w:cs="宋体"/>
          <w:color w:val="auto"/>
          <w:szCs w:val="21"/>
        </w:rPr>
      </w:pPr>
    </w:p>
    <w:p w14:paraId="33BB7935">
      <w:pPr>
        <w:pageBreakBefore w:val="0"/>
        <w:kinsoku/>
        <w:overflowPunct/>
        <w:bidi w:val="0"/>
        <w:spacing w:line="360" w:lineRule="auto"/>
        <w:jc w:val="center"/>
        <w:rPr>
          <w:rFonts w:hint="eastAsia" w:ascii="宋体" w:hAnsi="宋体" w:eastAsia="宋体" w:cs="宋体"/>
          <w:color w:val="auto"/>
          <w:szCs w:val="21"/>
        </w:rPr>
      </w:pPr>
    </w:p>
    <w:p w14:paraId="1458E68B">
      <w:pPr>
        <w:pageBreakBefore w:val="0"/>
        <w:kinsoku/>
        <w:overflowPunct/>
        <w:bidi w:val="0"/>
        <w:spacing w:line="360" w:lineRule="auto"/>
        <w:jc w:val="center"/>
        <w:rPr>
          <w:rFonts w:hint="eastAsia" w:ascii="宋体" w:hAnsi="宋体" w:eastAsia="宋体" w:cs="宋体"/>
          <w:color w:val="auto"/>
          <w:szCs w:val="21"/>
        </w:rPr>
      </w:pPr>
    </w:p>
    <w:p w14:paraId="3217A21C">
      <w:pPr>
        <w:pageBreakBefore w:val="0"/>
        <w:kinsoku/>
        <w:overflowPunct/>
        <w:bidi w:val="0"/>
        <w:spacing w:after="120"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投标文件【技术投标文件】部分</w:t>
      </w:r>
    </w:p>
    <w:p w14:paraId="078B9545">
      <w:pPr>
        <w:pageBreakBefore w:val="0"/>
        <w:kinsoku/>
        <w:overflowPunct/>
        <w:bidi w:val="0"/>
        <w:spacing w:after="120" w:line="360" w:lineRule="auto"/>
        <w:jc w:val="center"/>
        <w:rPr>
          <w:rFonts w:hint="eastAsia" w:ascii="宋体" w:hAnsi="宋体" w:eastAsia="宋体" w:cs="宋体"/>
          <w:b/>
          <w:color w:val="auto"/>
          <w:sz w:val="32"/>
          <w:szCs w:val="32"/>
        </w:rPr>
      </w:pPr>
    </w:p>
    <w:p w14:paraId="0AE81318">
      <w:pPr>
        <w:pageBreakBefore w:val="0"/>
        <w:kinsoku/>
        <w:overflowPunct/>
        <w:bidi w:val="0"/>
        <w:spacing w:after="120" w:line="360" w:lineRule="auto"/>
        <w:jc w:val="center"/>
        <w:rPr>
          <w:rFonts w:hint="eastAsia" w:ascii="宋体" w:hAnsi="宋体" w:eastAsia="宋体" w:cs="宋体"/>
          <w:b/>
          <w:color w:val="auto"/>
          <w:sz w:val="32"/>
          <w:szCs w:val="32"/>
        </w:rPr>
      </w:pPr>
    </w:p>
    <w:p w14:paraId="62DB546E">
      <w:pPr>
        <w:pageBreakBefore w:val="0"/>
        <w:kinsoku/>
        <w:overflowPunct/>
        <w:bidi w:val="0"/>
        <w:spacing w:after="120" w:line="360" w:lineRule="auto"/>
        <w:jc w:val="center"/>
        <w:rPr>
          <w:rFonts w:hint="eastAsia" w:ascii="宋体" w:hAnsi="宋体" w:eastAsia="宋体" w:cs="宋体"/>
          <w:b/>
          <w:color w:val="auto"/>
          <w:sz w:val="32"/>
          <w:szCs w:val="32"/>
        </w:rPr>
      </w:pPr>
    </w:p>
    <w:p w14:paraId="2182DA70">
      <w:pPr>
        <w:pageBreakBefore w:val="0"/>
        <w:kinsoku/>
        <w:overflowPunct/>
        <w:bidi w:val="0"/>
        <w:spacing w:after="120" w:line="360" w:lineRule="auto"/>
        <w:jc w:val="center"/>
        <w:rPr>
          <w:rFonts w:hint="eastAsia" w:ascii="宋体" w:hAnsi="宋体" w:eastAsia="宋体" w:cs="宋体"/>
          <w:b/>
          <w:color w:val="auto"/>
          <w:sz w:val="32"/>
          <w:szCs w:val="32"/>
        </w:rPr>
      </w:pPr>
    </w:p>
    <w:p w14:paraId="68173987">
      <w:pPr>
        <w:pageBreakBefore w:val="0"/>
        <w:kinsoku/>
        <w:overflowPunct/>
        <w:bidi w:val="0"/>
        <w:spacing w:after="120" w:line="360" w:lineRule="auto"/>
        <w:jc w:val="center"/>
        <w:rPr>
          <w:rFonts w:hint="eastAsia" w:ascii="宋体" w:hAnsi="宋体" w:eastAsia="宋体" w:cs="宋体"/>
          <w:b/>
          <w:color w:val="auto"/>
          <w:sz w:val="32"/>
          <w:szCs w:val="32"/>
        </w:rPr>
      </w:pPr>
    </w:p>
    <w:p w14:paraId="3E45DF6D">
      <w:pPr>
        <w:pageBreakBefore w:val="0"/>
        <w:kinsoku/>
        <w:overflowPunct/>
        <w:bidi w:val="0"/>
        <w:spacing w:after="120" w:line="360" w:lineRule="auto"/>
        <w:jc w:val="center"/>
        <w:rPr>
          <w:rFonts w:hint="eastAsia" w:ascii="宋体" w:hAnsi="宋体" w:eastAsia="宋体" w:cs="宋体"/>
          <w:b/>
          <w:color w:val="auto"/>
          <w:sz w:val="32"/>
          <w:szCs w:val="32"/>
        </w:rPr>
      </w:pPr>
    </w:p>
    <w:p w14:paraId="7D39D703">
      <w:pPr>
        <w:pageBreakBefore w:val="0"/>
        <w:kinsoku/>
        <w:overflowPunct/>
        <w:bidi w:val="0"/>
        <w:spacing w:line="360" w:lineRule="auto"/>
        <w:ind w:firstLine="1456" w:firstLineChars="607"/>
        <w:rPr>
          <w:rFonts w:hint="eastAsia" w:ascii="宋体" w:hAnsi="宋体" w:eastAsia="宋体" w:cs="宋体"/>
          <w:color w:val="auto"/>
          <w:sz w:val="24"/>
          <w:szCs w:val="21"/>
        </w:rPr>
      </w:pPr>
      <w:r>
        <w:rPr>
          <w:rFonts w:hint="eastAsia" w:ascii="宋体" w:hAnsi="宋体" w:eastAsia="宋体" w:cs="宋体"/>
          <w:color w:val="auto"/>
          <w:sz w:val="24"/>
          <w:szCs w:val="21"/>
        </w:rPr>
        <w:t>投标人名称：</w:t>
      </w:r>
      <w:r>
        <w:rPr>
          <w:rFonts w:hint="eastAsia" w:ascii="宋体" w:hAnsi="宋体" w:eastAsia="宋体" w:cs="宋体"/>
          <w:color w:val="auto"/>
          <w:sz w:val="24"/>
          <w:szCs w:val="21"/>
          <w:u w:val="single"/>
        </w:rPr>
        <w:t xml:space="preserve">　　　　　　　　           </w:t>
      </w:r>
    </w:p>
    <w:p w14:paraId="2D1C96E9">
      <w:pPr>
        <w:pageBreakBefore w:val="0"/>
        <w:kinsoku/>
        <w:overflowPunct/>
        <w:bidi w:val="0"/>
        <w:spacing w:line="360" w:lineRule="auto"/>
        <w:ind w:firstLine="1456" w:firstLineChars="607"/>
        <w:jc w:val="left"/>
        <w:rPr>
          <w:rFonts w:hint="eastAsia" w:ascii="宋体" w:hAnsi="宋体" w:eastAsia="宋体" w:cs="宋体"/>
          <w:color w:val="auto"/>
          <w:sz w:val="24"/>
          <w:szCs w:val="21"/>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_     __ </w:t>
      </w:r>
      <w:r>
        <w:rPr>
          <w:rFonts w:hint="eastAsia" w:ascii="宋体" w:hAnsi="宋体" w:eastAsia="宋体" w:cs="宋体"/>
          <w:color w:val="auto"/>
          <w:sz w:val="24"/>
        </w:rPr>
        <w:t>年</w:t>
      </w:r>
      <w:r>
        <w:rPr>
          <w:rFonts w:hint="eastAsia" w:ascii="宋体" w:hAnsi="宋体" w:eastAsia="宋体" w:cs="宋体"/>
          <w:color w:val="auto"/>
          <w:sz w:val="24"/>
          <w:u w:val="single"/>
        </w:rPr>
        <w:t>_     __</w:t>
      </w:r>
      <w:r>
        <w:rPr>
          <w:rFonts w:hint="eastAsia" w:ascii="宋体" w:hAnsi="宋体" w:eastAsia="宋体" w:cs="宋体"/>
          <w:color w:val="auto"/>
          <w:sz w:val="24"/>
        </w:rPr>
        <w:t>月</w:t>
      </w:r>
      <w:r>
        <w:rPr>
          <w:rFonts w:hint="eastAsia" w:ascii="宋体" w:hAnsi="宋体" w:eastAsia="宋体" w:cs="宋体"/>
          <w:color w:val="auto"/>
          <w:sz w:val="24"/>
          <w:u w:val="single"/>
        </w:rPr>
        <w:t>_    _ _</w:t>
      </w:r>
      <w:r>
        <w:rPr>
          <w:rFonts w:hint="eastAsia" w:ascii="宋体" w:hAnsi="宋体" w:eastAsia="宋体" w:cs="宋体"/>
          <w:color w:val="auto"/>
          <w:sz w:val="24"/>
        </w:rPr>
        <w:t>日</w:t>
      </w:r>
    </w:p>
    <w:p w14:paraId="5A559D2F">
      <w:pPr>
        <w:pageBreakBefore w:val="0"/>
        <w:kinsoku/>
        <w:overflowPunct/>
        <w:bidi w:val="0"/>
        <w:adjustRightInd w:val="0"/>
        <w:snapToGrid w:val="0"/>
        <w:spacing w:line="360" w:lineRule="auto"/>
        <w:jc w:val="center"/>
        <w:rPr>
          <w:rFonts w:hint="eastAsia" w:ascii="宋体" w:hAnsi="宋体" w:eastAsia="宋体" w:cs="宋体"/>
          <w:color w:val="auto"/>
          <w:sz w:val="24"/>
        </w:rPr>
      </w:pPr>
    </w:p>
    <w:p w14:paraId="43339E50">
      <w:pPr>
        <w:pageBreakBefore w:val="0"/>
        <w:kinsoku/>
        <w:overflowPunct/>
        <w:topLinePunct/>
        <w:bidi w:val="0"/>
        <w:spacing w:line="360" w:lineRule="auto"/>
        <w:jc w:val="left"/>
        <w:rPr>
          <w:rFonts w:hint="eastAsia" w:ascii="宋体" w:hAnsi="宋体" w:eastAsia="宋体" w:cs="宋体"/>
          <w:b/>
          <w:bCs/>
          <w:color w:val="auto"/>
          <w:kern w:val="0"/>
          <w:sz w:val="28"/>
          <w:szCs w:val="28"/>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color w:val="auto"/>
        </w:rPr>
        <w:t>编制要求</w:t>
      </w:r>
      <w:r>
        <w:rPr>
          <w:rFonts w:hint="eastAsia" w:ascii="宋体" w:hAnsi="宋体" w:eastAsia="宋体" w:cs="宋体"/>
          <w:color w:val="auto"/>
        </w:rPr>
        <w:t>：投标人可以根据实际情况对本文件进行调整和修改，但应满足招标文件对本文件的要求。</w:t>
      </w:r>
    </w:p>
    <w:p w14:paraId="6CC36FAF">
      <w:pPr>
        <w:pStyle w:val="39"/>
        <w:pageBreakBefore w:val="0"/>
        <w:numPr>
          <w:ilvl w:val="0"/>
          <w:numId w:val="29"/>
        </w:numPr>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584" w:name="_Toc18845"/>
      <w:bookmarkStart w:id="1585" w:name="_Toc475472689"/>
      <w:bookmarkStart w:id="1586" w:name="_Toc38008099"/>
      <w:r>
        <w:rPr>
          <w:rFonts w:hint="eastAsia" w:ascii="宋体" w:hAnsi="宋体" w:eastAsia="宋体" w:cs="宋体"/>
          <w:color w:val="auto"/>
          <w:sz w:val="24"/>
          <w:szCs w:val="24"/>
        </w:rPr>
        <w:t>技术服务评审索引表</w:t>
      </w:r>
      <w:bookmarkEnd w:id="1584"/>
      <w:bookmarkEnd w:id="1585"/>
      <w:bookmarkEnd w:id="1586"/>
    </w:p>
    <w:p w14:paraId="600CE5C6">
      <w:pPr>
        <w:pageBreakBefore w:val="0"/>
        <w:kinsoku/>
        <w:overflowPunct/>
        <w:bidi w:val="0"/>
        <w:spacing w:line="360" w:lineRule="auto"/>
        <w:rPr>
          <w:rFonts w:hint="eastAsia" w:ascii="宋体" w:hAnsi="宋体" w:eastAsia="宋体" w:cs="宋体"/>
          <w:color w:val="auto"/>
        </w:rPr>
      </w:pPr>
    </w:p>
    <w:p w14:paraId="3102B305">
      <w:pPr>
        <w:pageBreakBefore w:val="0"/>
        <w:kinsoku/>
        <w:overflowPunct/>
        <w:bidi w:val="0"/>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技术服务评审索引表</w:t>
      </w:r>
    </w:p>
    <w:p w14:paraId="5F69F169">
      <w:pPr>
        <w:pageBreakBefore w:val="0"/>
        <w:kinsoku/>
        <w:overflowPunct/>
        <w:bidi w:val="0"/>
        <w:spacing w:line="360" w:lineRule="auto"/>
        <w:jc w:val="center"/>
        <w:rPr>
          <w:rFonts w:hint="eastAsia" w:ascii="宋体" w:hAnsi="宋体" w:eastAsia="宋体" w:cs="宋体"/>
          <w:b/>
          <w:color w:val="auto"/>
        </w:rPr>
      </w:pPr>
    </w:p>
    <w:p w14:paraId="0E8285FD">
      <w:pPr>
        <w:pageBreakBefore w:val="0"/>
        <w:kinsoku/>
        <w:overflowPunct/>
        <w:bidi w:val="0"/>
        <w:spacing w:line="360" w:lineRule="auto"/>
        <w:jc w:val="left"/>
        <w:rPr>
          <w:rFonts w:hint="eastAsia" w:ascii="宋体" w:hAnsi="宋体" w:eastAsia="宋体" w:cs="宋体"/>
          <w:b/>
          <w:color w:val="auto"/>
        </w:rPr>
      </w:pPr>
      <w:r>
        <w:rPr>
          <w:rFonts w:hint="eastAsia" w:ascii="宋体" w:hAnsi="宋体" w:eastAsia="宋体" w:cs="宋体"/>
          <w:color w:val="auto"/>
          <w:szCs w:val="21"/>
        </w:rPr>
        <w:t>【此部分内容建议按照第三章评标办法中的评审标准的顺序一一罗列】</w:t>
      </w:r>
    </w:p>
    <w:tbl>
      <w:tblPr>
        <w:tblStyle w:val="41"/>
        <w:tblW w:w="8334"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976"/>
        <w:gridCol w:w="1843"/>
        <w:gridCol w:w="1984"/>
        <w:gridCol w:w="1544"/>
      </w:tblGrid>
      <w:tr w14:paraId="1A77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2D8405E1">
            <w:pPr>
              <w:pageBreakBefore w:val="0"/>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条款号</w:t>
            </w:r>
          </w:p>
        </w:tc>
        <w:tc>
          <w:tcPr>
            <w:tcW w:w="1976" w:type="dxa"/>
            <w:vAlign w:val="center"/>
          </w:tcPr>
          <w:p w14:paraId="0C1ADD21">
            <w:pPr>
              <w:pageBreakBefore w:val="0"/>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评审因素</w:t>
            </w:r>
          </w:p>
        </w:tc>
        <w:tc>
          <w:tcPr>
            <w:tcW w:w="1843" w:type="dxa"/>
            <w:vAlign w:val="center"/>
          </w:tcPr>
          <w:p w14:paraId="5EA50E26">
            <w:pPr>
              <w:pageBreakBefore w:val="0"/>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投标文件组成</w:t>
            </w:r>
          </w:p>
        </w:tc>
        <w:tc>
          <w:tcPr>
            <w:tcW w:w="1984" w:type="dxa"/>
            <w:vAlign w:val="center"/>
          </w:tcPr>
          <w:p w14:paraId="4A4DF482">
            <w:pPr>
              <w:pageBreakBefore w:val="0"/>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对应页码</w:t>
            </w:r>
          </w:p>
        </w:tc>
        <w:tc>
          <w:tcPr>
            <w:tcW w:w="1544" w:type="dxa"/>
            <w:vAlign w:val="center"/>
          </w:tcPr>
          <w:p w14:paraId="2A88927D">
            <w:pPr>
              <w:pageBreakBefore w:val="0"/>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备注或者说明</w:t>
            </w:r>
          </w:p>
        </w:tc>
      </w:tr>
      <w:tr w14:paraId="1ED3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7CE5F2FD">
            <w:pPr>
              <w:pageBreakBefore w:val="0"/>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976" w:type="dxa"/>
            <w:vAlign w:val="center"/>
          </w:tcPr>
          <w:p w14:paraId="0228982D">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color w:val="auto"/>
                <w:szCs w:val="21"/>
              </w:rPr>
            </w:pPr>
          </w:p>
        </w:tc>
        <w:tc>
          <w:tcPr>
            <w:tcW w:w="1843" w:type="dxa"/>
          </w:tcPr>
          <w:p w14:paraId="654FFCB3">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984" w:type="dxa"/>
            <w:vAlign w:val="center"/>
          </w:tcPr>
          <w:p w14:paraId="4432BEE8">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544" w:type="dxa"/>
            <w:vAlign w:val="center"/>
          </w:tcPr>
          <w:p w14:paraId="0280A9FD">
            <w:pPr>
              <w:pageBreakBefore w:val="0"/>
              <w:kinsoku/>
              <w:overflowPunct/>
              <w:bidi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w:t>
            </w:r>
          </w:p>
        </w:tc>
      </w:tr>
      <w:tr w14:paraId="07C8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4B8DED39">
            <w:pPr>
              <w:pageBreakBefore w:val="0"/>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976" w:type="dxa"/>
            <w:vAlign w:val="center"/>
          </w:tcPr>
          <w:p w14:paraId="2DA8DE75">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color w:val="auto"/>
                <w:szCs w:val="21"/>
              </w:rPr>
            </w:pPr>
          </w:p>
        </w:tc>
        <w:tc>
          <w:tcPr>
            <w:tcW w:w="1843" w:type="dxa"/>
          </w:tcPr>
          <w:p w14:paraId="459A26D8">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984" w:type="dxa"/>
            <w:vAlign w:val="center"/>
          </w:tcPr>
          <w:p w14:paraId="2864035B">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544" w:type="dxa"/>
            <w:vAlign w:val="center"/>
          </w:tcPr>
          <w:p w14:paraId="412862A6">
            <w:pPr>
              <w:pageBreakBefore w:val="0"/>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w:t>
            </w:r>
          </w:p>
        </w:tc>
      </w:tr>
      <w:tr w14:paraId="2954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02071AE1">
            <w:pPr>
              <w:pageBreakBefore w:val="0"/>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976" w:type="dxa"/>
            <w:vAlign w:val="center"/>
          </w:tcPr>
          <w:p w14:paraId="7F919476">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color w:val="auto"/>
                <w:szCs w:val="21"/>
              </w:rPr>
            </w:pPr>
          </w:p>
        </w:tc>
        <w:tc>
          <w:tcPr>
            <w:tcW w:w="1843" w:type="dxa"/>
          </w:tcPr>
          <w:p w14:paraId="2D863566">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984" w:type="dxa"/>
            <w:vAlign w:val="center"/>
          </w:tcPr>
          <w:p w14:paraId="75EAB925">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544" w:type="dxa"/>
            <w:vAlign w:val="center"/>
          </w:tcPr>
          <w:p w14:paraId="5474CDFF">
            <w:pPr>
              <w:pageBreakBefore w:val="0"/>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w:t>
            </w:r>
          </w:p>
        </w:tc>
      </w:tr>
      <w:tr w14:paraId="07C0C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5544AC5F">
            <w:pPr>
              <w:pageBreakBefore w:val="0"/>
              <w:kinsoku/>
              <w:overflowPunct/>
              <w:bidi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p>
        </w:tc>
        <w:tc>
          <w:tcPr>
            <w:tcW w:w="1976" w:type="dxa"/>
            <w:vAlign w:val="center"/>
          </w:tcPr>
          <w:p w14:paraId="4F7765CA">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color w:val="auto"/>
                <w:szCs w:val="21"/>
              </w:rPr>
            </w:pPr>
          </w:p>
        </w:tc>
        <w:tc>
          <w:tcPr>
            <w:tcW w:w="1843" w:type="dxa"/>
          </w:tcPr>
          <w:p w14:paraId="5D41A2D6">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984" w:type="dxa"/>
            <w:vAlign w:val="center"/>
          </w:tcPr>
          <w:p w14:paraId="3C634551">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544" w:type="dxa"/>
            <w:vAlign w:val="center"/>
          </w:tcPr>
          <w:p w14:paraId="3AC8F489">
            <w:pPr>
              <w:pageBreakBefore w:val="0"/>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w:t>
            </w:r>
          </w:p>
        </w:tc>
      </w:tr>
      <w:tr w14:paraId="0B06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3B701ED2">
            <w:pPr>
              <w:pageBreakBefore w:val="0"/>
              <w:kinsoku/>
              <w:overflowPunct/>
              <w:bidi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w:t>
            </w:r>
          </w:p>
        </w:tc>
        <w:tc>
          <w:tcPr>
            <w:tcW w:w="1976" w:type="dxa"/>
            <w:vAlign w:val="center"/>
          </w:tcPr>
          <w:p w14:paraId="40223367">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color w:val="auto"/>
                <w:szCs w:val="21"/>
              </w:rPr>
            </w:pPr>
          </w:p>
        </w:tc>
        <w:tc>
          <w:tcPr>
            <w:tcW w:w="1843" w:type="dxa"/>
          </w:tcPr>
          <w:p w14:paraId="3E5C4DDD">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984" w:type="dxa"/>
            <w:vAlign w:val="center"/>
          </w:tcPr>
          <w:p w14:paraId="14033EC9">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544" w:type="dxa"/>
            <w:vAlign w:val="center"/>
          </w:tcPr>
          <w:p w14:paraId="396B329D">
            <w:pPr>
              <w:pageBreakBefore w:val="0"/>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w:t>
            </w:r>
          </w:p>
        </w:tc>
      </w:tr>
      <w:tr w14:paraId="3959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987" w:type="dxa"/>
            <w:vAlign w:val="center"/>
          </w:tcPr>
          <w:p w14:paraId="215D2841">
            <w:pPr>
              <w:pageBreakBefore w:val="0"/>
              <w:kinsoku/>
              <w:overflowPunct/>
              <w:bidi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w:t>
            </w:r>
          </w:p>
        </w:tc>
        <w:tc>
          <w:tcPr>
            <w:tcW w:w="1976" w:type="dxa"/>
            <w:vAlign w:val="center"/>
          </w:tcPr>
          <w:p w14:paraId="1370AD73">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color w:val="auto"/>
                <w:szCs w:val="21"/>
              </w:rPr>
            </w:pPr>
          </w:p>
        </w:tc>
        <w:tc>
          <w:tcPr>
            <w:tcW w:w="1843" w:type="dxa"/>
          </w:tcPr>
          <w:p w14:paraId="01C07014">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984" w:type="dxa"/>
            <w:vAlign w:val="center"/>
          </w:tcPr>
          <w:p w14:paraId="24657ED4">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544" w:type="dxa"/>
            <w:vAlign w:val="center"/>
          </w:tcPr>
          <w:p w14:paraId="04D8231B">
            <w:pPr>
              <w:pageBreakBefore w:val="0"/>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w:t>
            </w:r>
          </w:p>
        </w:tc>
      </w:tr>
      <w:tr w14:paraId="42CA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713711A6">
            <w:pPr>
              <w:pageBreakBefore w:val="0"/>
              <w:kinsoku/>
              <w:overflowPunct/>
              <w:bidi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7</w:t>
            </w:r>
          </w:p>
        </w:tc>
        <w:tc>
          <w:tcPr>
            <w:tcW w:w="1976" w:type="dxa"/>
            <w:vAlign w:val="center"/>
          </w:tcPr>
          <w:p w14:paraId="669B5B5A">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color w:val="auto"/>
                <w:szCs w:val="21"/>
              </w:rPr>
            </w:pPr>
          </w:p>
        </w:tc>
        <w:tc>
          <w:tcPr>
            <w:tcW w:w="1843" w:type="dxa"/>
          </w:tcPr>
          <w:p w14:paraId="636F31BA">
            <w:pPr>
              <w:pageBreakBefore w:val="0"/>
              <w:tabs>
                <w:tab w:val="left" w:pos="720"/>
              </w:tabs>
              <w:kinsoku/>
              <w:overflowPunct/>
              <w:bidi w:val="0"/>
              <w:spacing w:line="360" w:lineRule="auto"/>
              <w:ind w:left="420"/>
              <w:jc w:val="center"/>
              <w:rPr>
                <w:rFonts w:hint="eastAsia" w:ascii="宋体" w:hAnsi="宋体" w:eastAsia="宋体" w:cs="宋体"/>
                <w:color w:val="auto"/>
                <w:szCs w:val="21"/>
              </w:rPr>
            </w:pPr>
          </w:p>
        </w:tc>
        <w:tc>
          <w:tcPr>
            <w:tcW w:w="1984" w:type="dxa"/>
            <w:vAlign w:val="center"/>
          </w:tcPr>
          <w:p w14:paraId="13A28ACA">
            <w:pPr>
              <w:pageBreakBefore w:val="0"/>
              <w:tabs>
                <w:tab w:val="left" w:pos="720"/>
              </w:tabs>
              <w:kinsoku/>
              <w:overflowPunct/>
              <w:bidi w:val="0"/>
              <w:spacing w:line="360" w:lineRule="auto"/>
              <w:ind w:left="420"/>
              <w:jc w:val="center"/>
              <w:rPr>
                <w:rFonts w:hint="eastAsia" w:ascii="宋体" w:hAnsi="宋体" w:eastAsia="宋体" w:cs="宋体"/>
                <w:color w:val="auto"/>
                <w:szCs w:val="21"/>
              </w:rPr>
            </w:pPr>
          </w:p>
        </w:tc>
        <w:tc>
          <w:tcPr>
            <w:tcW w:w="1544" w:type="dxa"/>
            <w:vAlign w:val="center"/>
          </w:tcPr>
          <w:p w14:paraId="00053A1F">
            <w:pPr>
              <w:pageBreakBefore w:val="0"/>
              <w:kinsoku/>
              <w:overflowPunct/>
              <w:bidi w:val="0"/>
              <w:spacing w:line="360" w:lineRule="auto"/>
              <w:ind w:left="420"/>
              <w:jc w:val="center"/>
              <w:rPr>
                <w:rFonts w:hint="eastAsia" w:ascii="宋体" w:hAnsi="宋体" w:eastAsia="宋体" w:cs="宋体"/>
                <w:color w:val="auto"/>
                <w:szCs w:val="21"/>
              </w:rPr>
            </w:pPr>
            <w:r>
              <w:rPr>
                <w:rFonts w:hint="eastAsia" w:ascii="宋体" w:hAnsi="宋体" w:eastAsia="宋体" w:cs="宋体"/>
                <w:color w:val="auto"/>
                <w:szCs w:val="21"/>
              </w:rPr>
              <w:t>……</w:t>
            </w:r>
          </w:p>
        </w:tc>
      </w:tr>
      <w:tr w14:paraId="1924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6184D38B">
            <w:pPr>
              <w:pageBreakBefore w:val="0"/>
              <w:kinsoku/>
              <w:overflowPunct/>
              <w:bidi w:val="0"/>
              <w:spacing w:line="360" w:lineRule="auto"/>
              <w:jc w:val="center"/>
              <w:rPr>
                <w:rFonts w:hint="eastAsia" w:ascii="宋体" w:hAnsi="宋体" w:eastAsia="宋体" w:cs="宋体"/>
                <w:color w:val="auto"/>
                <w:szCs w:val="21"/>
              </w:rPr>
            </w:pPr>
          </w:p>
        </w:tc>
        <w:tc>
          <w:tcPr>
            <w:tcW w:w="1976" w:type="dxa"/>
            <w:vAlign w:val="center"/>
          </w:tcPr>
          <w:p w14:paraId="4E87B917">
            <w:pPr>
              <w:pageBreakBefore w:val="0"/>
              <w:kinsoku/>
              <w:overflowPunct/>
              <w:bidi w:val="0"/>
              <w:spacing w:line="360" w:lineRule="auto"/>
              <w:jc w:val="center"/>
              <w:rPr>
                <w:rFonts w:hint="eastAsia" w:ascii="宋体" w:hAnsi="宋体" w:eastAsia="宋体" w:cs="宋体"/>
                <w:color w:val="auto"/>
                <w:kern w:val="2"/>
                <w:sz w:val="21"/>
                <w:szCs w:val="21"/>
                <w:lang w:val="en-US" w:eastAsia="zh-CN" w:bidi="ar-SA"/>
              </w:rPr>
            </w:pPr>
          </w:p>
        </w:tc>
        <w:tc>
          <w:tcPr>
            <w:tcW w:w="1843" w:type="dxa"/>
            <w:vAlign w:val="center"/>
          </w:tcPr>
          <w:p w14:paraId="1E2150EE">
            <w:pPr>
              <w:pageBreakBefore w:val="0"/>
              <w:kinsoku/>
              <w:overflowPunct/>
              <w:bidi w:val="0"/>
              <w:spacing w:line="360" w:lineRule="auto"/>
              <w:jc w:val="center"/>
              <w:rPr>
                <w:rFonts w:hint="eastAsia" w:ascii="宋体" w:hAnsi="宋体" w:eastAsia="宋体" w:cs="宋体"/>
                <w:color w:val="auto"/>
                <w:kern w:val="2"/>
                <w:sz w:val="21"/>
                <w:szCs w:val="21"/>
                <w:lang w:val="en-US" w:eastAsia="zh-CN" w:bidi="ar-SA"/>
              </w:rPr>
            </w:pPr>
          </w:p>
        </w:tc>
        <w:tc>
          <w:tcPr>
            <w:tcW w:w="1984" w:type="dxa"/>
            <w:vAlign w:val="center"/>
          </w:tcPr>
          <w:p w14:paraId="3A8E494F">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544" w:type="dxa"/>
            <w:vAlign w:val="center"/>
          </w:tcPr>
          <w:p w14:paraId="38507A43">
            <w:pPr>
              <w:pageBreakBefore w:val="0"/>
              <w:kinsoku/>
              <w:overflowPunct/>
              <w:bidi w:val="0"/>
              <w:spacing w:line="360" w:lineRule="auto"/>
              <w:jc w:val="center"/>
              <w:rPr>
                <w:rFonts w:hint="eastAsia" w:ascii="宋体" w:hAnsi="宋体" w:eastAsia="宋体" w:cs="宋体"/>
                <w:color w:val="auto"/>
                <w:szCs w:val="21"/>
              </w:rPr>
            </w:pPr>
          </w:p>
        </w:tc>
      </w:tr>
      <w:tr w14:paraId="7F6B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2751E0A8">
            <w:pPr>
              <w:pageBreakBefore w:val="0"/>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w:t>
            </w:r>
          </w:p>
        </w:tc>
        <w:tc>
          <w:tcPr>
            <w:tcW w:w="1976" w:type="dxa"/>
            <w:vAlign w:val="center"/>
          </w:tcPr>
          <w:p w14:paraId="6A0E90FE">
            <w:pPr>
              <w:pageBreakBefore w:val="0"/>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w:t>
            </w:r>
          </w:p>
        </w:tc>
        <w:tc>
          <w:tcPr>
            <w:tcW w:w="1843" w:type="dxa"/>
            <w:vAlign w:val="center"/>
          </w:tcPr>
          <w:p w14:paraId="1A181E4E">
            <w:pPr>
              <w:pageBreakBefore w:val="0"/>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w:t>
            </w:r>
          </w:p>
        </w:tc>
        <w:tc>
          <w:tcPr>
            <w:tcW w:w="1984" w:type="dxa"/>
            <w:vAlign w:val="center"/>
          </w:tcPr>
          <w:p w14:paraId="2BD8AA81">
            <w:pPr>
              <w:pageBreakBefore w:val="0"/>
              <w:tabs>
                <w:tab w:val="left" w:pos="720"/>
              </w:tabs>
              <w:kinsoku/>
              <w:overflowPunct/>
              <w:bidi w:val="0"/>
              <w:spacing w:line="360" w:lineRule="auto"/>
              <w:jc w:val="center"/>
              <w:rPr>
                <w:rFonts w:hint="eastAsia" w:ascii="宋体" w:hAnsi="宋体" w:eastAsia="宋体" w:cs="宋体"/>
                <w:color w:val="auto"/>
                <w:szCs w:val="21"/>
              </w:rPr>
            </w:pPr>
          </w:p>
        </w:tc>
        <w:tc>
          <w:tcPr>
            <w:tcW w:w="1544" w:type="dxa"/>
            <w:vAlign w:val="center"/>
          </w:tcPr>
          <w:p w14:paraId="3B036100">
            <w:pPr>
              <w:pageBreakBefore w:val="0"/>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w:t>
            </w:r>
          </w:p>
        </w:tc>
      </w:tr>
    </w:tbl>
    <w:p w14:paraId="1CDB384B">
      <w:pPr>
        <w:pageBreakBefore w:val="0"/>
        <w:kinsoku/>
        <w:overflowPunct/>
        <w:topLinePunct/>
        <w:bidi w:val="0"/>
        <w:spacing w:line="360" w:lineRule="auto"/>
        <w:ind w:left="360"/>
        <w:jc w:val="left"/>
        <w:rPr>
          <w:rFonts w:hint="eastAsia" w:ascii="宋体" w:hAnsi="宋体" w:eastAsia="宋体" w:cs="宋体"/>
          <w:b/>
          <w:color w:val="auto"/>
        </w:rPr>
      </w:pPr>
    </w:p>
    <w:p w14:paraId="32A77206">
      <w:pPr>
        <w:pageBreakBefore w:val="0"/>
        <w:kinsoku/>
        <w:overflowPunct/>
        <w:topLinePunct/>
        <w:bidi w:val="0"/>
        <w:spacing w:line="360" w:lineRule="auto"/>
        <w:ind w:left="360"/>
        <w:jc w:val="left"/>
        <w:rPr>
          <w:rFonts w:hint="eastAsia" w:ascii="宋体" w:hAnsi="宋体" w:eastAsia="宋体" w:cs="宋体"/>
          <w:b/>
          <w:color w:val="auto"/>
        </w:rPr>
      </w:pPr>
    </w:p>
    <w:p w14:paraId="72982150">
      <w:pPr>
        <w:pageBreakBefore w:val="0"/>
        <w:kinsoku/>
        <w:overflowPunct/>
        <w:topLinePunct/>
        <w:bidi w:val="0"/>
        <w:spacing w:line="360" w:lineRule="auto"/>
        <w:jc w:val="left"/>
        <w:rPr>
          <w:rFonts w:hint="eastAsia" w:ascii="宋体" w:hAnsi="宋体" w:eastAsia="宋体" w:cs="宋体"/>
          <w:b/>
          <w:color w:val="auto"/>
        </w:rPr>
        <w:sectPr>
          <w:pgSz w:w="11906" w:h="16838"/>
          <w:pgMar w:top="1440" w:right="1797" w:bottom="1440" w:left="1797" w:header="851" w:footer="992" w:gutter="0"/>
          <w:pgNumType w:fmt="decimal"/>
          <w:cols w:space="425" w:num="1"/>
          <w:docGrid w:type="lines" w:linePitch="312" w:charSpace="0"/>
        </w:sectPr>
      </w:pPr>
      <w:r>
        <w:rPr>
          <w:rFonts w:hint="eastAsia" w:ascii="宋体" w:hAnsi="宋体" w:eastAsia="宋体" w:cs="宋体"/>
          <w:b/>
          <w:color w:val="auto"/>
        </w:rPr>
        <w:t>编制要求</w:t>
      </w:r>
      <w:r>
        <w:rPr>
          <w:rFonts w:hint="eastAsia" w:ascii="宋体" w:hAnsi="宋体" w:eastAsia="宋体" w:cs="宋体"/>
          <w:color w:val="auto"/>
        </w:rPr>
        <w:t>：投标人可以根据实际情况对本文件进行调整和修改，但应满足招标文件对本文件的要求。</w:t>
      </w:r>
    </w:p>
    <w:p w14:paraId="5B518D8A">
      <w:pPr>
        <w:pStyle w:val="39"/>
        <w:pageBreakBefore w:val="0"/>
        <w:numPr>
          <w:ilvl w:val="0"/>
          <w:numId w:val="29"/>
        </w:numPr>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587" w:name="_Toc11792"/>
      <w:bookmarkStart w:id="1588" w:name="_Toc2673"/>
      <w:bookmarkStart w:id="1589" w:name="_Toc1012"/>
      <w:bookmarkStart w:id="1590" w:name="_Toc475472690"/>
      <w:bookmarkStart w:id="1591" w:name="_Toc38008100"/>
      <w:r>
        <w:rPr>
          <w:rFonts w:hint="eastAsia" w:ascii="宋体" w:hAnsi="宋体" w:eastAsia="宋体" w:cs="宋体"/>
          <w:color w:val="auto"/>
          <w:sz w:val="24"/>
          <w:szCs w:val="24"/>
        </w:rPr>
        <w:t>技术规范书偏离表</w:t>
      </w:r>
      <w:bookmarkEnd w:id="1587"/>
      <w:bookmarkEnd w:id="1588"/>
      <w:bookmarkEnd w:id="1589"/>
    </w:p>
    <w:p w14:paraId="1BEED513">
      <w:pPr>
        <w:pStyle w:val="51"/>
        <w:pageBreakBefore w:val="0"/>
        <w:kinsoku/>
        <w:overflowPunct/>
        <w:bidi w:val="0"/>
        <w:spacing w:line="360" w:lineRule="auto"/>
        <w:ind w:firstLine="0" w:firstLineChars="0"/>
        <w:jc w:val="center"/>
        <w:rPr>
          <w:rFonts w:hint="eastAsia" w:ascii="宋体" w:hAnsi="宋体" w:eastAsia="宋体" w:cs="宋体"/>
          <w:b/>
          <w:color w:val="auto"/>
          <w:sz w:val="24"/>
        </w:rPr>
      </w:pPr>
      <w:r>
        <w:rPr>
          <w:rFonts w:hint="eastAsia" w:ascii="宋体" w:hAnsi="宋体" w:eastAsia="宋体" w:cs="宋体"/>
          <w:b/>
          <w:color w:val="auto"/>
          <w:sz w:val="24"/>
        </w:rPr>
        <w:t>技术规范书偏离表</w:t>
      </w:r>
    </w:p>
    <w:p w14:paraId="4221BA7E">
      <w:pPr>
        <w:pageBreakBefore w:val="0"/>
        <w:kinsoku/>
        <w:overflowPunct/>
        <w:bidi w:val="0"/>
        <w:spacing w:line="360" w:lineRule="auto"/>
        <w:jc w:val="center"/>
        <w:rPr>
          <w:rFonts w:hint="eastAsia" w:ascii="宋体" w:hAnsi="宋体" w:eastAsia="宋体" w:cs="宋体"/>
          <w:color w:val="auto"/>
          <w:sz w:val="24"/>
        </w:rPr>
      </w:pPr>
    </w:p>
    <w:p w14:paraId="694740FB">
      <w:pPr>
        <w:pageBreakBefore w:val="0"/>
        <w:kinsoku/>
        <w:overflowPunct/>
        <w:bidi w:val="0"/>
        <w:adjustRightInd w:val="0"/>
        <w:snapToGrid w:val="0"/>
        <w:spacing w:after="120" w:line="360" w:lineRule="auto"/>
        <w:rPr>
          <w:rFonts w:hint="eastAsia" w:ascii="宋体" w:hAnsi="宋体" w:eastAsia="宋体" w:cs="宋体"/>
          <w:color w:val="auto"/>
          <w:szCs w:val="21"/>
        </w:rPr>
      </w:pPr>
      <w:r>
        <w:rPr>
          <w:rFonts w:hint="eastAsia" w:ascii="宋体" w:hAnsi="宋体" w:eastAsia="宋体" w:cs="宋体"/>
          <w:color w:val="auto"/>
          <w:szCs w:val="21"/>
        </w:rPr>
        <w:t>项目名称：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招标编号：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标包：</w:t>
      </w:r>
      <w:r>
        <w:rPr>
          <w:rFonts w:hint="eastAsia" w:ascii="宋体" w:hAnsi="宋体" w:eastAsia="宋体" w:cs="宋体"/>
          <w:color w:val="auto"/>
          <w:szCs w:val="21"/>
          <w:u w:val="single"/>
        </w:rPr>
        <w:t xml:space="preserve">       </w:t>
      </w:r>
    </w:p>
    <w:tbl>
      <w:tblPr>
        <w:tblStyle w:val="41"/>
        <w:tblW w:w="8438" w:type="dxa"/>
        <w:tblInd w:w="4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5"/>
        <w:gridCol w:w="1746"/>
        <w:gridCol w:w="2208"/>
        <w:gridCol w:w="2435"/>
        <w:gridCol w:w="1364"/>
      </w:tblGrid>
      <w:tr w14:paraId="5C4AD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3" w:hRule="atLeast"/>
        </w:trPr>
        <w:tc>
          <w:tcPr>
            <w:tcW w:w="685" w:type="dxa"/>
            <w:vAlign w:val="center"/>
          </w:tcPr>
          <w:p w14:paraId="0CC6296B">
            <w:pPr>
              <w:pageBreakBefore w:val="0"/>
              <w:kinsoku/>
              <w:overflowPunct/>
              <w:bidi w:val="0"/>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746" w:type="dxa"/>
            <w:vAlign w:val="center"/>
          </w:tcPr>
          <w:p w14:paraId="37C1D786">
            <w:pPr>
              <w:pageBreakBefore w:val="0"/>
              <w:kinsoku/>
              <w:overflowPunct/>
              <w:bidi w:val="0"/>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招标文件条目号</w:t>
            </w:r>
          </w:p>
        </w:tc>
        <w:tc>
          <w:tcPr>
            <w:tcW w:w="2208" w:type="dxa"/>
            <w:vAlign w:val="center"/>
          </w:tcPr>
          <w:p w14:paraId="10D6B918">
            <w:pPr>
              <w:pageBreakBefore w:val="0"/>
              <w:kinsoku/>
              <w:overflowPunct/>
              <w:bidi w:val="0"/>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招标文件的技术条款</w:t>
            </w:r>
          </w:p>
        </w:tc>
        <w:tc>
          <w:tcPr>
            <w:tcW w:w="2435" w:type="dxa"/>
            <w:vAlign w:val="center"/>
          </w:tcPr>
          <w:p w14:paraId="194C247A">
            <w:pPr>
              <w:pageBreakBefore w:val="0"/>
              <w:kinsoku/>
              <w:overflowPunct/>
              <w:bidi w:val="0"/>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投标文件偏离情况</w:t>
            </w:r>
          </w:p>
        </w:tc>
        <w:tc>
          <w:tcPr>
            <w:tcW w:w="1364" w:type="dxa"/>
            <w:vAlign w:val="center"/>
          </w:tcPr>
          <w:p w14:paraId="2DD0F715">
            <w:pPr>
              <w:pageBreakBefore w:val="0"/>
              <w:kinsoku/>
              <w:overflowPunct/>
              <w:bidi w:val="0"/>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说明</w:t>
            </w:r>
          </w:p>
        </w:tc>
      </w:tr>
      <w:tr w14:paraId="27DC5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17CA7EB1">
            <w:pPr>
              <w:pageBreakBefore w:val="0"/>
              <w:kinsoku/>
              <w:overflowPunct/>
              <w:bidi w:val="0"/>
              <w:adjustRightInd w:val="0"/>
              <w:snapToGrid w:val="0"/>
              <w:spacing w:line="360" w:lineRule="auto"/>
              <w:rPr>
                <w:rFonts w:hint="eastAsia" w:ascii="宋体" w:hAnsi="宋体" w:eastAsia="宋体" w:cs="宋体"/>
                <w:color w:val="auto"/>
                <w:szCs w:val="21"/>
              </w:rPr>
            </w:pPr>
          </w:p>
        </w:tc>
        <w:tc>
          <w:tcPr>
            <w:tcW w:w="1746" w:type="dxa"/>
            <w:vAlign w:val="center"/>
          </w:tcPr>
          <w:p w14:paraId="11855009">
            <w:pPr>
              <w:pageBreakBefore w:val="0"/>
              <w:kinsoku/>
              <w:overflowPunct/>
              <w:bidi w:val="0"/>
              <w:adjustRightInd w:val="0"/>
              <w:snapToGrid w:val="0"/>
              <w:spacing w:line="360" w:lineRule="auto"/>
              <w:rPr>
                <w:rFonts w:hint="eastAsia" w:ascii="宋体" w:hAnsi="宋体" w:eastAsia="宋体" w:cs="宋体"/>
                <w:color w:val="auto"/>
                <w:szCs w:val="21"/>
              </w:rPr>
            </w:pPr>
          </w:p>
        </w:tc>
        <w:tc>
          <w:tcPr>
            <w:tcW w:w="2208" w:type="dxa"/>
            <w:vAlign w:val="center"/>
          </w:tcPr>
          <w:p w14:paraId="3C85563E">
            <w:pPr>
              <w:pageBreakBefore w:val="0"/>
              <w:kinsoku/>
              <w:overflowPunct/>
              <w:bidi w:val="0"/>
              <w:adjustRightInd w:val="0"/>
              <w:snapToGrid w:val="0"/>
              <w:spacing w:line="360" w:lineRule="auto"/>
              <w:rPr>
                <w:rFonts w:hint="eastAsia" w:ascii="宋体" w:hAnsi="宋体" w:eastAsia="宋体" w:cs="宋体"/>
                <w:color w:val="auto"/>
                <w:szCs w:val="21"/>
              </w:rPr>
            </w:pPr>
          </w:p>
        </w:tc>
        <w:tc>
          <w:tcPr>
            <w:tcW w:w="2435" w:type="dxa"/>
            <w:vAlign w:val="center"/>
          </w:tcPr>
          <w:p w14:paraId="43D2E2CB">
            <w:pPr>
              <w:pageBreakBefore w:val="0"/>
              <w:kinsoku/>
              <w:overflowPunct/>
              <w:bidi w:val="0"/>
              <w:adjustRightInd w:val="0"/>
              <w:snapToGrid w:val="0"/>
              <w:spacing w:line="360" w:lineRule="auto"/>
              <w:rPr>
                <w:rFonts w:hint="eastAsia" w:ascii="宋体" w:hAnsi="宋体" w:eastAsia="宋体" w:cs="宋体"/>
                <w:color w:val="auto"/>
                <w:szCs w:val="21"/>
              </w:rPr>
            </w:pPr>
          </w:p>
        </w:tc>
        <w:tc>
          <w:tcPr>
            <w:tcW w:w="1364" w:type="dxa"/>
            <w:vAlign w:val="center"/>
          </w:tcPr>
          <w:p w14:paraId="2777610F">
            <w:pPr>
              <w:pageBreakBefore w:val="0"/>
              <w:kinsoku/>
              <w:overflowPunct/>
              <w:bidi w:val="0"/>
              <w:adjustRightInd w:val="0"/>
              <w:snapToGrid w:val="0"/>
              <w:spacing w:line="360" w:lineRule="auto"/>
              <w:rPr>
                <w:rFonts w:hint="eastAsia" w:ascii="宋体" w:hAnsi="宋体" w:eastAsia="宋体" w:cs="宋体"/>
                <w:color w:val="auto"/>
                <w:szCs w:val="21"/>
              </w:rPr>
            </w:pPr>
          </w:p>
        </w:tc>
      </w:tr>
      <w:tr w14:paraId="29C5C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27803718">
            <w:pPr>
              <w:pageBreakBefore w:val="0"/>
              <w:kinsoku/>
              <w:overflowPunct/>
              <w:bidi w:val="0"/>
              <w:adjustRightInd w:val="0"/>
              <w:snapToGrid w:val="0"/>
              <w:spacing w:line="360" w:lineRule="auto"/>
              <w:rPr>
                <w:rFonts w:hint="eastAsia" w:ascii="宋体" w:hAnsi="宋体" w:eastAsia="宋体" w:cs="宋体"/>
                <w:color w:val="auto"/>
                <w:szCs w:val="21"/>
              </w:rPr>
            </w:pPr>
          </w:p>
        </w:tc>
        <w:tc>
          <w:tcPr>
            <w:tcW w:w="1746" w:type="dxa"/>
            <w:vAlign w:val="center"/>
          </w:tcPr>
          <w:p w14:paraId="42E35ED5">
            <w:pPr>
              <w:pageBreakBefore w:val="0"/>
              <w:kinsoku/>
              <w:overflowPunct/>
              <w:bidi w:val="0"/>
              <w:adjustRightInd w:val="0"/>
              <w:snapToGrid w:val="0"/>
              <w:spacing w:line="360" w:lineRule="auto"/>
              <w:rPr>
                <w:rFonts w:hint="eastAsia" w:ascii="宋体" w:hAnsi="宋体" w:eastAsia="宋体" w:cs="宋体"/>
                <w:color w:val="auto"/>
                <w:szCs w:val="21"/>
              </w:rPr>
            </w:pPr>
          </w:p>
        </w:tc>
        <w:tc>
          <w:tcPr>
            <w:tcW w:w="2208" w:type="dxa"/>
            <w:vAlign w:val="center"/>
          </w:tcPr>
          <w:p w14:paraId="1533CC62">
            <w:pPr>
              <w:pageBreakBefore w:val="0"/>
              <w:kinsoku/>
              <w:overflowPunct/>
              <w:bidi w:val="0"/>
              <w:adjustRightInd w:val="0"/>
              <w:snapToGrid w:val="0"/>
              <w:spacing w:line="360" w:lineRule="auto"/>
              <w:rPr>
                <w:rFonts w:hint="eastAsia" w:ascii="宋体" w:hAnsi="宋体" w:eastAsia="宋体" w:cs="宋体"/>
                <w:color w:val="auto"/>
                <w:szCs w:val="21"/>
              </w:rPr>
            </w:pPr>
          </w:p>
        </w:tc>
        <w:tc>
          <w:tcPr>
            <w:tcW w:w="2435" w:type="dxa"/>
            <w:vAlign w:val="center"/>
          </w:tcPr>
          <w:p w14:paraId="660C3D9E">
            <w:pPr>
              <w:pageBreakBefore w:val="0"/>
              <w:kinsoku/>
              <w:overflowPunct/>
              <w:bidi w:val="0"/>
              <w:adjustRightInd w:val="0"/>
              <w:snapToGrid w:val="0"/>
              <w:spacing w:line="360" w:lineRule="auto"/>
              <w:rPr>
                <w:rFonts w:hint="eastAsia" w:ascii="宋体" w:hAnsi="宋体" w:eastAsia="宋体" w:cs="宋体"/>
                <w:color w:val="auto"/>
                <w:szCs w:val="21"/>
              </w:rPr>
            </w:pPr>
          </w:p>
        </w:tc>
        <w:tc>
          <w:tcPr>
            <w:tcW w:w="1364" w:type="dxa"/>
            <w:vAlign w:val="center"/>
          </w:tcPr>
          <w:p w14:paraId="0969FAE2">
            <w:pPr>
              <w:pageBreakBefore w:val="0"/>
              <w:kinsoku/>
              <w:overflowPunct/>
              <w:bidi w:val="0"/>
              <w:adjustRightInd w:val="0"/>
              <w:snapToGrid w:val="0"/>
              <w:spacing w:line="360" w:lineRule="auto"/>
              <w:rPr>
                <w:rFonts w:hint="eastAsia" w:ascii="宋体" w:hAnsi="宋体" w:eastAsia="宋体" w:cs="宋体"/>
                <w:color w:val="auto"/>
                <w:szCs w:val="21"/>
              </w:rPr>
            </w:pPr>
          </w:p>
        </w:tc>
      </w:tr>
      <w:tr w14:paraId="013F6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566AE3C2">
            <w:pPr>
              <w:pageBreakBefore w:val="0"/>
              <w:kinsoku/>
              <w:overflowPunct/>
              <w:bidi w:val="0"/>
              <w:adjustRightInd w:val="0"/>
              <w:snapToGrid w:val="0"/>
              <w:spacing w:line="360" w:lineRule="auto"/>
              <w:rPr>
                <w:rFonts w:hint="eastAsia" w:ascii="宋体" w:hAnsi="宋体" w:eastAsia="宋体" w:cs="宋体"/>
                <w:color w:val="auto"/>
                <w:szCs w:val="21"/>
              </w:rPr>
            </w:pPr>
          </w:p>
        </w:tc>
        <w:tc>
          <w:tcPr>
            <w:tcW w:w="1746" w:type="dxa"/>
            <w:vAlign w:val="center"/>
          </w:tcPr>
          <w:p w14:paraId="244B3E69">
            <w:pPr>
              <w:pageBreakBefore w:val="0"/>
              <w:kinsoku/>
              <w:overflowPunct/>
              <w:bidi w:val="0"/>
              <w:adjustRightInd w:val="0"/>
              <w:snapToGrid w:val="0"/>
              <w:spacing w:line="360" w:lineRule="auto"/>
              <w:rPr>
                <w:rFonts w:hint="eastAsia" w:ascii="宋体" w:hAnsi="宋体" w:eastAsia="宋体" w:cs="宋体"/>
                <w:color w:val="auto"/>
                <w:szCs w:val="21"/>
              </w:rPr>
            </w:pPr>
          </w:p>
        </w:tc>
        <w:tc>
          <w:tcPr>
            <w:tcW w:w="2208" w:type="dxa"/>
            <w:vAlign w:val="center"/>
          </w:tcPr>
          <w:p w14:paraId="66A49AB4">
            <w:pPr>
              <w:pageBreakBefore w:val="0"/>
              <w:kinsoku/>
              <w:overflowPunct/>
              <w:bidi w:val="0"/>
              <w:adjustRightInd w:val="0"/>
              <w:snapToGrid w:val="0"/>
              <w:spacing w:line="360" w:lineRule="auto"/>
              <w:rPr>
                <w:rFonts w:hint="eastAsia" w:ascii="宋体" w:hAnsi="宋体" w:eastAsia="宋体" w:cs="宋体"/>
                <w:color w:val="auto"/>
                <w:szCs w:val="21"/>
              </w:rPr>
            </w:pPr>
          </w:p>
        </w:tc>
        <w:tc>
          <w:tcPr>
            <w:tcW w:w="2435" w:type="dxa"/>
            <w:vAlign w:val="center"/>
          </w:tcPr>
          <w:p w14:paraId="3063613A">
            <w:pPr>
              <w:pageBreakBefore w:val="0"/>
              <w:kinsoku/>
              <w:overflowPunct/>
              <w:bidi w:val="0"/>
              <w:adjustRightInd w:val="0"/>
              <w:snapToGrid w:val="0"/>
              <w:spacing w:line="360" w:lineRule="auto"/>
              <w:rPr>
                <w:rFonts w:hint="eastAsia" w:ascii="宋体" w:hAnsi="宋体" w:eastAsia="宋体" w:cs="宋体"/>
                <w:color w:val="auto"/>
                <w:szCs w:val="21"/>
              </w:rPr>
            </w:pPr>
          </w:p>
        </w:tc>
        <w:tc>
          <w:tcPr>
            <w:tcW w:w="1364" w:type="dxa"/>
            <w:vAlign w:val="center"/>
          </w:tcPr>
          <w:p w14:paraId="78AE8D91">
            <w:pPr>
              <w:pageBreakBefore w:val="0"/>
              <w:kinsoku/>
              <w:overflowPunct/>
              <w:bidi w:val="0"/>
              <w:adjustRightInd w:val="0"/>
              <w:snapToGrid w:val="0"/>
              <w:spacing w:line="360" w:lineRule="auto"/>
              <w:rPr>
                <w:rFonts w:hint="eastAsia" w:ascii="宋体" w:hAnsi="宋体" w:eastAsia="宋体" w:cs="宋体"/>
                <w:color w:val="auto"/>
                <w:szCs w:val="21"/>
              </w:rPr>
            </w:pPr>
          </w:p>
        </w:tc>
      </w:tr>
      <w:tr w14:paraId="7DBEBF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6" w:hRule="atLeast"/>
        </w:trPr>
        <w:tc>
          <w:tcPr>
            <w:tcW w:w="685" w:type="dxa"/>
            <w:vAlign w:val="center"/>
          </w:tcPr>
          <w:p w14:paraId="33F71FE3">
            <w:pPr>
              <w:pageBreakBefore w:val="0"/>
              <w:kinsoku/>
              <w:overflowPunct/>
              <w:bidi w:val="0"/>
              <w:adjustRightInd w:val="0"/>
              <w:snapToGrid w:val="0"/>
              <w:spacing w:line="360" w:lineRule="auto"/>
              <w:rPr>
                <w:rFonts w:hint="eastAsia" w:ascii="宋体" w:hAnsi="宋体" w:eastAsia="宋体" w:cs="宋体"/>
                <w:color w:val="auto"/>
                <w:szCs w:val="21"/>
              </w:rPr>
            </w:pPr>
          </w:p>
        </w:tc>
        <w:tc>
          <w:tcPr>
            <w:tcW w:w="1746" w:type="dxa"/>
            <w:vAlign w:val="center"/>
          </w:tcPr>
          <w:p w14:paraId="39C9FD13">
            <w:pPr>
              <w:pageBreakBefore w:val="0"/>
              <w:kinsoku/>
              <w:overflowPunct/>
              <w:bidi w:val="0"/>
              <w:adjustRightInd w:val="0"/>
              <w:snapToGrid w:val="0"/>
              <w:spacing w:line="360" w:lineRule="auto"/>
              <w:rPr>
                <w:rFonts w:hint="eastAsia" w:ascii="宋体" w:hAnsi="宋体" w:eastAsia="宋体" w:cs="宋体"/>
                <w:color w:val="auto"/>
                <w:szCs w:val="21"/>
              </w:rPr>
            </w:pPr>
          </w:p>
        </w:tc>
        <w:tc>
          <w:tcPr>
            <w:tcW w:w="2208" w:type="dxa"/>
            <w:vAlign w:val="center"/>
          </w:tcPr>
          <w:p w14:paraId="005DED48">
            <w:pPr>
              <w:pageBreakBefore w:val="0"/>
              <w:kinsoku/>
              <w:overflowPunct/>
              <w:bidi w:val="0"/>
              <w:adjustRightInd w:val="0"/>
              <w:snapToGrid w:val="0"/>
              <w:spacing w:line="360" w:lineRule="auto"/>
              <w:rPr>
                <w:rFonts w:hint="eastAsia" w:ascii="宋体" w:hAnsi="宋体" w:eastAsia="宋体" w:cs="宋体"/>
                <w:color w:val="auto"/>
                <w:szCs w:val="21"/>
              </w:rPr>
            </w:pPr>
          </w:p>
        </w:tc>
        <w:tc>
          <w:tcPr>
            <w:tcW w:w="2435" w:type="dxa"/>
            <w:vAlign w:val="center"/>
          </w:tcPr>
          <w:p w14:paraId="1F446333">
            <w:pPr>
              <w:pageBreakBefore w:val="0"/>
              <w:kinsoku/>
              <w:overflowPunct/>
              <w:bidi w:val="0"/>
              <w:adjustRightInd w:val="0"/>
              <w:snapToGrid w:val="0"/>
              <w:spacing w:line="360" w:lineRule="auto"/>
              <w:rPr>
                <w:rFonts w:hint="eastAsia" w:ascii="宋体" w:hAnsi="宋体" w:eastAsia="宋体" w:cs="宋体"/>
                <w:color w:val="auto"/>
                <w:szCs w:val="21"/>
              </w:rPr>
            </w:pPr>
          </w:p>
        </w:tc>
        <w:tc>
          <w:tcPr>
            <w:tcW w:w="1364" w:type="dxa"/>
            <w:vAlign w:val="center"/>
          </w:tcPr>
          <w:p w14:paraId="0B5DAF7F">
            <w:pPr>
              <w:pageBreakBefore w:val="0"/>
              <w:kinsoku/>
              <w:overflowPunct/>
              <w:bidi w:val="0"/>
              <w:adjustRightInd w:val="0"/>
              <w:snapToGrid w:val="0"/>
              <w:spacing w:line="360" w:lineRule="auto"/>
              <w:rPr>
                <w:rFonts w:hint="eastAsia" w:ascii="宋体" w:hAnsi="宋体" w:eastAsia="宋体" w:cs="宋体"/>
                <w:color w:val="auto"/>
                <w:szCs w:val="21"/>
              </w:rPr>
            </w:pPr>
          </w:p>
        </w:tc>
      </w:tr>
      <w:tr w14:paraId="1342C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1EC42EAE">
            <w:pPr>
              <w:pageBreakBefore w:val="0"/>
              <w:kinsoku/>
              <w:overflowPunct/>
              <w:bidi w:val="0"/>
              <w:adjustRightInd w:val="0"/>
              <w:snapToGrid w:val="0"/>
              <w:spacing w:line="360" w:lineRule="auto"/>
              <w:rPr>
                <w:rFonts w:hint="eastAsia" w:ascii="宋体" w:hAnsi="宋体" w:eastAsia="宋体" w:cs="宋体"/>
                <w:color w:val="auto"/>
                <w:szCs w:val="21"/>
              </w:rPr>
            </w:pPr>
          </w:p>
        </w:tc>
        <w:tc>
          <w:tcPr>
            <w:tcW w:w="1746" w:type="dxa"/>
            <w:vAlign w:val="center"/>
          </w:tcPr>
          <w:p w14:paraId="1F95D3F8">
            <w:pPr>
              <w:pageBreakBefore w:val="0"/>
              <w:kinsoku/>
              <w:overflowPunct/>
              <w:bidi w:val="0"/>
              <w:adjustRightInd w:val="0"/>
              <w:snapToGrid w:val="0"/>
              <w:spacing w:line="360" w:lineRule="auto"/>
              <w:rPr>
                <w:rFonts w:hint="eastAsia" w:ascii="宋体" w:hAnsi="宋体" w:eastAsia="宋体" w:cs="宋体"/>
                <w:color w:val="auto"/>
                <w:szCs w:val="21"/>
              </w:rPr>
            </w:pPr>
          </w:p>
        </w:tc>
        <w:tc>
          <w:tcPr>
            <w:tcW w:w="2208" w:type="dxa"/>
            <w:vAlign w:val="center"/>
          </w:tcPr>
          <w:p w14:paraId="235E42FD">
            <w:pPr>
              <w:pageBreakBefore w:val="0"/>
              <w:kinsoku/>
              <w:overflowPunct/>
              <w:bidi w:val="0"/>
              <w:adjustRightInd w:val="0"/>
              <w:snapToGrid w:val="0"/>
              <w:spacing w:line="360" w:lineRule="auto"/>
              <w:rPr>
                <w:rFonts w:hint="eastAsia" w:ascii="宋体" w:hAnsi="宋体" w:eastAsia="宋体" w:cs="宋体"/>
                <w:color w:val="auto"/>
                <w:szCs w:val="21"/>
              </w:rPr>
            </w:pPr>
          </w:p>
        </w:tc>
        <w:tc>
          <w:tcPr>
            <w:tcW w:w="2435" w:type="dxa"/>
            <w:vAlign w:val="center"/>
          </w:tcPr>
          <w:p w14:paraId="32D32604">
            <w:pPr>
              <w:pageBreakBefore w:val="0"/>
              <w:kinsoku/>
              <w:overflowPunct/>
              <w:bidi w:val="0"/>
              <w:adjustRightInd w:val="0"/>
              <w:snapToGrid w:val="0"/>
              <w:spacing w:line="360" w:lineRule="auto"/>
              <w:rPr>
                <w:rFonts w:hint="eastAsia" w:ascii="宋体" w:hAnsi="宋体" w:eastAsia="宋体" w:cs="宋体"/>
                <w:color w:val="auto"/>
                <w:szCs w:val="21"/>
              </w:rPr>
            </w:pPr>
          </w:p>
        </w:tc>
        <w:tc>
          <w:tcPr>
            <w:tcW w:w="1364" w:type="dxa"/>
            <w:vAlign w:val="center"/>
          </w:tcPr>
          <w:p w14:paraId="27976257">
            <w:pPr>
              <w:pageBreakBefore w:val="0"/>
              <w:kinsoku/>
              <w:overflowPunct/>
              <w:bidi w:val="0"/>
              <w:adjustRightInd w:val="0"/>
              <w:snapToGrid w:val="0"/>
              <w:spacing w:line="360" w:lineRule="auto"/>
              <w:rPr>
                <w:rFonts w:hint="eastAsia" w:ascii="宋体" w:hAnsi="宋体" w:eastAsia="宋体" w:cs="宋体"/>
                <w:color w:val="auto"/>
                <w:szCs w:val="21"/>
              </w:rPr>
            </w:pPr>
          </w:p>
        </w:tc>
      </w:tr>
    </w:tbl>
    <w:p w14:paraId="0D8EE243">
      <w:pPr>
        <w:pageBreakBefore w:val="0"/>
        <w:kinsoku/>
        <w:overflowPunct/>
        <w:bidi w:val="0"/>
        <w:adjustRightInd w:val="0"/>
        <w:snapToGrid w:val="0"/>
        <w:spacing w:after="120" w:line="360" w:lineRule="auto"/>
        <w:ind w:left="693" w:hanging="693" w:hangingChars="330"/>
        <w:rPr>
          <w:rFonts w:hint="eastAsia" w:ascii="宋体" w:hAnsi="宋体" w:eastAsia="宋体" w:cs="宋体"/>
          <w:color w:val="auto"/>
          <w:szCs w:val="21"/>
        </w:rPr>
      </w:pPr>
    </w:p>
    <w:p w14:paraId="6EE59554">
      <w:pPr>
        <w:pageBreakBefore w:val="0"/>
        <w:kinsoku/>
        <w:overflowPunct/>
        <w:bidi w:val="0"/>
        <w:spacing w:line="360" w:lineRule="auto"/>
        <w:ind w:firstLine="1134" w:firstLineChars="540"/>
        <w:rPr>
          <w:rFonts w:hint="eastAsia" w:ascii="宋体" w:hAnsi="宋体" w:eastAsia="宋体" w:cs="宋体"/>
          <w:color w:val="auto"/>
          <w:szCs w:val="21"/>
        </w:rPr>
      </w:pPr>
      <w:r>
        <w:rPr>
          <w:rFonts w:hint="eastAsia" w:ascii="宋体" w:hAnsi="宋体" w:eastAsia="宋体" w:cs="宋体"/>
          <w:color w:val="auto"/>
          <w:szCs w:val="21"/>
        </w:rPr>
        <w:t>投标人名称：</w:t>
      </w:r>
      <w:r>
        <w:rPr>
          <w:rFonts w:hint="eastAsia" w:ascii="宋体" w:hAnsi="宋体" w:eastAsia="宋体" w:cs="宋体"/>
          <w:color w:val="auto"/>
          <w:szCs w:val="21"/>
          <w:u w:val="single"/>
        </w:rPr>
        <w:t xml:space="preserve">　　　　　　　　 </w:t>
      </w:r>
    </w:p>
    <w:p w14:paraId="39E15375">
      <w:pPr>
        <w:pageBreakBefore w:val="0"/>
        <w:widowControl/>
        <w:tabs>
          <w:tab w:val="left" w:pos="3018"/>
          <w:tab w:val="left" w:pos="6260"/>
        </w:tabs>
        <w:kinsoku/>
        <w:overflowPunct/>
        <w:bidi w:val="0"/>
        <w:spacing w:line="360" w:lineRule="auto"/>
        <w:ind w:firstLine="2692" w:firstLineChars="1282"/>
        <w:jc w:val="left"/>
        <w:rPr>
          <w:rFonts w:hint="eastAsia" w:ascii="宋体" w:hAnsi="宋体" w:eastAsia="宋体" w:cs="宋体"/>
          <w:bCs/>
          <w:color w:val="auto"/>
          <w:szCs w:val="21"/>
        </w:rPr>
      </w:pPr>
    </w:p>
    <w:p w14:paraId="6BA7D4CD">
      <w:pPr>
        <w:pageBreakBefore w:val="0"/>
        <w:widowControl/>
        <w:tabs>
          <w:tab w:val="left" w:pos="3018"/>
          <w:tab w:val="left" w:pos="6260"/>
        </w:tabs>
        <w:kinsoku/>
        <w:overflowPunct/>
        <w:bidi w:val="0"/>
        <w:spacing w:line="360" w:lineRule="auto"/>
        <w:ind w:firstLine="1134" w:firstLineChars="540"/>
        <w:jc w:val="left"/>
        <w:rPr>
          <w:rFonts w:hint="eastAsia" w:ascii="宋体" w:hAnsi="宋体" w:eastAsia="宋体" w:cs="宋体"/>
          <w:bCs/>
          <w:color w:val="auto"/>
          <w:szCs w:val="21"/>
        </w:rPr>
      </w:pPr>
      <w:r>
        <w:rPr>
          <w:rFonts w:hint="eastAsia" w:ascii="宋体" w:hAnsi="宋体" w:eastAsia="宋体" w:cs="宋体"/>
          <w:bCs/>
          <w:color w:val="auto"/>
          <w:szCs w:val="21"/>
        </w:rPr>
        <w:t>日期：XX年 XX月XX日</w:t>
      </w:r>
    </w:p>
    <w:p w14:paraId="5843D258">
      <w:pPr>
        <w:pageBreakBefore w:val="0"/>
        <w:kinsoku/>
        <w:overflowPunct/>
        <w:bidi w:val="0"/>
        <w:adjustRightInd w:val="0"/>
        <w:snapToGrid w:val="0"/>
        <w:spacing w:line="360" w:lineRule="auto"/>
        <w:rPr>
          <w:rFonts w:hint="eastAsia" w:ascii="宋体" w:hAnsi="宋体" w:eastAsia="宋体" w:cs="宋体"/>
          <w:color w:val="auto"/>
          <w:szCs w:val="21"/>
        </w:rPr>
      </w:pPr>
      <w:r>
        <w:rPr>
          <w:rFonts w:hint="eastAsia" w:ascii="宋体" w:hAnsi="宋体" w:eastAsia="宋体" w:cs="宋体"/>
          <w:b/>
          <w:color w:val="auto"/>
          <w:szCs w:val="21"/>
        </w:rPr>
        <w:t>编制要求</w:t>
      </w:r>
      <w:r>
        <w:rPr>
          <w:rFonts w:hint="eastAsia" w:ascii="宋体" w:hAnsi="宋体" w:eastAsia="宋体" w:cs="宋体"/>
          <w:color w:val="auto"/>
          <w:szCs w:val="21"/>
        </w:rPr>
        <w:t>：</w:t>
      </w:r>
    </w:p>
    <w:p w14:paraId="14133095">
      <w:pPr>
        <w:pStyle w:val="51"/>
        <w:pageBreakBefore w:val="0"/>
        <w:numPr>
          <w:ilvl w:val="0"/>
          <w:numId w:val="38"/>
        </w:numPr>
        <w:kinsoku/>
        <w:overflowPunct/>
        <w:bidi w:val="0"/>
        <w:adjustRightInd w:val="0"/>
        <w:snapToGrid w:val="0"/>
        <w:spacing w:line="360" w:lineRule="auto"/>
        <w:ind w:left="0" w:firstLine="0" w:firstLineChars="0"/>
        <w:rPr>
          <w:rFonts w:hint="eastAsia" w:ascii="宋体" w:hAnsi="宋体" w:eastAsia="宋体" w:cs="宋体"/>
          <w:color w:val="auto"/>
        </w:rPr>
      </w:pPr>
      <w:r>
        <w:rPr>
          <w:rFonts w:hint="eastAsia" w:ascii="宋体" w:hAnsi="宋体" w:eastAsia="宋体" w:cs="宋体"/>
          <w:color w:val="auto"/>
        </w:rPr>
        <w:t>如对技术条款无任何偏离，投标人仅需在本偏离表中填写“无偏离”即可。当本表为空时，视为投标文件对技术条款全部满足，无偏离；</w:t>
      </w:r>
    </w:p>
    <w:p w14:paraId="23881442">
      <w:pPr>
        <w:pStyle w:val="51"/>
        <w:pageBreakBefore w:val="0"/>
        <w:numPr>
          <w:ilvl w:val="0"/>
          <w:numId w:val="38"/>
        </w:numPr>
        <w:kinsoku/>
        <w:overflowPunct/>
        <w:bidi w:val="0"/>
        <w:adjustRightInd w:val="0"/>
        <w:snapToGrid w:val="0"/>
        <w:spacing w:line="360" w:lineRule="auto"/>
        <w:ind w:left="0" w:firstLine="0" w:firstLineChars="0"/>
        <w:rPr>
          <w:rFonts w:hint="eastAsia" w:ascii="宋体" w:hAnsi="宋体" w:eastAsia="宋体" w:cs="宋体"/>
          <w:color w:val="auto"/>
        </w:rPr>
      </w:pPr>
      <w:r>
        <w:rPr>
          <w:rFonts w:hint="eastAsia" w:ascii="宋体" w:hAnsi="宋体" w:eastAsia="宋体" w:cs="宋体"/>
          <w:color w:val="auto"/>
        </w:rPr>
        <w:t>如对技术条款存在偏离，投标人需对技术条款存在的偏离逐条做出说明。</w:t>
      </w:r>
    </w:p>
    <w:p w14:paraId="337BE558">
      <w:pPr>
        <w:pStyle w:val="51"/>
        <w:pageBreakBefore w:val="0"/>
        <w:numPr>
          <w:ilvl w:val="0"/>
          <w:numId w:val="38"/>
        </w:numPr>
        <w:kinsoku/>
        <w:overflowPunct/>
        <w:bidi w:val="0"/>
        <w:adjustRightInd w:val="0"/>
        <w:snapToGrid w:val="0"/>
        <w:spacing w:line="360" w:lineRule="auto"/>
        <w:ind w:left="0" w:firstLine="0" w:firstLineChars="0"/>
        <w:rPr>
          <w:rFonts w:hint="eastAsia" w:ascii="宋体" w:hAnsi="宋体" w:eastAsia="宋体" w:cs="宋体"/>
          <w:color w:val="auto"/>
        </w:rPr>
      </w:pPr>
      <w:r>
        <w:rPr>
          <w:rFonts w:hint="eastAsia" w:ascii="宋体" w:hAnsi="宋体" w:eastAsia="宋体" w:cs="宋体"/>
          <w:color w:val="auto"/>
        </w:rPr>
        <w:t>投标人可以根据实际情况对本文件进行调整和修改，但应满足招标文件对本文件的要求。</w:t>
      </w:r>
    </w:p>
    <w:p w14:paraId="7EBC094D">
      <w:pPr>
        <w:pageBreakBefore w:val="0"/>
        <w:kinsoku/>
        <w:overflowPunct/>
        <w:topLinePunct/>
        <w:bidi w:val="0"/>
        <w:spacing w:line="360" w:lineRule="auto"/>
        <w:jc w:val="left"/>
        <w:rPr>
          <w:rFonts w:hint="eastAsia" w:ascii="宋体" w:hAnsi="宋体" w:eastAsia="宋体" w:cs="宋体"/>
          <w:color w:val="auto"/>
        </w:rPr>
      </w:pPr>
      <w:r>
        <w:rPr>
          <w:rFonts w:hint="eastAsia" w:ascii="宋体" w:hAnsi="宋体" w:eastAsia="宋体" w:cs="宋体"/>
          <w:b/>
          <w:color w:val="auto"/>
        </w:rPr>
        <w:t>编制要求：</w:t>
      </w:r>
      <w:r>
        <w:rPr>
          <w:rFonts w:hint="eastAsia" w:ascii="宋体" w:hAnsi="宋体" w:eastAsia="宋体" w:cs="宋体"/>
          <w:color w:val="auto"/>
        </w:rPr>
        <w:t>提供本文件的原件。</w:t>
      </w:r>
    </w:p>
    <w:p w14:paraId="25F16B29">
      <w:pPr>
        <w:pageBreakBefore w:val="0"/>
        <w:kinsoku/>
        <w:overflowPunct/>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3D10C50B">
      <w:pPr>
        <w:pStyle w:val="39"/>
        <w:pageBreakBefore w:val="0"/>
        <w:numPr>
          <w:ilvl w:val="0"/>
          <w:numId w:val="29"/>
        </w:numPr>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592" w:name="_Toc17656"/>
      <w:r>
        <w:rPr>
          <w:rFonts w:hint="eastAsia" w:ascii="宋体" w:hAnsi="宋体" w:eastAsia="宋体" w:cs="宋体"/>
          <w:color w:val="auto"/>
          <w:sz w:val="24"/>
          <w:szCs w:val="24"/>
        </w:rPr>
        <w:t>技术规范书点对点应答</w:t>
      </w:r>
      <w:bookmarkEnd w:id="1590"/>
      <w:bookmarkEnd w:id="1591"/>
      <w:bookmarkEnd w:id="1592"/>
    </w:p>
    <w:p w14:paraId="47F8D617">
      <w:pPr>
        <w:pageBreakBefore w:val="0"/>
        <w:kinsoku/>
        <w:overflowPunct/>
        <w:bidi w:val="0"/>
        <w:spacing w:line="360" w:lineRule="auto"/>
        <w:rPr>
          <w:rFonts w:hint="eastAsia" w:ascii="宋体" w:hAnsi="宋体" w:eastAsia="宋体" w:cs="宋体"/>
          <w:color w:val="auto"/>
        </w:rPr>
      </w:pPr>
    </w:p>
    <w:p w14:paraId="6C0C4B1F">
      <w:pPr>
        <w:pageBreakBefore w:val="0"/>
        <w:kinsoku/>
        <w:overflowPunct/>
        <w:bidi w:val="0"/>
        <w:spacing w:line="360" w:lineRule="auto"/>
        <w:rPr>
          <w:rFonts w:hint="eastAsia" w:ascii="宋体" w:hAnsi="宋体" w:eastAsia="宋体" w:cs="宋体"/>
          <w:color w:val="auto"/>
        </w:rPr>
      </w:pPr>
      <w:r>
        <w:rPr>
          <w:rFonts w:hint="eastAsia" w:ascii="宋体" w:hAnsi="宋体" w:eastAsia="宋体" w:cs="宋体"/>
          <w:color w:val="auto"/>
        </w:rPr>
        <w:t>格式自拟</w:t>
      </w:r>
    </w:p>
    <w:p w14:paraId="62B6B409">
      <w:pPr>
        <w:pageBreakBefore w:val="0"/>
        <w:kinsoku/>
        <w:overflowPunct/>
        <w:topLinePunct/>
        <w:bidi w:val="0"/>
        <w:spacing w:line="360" w:lineRule="auto"/>
        <w:jc w:val="left"/>
        <w:rPr>
          <w:rFonts w:hint="eastAsia" w:ascii="宋体" w:hAnsi="宋体" w:eastAsia="宋体" w:cs="宋体"/>
          <w:color w:val="auto"/>
        </w:rPr>
      </w:pPr>
    </w:p>
    <w:p w14:paraId="101F805E">
      <w:pPr>
        <w:pageBreakBefore w:val="0"/>
        <w:numPr>
          <w:ilvl w:val="0"/>
          <w:numId w:val="39"/>
        </w:numPr>
        <w:kinsoku/>
        <w:overflowPunct/>
        <w:topLinePunct/>
        <w:bidi w:val="0"/>
        <w:spacing w:line="360" w:lineRule="auto"/>
        <w:ind w:left="422" w:hanging="422" w:hangingChars="201"/>
        <w:jc w:val="left"/>
        <w:rPr>
          <w:rFonts w:hint="eastAsia" w:ascii="宋体" w:hAnsi="宋体" w:eastAsia="宋体" w:cs="宋体"/>
          <w:color w:val="auto"/>
        </w:rPr>
        <w:sectPr>
          <w:pgSz w:w="11906" w:h="16838"/>
          <w:pgMar w:top="1440" w:right="1797" w:bottom="1440" w:left="1797" w:header="851" w:footer="992" w:gutter="0"/>
          <w:pgNumType w:fmt="decimal"/>
          <w:cols w:space="425" w:num="1"/>
          <w:docGrid w:type="lines" w:linePitch="312" w:charSpace="0"/>
        </w:sectPr>
      </w:pPr>
    </w:p>
    <w:p w14:paraId="6A418F54">
      <w:pPr>
        <w:pStyle w:val="39"/>
        <w:pageBreakBefore w:val="0"/>
        <w:numPr>
          <w:ilvl w:val="0"/>
          <w:numId w:val="29"/>
        </w:numPr>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593" w:name="_Toc7176"/>
      <w:bookmarkStart w:id="1594" w:name="_Toc475472691"/>
      <w:bookmarkStart w:id="1595" w:name="_Toc38008101"/>
      <w:r>
        <w:rPr>
          <w:rFonts w:hint="eastAsia" w:ascii="宋体" w:hAnsi="宋体" w:eastAsia="宋体" w:cs="宋体"/>
          <w:color w:val="auto"/>
          <w:sz w:val="24"/>
          <w:szCs w:val="24"/>
        </w:rPr>
        <w:t>技术建议书</w:t>
      </w:r>
      <w:bookmarkEnd w:id="1593"/>
      <w:bookmarkEnd w:id="1594"/>
      <w:bookmarkEnd w:id="1595"/>
    </w:p>
    <w:p w14:paraId="4E089936">
      <w:pPr>
        <w:rPr>
          <w:rFonts w:hint="eastAsia" w:ascii="宋体" w:hAnsi="宋体" w:eastAsia="宋体" w:cs="宋体"/>
          <w:color w:val="auto"/>
        </w:rPr>
      </w:pPr>
      <w:r>
        <w:rPr>
          <w:rFonts w:hint="eastAsia" w:ascii="宋体" w:hAnsi="宋体" w:eastAsia="宋体" w:cs="宋体"/>
          <w:color w:val="auto"/>
        </w:rPr>
        <w:t>投标人应根据招标文件第五章“技术规范书”的相关内容及要求及第三章“评标办法”提供相关信息和资料，按要求填写以下附表，其余内容格式自拟</w:t>
      </w:r>
    </w:p>
    <w:p w14:paraId="5627CBE4">
      <w:pPr>
        <w:rPr>
          <w:rFonts w:hint="eastAsia" w:ascii="宋体" w:hAnsi="宋体" w:eastAsia="宋体" w:cs="宋体"/>
          <w:color w:val="auto"/>
        </w:rPr>
      </w:pPr>
    </w:p>
    <w:p w14:paraId="1F809E79">
      <w:pPr>
        <w:pageBreakBefore w:val="0"/>
        <w:kinsoku/>
        <w:overflowPunct/>
        <w:bidi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lang w:val="en-US" w:eastAsia="zh-CN"/>
        </w:rPr>
        <w:t>附表1：</w:t>
      </w:r>
      <w:r>
        <w:rPr>
          <w:rFonts w:hint="eastAsia" w:ascii="宋体" w:hAnsi="宋体" w:eastAsia="宋体" w:cs="宋体"/>
          <w:color w:val="auto"/>
          <w:sz w:val="21"/>
          <w:szCs w:val="21"/>
          <w:lang w:val="en-US" w:eastAsia="zh-CN"/>
        </w:rPr>
        <w:t>服务项目人员名单</w:t>
      </w:r>
    </w:p>
    <w:tbl>
      <w:tblPr>
        <w:tblStyle w:val="41"/>
        <w:tblW w:w="5000" w:type="pct"/>
        <w:tblInd w:w="0" w:type="dxa"/>
        <w:tblLayout w:type="fixed"/>
        <w:tblCellMar>
          <w:top w:w="0" w:type="dxa"/>
          <w:left w:w="108" w:type="dxa"/>
          <w:bottom w:w="0" w:type="dxa"/>
          <w:right w:w="108" w:type="dxa"/>
        </w:tblCellMar>
      </w:tblPr>
      <w:tblGrid>
        <w:gridCol w:w="597"/>
        <w:gridCol w:w="1058"/>
        <w:gridCol w:w="912"/>
        <w:gridCol w:w="1741"/>
        <w:gridCol w:w="801"/>
        <w:gridCol w:w="1576"/>
        <w:gridCol w:w="1244"/>
        <w:gridCol w:w="599"/>
      </w:tblGrid>
      <w:tr w14:paraId="28390B13">
        <w:tblPrEx>
          <w:tblCellMar>
            <w:top w:w="0" w:type="dxa"/>
            <w:left w:w="108" w:type="dxa"/>
            <w:bottom w:w="0" w:type="dxa"/>
            <w:right w:w="108" w:type="dxa"/>
          </w:tblCellMar>
        </w:tblPrEx>
        <w:trPr>
          <w:trHeight w:val="440" w:hRule="atLeast"/>
        </w:trPr>
        <w:tc>
          <w:tcPr>
            <w:tcW w:w="350" w:type="pct"/>
            <w:vMerge w:val="restart"/>
            <w:tcBorders>
              <w:top w:val="single" w:color="000000" w:sz="4" w:space="0"/>
              <w:left w:val="single" w:color="000000" w:sz="4" w:space="0"/>
              <w:right w:val="single" w:color="000000" w:sz="4" w:space="0"/>
            </w:tcBorders>
            <w:noWrap/>
            <w:vAlign w:val="center"/>
          </w:tcPr>
          <w:p w14:paraId="21600C21">
            <w:pPr>
              <w:tabs>
                <w:tab w:val="left" w:pos="7980"/>
              </w:tabs>
              <w:spacing w:line="36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序号</w:t>
            </w:r>
          </w:p>
        </w:tc>
        <w:tc>
          <w:tcPr>
            <w:tcW w:w="620" w:type="pct"/>
            <w:vMerge w:val="restart"/>
            <w:tcBorders>
              <w:top w:val="single" w:color="000000" w:sz="4" w:space="0"/>
              <w:left w:val="single" w:color="000000" w:sz="4" w:space="0"/>
              <w:right w:val="single" w:color="000000" w:sz="4" w:space="0"/>
            </w:tcBorders>
            <w:noWrap/>
            <w:vAlign w:val="center"/>
          </w:tcPr>
          <w:p w14:paraId="101CC1B8">
            <w:pPr>
              <w:tabs>
                <w:tab w:val="left" w:pos="7980"/>
              </w:tabs>
              <w:spacing w:line="36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类别</w:t>
            </w:r>
          </w:p>
        </w:tc>
        <w:tc>
          <w:tcPr>
            <w:tcW w:w="534" w:type="pct"/>
            <w:vMerge w:val="restart"/>
            <w:tcBorders>
              <w:top w:val="single" w:color="000000" w:sz="4" w:space="0"/>
              <w:left w:val="single" w:color="000000" w:sz="4" w:space="0"/>
              <w:right w:val="single" w:color="000000" w:sz="4" w:space="0"/>
            </w:tcBorders>
            <w:noWrap/>
            <w:vAlign w:val="center"/>
          </w:tcPr>
          <w:p w14:paraId="6F02BBB1">
            <w:pPr>
              <w:tabs>
                <w:tab w:val="left" w:pos="7980"/>
              </w:tabs>
              <w:spacing w:line="36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姓名</w:t>
            </w:r>
          </w:p>
        </w:tc>
        <w:tc>
          <w:tcPr>
            <w:tcW w:w="1020" w:type="pct"/>
            <w:vMerge w:val="restart"/>
            <w:tcBorders>
              <w:top w:val="single" w:color="000000" w:sz="4" w:space="0"/>
              <w:left w:val="single" w:color="000000" w:sz="4" w:space="0"/>
              <w:right w:val="single" w:color="000000" w:sz="4" w:space="0"/>
            </w:tcBorders>
            <w:noWrap/>
            <w:vAlign w:val="center"/>
          </w:tcPr>
          <w:p w14:paraId="3E401D46">
            <w:pPr>
              <w:tabs>
                <w:tab w:val="left" w:pos="7980"/>
              </w:tabs>
              <w:spacing w:line="36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角色/</w:t>
            </w:r>
            <w:r>
              <w:rPr>
                <w:rFonts w:hint="eastAsia" w:ascii="宋体" w:hAnsi="宋体" w:eastAsia="宋体" w:cs="宋体"/>
                <w:color w:val="auto"/>
                <w:kern w:val="0"/>
                <w:sz w:val="24"/>
              </w:rPr>
              <w:t>职位</w:t>
            </w:r>
          </w:p>
        </w:tc>
        <w:tc>
          <w:tcPr>
            <w:tcW w:w="469" w:type="pct"/>
            <w:vMerge w:val="restart"/>
            <w:tcBorders>
              <w:top w:val="single" w:color="000000" w:sz="4" w:space="0"/>
              <w:left w:val="single" w:color="000000" w:sz="4" w:space="0"/>
              <w:right w:val="single" w:color="000000" w:sz="4" w:space="0"/>
            </w:tcBorders>
            <w:noWrap/>
            <w:vAlign w:val="center"/>
          </w:tcPr>
          <w:p w14:paraId="3642CB85">
            <w:pPr>
              <w:tabs>
                <w:tab w:val="left" w:pos="7980"/>
              </w:tabs>
              <w:spacing w:line="360" w:lineRule="exact"/>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学历</w:t>
            </w: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08D38814">
            <w:pPr>
              <w:tabs>
                <w:tab w:val="left" w:pos="7980"/>
              </w:tabs>
              <w:spacing w:line="360" w:lineRule="exact"/>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证书</w:t>
            </w:r>
            <w:r>
              <w:rPr>
                <w:rFonts w:hint="eastAsia" w:ascii="宋体" w:hAnsi="宋体" w:eastAsia="宋体" w:cs="宋体"/>
                <w:color w:val="auto"/>
                <w:kern w:val="0"/>
                <w:sz w:val="24"/>
                <w:lang w:val="en-US" w:eastAsia="zh-CN"/>
              </w:rPr>
              <w:t>名称</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D7FA242">
            <w:pPr>
              <w:tabs>
                <w:tab w:val="left" w:pos="7980"/>
              </w:tabs>
              <w:spacing w:line="36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证书编号</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1E15E9F0">
            <w:pPr>
              <w:tabs>
                <w:tab w:val="left" w:pos="7980"/>
              </w:tabs>
              <w:spacing w:line="36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备注</w:t>
            </w:r>
          </w:p>
        </w:tc>
      </w:tr>
      <w:tr w14:paraId="67008295">
        <w:tblPrEx>
          <w:tblCellMar>
            <w:top w:w="0" w:type="dxa"/>
            <w:left w:w="108" w:type="dxa"/>
            <w:bottom w:w="0" w:type="dxa"/>
            <w:right w:w="108" w:type="dxa"/>
          </w:tblCellMar>
        </w:tblPrEx>
        <w:trPr>
          <w:trHeight w:val="440" w:hRule="atLeast"/>
        </w:trPr>
        <w:tc>
          <w:tcPr>
            <w:tcW w:w="350" w:type="pct"/>
            <w:vMerge w:val="continue"/>
            <w:tcBorders>
              <w:left w:val="single" w:color="000000" w:sz="4" w:space="0"/>
              <w:bottom w:val="single" w:color="000000" w:sz="4" w:space="0"/>
              <w:right w:val="single" w:color="000000" w:sz="4" w:space="0"/>
            </w:tcBorders>
            <w:noWrap/>
            <w:vAlign w:val="center"/>
          </w:tcPr>
          <w:p w14:paraId="4C07013D">
            <w:pPr>
              <w:tabs>
                <w:tab w:val="left" w:pos="7980"/>
              </w:tabs>
              <w:spacing w:line="360" w:lineRule="exact"/>
              <w:jc w:val="center"/>
              <w:rPr>
                <w:rFonts w:hint="eastAsia" w:ascii="宋体" w:hAnsi="宋体" w:eastAsia="宋体" w:cs="宋体"/>
                <w:color w:val="auto"/>
                <w:kern w:val="0"/>
                <w:sz w:val="24"/>
              </w:rPr>
            </w:pPr>
          </w:p>
        </w:tc>
        <w:tc>
          <w:tcPr>
            <w:tcW w:w="620" w:type="pct"/>
            <w:vMerge w:val="continue"/>
            <w:tcBorders>
              <w:left w:val="single" w:color="000000" w:sz="4" w:space="0"/>
              <w:bottom w:val="single" w:color="000000" w:sz="4" w:space="0"/>
              <w:right w:val="single" w:color="000000" w:sz="4" w:space="0"/>
            </w:tcBorders>
            <w:noWrap/>
            <w:vAlign w:val="center"/>
          </w:tcPr>
          <w:p w14:paraId="3F2D268A">
            <w:pPr>
              <w:tabs>
                <w:tab w:val="left" w:pos="7980"/>
              </w:tabs>
              <w:spacing w:line="360" w:lineRule="exact"/>
              <w:jc w:val="center"/>
              <w:rPr>
                <w:rFonts w:hint="eastAsia" w:ascii="宋体" w:hAnsi="宋体" w:eastAsia="宋体" w:cs="宋体"/>
                <w:color w:val="auto"/>
                <w:kern w:val="0"/>
                <w:sz w:val="24"/>
                <w:lang w:val="en-US" w:eastAsia="zh-CN"/>
              </w:rPr>
            </w:pPr>
          </w:p>
        </w:tc>
        <w:tc>
          <w:tcPr>
            <w:tcW w:w="534" w:type="pct"/>
            <w:vMerge w:val="continue"/>
            <w:tcBorders>
              <w:left w:val="single" w:color="000000" w:sz="4" w:space="0"/>
              <w:bottom w:val="single" w:color="000000" w:sz="4" w:space="0"/>
              <w:right w:val="single" w:color="000000" w:sz="4" w:space="0"/>
            </w:tcBorders>
            <w:noWrap/>
            <w:vAlign w:val="center"/>
          </w:tcPr>
          <w:p w14:paraId="6FF63DBD">
            <w:pPr>
              <w:tabs>
                <w:tab w:val="left" w:pos="7980"/>
              </w:tabs>
              <w:spacing w:line="360" w:lineRule="exact"/>
              <w:jc w:val="left"/>
              <w:rPr>
                <w:rFonts w:hint="eastAsia" w:ascii="宋体" w:hAnsi="宋体" w:eastAsia="宋体" w:cs="宋体"/>
                <w:color w:val="auto"/>
                <w:kern w:val="0"/>
                <w:sz w:val="24"/>
              </w:rPr>
            </w:pPr>
          </w:p>
        </w:tc>
        <w:tc>
          <w:tcPr>
            <w:tcW w:w="1020" w:type="pct"/>
            <w:vMerge w:val="continue"/>
            <w:tcBorders>
              <w:left w:val="single" w:color="000000" w:sz="4" w:space="0"/>
              <w:bottom w:val="single" w:color="000000" w:sz="4" w:space="0"/>
              <w:right w:val="single" w:color="000000" w:sz="4" w:space="0"/>
            </w:tcBorders>
            <w:noWrap/>
            <w:vAlign w:val="center"/>
          </w:tcPr>
          <w:p w14:paraId="6C2F79EA">
            <w:pPr>
              <w:tabs>
                <w:tab w:val="left" w:pos="7980"/>
              </w:tabs>
              <w:spacing w:line="360" w:lineRule="exact"/>
              <w:jc w:val="left"/>
              <w:rPr>
                <w:rFonts w:hint="eastAsia" w:ascii="宋体" w:hAnsi="宋体" w:eastAsia="宋体" w:cs="宋体"/>
                <w:color w:val="auto"/>
                <w:kern w:val="0"/>
                <w:sz w:val="24"/>
              </w:rPr>
            </w:pPr>
          </w:p>
        </w:tc>
        <w:tc>
          <w:tcPr>
            <w:tcW w:w="469" w:type="pct"/>
            <w:vMerge w:val="continue"/>
            <w:tcBorders>
              <w:left w:val="single" w:color="000000" w:sz="4" w:space="0"/>
              <w:bottom w:val="single" w:color="000000" w:sz="4" w:space="0"/>
              <w:right w:val="single" w:color="000000" w:sz="4" w:space="0"/>
            </w:tcBorders>
            <w:noWrap/>
            <w:vAlign w:val="center"/>
          </w:tcPr>
          <w:p w14:paraId="5DAEC0DC">
            <w:pPr>
              <w:tabs>
                <w:tab w:val="left" w:pos="7980"/>
              </w:tabs>
              <w:spacing w:line="360" w:lineRule="exact"/>
              <w:jc w:val="left"/>
              <w:rPr>
                <w:rFonts w:hint="eastAsia" w:ascii="宋体" w:hAnsi="宋体" w:eastAsia="宋体" w:cs="宋体"/>
                <w:color w:val="auto"/>
                <w:kern w:val="0"/>
                <w:sz w:val="24"/>
              </w:rPr>
            </w:pPr>
          </w:p>
        </w:tc>
        <w:tc>
          <w:tcPr>
            <w:tcW w:w="1653" w:type="pct"/>
            <w:gridSpan w:val="2"/>
            <w:tcBorders>
              <w:top w:val="single" w:color="000000" w:sz="4" w:space="0"/>
              <w:left w:val="single" w:color="000000" w:sz="4" w:space="0"/>
              <w:bottom w:val="single" w:color="000000" w:sz="4" w:space="0"/>
              <w:right w:val="single" w:color="000000" w:sz="4" w:space="0"/>
            </w:tcBorders>
            <w:noWrap/>
            <w:vAlign w:val="center"/>
          </w:tcPr>
          <w:p w14:paraId="46128A91">
            <w:pPr>
              <w:tabs>
                <w:tab w:val="left" w:pos="7980"/>
              </w:tabs>
              <w:spacing w:line="36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（如有）</w:t>
            </w:r>
          </w:p>
        </w:tc>
        <w:tc>
          <w:tcPr>
            <w:tcW w:w="351" w:type="pct"/>
            <w:tcBorders>
              <w:top w:val="single" w:color="000000" w:sz="4" w:space="0"/>
              <w:left w:val="single" w:color="000000" w:sz="4" w:space="0"/>
              <w:bottom w:val="single" w:color="000000" w:sz="4" w:space="0"/>
              <w:right w:val="single" w:color="000000" w:sz="4" w:space="0"/>
            </w:tcBorders>
            <w:vAlign w:val="center"/>
          </w:tcPr>
          <w:p w14:paraId="1F4B04A9">
            <w:pPr>
              <w:tabs>
                <w:tab w:val="left" w:pos="7980"/>
              </w:tabs>
              <w:spacing w:line="360" w:lineRule="exact"/>
              <w:jc w:val="left"/>
              <w:rPr>
                <w:rFonts w:hint="eastAsia" w:ascii="宋体" w:hAnsi="宋体" w:eastAsia="宋体" w:cs="宋体"/>
                <w:color w:val="auto"/>
                <w:kern w:val="0"/>
                <w:sz w:val="24"/>
              </w:rPr>
            </w:pPr>
          </w:p>
        </w:tc>
      </w:tr>
      <w:tr w14:paraId="1D97594E">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3966A0D7">
            <w:pPr>
              <w:tabs>
                <w:tab w:val="left" w:pos="7980"/>
              </w:tabs>
              <w:spacing w:line="36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2AB71097">
            <w:pPr>
              <w:tabs>
                <w:tab w:val="left" w:pos="7980"/>
              </w:tabs>
              <w:spacing w:line="360" w:lineRule="exact"/>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团队负责人</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12F8779F">
            <w:pPr>
              <w:tabs>
                <w:tab w:val="left" w:pos="7980"/>
              </w:tabs>
              <w:spacing w:line="360" w:lineRule="exact"/>
              <w:jc w:val="left"/>
              <w:rPr>
                <w:rFonts w:hint="eastAsia" w:ascii="宋体" w:hAnsi="宋体" w:eastAsia="宋体" w:cs="宋体"/>
                <w:color w:val="auto"/>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48627D0D">
            <w:pPr>
              <w:tabs>
                <w:tab w:val="left" w:pos="7980"/>
              </w:tabs>
              <w:spacing w:line="360" w:lineRule="exact"/>
              <w:jc w:val="left"/>
              <w:rPr>
                <w:rFonts w:hint="eastAsia" w:ascii="宋体" w:hAnsi="宋体" w:eastAsia="宋体" w:cs="宋体"/>
                <w:color w:val="auto"/>
                <w:kern w:val="0"/>
                <w:sz w:val="24"/>
                <w:lang w:val="en-US" w:eastAsia="zh-CN"/>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460CFB8C">
            <w:pPr>
              <w:tabs>
                <w:tab w:val="left" w:pos="7980"/>
              </w:tabs>
              <w:spacing w:line="360" w:lineRule="exact"/>
              <w:jc w:val="left"/>
              <w:rPr>
                <w:rFonts w:hint="eastAsia" w:ascii="宋体" w:hAnsi="宋体" w:eastAsia="宋体" w:cs="宋体"/>
                <w:color w:val="auto"/>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99C728B">
            <w:pPr>
              <w:tabs>
                <w:tab w:val="left" w:pos="7980"/>
              </w:tabs>
              <w:spacing w:line="360" w:lineRule="exact"/>
              <w:jc w:val="left"/>
              <w:rPr>
                <w:rFonts w:hint="eastAsia" w:ascii="宋体" w:hAnsi="宋体" w:eastAsia="宋体" w:cs="宋体"/>
                <w:color w:val="auto"/>
                <w:kern w:val="0"/>
                <w:sz w:val="24"/>
              </w:rPr>
            </w:pPr>
          </w:p>
        </w:tc>
        <w:tc>
          <w:tcPr>
            <w:tcW w:w="729" w:type="pct"/>
            <w:tcBorders>
              <w:top w:val="single" w:color="000000" w:sz="4" w:space="0"/>
              <w:left w:val="single" w:color="000000" w:sz="4" w:space="0"/>
              <w:bottom w:val="single" w:color="000000" w:sz="4" w:space="0"/>
              <w:right w:val="single" w:color="000000" w:sz="4" w:space="0"/>
            </w:tcBorders>
            <w:vAlign w:val="center"/>
          </w:tcPr>
          <w:p w14:paraId="17D2A7B8">
            <w:pPr>
              <w:tabs>
                <w:tab w:val="left" w:pos="7980"/>
              </w:tabs>
              <w:spacing w:line="360" w:lineRule="exact"/>
              <w:jc w:val="left"/>
              <w:rPr>
                <w:rFonts w:hint="eastAsia" w:ascii="宋体" w:hAnsi="宋体" w:eastAsia="宋体" w:cs="宋体"/>
                <w:color w:val="auto"/>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232C1FD8">
            <w:pPr>
              <w:tabs>
                <w:tab w:val="left" w:pos="7980"/>
              </w:tabs>
              <w:spacing w:line="360" w:lineRule="exact"/>
              <w:jc w:val="left"/>
              <w:rPr>
                <w:rFonts w:hint="eastAsia" w:ascii="宋体" w:hAnsi="宋体" w:eastAsia="宋体" w:cs="宋体"/>
                <w:color w:val="auto"/>
                <w:kern w:val="0"/>
                <w:sz w:val="24"/>
              </w:rPr>
            </w:pPr>
          </w:p>
        </w:tc>
      </w:tr>
      <w:tr w14:paraId="3941D83C">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31935188">
            <w:pPr>
              <w:tabs>
                <w:tab w:val="left" w:pos="7980"/>
              </w:tabs>
              <w:spacing w:line="36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620" w:type="pct"/>
            <w:vMerge w:val="restart"/>
            <w:tcBorders>
              <w:top w:val="single" w:color="000000" w:sz="4" w:space="0"/>
              <w:left w:val="single" w:color="000000" w:sz="4" w:space="0"/>
              <w:bottom w:val="single" w:color="000000" w:sz="4" w:space="0"/>
              <w:right w:val="single" w:color="000000" w:sz="4" w:space="0"/>
            </w:tcBorders>
            <w:noWrap/>
            <w:vAlign w:val="center"/>
          </w:tcPr>
          <w:p w14:paraId="4A78283F">
            <w:pPr>
              <w:tabs>
                <w:tab w:val="left" w:pos="7980"/>
              </w:tabs>
              <w:spacing w:line="36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rPr>
              <w:t>团队成员</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6951FEF4">
            <w:pPr>
              <w:tabs>
                <w:tab w:val="left" w:pos="7980"/>
              </w:tabs>
              <w:spacing w:line="360" w:lineRule="exact"/>
              <w:jc w:val="left"/>
              <w:rPr>
                <w:rFonts w:hint="eastAsia" w:ascii="宋体" w:hAnsi="宋体" w:eastAsia="宋体" w:cs="宋体"/>
                <w:color w:val="auto"/>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19975912">
            <w:pPr>
              <w:tabs>
                <w:tab w:val="left" w:pos="7980"/>
              </w:tabs>
              <w:spacing w:line="360" w:lineRule="exact"/>
              <w:jc w:val="left"/>
              <w:rPr>
                <w:rFonts w:hint="eastAsia" w:ascii="宋体" w:hAnsi="宋体" w:eastAsia="宋体" w:cs="宋体"/>
                <w:color w:val="auto"/>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5FC0A3BA">
            <w:pPr>
              <w:tabs>
                <w:tab w:val="left" w:pos="7980"/>
              </w:tabs>
              <w:spacing w:line="360" w:lineRule="exact"/>
              <w:jc w:val="left"/>
              <w:rPr>
                <w:rFonts w:hint="eastAsia" w:ascii="宋体" w:hAnsi="宋体" w:eastAsia="宋体" w:cs="宋体"/>
                <w:color w:val="auto"/>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235FBEC">
            <w:pPr>
              <w:tabs>
                <w:tab w:val="left" w:pos="7980"/>
              </w:tabs>
              <w:spacing w:line="360" w:lineRule="exact"/>
              <w:jc w:val="left"/>
              <w:rPr>
                <w:rFonts w:hint="eastAsia" w:ascii="宋体" w:hAnsi="宋体" w:eastAsia="宋体" w:cs="宋体"/>
                <w:color w:val="auto"/>
                <w:kern w:val="0"/>
                <w:sz w:val="24"/>
              </w:rPr>
            </w:pPr>
          </w:p>
        </w:tc>
        <w:tc>
          <w:tcPr>
            <w:tcW w:w="729" w:type="pct"/>
            <w:tcBorders>
              <w:top w:val="single" w:color="000000" w:sz="4" w:space="0"/>
              <w:left w:val="single" w:color="000000" w:sz="4" w:space="0"/>
              <w:bottom w:val="single" w:color="000000" w:sz="4" w:space="0"/>
              <w:right w:val="single" w:color="000000" w:sz="4" w:space="0"/>
            </w:tcBorders>
            <w:vAlign w:val="center"/>
          </w:tcPr>
          <w:p w14:paraId="548F022A">
            <w:pPr>
              <w:tabs>
                <w:tab w:val="left" w:pos="7980"/>
              </w:tabs>
              <w:spacing w:line="360" w:lineRule="exact"/>
              <w:jc w:val="left"/>
              <w:rPr>
                <w:rFonts w:hint="eastAsia" w:ascii="宋体" w:hAnsi="宋体" w:eastAsia="宋体" w:cs="宋体"/>
                <w:color w:val="auto"/>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0D032918">
            <w:pPr>
              <w:tabs>
                <w:tab w:val="left" w:pos="7980"/>
              </w:tabs>
              <w:spacing w:line="360" w:lineRule="exact"/>
              <w:jc w:val="left"/>
              <w:rPr>
                <w:rFonts w:hint="eastAsia" w:ascii="宋体" w:hAnsi="宋体" w:eastAsia="宋体" w:cs="宋体"/>
                <w:color w:val="auto"/>
                <w:kern w:val="0"/>
                <w:sz w:val="24"/>
              </w:rPr>
            </w:pPr>
          </w:p>
        </w:tc>
      </w:tr>
      <w:tr w14:paraId="12628685">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5B863DAA">
            <w:pPr>
              <w:tabs>
                <w:tab w:val="left" w:pos="7980"/>
              </w:tabs>
              <w:spacing w:line="36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3</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0C9B888A">
            <w:pPr>
              <w:tabs>
                <w:tab w:val="left" w:pos="7980"/>
              </w:tabs>
              <w:spacing w:line="360" w:lineRule="exact"/>
              <w:jc w:val="center"/>
              <w:rPr>
                <w:rFonts w:hint="eastAsia" w:ascii="宋体" w:hAnsi="宋体" w:eastAsia="宋体" w:cs="宋体"/>
                <w:color w:val="auto"/>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42107D7A">
            <w:pPr>
              <w:tabs>
                <w:tab w:val="left" w:pos="7980"/>
              </w:tabs>
              <w:spacing w:line="360" w:lineRule="exact"/>
              <w:jc w:val="left"/>
              <w:rPr>
                <w:rFonts w:hint="eastAsia" w:ascii="宋体" w:hAnsi="宋体" w:eastAsia="宋体" w:cs="宋体"/>
                <w:color w:val="auto"/>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3529B3E9">
            <w:pPr>
              <w:tabs>
                <w:tab w:val="left" w:pos="7980"/>
              </w:tabs>
              <w:spacing w:line="360" w:lineRule="exact"/>
              <w:jc w:val="left"/>
              <w:rPr>
                <w:rFonts w:hint="eastAsia" w:ascii="宋体" w:hAnsi="宋体" w:eastAsia="宋体" w:cs="宋体"/>
                <w:color w:val="auto"/>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4C88B44B">
            <w:pPr>
              <w:tabs>
                <w:tab w:val="left" w:pos="7980"/>
              </w:tabs>
              <w:spacing w:line="360" w:lineRule="exact"/>
              <w:jc w:val="left"/>
              <w:rPr>
                <w:rFonts w:hint="eastAsia" w:ascii="宋体" w:hAnsi="宋体" w:eastAsia="宋体" w:cs="宋体"/>
                <w:color w:val="auto"/>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37332513">
            <w:pPr>
              <w:tabs>
                <w:tab w:val="left" w:pos="7980"/>
              </w:tabs>
              <w:spacing w:line="360" w:lineRule="exact"/>
              <w:jc w:val="left"/>
              <w:rPr>
                <w:rFonts w:hint="eastAsia" w:ascii="宋体" w:hAnsi="宋体" w:eastAsia="宋体" w:cs="宋体"/>
                <w:color w:val="auto"/>
                <w:kern w:val="0"/>
                <w:sz w:val="24"/>
              </w:rPr>
            </w:pPr>
          </w:p>
        </w:tc>
        <w:tc>
          <w:tcPr>
            <w:tcW w:w="729" w:type="pct"/>
            <w:tcBorders>
              <w:top w:val="single" w:color="000000" w:sz="4" w:space="0"/>
              <w:left w:val="single" w:color="000000" w:sz="4" w:space="0"/>
              <w:bottom w:val="single" w:color="000000" w:sz="4" w:space="0"/>
              <w:right w:val="single" w:color="000000" w:sz="4" w:space="0"/>
            </w:tcBorders>
            <w:vAlign w:val="center"/>
          </w:tcPr>
          <w:p w14:paraId="35AEED36">
            <w:pPr>
              <w:tabs>
                <w:tab w:val="left" w:pos="7980"/>
              </w:tabs>
              <w:spacing w:line="360" w:lineRule="exact"/>
              <w:jc w:val="left"/>
              <w:rPr>
                <w:rFonts w:hint="eastAsia" w:ascii="宋体" w:hAnsi="宋体" w:eastAsia="宋体" w:cs="宋体"/>
                <w:color w:val="auto"/>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5680053E">
            <w:pPr>
              <w:tabs>
                <w:tab w:val="left" w:pos="7980"/>
              </w:tabs>
              <w:spacing w:line="360" w:lineRule="exact"/>
              <w:jc w:val="left"/>
              <w:rPr>
                <w:rFonts w:hint="eastAsia" w:ascii="宋体" w:hAnsi="宋体" w:eastAsia="宋体" w:cs="宋体"/>
                <w:color w:val="auto"/>
                <w:kern w:val="0"/>
                <w:sz w:val="24"/>
              </w:rPr>
            </w:pPr>
          </w:p>
        </w:tc>
      </w:tr>
      <w:tr w14:paraId="337FDBB6">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154270CD">
            <w:pPr>
              <w:tabs>
                <w:tab w:val="left" w:pos="7980"/>
              </w:tabs>
              <w:spacing w:line="360" w:lineRule="exact"/>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27F223A6">
            <w:pPr>
              <w:tabs>
                <w:tab w:val="left" w:pos="7980"/>
              </w:tabs>
              <w:spacing w:line="360" w:lineRule="exact"/>
              <w:jc w:val="center"/>
              <w:rPr>
                <w:rFonts w:hint="eastAsia" w:ascii="宋体" w:hAnsi="宋体" w:eastAsia="宋体" w:cs="宋体"/>
                <w:color w:val="auto"/>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3CD42B32">
            <w:pPr>
              <w:tabs>
                <w:tab w:val="left" w:pos="7980"/>
              </w:tabs>
              <w:spacing w:line="360" w:lineRule="exact"/>
              <w:jc w:val="left"/>
              <w:rPr>
                <w:rFonts w:hint="eastAsia" w:ascii="宋体" w:hAnsi="宋体" w:eastAsia="宋体" w:cs="宋体"/>
                <w:color w:val="auto"/>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1489BEF4">
            <w:pPr>
              <w:tabs>
                <w:tab w:val="left" w:pos="7980"/>
              </w:tabs>
              <w:spacing w:line="360" w:lineRule="exact"/>
              <w:jc w:val="left"/>
              <w:rPr>
                <w:rFonts w:hint="eastAsia" w:ascii="宋体" w:hAnsi="宋体" w:eastAsia="宋体" w:cs="宋体"/>
                <w:color w:val="auto"/>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47D6D2FD">
            <w:pPr>
              <w:tabs>
                <w:tab w:val="left" w:pos="7980"/>
              </w:tabs>
              <w:spacing w:line="360" w:lineRule="exact"/>
              <w:jc w:val="left"/>
              <w:rPr>
                <w:rFonts w:hint="eastAsia" w:ascii="宋体" w:hAnsi="宋体" w:eastAsia="宋体" w:cs="宋体"/>
                <w:color w:val="auto"/>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CCF8100">
            <w:pPr>
              <w:tabs>
                <w:tab w:val="left" w:pos="7980"/>
              </w:tabs>
              <w:spacing w:line="360" w:lineRule="exact"/>
              <w:jc w:val="left"/>
              <w:rPr>
                <w:rFonts w:hint="eastAsia" w:ascii="宋体" w:hAnsi="宋体" w:eastAsia="宋体" w:cs="宋体"/>
                <w:color w:val="auto"/>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50C4FC5">
            <w:pPr>
              <w:tabs>
                <w:tab w:val="left" w:pos="7980"/>
              </w:tabs>
              <w:spacing w:line="360" w:lineRule="exact"/>
              <w:jc w:val="left"/>
              <w:rPr>
                <w:rFonts w:hint="eastAsia" w:ascii="宋体" w:hAnsi="宋体" w:eastAsia="宋体" w:cs="宋体"/>
                <w:color w:val="auto"/>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578A1B5E">
            <w:pPr>
              <w:tabs>
                <w:tab w:val="left" w:pos="7980"/>
              </w:tabs>
              <w:spacing w:line="360" w:lineRule="exact"/>
              <w:jc w:val="left"/>
              <w:rPr>
                <w:rFonts w:hint="eastAsia" w:ascii="宋体" w:hAnsi="宋体" w:eastAsia="宋体" w:cs="宋体"/>
                <w:color w:val="auto"/>
                <w:kern w:val="0"/>
                <w:sz w:val="24"/>
              </w:rPr>
            </w:pPr>
          </w:p>
        </w:tc>
      </w:tr>
      <w:tr w14:paraId="100DF690">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140D648B">
            <w:pPr>
              <w:tabs>
                <w:tab w:val="left" w:pos="7980"/>
              </w:tabs>
              <w:spacing w:line="360" w:lineRule="exact"/>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5</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66C2346F">
            <w:pPr>
              <w:tabs>
                <w:tab w:val="left" w:pos="7980"/>
              </w:tabs>
              <w:spacing w:line="360" w:lineRule="exact"/>
              <w:jc w:val="center"/>
              <w:rPr>
                <w:rFonts w:hint="eastAsia" w:ascii="宋体" w:hAnsi="宋体" w:eastAsia="宋体" w:cs="宋体"/>
                <w:color w:val="auto"/>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3CF63BA6">
            <w:pPr>
              <w:tabs>
                <w:tab w:val="left" w:pos="7980"/>
              </w:tabs>
              <w:spacing w:line="360" w:lineRule="exact"/>
              <w:jc w:val="left"/>
              <w:rPr>
                <w:rFonts w:hint="eastAsia" w:ascii="宋体" w:hAnsi="宋体" w:eastAsia="宋体" w:cs="宋体"/>
                <w:color w:val="auto"/>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3A759661">
            <w:pPr>
              <w:tabs>
                <w:tab w:val="left" w:pos="7980"/>
              </w:tabs>
              <w:spacing w:line="360" w:lineRule="exact"/>
              <w:jc w:val="left"/>
              <w:rPr>
                <w:rFonts w:hint="eastAsia" w:ascii="宋体" w:hAnsi="宋体" w:eastAsia="宋体" w:cs="宋体"/>
                <w:color w:val="auto"/>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401E496C">
            <w:pPr>
              <w:tabs>
                <w:tab w:val="left" w:pos="7980"/>
              </w:tabs>
              <w:spacing w:line="360" w:lineRule="exact"/>
              <w:jc w:val="left"/>
              <w:rPr>
                <w:rFonts w:hint="eastAsia" w:ascii="宋体" w:hAnsi="宋体" w:eastAsia="宋体" w:cs="宋体"/>
                <w:color w:val="auto"/>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508DEEEF">
            <w:pPr>
              <w:tabs>
                <w:tab w:val="left" w:pos="7980"/>
              </w:tabs>
              <w:spacing w:line="360" w:lineRule="exact"/>
              <w:jc w:val="left"/>
              <w:rPr>
                <w:rFonts w:hint="eastAsia" w:ascii="宋体" w:hAnsi="宋体" w:eastAsia="宋体" w:cs="宋体"/>
                <w:color w:val="auto"/>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D23185B">
            <w:pPr>
              <w:tabs>
                <w:tab w:val="left" w:pos="7980"/>
              </w:tabs>
              <w:spacing w:line="360" w:lineRule="exact"/>
              <w:jc w:val="left"/>
              <w:rPr>
                <w:rFonts w:hint="eastAsia" w:ascii="宋体" w:hAnsi="宋体" w:eastAsia="宋体" w:cs="宋体"/>
                <w:color w:val="auto"/>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47112161">
            <w:pPr>
              <w:tabs>
                <w:tab w:val="left" w:pos="7980"/>
              </w:tabs>
              <w:spacing w:line="360" w:lineRule="exact"/>
              <w:jc w:val="left"/>
              <w:rPr>
                <w:rFonts w:hint="eastAsia" w:ascii="宋体" w:hAnsi="宋体" w:eastAsia="宋体" w:cs="宋体"/>
                <w:color w:val="auto"/>
                <w:kern w:val="0"/>
                <w:sz w:val="24"/>
              </w:rPr>
            </w:pPr>
          </w:p>
        </w:tc>
      </w:tr>
      <w:tr w14:paraId="4BB5840F">
        <w:tblPrEx>
          <w:tblCellMar>
            <w:top w:w="0" w:type="dxa"/>
            <w:left w:w="108" w:type="dxa"/>
            <w:bottom w:w="0" w:type="dxa"/>
            <w:right w:w="108" w:type="dxa"/>
          </w:tblCellMar>
        </w:tblPrEx>
        <w:trPr>
          <w:trHeight w:val="44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29395486">
            <w:pPr>
              <w:tabs>
                <w:tab w:val="left" w:pos="7980"/>
              </w:tabs>
              <w:spacing w:line="360" w:lineRule="exact"/>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6</w:t>
            </w:r>
          </w:p>
        </w:tc>
        <w:tc>
          <w:tcPr>
            <w:tcW w:w="620" w:type="pct"/>
            <w:vMerge w:val="restart"/>
            <w:tcBorders>
              <w:top w:val="single" w:color="000000" w:sz="4" w:space="0"/>
              <w:left w:val="single" w:color="000000" w:sz="4" w:space="0"/>
              <w:right w:val="single" w:color="000000" w:sz="4" w:space="0"/>
            </w:tcBorders>
            <w:noWrap/>
            <w:vAlign w:val="center"/>
          </w:tcPr>
          <w:p w14:paraId="741DD1CB">
            <w:pPr>
              <w:tabs>
                <w:tab w:val="left" w:pos="7980"/>
              </w:tabs>
              <w:spacing w:line="360" w:lineRule="exact"/>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服务支撑人员</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496A78AF">
            <w:pPr>
              <w:tabs>
                <w:tab w:val="left" w:pos="7980"/>
              </w:tabs>
              <w:spacing w:line="360" w:lineRule="exact"/>
              <w:jc w:val="left"/>
              <w:rPr>
                <w:rFonts w:hint="eastAsia" w:ascii="宋体" w:hAnsi="宋体" w:eastAsia="宋体" w:cs="宋体"/>
                <w:color w:val="auto"/>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2004217E">
            <w:pPr>
              <w:tabs>
                <w:tab w:val="left" w:pos="7980"/>
              </w:tabs>
              <w:spacing w:line="36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项目联系人</w:t>
            </w:r>
            <w:r>
              <w:rPr>
                <w:rFonts w:hint="eastAsia" w:ascii="宋体" w:hAnsi="宋体" w:eastAsia="宋体" w:cs="宋体"/>
                <w:color w:val="auto"/>
                <w:kern w:val="0"/>
                <w:sz w:val="24"/>
                <w:lang w:val="en-US" w:eastAsia="zh-CN"/>
              </w:rPr>
              <w:t>/项目</w:t>
            </w:r>
            <w:r>
              <w:rPr>
                <w:rFonts w:hint="eastAsia" w:ascii="宋体" w:hAnsi="宋体" w:eastAsia="宋体" w:cs="宋体"/>
                <w:color w:val="auto"/>
                <w:kern w:val="1"/>
                <w:sz w:val="24"/>
                <w:lang w:eastAsia="ar-SA"/>
              </w:rPr>
              <w:t>现场代表</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4B6239B7">
            <w:pPr>
              <w:tabs>
                <w:tab w:val="left" w:pos="7980"/>
              </w:tabs>
              <w:spacing w:line="360" w:lineRule="exact"/>
              <w:jc w:val="left"/>
              <w:rPr>
                <w:rFonts w:hint="eastAsia" w:ascii="宋体" w:hAnsi="宋体" w:eastAsia="宋体" w:cs="宋体"/>
                <w:color w:val="auto"/>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5A8C097">
            <w:pPr>
              <w:tabs>
                <w:tab w:val="left" w:pos="7980"/>
              </w:tabs>
              <w:spacing w:line="360" w:lineRule="exact"/>
              <w:jc w:val="left"/>
              <w:rPr>
                <w:rFonts w:hint="eastAsia" w:ascii="宋体" w:hAnsi="宋体" w:eastAsia="宋体" w:cs="宋体"/>
                <w:color w:val="auto"/>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0EDA890">
            <w:pPr>
              <w:tabs>
                <w:tab w:val="left" w:pos="7980"/>
              </w:tabs>
              <w:spacing w:line="360" w:lineRule="exact"/>
              <w:jc w:val="left"/>
              <w:rPr>
                <w:rFonts w:hint="eastAsia" w:ascii="宋体" w:hAnsi="宋体" w:eastAsia="宋体" w:cs="宋体"/>
                <w:color w:val="auto"/>
                <w:kern w:val="0"/>
                <w:sz w:val="24"/>
              </w:rPr>
            </w:pPr>
          </w:p>
        </w:tc>
        <w:tc>
          <w:tcPr>
            <w:tcW w:w="351" w:type="pct"/>
            <w:vMerge w:val="restart"/>
            <w:tcBorders>
              <w:top w:val="single" w:color="000000" w:sz="4" w:space="0"/>
              <w:left w:val="single" w:color="000000" w:sz="4" w:space="0"/>
              <w:right w:val="single" w:color="000000" w:sz="4" w:space="0"/>
            </w:tcBorders>
            <w:noWrap/>
            <w:vAlign w:val="center"/>
          </w:tcPr>
          <w:p w14:paraId="45F65561">
            <w:pPr>
              <w:tabs>
                <w:tab w:val="left" w:pos="7980"/>
              </w:tabs>
              <w:spacing w:line="360" w:lineRule="exact"/>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可与主要实施人员复用</w:t>
            </w:r>
          </w:p>
        </w:tc>
      </w:tr>
      <w:tr w14:paraId="130D4CC2">
        <w:tblPrEx>
          <w:tblCellMar>
            <w:top w:w="0" w:type="dxa"/>
            <w:left w:w="108" w:type="dxa"/>
            <w:bottom w:w="0" w:type="dxa"/>
            <w:right w:w="108" w:type="dxa"/>
          </w:tblCellMar>
        </w:tblPrEx>
        <w:trPr>
          <w:trHeight w:val="44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7ED5B690">
            <w:pPr>
              <w:tabs>
                <w:tab w:val="left" w:pos="7980"/>
              </w:tabs>
              <w:spacing w:line="360" w:lineRule="exact"/>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7</w:t>
            </w:r>
          </w:p>
        </w:tc>
        <w:tc>
          <w:tcPr>
            <w:tcW w:w="620" w:type="pct"/>
            <w:vMerge w:val="continue"/>
            <w:tcBorders>
              <w:left w:val="single" w:color="000000" w:sz="4" w:space="0"/>
              <w:right w:val="single" w:color="000000" w:sz="4" w:space="0"/>
            </w:tcBorders>
            <w:noWrap/>
            <w:vAlign w:val="center"/>
          </w:tcPr>
          <w:p w14:paraId="1713C765">
            <w:pPr>
              <w:tabs>
                <w:tab w:val="left" w:pos="7980"/>
              </w:tabs>
              <w:spacing w:line="360" w:lineRule="exact"/>
              <w:jc w:val="center"/>
              <w:rPr>
                <w:rFonts w:hint="eastAsia" w:ascii="宋体" w:hAnsi="宋体" w:eastAsia="宋体" w:cs="宋体"/>
                <w:color w:val="auto"/>
                <w:kern w:val="0"/>
                <w:sz w:val="24"/>
                <w:lang w:val="en-US"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5F55D5F6">
            <w:pPr>
              <w:tabs>
                <w:tab w:val="left" w:pos="7980"/>
              </w:tabs>
              <w:spacing w:line="360" w:lineRule="exact"/>
              <w:jc w:val="left"/>
              <w:rPr>
                <w:rFonts w:hint="eastAsia" w:ascii="宋体" w:hAnsi="宋体" w:eastAsia="宋体" w:cs="宋体"/>
                <w:color w:val="auto"/>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46537861">
            <w:pPr>
              <w:tabs>
                <w:tab w:val="left" w:pos="7980"/>
              </w:tabs>
              <w:spacing w:line="360" w:lineRule="exac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专职安全生产管理人员</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48C3696F">
            <w:pPr>
              <w:tabs>
                <w:tab w:val="left" w:pos="7980"/>
              </w:tabs>
              <w:spacing w:line="360" w:lineRule="exact"/>
              <w:jc w:val="left"/>
              <w:rPr>
                <w:rFonts w:hint="eastAsia" w:ascii="宋体" w:hAnsi="宋体" w:eastAsia="宋体" w:cs="宋体"/>
                <w:color w:val="auto"/>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BE04F76">
            <w:pPr>
              <w:tabs>
                <w:tab w:val="left" w:pos="7980"/>
              </w:tabs>
              <w:spacing w:line="360" w:lineRule="exact"/>
              <w:jc w:val="left"/>
              <w:rPr>
                <w:rFonts w:hint="eastAsia" w:ascii="宋体" w:hAnsi="宋体" w:eastAsia="宋体" w:cs="宋体"/>
                <w:color w:val="auto"/>
                <w:kern w:val="0"/>
                <w:sz w:val="24"/>
                <w:szCs w:val="24"/>
                <w:lang w:val="en-US" w:eastAsia="zh-CN" w:bidi="ar-SA"/>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E7A7664">
            <w:pPr>
              <w:tabs>
                <w:tab w:val="left" w:pos="7980"/>
              </w:tabs>
              <w:spacing w:line="360" w:lineRule="exact"/>
              <w:jc w:val="left"/>
              <w:rPr>
                <w:rFonts w:hint="eastAsia" w:ascii="宋体" w:hAnsi="宋体" w:eastAsia="宋体" w:cs="宋体"/>
                <w:color w:val="auto"/>
                <w:kern w:val="0"/>
                <w:sz w:val="24"/>
              </w:rPr>
            </w:pPr>
          </w:p>
        </w:tc>
        <w:tc>
          <w:tcPr>
            <w:tcW w:w="351" w:type="pct"/>
            <w:vMerge w:val="continue"/>
            <w:tcBorders>
              <w:left w:val="single" w:color="000000" w:sz="4" w:space="0"/>
              <w:right w:val="single" w:color="000000" w:sz="4" w:space="0"/>
            </w:tcBorders>
            <w:noWrap/>
            <w:vAlign w:val="center"/>
          </w:tcPr>
          <w:p w14:paraId="467AA7A5">
            <w:pPr>
              <w:tabs>
                <w:tab w:val="left" w:pos="7980"/>
              </w:tabs>
              <w:spacing w:line="360" w:lineRule="exact"/>
              <w:jc w:val="left"/>
              <w:rPr>
                <w:rFonts w:hint="eastAsia" w:ascii="宋体" w:hAnsi="宋体" w:eastAsia="宋体" w:cs="宋体"/>
                <w:color w:val="auto"/>
                <w:kern w:val="0"/>
                <w:sz w:val="24"/>
              </w:rPr>
            </w:pPr>
          </w:p>
        </w:tc>
      </w:tr>
      <w:tr w14:paraId="60DF8308">
        <w:tblPrEx>
          <w:tblCellMar>
            <w:top w:w="0" w:type="dxa"/>
            <w:left w:w="108" w:type="dxa"/>
            <w:bottom w:w="0" w:type="dxa"/>
            <w:right w:w="108" w:type="dxa"/>
          </w:tblCellMar>
        </w:tblPrEx>
        <w:trPr>
          <w:trHeight w:val="44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12DAD3E6">
            <w:pPr>
              <w:tabs>
                <w:tab w:val="left" w:pos="7980"/>
              </w:tabs>
              <w:spacing w:line="360" w:lineRule="exact"/>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8</w:t>
            </w:r>
          </w:p>
        </w:tc>
        <w:tc>
          <w:tcPr>
            <w:tcW w:w="620" w:type="pct"/>
            <w:vMerge w:val="continue"/>
            <w:tcBorders>
              <w:left w:val="single" w:color="000000" w:sz="4" w:space="0"/>
              <w:right w:val="single" w:color="000000" w:sz="4" w:space="0"/>
            </w:tcBorders>
            <w:noWrap/>
            <w:vAlign w:val="center"/>
          </w:tcPr>
          <w:p w14:paraId="56C7BF13">
            <w:pPr>
              <w:tabs>
                <w:tab w:val="left" w:pos="7980"/>
              </w:tabs>
              <w:spacing w:line="360" w:lineRule="exact"/>
              <w:jc w:val="center"/>
              <w:rPr>
                <w:rFonts w:hint="eastAsia" w:ascii="宋体" w:hAnsi="宋体" w:eastAsia="宋体" w:cs="宋体"/>
                <w:color w:val="auto"/>
                <w:kern w:val="0"/>
                <w:sz w:val="24"/>
                <w:lang w:val="en-US"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1B9562C2">
            <w:pPr>
              <w:tabs>
                <w:tab w:val="left" w:pos="7980"/>
              </w:tabs>
              <w:spacing w:line="360" w:lineRule="exact"/>
              <w:jc w:val="left"/>
              <w:rPr>
                <w:rFonts w:hint="eastAsia" w:ascii="宋体" w:hAnsi="宋体" w:eastAsia="宋体" w:cs="宋体"/>
                <w:color w:val="auto"/>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17A2EA76">
            <w:pPr>
              <w:tabs>
                <w:tab w:val="left" w:pos="7980"/>
              </w:tabs>
              <w:spacing w:line="360" w:lineRule="exac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rPr>
              <w:t>信息安全责任人</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6AEDFEA3">
            <w:pPr>
              <w:tabs>
                <w:tab w:val="left" w:pos="7980"/>
              </w:tabs>
              <w:spacing w:line="360" w:lineRule="exact"/>
              <w:jc w:val="left"/>
              <w:rPr>
                <w:rFonts w:hint="eastAsia" w:ascii="宋体" w:hAnsi="宋体" w:eastAsia="宋体" w:cs="宋体"/>
                <w:color w:val="auto"/>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4DC11AD3">
            <w:pPr>
              <w:tabs>
                <w:tab w:val="left" w:pos="7980"/>
              </w:tabs>
              <w:spacing w:line="360" w:lineRule="exact"/>
              <w:jc w:val="left"/>
              <w:rPr>
                <w:rFonts w:hint="eastAsia" w:ascii="宋体" w:hAnsi="宋体" w:eastAsia="宋体" w:cs="宋体"/>
                <w:color w:val="auto"/>
                <w:kern w:val="0"/>
                <w:sz w:val="24"/>
                <w:szCs w:val="24"/>
                <w:lang w:val="en-US" w:eastAsia="zh-CN" w:bidi="ar-SA"/>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5D65F15">
            <w:pPr>
              <w:tabs>
                <w:tab w:val="left" w:pos="7980"/>
              </w:tabs>
              <w:spacing w:line="360" w:lineRule="exact"/>
              <w:jc w:val="left"/>
              <w:rPr>
                <w:rFonts w:hint="eastAsia" w:ascii="宋体" w:hAnsi="宋体" w:eastAsia="宋体" w:cs="宋体"/>
                <w:color w:val="auto"/>
                <w:kern w:val="0"/>
                <w:sz w:val="24"/>
              </w:rPr>
            </w:pPr>
          </w:p>
        </w:tc>
        <w:tc>
          <w:tcPr>
            <w:tcW w:w="351" w:type="pct"/>
            <w:vMerge w:val="continue"/>
            <w:tcBorders>
              <w:left w:val="single" w:color="000000" w:sz="4" w:space="0"/>
              <w:bottom w:val="single" w:color="000000" w:sz="4" w:space="0"/>
              <w:right w:val="single" w:color="000000" w:sz="4" w:space="0"/>
            </w:tcBorders>
            <w:noWrap/>
            <w:vAlign w:val="center"/>
          </w:tcPr>
          <w:p w14:paraId="338AEBD3">
            <w:pPr>
              <w:tabs>
                <w:tab w:val="left" w:pos="7980"/>
              </w:tabs>
              <w:spacing w:line="360" w:lineRule="exact"/>
              <w:jc w:val="left"/>
              <w:rPr>
                <w:rFonts w:hint="eastAsia" w:ascii="宋体" w:hAnsi="宋体" w:eastAsia="宋体" w:cs="宋体"/>
                <w:color w:val="auto"/>
                <w:kern w:val="0"/>
                <w:sz w:val="24"/>
              </w:rPr>
            </w:pPr>
          </w:p>
        </w:tc>
      </w:tr>
      <w:tr w14:paraId="6C11F7BB">
        <w:tblPrEx>
          <w:tblCellMar>
            <w:top w:w="0" w:type="dxa"/>
            <w:left w:w="108" w:type="dxa"/>
            <w:bottom w:w="0" w:type="dxa"/>
            <w:right w:w="108" w:type="dxa"/>
          </w:tblCellMar>
        </w:tblPrEx>
        <w:trPr>
          <w:trHeight w:val="44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6A2A0E87">
            <w:pPr>
              <w:tabs>
                <w:tab w:val="left" w:pos="7980"/>
              </w:tabs>
              <w:spacing w:line="360" w:lineRule="exact"/>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9</w:t>
            </w:r>
          </w:p>
        </w:tc>
        <w:tc>
          <w:tcPr>
            <w:tcW w:w="620" w:type="pct"/>
            <w:vMerge w:val="continue"/>
            <w:tcBorders>
              <w:left w:val="single" w:color="000000" w:sz="4" w:space="0"/>
              <w:right w:val="single" w:color="000000" w:sz="4" w:space="0"/>
            </w:tcBorders>
            <w:noWrap/>
            <w:vAlign w:val="center"/>
          </w:tcPr>
          <w:p w14:paraId="721CBCF7">
            <w:pPr>
              <w:tabs>
                <w:tab w:val="left" w:pos="7980"/>
              </w:tabs>
              <w:spacing w:line="360" w:lineRule="exact"/>
              <w:jc w:val="center"/>
              <w:rPr>
                <w:rFonts w:hint="eastAsia" w:ascii="宋体" w:hAnsi="宋体" w:eastAsia="宋体" w:cs="宋体"/>
                <w:color w:val="auto"/>
                <w:kern w:val="0"/>
                <w:sz w:val="24"/>
                <w:lang w:val="en-US"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637A8943">
            <w:pPr>
              <w:tabs>
                <w:tab w:val="left" w:pos="7980"/>
              </w:tabs>
              <w:spacing w:line="360" w:lineRule="exact"/>
              <w:jc w:val="left"/>
              <w:rPr>
                <w:rFonts w:hint="eastAsia" w:ascii="宋体" w:hAnsi="宋体" w:eastAsia="宋体" w:cs="宋体"/>
                <w:color w:val="auto"/>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3446343">
            <w:pPr>
              <w:tabs>
                <w:tab w:val="left" w:pos="7980"/>
              </w:tabs>
              <w:spacing w:line="360" w:lineRule="exact"/>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服务支撑人员</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61140F17">
            <w:pPr>
              <w:tabs>
                <w:tab w:val="left" w:pos="7980"/>
              </w:tabs>
              <w:spacing w:line="360" w:lineRule="exact"/>
              <w:jc w:val="left"/>
              <w:rPr>
                <w:rFonts w:hint="eastAsia" w:ascii="宋体" w:hAnsi="宋体" w:eastAsia="宋体" w:cs="宋体"/>
                <w:color w:val="auto"/>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427CB360">
            <w:pPr>
              <w:tabs>
                <w:tab w:val="left" w:pos="7980"/>
              </w:tabs>
              <w:spacing w:line="360" w:lineRule="exact"/>
              <w:jc w:val="left"/>
              <w:rPr>
                <w:rFonts w:hint="eastAsia" w:ascii="宋体" w:hAnsi="宋体" w:eastAsia="宋体" w:cs="宋体"/>
                <w:color w:val="auto"/>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C031CDC">
            <w:pPr>
              <w:tabs>
                <w:tab w:val="left" w:pos="7980"/>
              </w:tabs>
              <w:spacing w:line="360" w:lineRule="exact"/>
              <w:jc w:val="left"/>
              <w:rPr>
                <w:rFonts w:hint="eastAsia" w:ascii="宋体" w:hAnsi="宋体" w:eastAsia="宋体" w:cs="宋体"/>
                <w:color w:val="auto"/>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709E8891">
            <w:pPr>
              <w:tabs>
                <w:tab w:val="left" w:pos="7980"/>
              </w:tabs>
              <w:spacing w:line="360" w:lineRule="exact"/>
              <w:jc w:val="left"/>
              <w:rPr>
                <w:rFonts w:hint="eastAsia" w:ascii="宋体" w:hAnsi="宋体" w:eastAsia="宋体" w:cs="宋体"/>
                <w:color w:val="auto"/>
                <w:kern w:val="0"/>
                <w:sz w:val="24"/>
              </w:rPr>
            </w:pPr>
          </w:p>
        </w:tc>
      </w:tr>
      <w:tr w14:paraId="21AA2BF1">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F2A2B57">
            <w:pPr>
              <w:tabs>
                <w:tab w:val="left" w:pos="7980"/>
              </w:tabs>
              <w:spacing w:line="36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620" w:type="pct"/>
            <w:vMerge w:val="continue"/>
            <w:tcBorders>
              <w:left w:val="single" w:color="000000" w:sz="4" w:space="0"/>
              <w:bottom w:val="single" w:color="000000" w:sz="4" w:space="0"/>
              <w:right w:val="single" w:color="000000" w:sz="4" w:space="0"/>
            </w:tcBorders>
            <w:noWrap/>
            <w:vAlign w:val="center"/>
          </w:tcPr>
          <w:p w14:paraId="268CD4B9">
            <w:pPr>
              <w:tabs>
                <w:tab w:val="left" w:pos="7980"/>
              </w:tabs>
              <w:spacing w:line="360" w:lineRule="exact"/>
              <w:jc w:val="center"/>
              <w:rPr>
                <w:rFonts w:hint="eastAsia" w:ascii="宋体" w:hAnsi="宋体" w:eastAsia="宋体" w:cs="宋体"/>
                <w:color w:val="auto"/>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37F7D154">
            <w:pPr>
              <w:tabs>
                <w:tab w:val="left" w:pos="7980"/>
              </w:tabs>
              <w:spacing w:line="36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19802880">
            <w:pPr>
              <w:tabs>
                <w:tab w:val="left" w:pos="7980"/>
              </w:tabs>
              <w:spacing w:line="360" w:lineRule="exact"/>
              <w:jc w:val="left"/>
              <w:rPr>
                <w:rFonts w:hint="eastAsia" w:ascii="宋体" w:hAnsi="宋体" w:eastAsia="宋体" w:cs="宋体"/>
                <w:color w:val="auto"/>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79603BC1">
            <w:pPr>
              <w:tabs>
                <w:tab w:val="left" w:pos="7980"/>
              </w:tabs>
              <w:spacing w:line="360" w:lineRule="exact"/>
              <w:jc w:val="left"/>
              <w:rPr>
                <w:rFonts w:hint="eastAsia" w:ascii="宋体" w:hAnsi="宋体" w:eastAsia="宋体" w:cs="宋体"/>
                <w:color w:val="auto"/>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3A9C7DF">
            <w:pPr>
              <w:tabs>
                <w:tab w:val="left" w:pos="7980"/>
              </w:tabs>
              <w:spacing w:line="360" w:lineRule="exact"/>
              <w:jc w:val="left"/>
              <w:rPr>
                <w:rFonts w:hint="eastAsia" w:ascii="宋体" w:hAnsi="宋体" w:eastAsia="宋体" w:cs="宋体"/>
                <w:color w:val="auto"/>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28F7129">
            <w:pPr>
              <w:tabs>
                <w:tab w:val="left" w:pos="7980"/>
              </w:tabs>
              <w:spacing w:line="360" w:lineRule="exact"/>
              <w:jc w:val="left"/>
              <w:rPr>
                <w:rFonts w:hint="eastAsia" w:ascii="宋体" w:hAnsi="宋体" w:eastAsia="宋体" w:cs="宋体"/>
                <w:color w:val="auto"/>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ED9A689">
            <w:pPr>
              <w:tabs>
                <w:tab w:val="left" w:pos="7980"/>
              </w:tabs>
              <w:spacing w:line="360" w:lineRule="exact"/>
              <w:jc w:val="left"/>
              <w:rPr>
                <w:rFonts w:hint="eastAsia" w:ascii="宋体" w:hAnsi="宋体" w:eastAsia="宋体" w:cs="宋体"/>
                <w:color w:val="auto"/>
                <w:kern w:val="0"/>
                <w:sz w:val="24"/>
              </w:rPr>
            </w:pPr>
          </w:p>
        </w:tc>
      </w:tr>
      <w:tr w14:paraId="20E97DAE">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33F4E3DA">
            <w:pPr>
              <w:jc w:val="center"/>
              <w:rPr>
                <w:rFonts w:hint="eastAsia" w:ascii="宋体" w:hAnsi="宋体" w:eastAsia="宋体" w:cs="宋体"/>
                <w:color w:val="auto"/>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1BB58417">
            <w:pPr>
              <w:jc w:val="center"/>
              <w:rPr>
                <w:rFonts w:hint="eastAsia" w:ascii="宋体" w:hAnsi="宋体" w:eastAsia="宋体" w:cs="宋体"/>
                <w:color w:val="auto"/>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5E847A9B">
            <w:pPr>
              <w:rPr>
                <w:rFonts w:hint="eastAsia" w:ascii="宋体" w:hAnsi="宋体" w:eastAsia="宋体" w:cs="宋体"/>
                <w:color w:val="auto"/>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6FE6E638">
            <w:pPr>
              <w:rPr>
                <w:rFonts w:hint="eastAsia" w:ascii="宋体" w:hAnsi="宋体" w:eastAsia="宋体" w:cs="宋体"/>
                <w:color w:val="auto"/>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68C531CE">
            <w:pPr>
              <w:rPr>
                <w:rFonts w:hint="eastAsia" w:ascii="宋体" w:hAnsi="宋体" w:eastAsia="宋体" w:cs="宋体"/>
                <w:color w:val="auto"/>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05FCB7DF">
            <w:pPr>
              <w:rPr>
                <w:rFonts w:hint="eastAsia" w:ascii="宋体" w:hAnsi="宋体" w:eastAsia="宋体" w:cs="宋体"/>
                <w:color w:val="auto"/>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7E03F0B">
            <w:pPr>
              <w:rPr>
                <w:rFonts w:hint="eastAsia" w:ascii="宋体" w:hAnsi="宋体" w:eastAsia="宋体" w:cs="宋体"/>
                <w:color w:val="auto"/>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0E3A652F">
            <w:pPr>
              <w:rPr>
                <w:rFonts w:hint="eastAsia" w:ascii="宋体" w:hAnsi="宋体" w:eastAsia="宋体" w:cs="宋体"/>
                <w:color w:val="auto"/>
                <w:sz w:val="24"/>
              </w:rPr>
            </w:pPr>
          </w:p>
        </w:tc>
      </w:tr>
      <w:tr w14:paraId="5EB8084F">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188504BC">
            <w:pPr>
              <w:jc w:val="center"/>
              <w:rPr>
                <w:rFonts w:hint="eastAsia" w:ascii="宋体" w:hAnsi="宋体" w:eastAsia="宋体" w:cs="宋体"/>
                <w:color w:val="auto"/>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0DF73F85">
            <w:pPr>
              <w:jc w:val="center"/>
              <w:rPr>
                <w:rFonts w:hint="eastAsia" w:ascii="宋体" w:hAnsi="宋体" w:eastAsia="宋体" w:cs="宋体"/>
                <w:color w:val="auto"/>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2300DA21">
            <w:pPr>
              <w:rPr>
                <w:rFonts w:hint="eastAsia" w:ascii="宋体" w:hAnsi="宋体" w:eastAsia="宋体" w:cs="宋体"/>
                <w:color w:val="auto"/>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947035E">
            <w:pPr>
              <w:rPr>
                <w:rFonts w:hint="eastAsia" w:ascii="宋体" w:hAnsi="宋体" w:eastAsia="宋体" w:cs="宋体"/>
                <w:color w:val="auto"/>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38E16933">
            <w:pPr>
              <w:rPr>
                <w:rFonts w:hint="eastAsia" w:ascii="宋体" w:hAnsi="宋体" w:eastAsia="宋体" w:cs="宋体"/>
                <w:color w:val="auto"/>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EC83A6C">
            <w:pPr>
              <w:rPr>
                <w:rFonts w:hint="eastAsia" w:ascii="宋体" w:hAnsi="宋体" w:eastAsia="宋体" w:cs="宋体"/>
                <w:color w:val="auto"/>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BF22F18">
            <w:pPr>
              <w:rPr>
                <w:rFonts w:hint="eastAsia" w:ascii="宋体" w:hAnsi="宋体" w:eastAsia="宋体" w:cs="宋体"/>
                <w:color w:val="auto"/>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0659F3C9">
            <w:pPr>
              <w:rPr>
                <w:rFonts w:hint="eastAsia" w:ascii="宋体" w:hAnsi="宋体" w:eastAsia="宋体" w:cs="宋体"/>
                <w:color w:val="auto"/>
                <w:sz w:val="24"/>
              </w:rPr>
            </w:pPr>
          </w:p>
        </w:tc>
      </w:tr>
      <w:tr w14:paraId="12112A9E">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54E1AAA7">
            <w:pPr>
              <w:rPr>
                <w:rFonts w:hint="eastAsia" w:ascii="宋体" w:hAnsi="宋体" w:eastAsia="宋体" w:cs="宋体"/>
                <w:color w:val="auto"/>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1F53BDD6">
            <w:pPr>
              <w:rPr>
                <w:rFonts w:hint="eastAsia" w:ascii="宋体" w:hAnsi="宋体" w:eastAsia="宋体" w:cs="宋体"/>
                <w:color w:val="auto"/>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1B629041">
            <w:pPr>
              <w:rPr>
                <w:rFonts w:hint="eastAsia" w:ascii="宋体" w:hAnsi="宋体" w:eastAsia="宋体" w:cs="宋体"/>
                <w:color w:val="auto"/>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614FB34A">
            <w:pPr>
              <w:rPr>
                <w:rFonts w:hint="eastAsia" w:ascii="宋体" w:hAnsi="宋体" w:eastAsia="宋体" w:cs="宋体"/>
                <w:color w:val="auto"/>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6127E853">
            <w:pPr>
              <w:rPr>
                <w:rFonts w:hint="eastAsia" w:ascii="宋体" w:hAnsi="宋体" w:eastAsia="宋体" w:cs="宋体"/>
                <w:color w:val="auto"/>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38FCD16">
            <w:pPr>
              <w:rPr>
                <w:rFonts w:hint="eastAsia" w:ascii="宋体" w:hAnsi="宋体" w:eastAsia="宋体" w:cs="宋体"/>
                <w:color w:val="auto"/>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3ED6EAF">
            <w:pPr>
              <w:rPr>
                <w:rFonts w:hint="eastAsia" w:ascii="宋体" w:hAnsi="宋体" w:eastAsia="宋体" w:cs="宋体"/>
                <w:color w:val="auto"/>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3E4AB1BB">
            <w:pPr>
              <w:rPr>
                <w:rFonts w:hint="eastAsia" w:ascii="宋体" w:hAnsi="宋体" w:eastAsia="宋体" w:cs="宋体"/>
                <w:color w:val="auto"/>
                <w:sz w:val="24"/>
              </w:rPr>
            </w:pPr>
          </w:p>
        </w:tc>
      </w:tr>
    </w:tbl>
    <w:p w14:paraId="447E797A">
      <w:pPr>
        <w:rPr>
          <w:rFonts w:hint="eastAsia" w:ascii="宋体" w:hAnsi="宋体" w:eastAsia="宋体" w:cs="宋体"/>
          <w:color w:val="auto"/>
          <w:sz w:val="21"/>
          <w:szCs w:val="21"/>
          <w:lang w:val="en-US" w:eastAsia="zh-CN"/>
        </w:rPr>
      </w:pPr>
    </w:p>
    <w:p w14:paraId="13B40098">
      <w:pPr>
        <w:rPr>
          <w:rFonts w:hint="eastAsia" w:ascii="宋体" w:hAnsi="宋体" w:eastAsia="宋体" w:cs="宋体"/>
          <w:color w:val="auto"/>
          <w:lang w:val="en-US" w:eastAsia="zh-CN"/>
        </w:rPr>
      </w:pPr>
      <w:r>
        <w:rPr>
          <w:rFonts w:hint="eastAsia" w:ascii="宋体" w:hAnsi="宋体" w:eastAsia="宋体" w:cs="宋体"/>
          <w:color w:val="auto"/>
          <w:sz w:val="21"/>
          <w:szCs w:val="21"/>
          <w:lang w:val="en-US" w:eastAsia="zh-CN"/>
        </w:rPr>
        <w:t>注：★人员名单需作为合同附件，名单内人员变更需经甲方书面同意。</w:t>
      </w:r>
    </w:p>
    <w:p w14:paraId="63BEEA59">
      <w:pPr>
        <w:pageBreakBefore w:val="0"/>
        <w:kinsoku/>
        <w:overflowPunct/>
        <w:topLinePunct/>
        <w:bidi w:val="0"/>
        <w:spacing w:line="360" w:lineRule="auto"/>
        <w:jc w:val="left"/>
        <w:rPr>
          <w:rFonts w:hint="eastAsia" w:ascii="宋体" w:hAnsi="宋体" w:eastAsia="宋体" w:cs="宋体"/>
          <w:color w:val="auto"/>
        </w:rPr>
      </w:pPr>
      <w:r>
        <w:rPr>
          <w:rFonts w:hint="eastAsia" w:ascii="宋体" w:hAnsi="宋体" w:eastAsia="宋体" w:cs="宋体"/>
          <w:b/>
          <w:color w:val="auto"/>
        </w:rPr>
        <w:t>编制要求：</w:t>
      </w:r>
      <w:r>
        <w:rPr>
          <w:rFonts w:hint="eastAsia" w:ascii="宋体" w:hAnsi="宋体" w:eastAsia="宋体" w:cs="宋体"/>
          <w:color w:val="auto"/>
        </w:rPr>
        <w:t>要求提供原件的，需提供文件原件；</w:t>
      </w:r>
      <w:r>
        <w:rPr>
          <w:rFonts w:hint="eastAsia" w:ascii="宋体" w:hAnsi="宋体" w:eastAsia="宋体" w:cs="宋体"/>
          <w:color w:val="auto"/>
          <w:lang w:val="en-US" w:eastAsia="zh-CN"/>
        </w:rPr>
        <w:t>其他</w:t>
      </w:r>
      <w:r>
        <w:rPr>
          <w:rFonts w:hint="eastAsia" w:ascii="宋体" w:hAnsi="宋体" w:eastAsia="宋体" w:cs="宋体"/>
          <w:color w:val="auto"/>
        </w:rPr>
        <w:t>证明文件可为</w:t>
      </w:r>
      <w:r>
        <w:rPr>
          <w:rFonts w:hint="eastAsia" w:ascii="宋体" w:hAnsi="宋体" w:eastAsia="宋体" w:cs="宋体"/>
          <w:color w:val="auto"/>
          <w:lang w:val="en-US" w:eastAsia="zh-CN"/>
        </w:rPr>
        <w:t>扫描件</w:t>
      </w:r>
      <w:r>
        <w:rPr>
          <w:rFonts w:hint="eastAsia" w:ascii="宋体" w:hAnsi="宋体" w:eastAsia="宋体" w:cs="宋体"/>
          <w:color w:val="auto"/>
        </w:rPr>
        <w:t>。</w:t>
      </w:r>
    </w:p>
    <w:p w14:paraId="0A93B59C">
      <w:pPr>
        <w:pStyle w:val="51"/>
        <w:pageBreakBefore w:val="0"/>
        <w:numPr>
          <w:ilvl w:val="3"/>
          <w:numId w:val="40"/>
        </w:numPr>
        <w:tabs>
          <w:tab w:val="clear" w:pos="1680"/>
        </w:tabs>
        <w:kinsoku/>
        <w:overflowPunct/>
        <w:topLinePunct/>
        <w:bidi w:val="0"/>
        <w:spacing w:line="360" w:lineRule="auto"/>
        <w:ind w:left="0" w:firstLine="0" w:firstLineChars="0"/>
        <w:jc w:val="left"/>
        <w:rPr>
          <w:rFonts w:hint="eastAsia" w:ascii="宋体" w:hAnsi="宋体" w:eastAsia="宋体" w:cs="宋体"/>
          <w:color w:val="auto"/>
        </w:rPr>
        <w:sectPr>
          <w:pgSz w:w="11906" w:h="16838"/>
          <w:pgMar w:top="1440" w:right="1797" w:bottom="1440" w:left="1797" w:header="851" w:footer="992" w:gutter="0"/>
          <w:pgNumType w:fmt="decimal"/>
          <w:cols w:space="425" w:num="1"/>
          <w:docGrid w:type="lines" w:linePitch="312" w:charSpace="0"/>
        </w:sectPr>
      </w:pPr>
    </w:p>
    <w:p w14:paraId="5AA36E37">
      <w:pPr>
        <w:pStyle w:val="39"/>
        <w:pageBreakBefore w:val="0"/>
        <w:numPr>
          <w:ilvl w:val="0"/>
          <w:numId w:val="29"/>
        </w:numPr>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投标人提供的其他</w:t>
      </w:r>
      <w:r>
        <w:rPr>
          <w:rFonts w:hint="eastAsia" w:ascii="宋体" w:hAnsi="宋体" w:eastAsia="宋体" w:cs="宋体"/>
          <w:color w:val="auto"/>
          <w:sz w:val="24"/>
          <w:szCs w:val="24"/>
          <w:lang w:val="en-US" w:eastAsia="zh-CN"/>
        </w:rPr>
        <w:t>技术评分</w:t>
      </w:r>
      <w:r>
        <w:rPr>
          <w:rFonts w:hint="eastAsia" w:ascii="宋体" w:hAnsi="宋体" w:eastAsia="宋体" w:cs="宋体"/>
          <w:color w:val="auto"/>
          <w:sz w:val="24"/>
          <w:szCs w:val="24"/>
        </w:rPr>
        <w:t>部分资料</w:t>
      </w:r>
    </w:p>
    <w:p w14:paraId="049BF1E2">
      <w:pPr>
        <w:pageBreakBefore w:val="0"/>
        <w:kinsoku/>
        <w:overflowPunct/>
        <w:bidi w:val="0"/>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格式自拟</w:t>
      </w:r>
    </w:p>
    <w:p w14:paraId="3DA8B53A">
      <w:pPr>
        <w:pageBreakBefore w:val="0"/>
        <w:kinsoku/>
        <w:overflowPunct/>
        <w:bidi w:val="0"/>
        <w:spacing w:line="360" w:lineRule="auto"/>
        <w:rPr>
          <w:rFonts w:hint="eastAsia" w:ascii="宋体" w:hAnsi="宋体" w:eastAsia="宋体" w:cs="宋体"/>
          <w:color w:val="auto"/>
        </w:rPr>
      </w:pPr>
    </w:p>
    <w:p w14:paraId="760DB88D">
      <w:pPr>
        <w:pageBreakBefore w:val="0"/>
        <w:kinsoku/>
        <w:overflowPunct/>
        <w:bidi w:val="0"/>
        <w:spacing w:line="360" w:lineRule="auto"/>
        <w:rPr>
          <w:rFonts w:hint="eastAsia" w:ascii="宋体" w:hAnsi="宋体" w:eastAsia="宋体" w:cs="宋体"/>
          <w:color w:val="auto"/>
        </w:rPr>
      </w:pPr>
    </w:p>
    <w:p w14:paraId="4409E072">
      <w:pPr>
        <w:pageBreakBefore w:val="0"/>
        <w:kinsoku/>
        <w:overflowPunct/>
        <w:bidi w:val="0"/>
        <w:spacing w:line="360" w:lineRule="auto"/>
        <w:rPr>
          <w:rFonts w:hint="eastAsia" w:ascii="宋体" w:hAnsi="宋体" w:eastAsia="宋体" w:cs="宋体"/>
          <w:color w:val="auto"/>
          <w:szCs w:val="21"/>
        </w:rPr>
      </w:pPr>
    </w:p>
    <w:p w14:paraId="22422E18">
      <w:pPr>
        <w:pageBreakBefore w:val="0"/>
        <w:kinsoku/>
        <w:overflowPunct/>
        <w:topLinePunct/>
        <w:bidi w:val="0"/>
        <w:spacing w:line="360" w:lineRule="auto"/>
        <w:jc w:val="left"/>
        <w:rPr>
          <w:rFonts w:hint="eastAsia" w:ascii="宋体" w:hAnsi="宋体" w:eastAsia="宋体" w:cs="宋体"/>
          <w:b/>
          <w:color w:val="auto"/>
        </w:rPr>
      </w:pPr>
      <w:r>
        <w:rPr>
          <w:rFonts w:hint="eastAsia" w:ascii="宋体" w:hAnsi="宋体" w:eastAsia="宋体" w:cs="宋体"/>
          <w:b/>
          <w:color w:val="auto"/>
        </w:rPr>
        <w:t>编制要求：</w:t>
      </w:r>
    </w:p>
    <w:p w14:paraId="28A86BE5">
      <w:pPr>
        <w:pageBreakBefore w:val="0"/>
        <w:numPr>
          <w:ilvl w:val="0"/>
          <w:numId w:val="41"/>
        </w:numPr>
        <w:kinsoku/>
        <w:overflowPunct/>
        <w:topLinePunct/>
        <w:bidi w:val="0"/>
        <w:spacing w:line="360" w:lineRule="auto"/>
        <w:ind w:left="424" w:hanging="424" w:hangingChars="202"/>
        <w:jc w:val="left"/>
        <w:rPr>
          <w:rFonts w:hint="eastAsia" w:ascii="宋体" w:hAnsi="宋体" w:eastAsia="宋体" w:cs="宋体"/>
          <w:color w:val="auto"/>
        </w:rPr>
      </w:pPr>
      <w:r>
        <w:rPr>
          <w:rFonts w:hint="eastAsia" w:ascii="宋体" w:hAnsi="宋体" w:eastAsia="宋体" w:cs="宋体"/>
          <w:color w:val="auto"/>
        </w:rPr>
        <w:t>应按照技术规范书规定的先后顺序提供。</w:t>
      </w:r>
    </w:p>
    <w:p w14:paraId="447E2E6A">
      <w:pPr>
        <w:pageBreakBefore w:val="0"/>
        <w:numPr>
          <w:ilvl w:val="0"/>
          <w:numId w:val="41"/>
        </w:numPr>
        <w:kinsoku/>
        <w:overflowPunct/>
        <w:topLinePunct/>
        <w:bidi w:val="0"/>
        <w:spacing w:line="360" w:lineRule="auto"/>
        <w:ind w:left="424" w:hanging="424" w:hangingChars="202"/>
        <w:jc w:val="left"/>
        <w:rPr>
          <w:rFonts w:hint="eastAsia" w:ascii="宋体" w:hAnsi="宋体" w:eastAsia="宋体" w:cs="宋体"/>
          <w:color w:val="auto"/>
        </w:rPr>
      </w:pPr>
      <w:r>
        <w:rPr>
          <w:rFonts w:hint="eastAsia" w:ascii="宋体" w:hAnsi="宋体" w:eastAsia="宋体" w:cs="宋体"/>
          <w:color w:val="auto"/>
        </w:rPr>
        <w:t>要求提供原件的，需提供文件原件；</w:t>
      </w:r>
      <w:r>
        <w:rPr>
          <w:rFonts w:hint="eastAsia" w:ascii="宋体" w:hAnsi="宋体" w:eastAsia="宋体" w:cs="宋体"/>
          <w:color w:val="auto"/>
          <w:lang w:val="en-US" w:eastAsia="zh-CN"/>
        </w:rPr>
        <w:t>其他</w:t>
      </w:r>
      <w:r>
        <w:rPr>
          <w:rFonts w:hint="eastAsia" w:ascii="宋体" w:hAnsi="宋体" w:eastAsia="宋体" w:cs="宋体"/>
          <w:color w:val="auto"/>
        </w:rPr>
        <w:t>证明文件可为</w:t>
      </w:r>
      <w:r>
        <w:rPr>
          <w:rFonts w:hint="eastAsia" w:ascii="宋体" w:hAnsi="宋体" w:eastAsia="宋体" w:cs="宋体"/>
          <w:color w:val="auto"/>
          <w:lang w:val="en-US" w:eastAsia="zh-CN"/>
        </w:rPr>
        <w:t>扫描件</w:t>
      </w:r>
      <w:r>
        <w:rPr>
          <w:rFonts w:hint="eastAsia" w:ascii="宋体" w:hAnsi="宋体" w:eastAsia="宋体" w:cs="宋体"/>
          <w:color w:val="auto"/>
        </w:rPr>
        <w:t>。</w:t>
      </w:r>
    </w:p>
    <w:p w14:paraId="4C46880D">
      <w:pPr>
        <w:pageBreakBefore w:val="0"/>
        <w:kinsoku/>
        <w:overflowPunct/>
        <w:bidi w:val="0"/>
        <w:spacing w:line="360" w:lineRule="auto"/>
        <w:ind w:left="424" w:hanging="424" w:hangingChars="202"/>
        <w:rPr>
          <w:rFonts w:hint="eastAsia" w:ascii="宋体" w:hAnsi="宋体" w:eastAsia="宋体" w:cs="宋体"/>
          <w:color w:val="auto"/>
        </w:rPr>
        <w:sectPr>
          <w:pgSz w:w="11906" w:h="16838"/>
          <w:pgMar w:top="1440" w:right="1797" w:bottom="1440" w:left="1797" w:header="851" w:footer="992" w:gutter="0"/>
          <w:pgNumType w:fmt="decimal"/>
          <w:cols w:space="425" w:num="1"/>
          <w:docGrid w:type="lines" w:linePitch="312" w:charSpace="0"/>
        </w:sectPr>
      </w:pPr>
    </w:p>
    <w:p w14:paraId="05F35AC5">
      <w:pPr>
        <w:pStyle w:val="39"/>
        <w:pageBreakBefore w:val="0"/>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596" w:name="_Toc4754"/>
      <w:bookmarkStart w:id="1597" w:name="_Toc38008103"/>
      <w:bookmarkStart w:id="1598" w:name="_Toc475472693"/>
      <w:r>
        <w:rPr>
          <w:rFonts w:hint="eastAsia" w:ascii="宋体" w:hAnsi="宋体" w:eastAsia="宋体" w:cs="宋体"/>
          <w:color w:val="auto"/>
          <w:sz w:val="24"/>
          <w:szCs w:val="24"/>
        </w:rPr>
        <w:t>第三分册 报价</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文件</w:t>
      </w:r>
      <w:bookmarkEnd w:id="1596"/>
      <w:bookmarkEnd w:id="1597"/>
    </w:p>
    <w:p w14:paraId="0D59932C">
      <w:pPr>
        <w:pStyle w:val="39"/>
        <w:pageBreakBefore w:val="0"/>
        <w:numPr>
          <w:ilvl w:val="0"/>
          <w:numId w:val="29"/>
        </w:numPr>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599" w:name="_Toc16467"/>
      <w:bookmarkStart w:id="1600" w:name="_Toc38008104"/>
      <w:r>
        <w:rPr>
          <w:rFonts w:hint="eastAsia" w:ascii="宋体" w:hAnsi="宋体" w:eastAsia="宋体" w:cs="宋体"/>
          <w:color w:val="auto"/>
          <w:sz w:val="24"/>
          <w:szCs w:val="24"/>
        </w:rPr>
        <w:t>报价文件封面</w:t>
      </w:r>
      <w:bookmarkEnd w:id="1598"/>
      <w:bookmarkEnd w:id="1599"/>
      <w:bookmarkEnd w:id="1600"/>
    </w:p>
    <w:p w14:paraId="14E7B328">
      <w:pPr>
        <w:pageBreakBefore w:val="0"/>
        <w:kinsoku/>
        <w:overflowPunct/>
        <w:bidi w:val="0"/>
        <w:spacing w:after="120" w:line="360" w:lineRule="auto"/>
        <w:jc w:val="center"/>
        <w:rPr>
          <w:rFonts w:hint="eastAsia" w:ascii="宋体" w:hAnsi="宋体" w:eastAsia="宋体" w:cs="宋体"/>
          <w:color w:val="auto"/>
          <w:sz w:val="32"/>
          <w:szCs w:val="32"/>
          <w:u w:val="single"/>
        </w:rPr>
      </w:pPr>
    </w:p>
    <w:p w14:paraId="734D92A0">
      <w:pPr>
        <w:pageBreakBefore w:val="0"/>
        <w:kinsoku/>
        <w:overflowPunct/>
        <w:bidi w:val="0"/>
        <w:spacing w:after="120" w:line="360" w:lineRule="auto"/>
        <w:jc w:val="center"/>
        <w:rPr>
          <w:rFonts w:hint="eastAsia" w:ascii="宋体" w:hAnsi="宋体" w:eastAsia="宋体" w:cs="宋体"/>
          <w:color w:val="auto"/>
          <w:sz w:val="32"/>
          <w:szCs w:val="32"/>
          <w:u w:val="single"/>
        </w:rPr>
      </w:pPr>
    </w:p>
    <w:p w14:paraId="3340F9CE">
      <w:pPr>
        <w:pageBreakBefore w:val="0"/>
        <w:kinsoku/>
        <w:overflowPunct/>
        <w:bidi w:val="0"/>
        <w:spacing w:after="120" w:line="360" w:lineRule="auto"/>
        <w:jc w:val="center"/>
        <w:rPr>
          <w:rFonts w:hint="eastAsia" w:ascii="宋体" w:hAnsi="宋体" w:eastAsia="宋体" w:cs="宋体"/>
          <w:b/>
          <w:color w:val="auto"/>
          <w:sz w:val="30"/>
          <w:szCs w:val="30"/>
        </w:rPr>
      </w:pPr>
      <w:r>
        <w:rPr>
          <w:rFonts w:hint="eastAsia" w:ascii="宋体" w:hAnsi="宋体" w:eastAsia="宋体" w:cs="宋体"/>
          <w:color w:val="auto"/>
          <w:sz w:val="28"/>
          <w:szCs w:val="28"/>
        </w:rPr>
        <w:t>（项目名称）</w:t>
      </w:r>
    </w:p>
    <w:p w14:paraId="2BBFB26C">
      <w:pPr>
        <w:pageBreakBefore w:val="0"/>
        <w:kinsoku/>
        <w:overflowPunct/>
        <w:bidi w:val="0"/>
        <w:spacing w:line="360" w:lineRule="auto"/>
        <w:jc w:val="center"/>
        <w:rPr>
          <w:rFonts w:hint="eastAsia" w:ascii="宋体" w:hAnsi="宋体" w:eastAsia="宋体" w:cs="宋体"/>
          <w:color w:val="auto"/>
          <w:sz w:val="28"/>
          <w:szCs w:val="28"/>
        </w:rPr>
      </w:pPr>
    </w:p>
    <w:p w14:paraId="0D44672C">
      <w:pPr>
        <w:pageBreakBefore w:val="0"/>
        <w:kinsoku/>
        <w:overflowPunct/>
        <w:bidi w:val="0"/>
        <w:spacing w:line="360" w:lineRule="auto"/>
        <w:jc w:val="center"/>
        <w:rPr>
          <w:rFonts w:hint="eastAsia" w:ascii="宋体" w:hAnsi="宋体" w:eastAsia="宋体" w:cs="宋体"/>
          <w:color w:val="auto"/>
          <w:szCs w:val="21"/>
        </w:rPr>
      </w:pPr>
    </w:p>
    <w:p w14:paraId="763F406D">
      <w:pPr>
        <w:pageBreakBefore w:val="0"/>
        <w:kinsoku/>
        <w:overflowPunct/>
        <w:bidi w:val="0"/>
        <w:spacing w:line="360" w:lineRule="auto"/>
        <w:jc w:val="center"/>
        <w:rPr>
          <w:rFonts w:hint="eastAsia" w:ascii="宋体" w:hAnsi="宋体" w:eastAsia="宋体" w:cs="宋体"/>
          <w:color w:val="auto"/>
          <w:szCs w:val="21"/>
        </w:rPr>
      </w:pPr>
    </w:p>
    <w:p w14:paraId="7ABD40EC">
      <w:pPr>
        <w:pageBreakBefore w:val="0"/>
        <w:kinsoku/>
        <w:overflowPunct/>
        <w:bidi w:val="0"/>
        <w:spacing w:line="360" w:lineRule="auto"/>
        <w:jc w:val="center"/>
        <w:rPr>
          <w:rFonts w:hint="eastAsia" w:ascii="宋体" w:hAnsi="宋体" w:eastAsia="宋体" w:cs="宋体"/>
          <w:color w:val="auto"/>
          <w:szCs w:val="21"/>
        </w:rPr>
      </w:pPr>
    </w:p>
    <w:p w14:paraId="771A1ACD">
      <w:pPr>
        <w:pageBreakBefore w:val="0"/>
        <w:kinsoku/>
        <w:overflowPunct/>
        <w:bidi w:val="0"/>
        <w:spacing w:after="120"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投标文件【报价文件】部分</w:t>
      </w:r>
    </w:p>
    <w:p w14:paraId="6C11E926">
      <w:pPr>
        <w:pageBreakBefore w:val="0"/>
        <w:kinsoku/>
        <w:overflowPunct/>
        <w:bidi w:val="0"/>
        <w:spacing w:after="120" w:line="360" w:lineRule="auto"/>
        <w:jc w:val="center"/>
        <w:rPr>
          <w:rFonts w:hint="eastAsia" w:ascii="宋体" w:hAnsi="宋体" w:eastAsia="宋体" w:cs="宋体"/>
          <w:b/>
          <w:color w:val="auto"/>
          <w:sz w:val="32"/>
          <w:szCs w:val="32"/>
        </w:rPr>
      </w:pPr>
    </w:p>
    <w:p w14:paraId="04166639">
      <w:pPr>
        <w:pageBreakBefore w:val="0"/>
        <w:kinsoku/>
        <w:overflowPunct/>
        <w:bidi w:val="0"/>
        <w:spacing w:after="120" w:line="360" w:lineRule="auto"/>
        <w:jc w:val="center"/>
        <w:rPr>
          <w:rFonts w:hint="eastAsia" w:ascii="宋体" w:hAnsi="宋体" w:eastAsia="宋体" w:cs="宋体"/>
          <w:b/>
          <w:color w:val="auto"/>
          <w:sz w:val="32"/>
          <w:szCs w:val="32"/>
        </w:rPr>
      </w:pPr>
    </w:p>
    <w:p w14:paraId="64B6708D">
      <w:pPr>
        <w:pageBreakBefore w:val="0"/>
        <w:kinsoku/>
        <w:overflowPunct/>
        <w:bidi w:val="0"/>
        <w:spacing w:after="120" w:line="360" w:lineRule="auto"/>
        <w:jc w:val="center"/>
        <w:rPr>
          <w:rFonts w:hint="eastAsia" w:ascii="宋体" w:hAnsi="宋体" w:eastAsia="宋体" w:cs="宋体"/>
          <w:b/>
          <w:color w:val="auto"/>
          <w:sz w:val="32"/>
          <w:szCs w:val="32"/>
        </w:rPr>
      </w:pPr>
    </w:p>
    <w:p w14:paraId="17171351">
      <w:pPr>
        <w:pageBreakBefore w:val="0"/>
        <w:kinsoku/>
        <w:overflowPunct/>
        <w:bidi w:val="0"/>
        <w:spacing w:after="120" w:line="360" w:lineRule="auto"/>
        <w:jc w:val="center"/>
        <w:rPr>
          <w:rFonts w:hint="eastAsia" w:ascii="宋体" w:hAnsi="宋体" w:eastAsia="宋体" w:cs="宋体"/>
          <w:b/>
          <w:color w:val="auto"/>
          <w:sz w:val="32"/>
          <w:szCs w:val="32"/>
        </w:rPr>
      </w:pPr>
    </w:p>
    <w:p w14:paraId="49EA01A4">
      <w:pPr>
        <w:pageBreakBefore w:val="0"/>
        <w:kinsoku/>
        <w:overflowPunct/>
        <w:bidi w:val="0"/>
        <w:spacing w:after="120" w:line="360" w:lineRule="auto"/>
        <w:jc w:val="center"/>
        <w:rPr>
          <w:rFonts w:hint="eastAsia" w:ascii="宋体" w:hAnsi="宋体" w:eastAsia="宋体" w:cs="宋体"/>
          <w:b/>
          <w:color w:val="auto"/>
          <w:sz w:val="32"/>
          <w:szCs w:val="32"/>
        </w:rPr>
      </w:pPr>
    </w:p>
    <w:p w14:paraId="0BF7D343">
      <w:pPr>
        <w:pageBreakBefore w:val="0"/>
        <w:kinsoku/>
        <w:overflowPunct/>
        <w:bidi w:val="0"/>
        <w:spacing w:after="120" w:line="360" w:lineRule="auto"/>
        <w:jc w:val="center"/>
        <w:rPr>
          <w:rFonts w:hint="eastAsia" w:ascii="宋体" w:hAnsi="宋体" w:eastAsia="宋体" w:cs="宋体"/>
          <w:b/>
          <w:color w:val="auto"/>
          <w:sz w:val="32"/>
          <w:szCs w:val="32"/>
        </w:rPr>
      </w:pPr>
    </w:p>
    <w:p w14:paraId="507B6FBC">
      <w:pPr>
        <w:pageBreakBefore w:val="0"/>
        <w:kinsoku/>
        <w:overflowPunct/>
        <w:bidi w:val="0"/>
        <w:spacing w:line="360" w:lineRule="auto"/>
        <w:ind w:firstLine="1456" w:firstLineChars="607"/>
        <w:rPr>
          <w:rFonts w:hint="eastAsia" w:ascii="宋体" w:hAnsi="宋体" w:eastAsia="宋体" w:cs="宋体"/>
          <w:color w:val="auto"/>
          <w:sz w:val="24"/>
          <w:szCs w:val="21"/>
        </w:rPr>
      </w:pPr>
      <w:r>
        <w:rPr>
          <w:rFonts w:hint="eastAsia" w:ascii="宋体" w:hAnsi="宋体" w:eastAsia="宋体" w:cs="宋体"/>
          <w:color w:val="auto"/>
          <w:sz w:val="24"/>
          <w:szCs w:val="21"/>
        </w:rPr>
        <w:t>投标人名称：</w:t>
      </w:r>
      <w:r>
        <w:rPr>
          <w:rFonts w:hint="eastAsia" w:ascii="宋体" w:hAnsi="宋体" w:eastAsia="宋体" w:cs="宋体"/>
          <w:color w:val="auto"/>
          <w:sz w:val="24"/>
          <w:szCs w:val="21"/>
          <w:u w:val="single"/>
        </w:rPr>
        <w:t xml:space="preserve">　　　　　　　　            </w:t>
      </w:r>
    </w:p>
    <w:p w14:paraId="0970C1CE">
      <w:pPr>
        <w:pageBreakBefore w:val="0"/>
        <w:kinsoku/>
        <w:overflowPunct/>
        <w:bidi w:val="0"/>
        <w:spacing w:line="360" w:lineRule="auto"/>
        <w:ind w:firstLine="1456" w:firstLineChars="607"/>
        <w:jc w:val="left"/>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_     __ </w:t>
      </w:r>
      <w:r>
        <w:rPr>
          <w:rFonts w:hint="eastAsia" w:ascii="宋体" w:hAnsi="宋体" w:eastAsia="宋体" w:cs="宋体"/>
          <w:color w:val="auto"/>
          <w:sz w:val="24"/>
        </w:rPr>
        <w:t>年</w:t>
      </w:r>
      <w:r>
        <w:rPr>
          <w:rFonts w:hint="eastAsia" w:ascii="宋体" w:hAnsi="宋体" w:eastAsia="宋体" w:cs="宋体"/>
          <w:color w:val="auto"/>
          <w:sz w:val="24"/>
          <w:u w:val="single"/>
        </w:rPr>
        <w:t>_     __</w:t>
      </w:r>
      <w:r>
        <w:rPr>
          <w:rFonts w:hint="eastAsia" w:ascii="宋体" w:hAnsi="宋体" w:eastAsia="宋体" w:cs="宋体"/>
          <w:color w:val="auto"/>
          <w:sz w:val="24"/>
        </w:rPr>
        <w:t>月</w:t>
      </w:r>
      <w:r>
        <w:rPr>
          <w:rFonts w:hint="eastAsia" w:ascii="宋体" w:hAnsi="宋体" w:eastAsia="宋体" w:cs="宋体"/>
          <w:color w:val="auto"/>
          <w:sz w:val="24"/>
          <w:u w:val="single"/>
        </w:rPr>
        <w:t>_    _ _</w:t>
      </w:r>
      <w:r>
        <w:rPr>
          <w:rFonts w:hint="eastAsia" w:ascii="宋体" w:hAnsi="宋体" w:eastAsia="宋体" w:cs="宋体"/>
          <w:color w:val="auto"/>
          <w:sz w:val="24"/>
        </w:rPr>
        <w:t>日</w:t>
      </w:r>
    </w:p>
    <w:p w14:paraId="20BAD628">
      <w:pPr>
        <w:pageBreakBefore w:val="0"/>
        <w:kinsoku/>
        <w:overflowPunct/>
        <w:bidi w:val="0"/>
        <w:spacing w:line="360" w:lineRule="auto"/>
        <w:ind w:firstLine="1274" w:firstLineChars="607"/>
        <w:jc w:val="left"/>
        <w:rPr>
          <w:rFonts w:hint="eastAsia" w:ascii="宋体" w:hAnsi="宋体" w:eastAsia="宋体" w:cs="宋体"/>
          <w:color w:val="auto"/>
          <w:szCs w:val="21"/>
        </w:rPr>
      </w:pPr>
    </w:p>
    <w:p w14:paraId="791DCC8A">
      <w:pPr>
        <w:pageBreakBefore w:val="0"/>
        <w:kinsoku/>
        <w:overflowPunct/>
        <w:topLinePunct/>
        <w:bidi w:val="0"/>
        <w:spacing w:line="360" w:lineRule="auto"/>
        <w:jc w:val="left"/>
        <w:rPr>
          <w:rFonts w:hint="eastAsia" w:ascii="宋体" w:hAnsi="宋体" w:eastAsia="宋体" w:cs="宋体"/>
          <w:color w:val="auto"/>
        </w:rPr>
        <w:sectPr>
          <w:pgSz w:w="11906" w:h="16838"/>
          <w:pgMar w:top="1440" w:right="1797" w:bottom="1440" w:left="1797" w:header="851" w:footer="992" w:gutter="0"/>
          <w:pgNumType w:fmt="decimal"/>
          <w:cols w:space="425" w:num="1"/>
          <w:docGrid w:type="lines" w:linePitch="312" w:charSpace="0"/>
        </w:sectPr>
      </w:pPr>
      <w:r>
        <w:rPr>
          <w:rFonts w:hint="eastAsia" w:ascii="宋体" w:hAnsi="宋体" w:eastAsia="宋体" w:cs="宋体"/>
          <w:color w:val="auto"/>
        </w:rPr>
        <w:t xml:space="preserve"> </w:t>
      </w:r>
      <w:r>
        <w:rPr>
          <w:rFonts w:hint="eastAsia" w:ascii="宋体" w:hAnsi="宋体" w:eastAsia="宋体" w:cs="宋体"/>
          <w:b/>
          <w:color w:val="auto"/>
        </w:rPr>
        <w:t>编制要求</w:t>
      </w:r>
      <w:r>
        <w:rPr>
          <w:rFonts w:hint="eastAsia" w:ascii="宋体" w:hAnsi="宋体" w:eastAsia="宋体" w:cs="宋体"/>
          <w:color w:val="auto"/>
        </w:rPr>
        <w:t>：投标人可以根据实际情况对本文件进行调整和修改，但应满足招标文件对本文件的要求。</w:t>
      </w:r>
    </w:p>
    <w:p w14:paraId="70D124E2">
      <w:pPr>
        <w:pageBreakBefore w:val="0"/>
        <w:kinsoku/>
        <w:overflowPunct/>
        <w:topLinePunct/>
        <w:bidi w:val="0"/>
        <w:spacing w:line="360" w:lineRule="auto"/>
        <w:jc w:val="left"/>
        <w:rPr>
          <w:rFonts w:hint="eastAsia" w:ascii="宋体" w:hAnsi="宋体" w:eastAsia="宋体" w:cs="宋体"/>
          <w:color w:val="auto"/>
        </w:rPr>
        <w:sectPr>
          <w:type w:val="continuous"/>
          <w:pgSz w:w="11906" w:h="16838"/>
          <w:pgMar w:top="1440" w:right="1797" w:bottom="1440" w:left="1797" w:header="851" w:footer="992" w:gutter="0"/>
          <w:pgNumType w:fmt="decimal"/>
          <w:cols w:space="425" w:num="1"/>
          <w:docGrid w:type="lines" w:linePitch="312" w:charSpace="0"/>
        </w:sectPr>
      </w:pPr>
    </w:p>
    <w:p w14:paraId="5BE6A8FA">
      <w:pPr>
        <w:pStyle w:val="39"/>
        <w:pageBreakBefore w:val="0"/>
        <w:numPr>
          <w:ilvl w:val="0"/>
          <w:numId w:val="29"/>
        </w:numPr>
        <w:tabs>
          <w:tab w:val="left" w:pos="588"/>
        </w:tabs>
        <w:kinsoku/>
        <w:overflowPunct/>
        <w:bidi w:val="0"/>
        <w:snapToGrid w:val="0"/>
        <w:spacing w:before="120" w:after="120" w:line="360" w:lineRule="auto"/>
        <w:jc w:val="left"/>
        <w:rPr>
          <w:rFonts w:hint="eastAsia" w:ascii="宋体" w:hAnsi="宋体" w:eastAsia="宋体" w:cs="宋体"/>
          <w:color w:val="auto"/>
          <w:sz w:val="24"/>
          <w:szCs w:val="24"/>
        </w:rPr>
      </w:pPr>
      <w:bookmarkStart w:id="1601" w:name="_Toc475472694"/>
      <w:bookmarkStart w:id="1602" w:name="_Toc38008105"/>
      <w:bookmarkStart w:id="1603" w:name="_Toc447265635"/>
      <w:bookmarkStart w:id="1604" w:name="_Toc25604"/>
      <w:bookmarkStart w:id="1605" w:name="_Toc447265349"/>
      <w:r>
        <w:rPr>
          <w:rFonts w:hint="eastAsia" w:ascii="宋体" w:hAnsi="宋体" w:eastAsia="宋体" w:cs="宋体"/>
          <w:color w:val="auto"/>
          <w:sz w:val="24"/>
          <w:szCs w:val="24"/>
        </w:rPr>
        <w:t>投标一览表</w:t>
      </w:r>
      <w:bookmarkEnd w:id="1601"/>
      <w:bookmarkEnd w:id="1602"/>
      <w:bookmarkEnd w:id="1603"/>
      <w:bookmarkEnd w:id="1604"/>
      <w:bookmarkEnd w:id="1605"/>
    </w:p>
    <w:p w14:paraId="3EAA8A34">
      <w:pPr>
        <w:pageBreakBefore w:val="0"/>
        <w:kinsoku/>
        <w:overflowPunct/>
        <w:bidi w:val="0"/>
        <w:spacing w:line="360" w:lineRule="auto"/>
        <w:jc w:val="center"/>
        <w:rPr>
          <w:rFonts w:hint="eastAsia" w:ascii="宋体" w:hAnsi="宋体" w:eastAsia="宋体" w:cs="宋体"/>
          <w:color w:val="auto"/>
          <w:szCs w:val="21"/>
        </w:rPr>
      </w:pPr>
      <w:r>
        <w:rPr>
          <w:rFonts w:hint="eastAsia" w:ascii="宋体" w:hAnsi="宋体" w:eastAsia="宋体" w:cs="宋体"/>
          <w:b/>
          <w:color w:val="auto"/>
          <w:sz w:val="24"/>
        </w:rPr>
        <w:t>投标一览表</w:t>
      </w:r>
    </w:p>
    <w:p w14:paraId="632A894C">
      <w:pPr>
        <w:pageBreakBefore w:val="0"/>
        <w:kinsoku/>
        <w:overflowPunct/>
        <w:bidi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项目名称：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p>
    <w:p w14:paraId="1B12C1CA">
      <w:pPr>
        <w:pageBreakBefore w:val="0"/>
        <w:kinsoku/>
        <w:overflowPunct/>
        <w:bidi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招标编号：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p>
    <w:p w14:paraId="09B12B9A">
      <w:pPr>
        <w:pageBreakBefore w:val="0"/>
        <w:kinsoku/>
        <w:overflowPunct/>
        <w:bidi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货币单位：元人民币</w:t>
      </w:r>
    </w:p>
    <w:tbl>
      <w:tblPr>
        <w:tblStyle w:val="4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9"/>
        <w:gridCol w:w="1077"/>
        <w:gridCol w:w="1786"/>
        <w:gridCol w:w="1666"/>
        <w:gridCol w:w="920"/>
        <w:gridCol w:w="1409"/>
        <w:gridCol w:w="1232"/>
      </w:tblGrid>
      <w:tr w14:paraId="25540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2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BD1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32" w:type="pct"/>
            <w:tcBorders>
              <w:top w:val="single" w:color="000000" w:sz="8" w:space="0"/>
              <w:left w:val="nil"/>
              <w:bottom w:val="single" w:color="000000" w:sz="8" w:space="0"/>
              <w:right w:val="single" w:color="000000" w:sz="8" w:space="0"/>
            </w:tcBorders>
            <w:shd w:val="clear" w:color="auto" w:fill="auto"/>
            <w:vAlign w:val="center"/>
          </w:tcPr>
          <w:p w14:paraId="5DEA4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采购项目</w:t>
            </w:r>
          </w:p>
        </w:tc>
        <w:tc>
          <w:tcPr>
            <w:tcW w:w="1048" w:type="pct"/>
            <w:tcBorders>
              <w:top w:val="single" w:color="000000" w:sz="8" w:space="0"/>
              <w:left w:val="nil"/>
              <w:bottom w:val="single" w:color="000000" w:sz="8" w:space="0"/>
              <w:right w:val="single" w:color="000000" w:sz="8" w:space="0"/>
            </w:tcBorders>
            <w:shd w:val="clear" w:color="auto" w:fill="auto"/>
            <w:vAlign w:val="center"/>
          </w:tcPr>
          <w:p w14:paraId="08D01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本项目包含的工作内容</w:t>
            </w:r>
          </w:p>
        </w:tc>
        <w:tc>
          <w:tcPr>
            <w:tcW w:w="978" w:type="pct"/>
            <w:tcBorders>
              <w:top w:val="single" w:color="000000" w:sz="8" w:space="0"/>
              <w:left w:val="nil"/>
              <w:bottom w:val="single" w:color="000000" w:sz="8" w:space="0"/>
              <w:right w:val="single" w:color="000000" w:sz="8" w:space="0"/>
            </w:tcBorders>
            <w:shd w:val="clear" w:color="auto" w:fill="auto"/>
            <w:vAlign w:val="center"/>
          </w:tcPr>
          <w:p w14:paraId="15AF2CBD">
            <w:pPr>
              <w:keepNext w:val="0"/>
              <w:keepLines w:val="0"/>
              <w:widowControl/>
              <w:suppressLineNumbers w:val="0"/>
              <w:jc w:val="center"/>
              <w:textAlignment w:val="center"/>
              <w:rPr>
                <w:rFonts w:hint="eastAsia" w:ascii="宋体" w:hAnsi="宋体" w:eastAsia="宋体" w:cs="宋体"/>
                <w:b/>
                <w:bCs/>
                <w:i w:val="0"/>
                <w:iCs w:val="0"/>
                <w:color w:val="000000"/>
                <w:sz w:val="20"/>
                <w:szCs w:val="20"/>
                <w:u w:val="single"/>
              </w:rPr>
            </w:pPr>
            <w:r>
              <w:rPr>
                <w:rFonts w:hint="eastAsia" w:ascii="宋体" w:hAnsi="宋体" w:eastAsia="宋体" w:cs="宋体"/>
                <w:b/>
                <w:bCs/>
                <w:i w:val="0"/>
                <w:iCs w:val="0"/>
                <w:color w:val="000000"/>
                <w:kern w:val="0"/>
                <w:sz w:val="20"/>
                <w:szCs w:val="20"/>
                <w:u w:val="single"/>
                <w:lang w:val="en-US" w:eastAsia="zh-CN" w:bidi="ar"/>
              </w:rPr>
              <w:t>★不含税折扣最高限价</w:t>
            </w:r>
          </w:p>
        </w:tc>
        <w:tc>
          <w:tcPr>
            <w:tcW w:w="540" w:type="pct"/>
            <w:tcBorders>
              <w:top w:val="single" w:color="000000" w:sz="8" w:space="0"/>
              <w:left w:val="nil"/>
              <w:bottom w:val="single" w:color="000000" w:sz="8" w:space="0"/>
              <w:right w:val="single" w:color="000000" w:sz="8" w:space="0"/>
            </w:tcBorders>
            <w:shd w:val="clear" w:color="auto" w:fill="auto"/>
            <w:vAlign w:val="center"/>
          </w:tcPr>
          <w:p w14:paraId="04373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不含税报价折扣</w:t>
            </w:r>
          </w:p>
        </w:tc>
        <w:tc>
          <w:tcPr>
            <w:tcW w:w="827" w:type="pct"/>
            <w:tcBorders>
              <w:top w:val="single" w:color="000000" w:sz="8" w:space="0"/>
              <w:left w:val="nil"/>
              <w:bottom w:val="single" w:color="000000" w:sz="8" w:space="0"/>
              <w:right w:val="single" w:color="000000" w:sz="8" w:space="0"/>
            </w:tcBorders>
            <w:shd w:val="clear" w:color="auto" w:fill="auto"/>
            <w:vAlign w:val="center"/>
          </w:tcPr>
          <w:p w14:paraId="13EDD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增值税税率</w:t>
            </w:r>
          </w:p>
        </w:tc>
        <w:tc>
          <w:tcPr>
            <w:tcW w:w="720" w:type="pct"/>
            <w:tcBorders>
              <w:top w:val="single" w:color="000000" w:sz="8" w:space="0"/>
              <w:left w:val="nil"/>
              <w:bottom w:val="single" w:color="000000" w:sz="8" w:space="0"/>
              <w:right w:val="single" w:color="000000" w:sz="8" w:space="0"/>
            </w:tcBorders>
            <w:shd w:val="clear" w:color="auto" w:fill="auto"/>
            <w:vAlign w:val="center"/>
          </w:tcPr>
          <w:p w14:paraId="0894E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3F03A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252" w:type="pct"/>
            <w:tcBorders>
              <w:top w:val="nil"/>
              <w:left w:val="single" w:color="000000" w:sz="8" w:space="0"/>
              <w:bottom w:val="single" w:color="000000" w:sz="8" w:space="0"/>
              <w:right w:val="single" w:color="000000" w:sz="8" w:space="0"/>
            </w:tcBorders>
            <w:shd w:val="clear" w:color="auto" w:fill="auto"/>
            <w:vAlign w:val="center"/>
          </w:tcPr>
          <w:p w14:paraId="68BBC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2" w:type="pct"/>
            <w:tcBorders>
              <w:top w:val="nil"/>
              <w:left w:val="nil"/>
              <w:bottom w:val="single" w:color="000000" w:sz="8" w:space="0"/>
              <w:right w:val="single" w:color="000000" w:sz="8" w:space="0"/>
            </w:tcBorders>
            <w:shd w:val="clear" w:color="auto" w:fill="auto"/>
            <w:vAlign w:val="center"/>
          </w:tcPr>
          <w:p w14:paraId="2B594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2025年中国电信贵阳分公司低压动力设备维护抢修服务框架采购</w:t>
            </w:r>
          </w:p>
        </w:tc>
        <w:tc>
          <w:tcPr>
            <w:tcW w:w="1048" w:type="pct"/>
            <w:tcBorders>
              <w:top w:val="nil"/>
              <w:left w:val="nil"/>
              <w:bottom w:val="single" w:color="000000" w:sz="8" w:space="0"/>
              <w:right w:val="single" w:color="000000" w:sz="8" w:space="0"/>
            </w:tcBorders>
            <w:shd w:val="clear" w:color="auto" w:fill="auto"/>
            <w:vAlign w:val="center"/>
          </w:tcPr>
          <w:p w14:paraId="73B31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与招标文件内第五章技术规范书要求</w:t>
            </w:r>
          </w:p>
        </w:tc>
        <w:tc>
          <w:tcPr>
            <w:tcW w:w="978" w:type="pct"/>
            <w:tcBorders>
              <w:top w:val="nil"/>
              <w:left w:val="nil"/>
              <w:bottom w:val="single" w:color="000000" w:sz="8" w:space="0"/>
              <w:right w:val="single" w:color="000000" w:sz="8" w:space="0"/>
            </w:tcBorders>
            <w:shd w:val="clear" w:color="auto" w:fill="auto"/>
            <w:vAlign w:val="center"/>
          </w:tcPr>
          <w:p w14:paraId="4D28076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100.00%</w:t>
            </w:r>
          </w:p>
        </w:tc>
        <w:tc>
          <w:tcPr>
            <w:tcW w:w="540" w:type="pct"/>
            <w:tcBorders>
              <w:top w:val="nil"/>
              <w:left w:val="nil"/>
              <w:bottom w:val="single" w:color="000000" w:sz="8" w:space="0"/>
              <w:right w:val="single" w:color="000000" w:sz="8" w:space="0"/>
            </w:tcBorders>
            <w:shd w:val="clear" w:color="auto" w:fill="auto"/>
            <w:vAlign w:val="center"/>
          </w:tcPr>
          <w:p w14:paraId="721D8B86">
            <w:pPr>
              <w:keepNext w:val="0"/>
              <w:keepLines w:val="0"/>
              <w:widowControl/>
              <w:suppressLineNumbers w:val="0"/>
              <w:jc w:val="center"/>
              <w:textAlignment w:val="center"/>
              <w:rPr>
                <w:rFonts w:hint="eastAsia" w:ascii="宋体" w:hAnsi="宋体" w:eastAsia="宋体" w:cs="宋体"/>
                <w:b/>
                <w:bCs/>
                <w:i w:val="0"/>
                <w:iCs w:val="0"/>
                <w:color w:val="000000"/>
                <w:sz w:val="20"/>
                <w:szCs w:val="20"/>
                <w:u w:val="single"/>
              </w:rPr>
            </w:pPr>
            <w:r>
              <w:rPr>
                <w:rFonts w:hint="eastAsia" w:ascii="宋体" w:hAnsi="宋体" w:eastAsia="宋体" w:cs="宋体"/>
                <w:b/>
                <w:bCs/>
                <w:i w:val="0"/>
                <w:iCs w:val="0"/>
                <w:color w:val="000000"/>
                <w:kern w:val="0"/>
                <w:sz w:val="20"/>
                <w:szCs w:val="20"/>
                <w:u w:val="single"/>
                <w:lang w:val="en-US" w:eastAsia="zh-CN" w:bidi="ar"/>
              </w:rPr>
              <w:t xml:space="preserve">   %</w:t>
            </w:r>
          </w:p>
        </w:tc>
        <w:tc>
          <w:tcPr>
            <w:tcW w:w="827" w:type="pct"/>
            <w:tcBorders>
              <w:top w:val="nil"/>
              <w:left w:val="nil"/>
              <w:bottom w:val="single" w:color="000000" w:sz="8" w:space="0"/>
              <w:right w:val="single" w:color="000000" w:sz="8" w:space="0"/>
            </w:tcBorders>
            <w:shd w:val="clear" w:color="auto" w:fill="auto"/>
            <w:vAlign w:val="center"/>
          </w:tcPr>
          <w:p w14:paraId="350EA3C5">
            <w:pPr>
              <w:keepNext w:val="0"/>
              <w:keepLines w:val="0"/>
              <w:widowControl/>
              <w:suppressLineNumbers w:val="0"/>
              <w:jc w:val="center"/>
              <w:textAlignment w:val="center"/>
              <w:rPr>
                <w:rFonts w:hint="eastAsia" w:ascii="宋体" w:hAnsi="宋体" w:eastAsia="宋体" w:cs="宋体"/>
                <w:b/>
                <w:bCs/>
                <w:i w:val="0"/>
                <w:iCs w:val="0"/>
                <w:color w:val="000000"/>
                <w:sz w:val="20"/>
                <w:szCs w:val="20"/>
                <w:u w:val="single"/>
              </w:rPr>
            </w:pPr>
            <w:r>
              <w:rPr>
                <w:rFonts w:hint="eastAsia" w:ascii="宋体" w:hAnsi="宋体" w:eastAsia="宋体" w:cs="宋体"/>
                <w:b/>
                <w:bCs/>
                <w:i w:val="0"/>
                <w:iCs w:val="0"/>
                <w:color w:val="000000"/>
                <w:kern w:val="0"/>
                <w:sz w:val="20"/>
                <w:szCs w:val="20"/>
                <w:u w:val="single"/>
                <w:lang w:val="en-US" w:eastAsia="zh-CN" w:bidi="ar"/>
              </w:rPr>
              <w:t xml:space="preserve">   %</w:t>
            </w:r>
          </w:p>
        </w:tc>
        <w:tc>
          <w:tcPr>
            <w:tcW w:w="720" w:type="pct"/>
            <w:tcBorders>
              <w:top w:val="nil"/>
              <w:left w:val="nil"/>
              <w:bottom w:val="single" w:color="000000" w:sz="8" w:space="0"/>
              <w:right w:val="single" w:color="000000" w:sz="8" w:space="0"/>
            </w:tcBorders>
            <w:shd w:val="clear" w:color="auto" w:fill="auto"/>
            <w:noWrap/>
            <w:vAlign w:val="bottom"/>
          </w:tcPr>
          <w:p w14:paraId="6E5A978D">
            <w:pPr>
              <w:rPr>
                <w:rFonts w:hint="eastAsia" w:ascii="宋体" w:hAnsi="宋体" w:eastAsia="宋体" w:cs="宋体"/>
                <w:i w:val="0"/>
                <w:iCs w:val="0"/>
                <w:color w:val="000000"/>
                <w:sz w:val="20"/>
                <w:szCs w:val="20"/>
                <w:u w:val="none"/>
              </w:rPr>
            </w:pPr>
          </w:p>
        </w:tc>
      </w:tr>
      <w:tr w14:paraId="629E6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5000" w:type="pct"/>
            <w:gridSpan w:val="7"/>
            <w:tcBorders>
              <w:top w:val="nil"/>
              <w:left w:val="nil"/>
              <w:bottom w:val="nil"/>
              <w:right w:val="nil"/>
            </w:tcBorders>
            <w:shd w:val="clear" w:color="auto" w:fill="auto"/>
            <w:vAlign w:val="center"/>
          </w:tcPr>
          <w:p w14:paraId="20D0F0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1、★本项目设置不含税最高折扣系数限价，不含税折扣系数报价超过不含税最高折扣系数限价的响应将被否决！折扣系数报价为0%的，表示免费；折扣系数报价为100%的，表示不打折。★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项目服务工作内容定额以《工业和信息化部关于印发信息通信建设工程预算定额、工程费用定额及工程概预算编制规程的通知》（工信部通信【2016】451号）的规定16定额为准，涉及定额外的工作内容基准价详见价格明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3、最终结算价格为供应商不含税折扣系数报价*16定额或基准价，基准价详见价格明细表</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报价应包含本项目所发生的全部费用，包括（但不限于）服务费、设备费、材料费、差旅、各种税金、利润、管理费、招标代理费等所有费用。若投标人在报价时存在费用漏报的情况，评审时不再调整，风险由投标人自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4、折扣报价四舍五入保留两位小数。</w:t>
            </w:r>
          </w:p>
        </w:tc>
      </w:tr>
    </w:tbl>
    <w:p w14:paraId="14F69D79">
      <w:pPr>
        <w:pageBreakBefore w:val="0"/>
        <w:kinsoku/>
        <w:overflowPunct/>
        <w:bidi w:val="0"/>
        <w:spacing w:line="360" w:lineRule="auto"/>
        <w:ind w:firstLine="2551" w:firstLineChars="1215"/>
        <w:rPr>
          <w:rFonts w:hint="eastAsia" w:ascii="宋体" w:hAnsi="宋体" w:eastAsia="宋体" w:cs="宋体"/>
          <w:color w:val="auto"/>
          <w:szCs w:val="21"/>
        </w:rPr>
      </w:pPr>
      <w:r>
        <w:rPr>
          <w:rFonts w:hint="eastAsia" w:ascii="宋体" w:hAnsi="宋体" w:eastAsia="宋体" w:cs="宋体"/>
          <w:color w:val="auto"/>
          <w:szCs w:val="21"/>
        </w:rPr>
        <w:t>投标人名称：</w:t>
      </w:r>
      <w:r>
        <w:rPr>
          <w:rFonts w:hint="eastAsia" w:ascii="宋体" w:hAnsi="宋体" w:eastAsia="宋体" w:cs="宋体"/>
          <w:color w:val="auto"/>
          <w:szCs w:val="21"/>
          <w:u w:val="single"/>
        </w:rPr>
        <w:t xml:space="preserve">　　　　　　　　            </w:t>
      </w:r>
    </w:p>
    <w:p w14:paraId="33AD33ED">
      <w:pPr>
        <w:pageBreakBefore w:val="0"/>
        <w:kinsoku/>
        <w:overflowPunct/>
        <w:bidi w:val="0"/>
        <w:spacing w:line="360" w:lineRule="auto"/>
        <w:ind w:firstLine="2551" w:firstLineChars="1215"/>
        <w:jc w:val="left"/>
        <w:rPr>
          <w:rFonts w:hint="eastAsia" w:ascii="宋体" w:hAnsi="宋体" w:eastAsia="宋体" w:cs="宋体"/>
          <w:color w:val="auto"/>
          <w:szCs w:val="21"/>
        </w:rPr>
      </w:pPr>
      <w:r>
        <w:rPr>
          <w:rFonts w:hint="eastAsia" w:ascii="宋体" w:hAnsi="宋体" w:eastAsia="宋体" w:cs="宋体"/>
          <w:color w:val="auto"/>
        </w:rPr>
        <w:t>日期：</w:t>
      </w:r>
      <w:r>
        <w:rPr>
          <w:rFonts w:hint="eastAsia" w:ascii="宋体" w:hAnsi="宋体" w:eastAsia="宋体" w:cs="宋体"/>
          <w:color w:val="auto"/>
          <w:u w:val="single"/>
        </w:rPr>
        <w:t xml:space="preserve">_     __ </w:t>
      </w:r>
      <w:r>
        <w:rPr>
          <w:rFonts w:hint="eastAsia" w:ascii="宋体" w:hAnsi="宋体" w:eastAsia="宋体" w:cs="宋体"/>
          <w:color w:val="auto"/>
        </w:rPr>
        <w:t>年</w:t>
      </w:r>
      <w:r>
        <w:rPr>
          <w:rFonts w:hint="eastAsia" w:ascii="宋体" w:hAnsi="宋体" w:eastAsia="宋体" w:cs="宋体"/>
          <w:color w:val="auto"/>
          <w:u w:val="single"/>
        </w:rPr>
        <w:t>_     __</w:t>
      </w:r>
      <w:r>
        <w:rPr>
          <w:rFonts w:hint="eastAsia" w:ascii="宋体" w:hAnsi="宋体" w:eastAsia="宋体" w:cs="宋体"/>
          <w:color w:val="auto"/>
        </w:rPr>
        <w:t>月</w:t>
      </w:r>
      <w:r>
        <w:rPr>
          <w:rFonts w:hint="eastAsia" w:ascii="宋体" w:hAnsi="宋体" w:eastAsia="宋体" w:cs="宋体"/>
          <w:color w:val="auto"/>
          <w:u w:val="single"/>
        </w:rPr>
        <w:t>_    _ _</w:t>
      </w:r>
      <w:r>
        <w:rPr>
          <w:rFonts w:hint="eastAsia" w:ascii="宋体" w:hAnsi="宋体" w:eastAsia="宋体" w:cs="宋体"/>
          <w:color w:val="auto"/>
        </w:rPr>
        <w:t>日</w:t>
      </w:r>
    </w:p>
    <w:p w14:paraId="5A1473C7">
      <w:pPr>
        <w:pageBreakBefore w:val="0"/>
        <w:kinsoku/>
        <w:overflowPunct/>
        <w:topLinePunct/>
        <w:bidi w:val="0"/>
        <w:spacing w:line="360" w:lineRule="auto"/>
        <w:jc w:val="left"/>
        <w:rPr>
          <w:rFonts w:hint="eastAsia" w:ascii="宋体" w:hAnsi="宋体" w:eastAsia="宋体" w:cs="宋体"/>
          <w:color w:val="auto"/>
          <w:szCs w:val="21"/>
        </w:rPr>
      </w:pPr>
      <w:r>
        <w:rPr>
          <w:rFonts w:hint="eastAsia" w:ascii="宋体" w:hAnsi="宋体" w:eastAsia="宋体" w:cs="宋体"/>
          <w:color w:val="auto"/>
        </w:rPr>
        <w:t xml:space="preserve"> </w:t>
      </w:r>
      <w:r>
        <w:rPr>
          <w:rFonts w:hint="eastAsia" w:ascii="宋体" w:hAnsi="宋体" w:eastAsia="宋体" w:cs="宋体"/>
          <w:b/>
          <w:color w:val="auto"/>
        </w:rPr>
        <w:t>编制要求：</w:t>
      </w:r>
      <w:r>
        <w:rPr>
          <w:rFonts w:hint="eastAsia" w:ascii="宋体" w:hAnsi="宋体" w:eastAsia="宋体" w:cs="宋体"/>
          <w:color w:val="auto"/>
        </w:rPr>
        <w:t>除本文件允许投标人进行填写的内容以外，投标人不得对本文件进行修改</w:t>
      </w:r>
      <w:r>
        <w:rPr>
          <w:rFonts w:hint="eastAsia" w:ascii="宋体" w:hAnsi="宋体" w:eastAsia="宋体" w:cs="宋体"/>
          <w:color w:val="auto"/>
          <w:szCs w:val="21"/>
        </w:rPr>
        <w:t>。</w:t>
      </w:r>
    </w:p>
    <w:p w14:paraId="0AF2B1BF">
      <w:pPr>
        <w:rPr>
          <w:rFonts w:hint="eastAsia" w:ascii="宋体" w:hAnsi="宋体" w:eastAsia="宋体" w:cs="宋体"/>
          <w:color w:val="auto"/>
          <w:szCs w:val="21"/>
        </w:rPr>
      </w:pPr>
      <w:r>
        <w:rPr>
          <w:rFonts w:hint="eastAsia" w:ascii="宋体" w:hAnsi="宋体" w:eastAsia="宋体" w:cs="宋体"/>
          <w:color w:val="auto"/>
          <w:szCs w:val="21"/>
        </w:rPr>
        <w:br w:type="page"/>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18"/>
        <w:gridCol w:w="1558"/>
        <w:gridCol w:w="2015"/>
        <w:gridCol w:w="1318"/>
        <w:gridCol w:w="3013"/>
      </w:tblGrid>
      <w:tr w14:paraId="14F42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5000" w:type="pct"/>
            <w:gridSpan w:val="5"/>
            <w:shd w:val="clear" w:color="auto" w:fill="auto"/>
            <w:vAlign w:val="center"/>
          </w:tcPr>
          <w:p w14:paraId="0040D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价格明细表</w:t>
            </w:r>
          </w:p>
        </w:tc>
      </w:tr>
      <w:tr w14:paraId="6EF4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3" w:type="pct"/>
            <w:shd w:val="clear" w:color="auto" w:fill="auto"/>
            <w:vAlign w:val="center"/>
          </w:tcPr>
          <w:p w14:paraId="0A066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14" w:type="pct"/>
            <w:shd w:val="clear" w:color="auto" w:fill="auto"/>
            <w:vAlign w:val="center"/>
          </w:tcPr>
          <w:p w14:paraId="39773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服务内容</w:t>
            </w:r>
          </w:p>
        </w:tc>
        <w:tc>
          <w:tcPr>
            <w:tcW w:w="1182" w:type="pct"/>
            <w:shd w:val="clear" w:color="auto" w:fill="auto"/>
            <w:vAlign w:val="center"/>
          </w:tcPr>
          <w:p w14:paraId="1AC6D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73" w:type="pct"/>
            <w:shd w:val="clear" w:color="auto" w:fill="auto"/>
            <w:vAlign w:val="center"/>
          </w:tcPr>
          <w:p w14:paraId="222D6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暂估工程量</w:t>
            </w:r>
          </w:p>
        </w:tc>
        <w:tc>
          <w:tcPr>
            <w:tcW w:w="1765" w:type="pct"/>
            <w:shd w:val="clear" w:color="auto" w:fill="auto"/>
            <w:vAlign w:val="center"/>
          </w:tcPr>
          <w:p w14:paraId="2B242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不含税综合单价（元）</w:t>
            </w:r>
          </w:p>
        </w:tc>
      </w:tr>
      <w:tr w14:paraId="2710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3" w:type="pct"/>
            <w:shd w:val="clear" w:color="auto" w:fill="auto"/>
            <w:vAlign w:val="center"/>
          </w:tcPr>
          <w:p w14:paraId="5C5BB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4" w:type="pct"/>
            <w:shd w:val="clear" w:color="auto" w:fill="auto"/>
            <w:vAlign w:val="center"/>
          </w:tcPr>
          <w:p w14:paraId="3ADE9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应急抢修发电</w:t>
            </w:r>
          </w:p>
        </w:tc>
        <w:tc>
          <w:tcPr>
            <w:tcW w:w="1182" w:type="pct"/>
            <w:shd w:val="clear" w:color="auto" w:fill="auto"/>
            <w:vAlign w:val="center"/>
          </w:tcPr>
          <w:p w14:paraId="38B1B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773" w:type="pct"/>
            <w:shd w:val="clear" w:color="auto" w:fill="auto"/>
            <w:vAlign w:val="center"/>
          </w:tcPr>
          <w:p w14:paraId="50F16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65" w:type="pct"/>
            <w:shd w:val="clear" w:color="auto" w:fill="auto"/>
            <w:vAlign w:val="center"/>
          </w:tcPr>
          <w:p w14:paraId="00BB2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500.72</w:t>
            </w:r>
          </w:p>
        </w:tc>
      </w:tr>
      <w:tr w14:paraId="67A0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3" w:type="pct"/>
            <w:shd w:val="clear" w:color="auto" w:fill="auto"/>
            <w:vAlign w:val="center"/>
          </w:tcPr>
          <w:p w14:paraId="70FDF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4" w:type="pct"/>
            <w:shd w:val="clear" w:color="auto" w:fill="auto"/>
            <w:vAlign w:val="center"/>
          </w:tcPr>
          <w:p w14:paraId="4D5E9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日常巡检维护</w:t>
            </w:r>
          </w:p>
        </w:tc>
        <w:tc>
          <w:tcPr>
            <w:tcW w:w="1182" w:type="pct"/>
            <w:shd w:val="clear" w:color="auto" w:fill="auto"/>
            <w:vAlign w:val="center"/>
          </w:tcPr>
          <w:p w14:paraId="276DB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机房</w:t>
            </w:r>
          </w:p>
        </w:tc>
        <w:tc>
          <w:tcPr>
            <w:tcW w:w="773" w:type="pct"/>
            <w:shd w:val="clear" w:color="auto" w:fill="auto"/>
            <w:vAlign w:val="center"/>
          </w:tcPr>
          <w:p w14:paraId="49909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65" w:type="pct"/>
            <w:shd w:val="clear" w:color="auto" w:fill="auto"/>
            <w:vAlign w:val="center"/>
          </w:tcPr>
          <w:p w14:paraId="69DAF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615.51</w:t>
            </w:r>
          </w:p>
        </w:tc>
      </w:tr>
      <w:tr w14:paraId="43AD0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3" w:type="pct"/>
            <w:shd w:val="clear" w:color="auto" w:fill="auto"/>
            <w:vAlign w:val="center"/>
          </w:tcPr>
          <w:p w14:paraId="616C8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4" w:type="pct"/>
            <w:shd w:val="clear" w:color="auto" w:fill="auto"/>
            <w:vAlign w:val="center"/>
          </w:tcPr>
          <w:p w14:paraId="291B3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汽油发电机10Kw</w:t>
            </w:r>
          </w:p>
        </w:tc>
        <w:tc>
          <w:tcPr>
            <w:tcW w:w="1182" w:type="pct"/>
            <w:shd w:val="clear" w:color="auto" w:fill="auto"/>
            <w:vAlign w:val="center"/>
          </w:tcPr>
          <w:p w14:paraId="450B4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773" w:type="pct"/>
            <w:shd w:val="clear" w:color="auto" w:fill="auto"/>
            <w:vAlign w:val="center"/>
          </w:tcPr>
          <w:p w14:paraId="5C588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65" w:type="pct"/>
            <w:shd w:val="clear" w:color="auto" w:fill="auto"/>
            <w:vAlign w:val="center"/>
          </w:tcPr>
          <w:p w14:paraId="52013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226.78</w:t>
            </w:r>
          </w:p>
        </w:tc>
      </w:tr>
      <w:tr w14:paraId="43D9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3" w:type="pct"/>
            <w:shd w:val="clear" w:color="auto" w:fill="auto"/>
            <w:vAlign w:val="center"/>
          </w:tcPr>
          <w:p w14:paraId="26E5D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4" w:type="pct"/>
            <w:shd w:val="clear" w:color="auto" w:fill="auto"/>
            <w:vAlign w:val="center"/>
          </w:tcPr>
          <w:p w14:paraId="2752F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柴油发电机 30Kw</w:t>
            </w:r>
          </w:p>
        </w:tc>
        <w:tc>
          <w:tcPr>
            <w:tcW w:w="1182" w:type="pct"/>
            <w:shd w:val="clear" w:color="auto" w:fill="auto"/>
            <w:vAlign w:val="center"/>
          </w:tcPr>
          <w:p w14:paraId="6991C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773" w:type="pct"/>
            <w:shd w:val="clear" w:color="auto" w:fill="auto"/>
            <w:vAlign w:val="center"/>
          </w:tcPr>
          <w:p w14:paraId="5B285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65" w:type="pct"/>
            <w:shd w:val="clear" w:color="auto" w:fill="auto"/>
            <w:vAlign w:val="center"/>
          </w:tcPr>
          <w:p w14:paraId="58460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373.87</w:t>
            </w:r>
          </w:p>
        </w:tc>
      </w:tr>
      <w:tr w14:paraId="7A00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3" w:type="pct"/>
            <w:shd w:val="clear" w:color="auto" w:fill="auto"/>
            <w:vAlign w:val="center"/>
          </w:tcPr>
          <w:p w14:paraId="1E3EE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4" w:type="pct"/>
            <w:shd w:val="clear" w:color="auto" w:fill="auto"/>
            <w:vAlign w:val="center"/>
          </w:tcPr>
          <w:p w14:paraId="1EA2D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柴油发电机 50KW</w:t>
            </w:r>
          </w:p>
        </w:tc>
        <w:tc>
          <w:tcPr>
            <w:tcW w:w="1182" w:type="pct"/>
            <w:shd w:val="clear" w:color="auto" w:fill="auto"/>
            <w:vAlign w:val="center"/>
          </w:tcPr>
          <w:p w14:paraId="74F08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773" w:type="pct"/>
            <w:shd w:val="clear" w:color="auto" w:fill="auto"/>
            <w:vAlign w:val="center"/>
          </w:tcPr>
          <w:p w14:paraId="146D4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65" w:type="pct"/>
            <w:shd w:val="clear" w:color="auto" w:fill="auto"/>
            <w:vAlign w:val="center"/>
          </w:tcPr>
          <w:p w14:paraId="2E8EC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500.72</w:t>
            </w:r>
          </w:p>
        </w:tc>
      </w:tr>
      <w:tr w14:paraId="0C2CD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63" w:type="pct"/>
            <w:shd w:val="clear" w:color="auto" w:fill="auto"/>
            <w:vAlign w:val="center"/>
          </w:tcPr>
          <w:p w14:paraId="5A398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14" w:type="pct"/>
            <w:shd w:val="clear" w:color="auto" w:fill="auto"/>
            <w:vAlign w:val="center"/>
          </w:tcPr>
          <w:p w14:paraId="7F1B7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载重汽车5T</w:t>
            </w:r>
          </w:p>
        </w:tc>
        <w:tc>
          <w:tcPr>
            <w:tcW w:w="1182" w:type="pct"/>
            <w:shd w:val="clear" w:color="auto" w:fill="auto"/>
            <w:vAlign w:val="center"/>
          </w:tcPr>
          <w:p w14:paraId="2D2E8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773" w:type="pct"/>
            <w:shd w:val="clear" w:color="auto" w:fill="auto"/>
            <w:vAlign w:val="center"/>
          </w:tcPr>
          <w:p w14:paraId="4BBBD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65" w:type="pct"/>
            <w:shd w:val="clear" w:color="auto" w:fill="auto"/>
            <w:vAlign w:val="center"/>
          </w:tcPr>
          <w:p w14:paraId="77D93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417.64</w:t>
            </w:r>
          </w:p>
        </w:tc>
      </w:tr>
      <w:tr w14:paraId="63A7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trPr>
        <w:tc>
          <w:tcPr>
            <w:tcW w:w="363" w:type="pct"/>
            <w:shd w:val="clear" w:color="auto" w:fill="auto"/>
            <w:vAlign w:val="center"/>
          </w:tcPr>
          <w:p w14:paraId="47810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14" w:type="pct"/>
            <w:shd w:val="clear" w:color="auto" w:fill="auto"/>
            <w:vAlign w:val="center"/>
          </w:tcPr>
          <w:p w14:paraId="350DA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机柜端子采集及平面图绘制</w:t>
            </w:r>
          </w:p>
        </w:tc>
        <w:tc>
          <w:tcPr>
            <w:tcW w:w="1182" w:type="pct"/>
            <w:shd w:val="clear" w:color="auto" w:fill="auto"/>
            <w:vAlign w:val="center"/>
          </w:tcPr>
          <w:p w14:paraId="50B47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柜子</w:t>
            </w:r>
          </w:p>
        </w:tc>
        <w:tc>
          <w:tcPr>
            <w:tcW w:w="773" w:type="pct"/>
            <w:shd w:val="clear" w:color="auto" w:fill="auto"/>
            <w:vAlign w:val="center"/>
          </w:tcPr>
          <w:p w14:paraId="1F86E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65" w:type="pct"/>
            <w:shd w:val="clear" w:color="auto" w:fill="auto"/>
            <w:vAlign w:val="center"/>
          </w:tcPr>
          <w:p w14:paraId="063F8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934.08</w:t>
            </w:r>
          </w:p>
        </w:tc>
      </w:tr>
    </w:tbl>
    <w:p w14:paraId="6DDB9DE6">
      <w:pPr>
        <w:rPr>
          <w:rFonts w:hint="eastAsia" w:ascii="宋体" w:hAnsi="宋体" w:eastAsia="宋体" w:cs="宋体"/>
          <w:color w:val="auto"/>
          <w:szCs w:val="21"/>
        </w:rPr>
      </w:pPr>
      <w:r>
        <w:rPr>
          <w:rFonts w:hint="eastAsia" w:ascii="宋体" w:hAnsi="宋体" w:eastAsia="宋体" w:cs="宋体"/>
          <w:color w:val="auto"/>
          <w:szCs w:val="21"/>
        </w:rPr>
        <w:br w:type="page"/>
      </w:r>
    </w:p>
    <w:p w14:paraId="18530D97">
      <w:pPr>
        <w:pStyle w:val="50"/>
        <w:pageBreakBefore w:val="0"/>
        <w:kinsoku/>
        <w:overflowPunct/>
        <w:bidi w:val="0"/>
        <w:spacing w:before="240" w:after="120" w:line="360" w:lineRule="auto"/>
        <w:rPr>
          <w:rFonts w:hint="eastAsia" w:ascii="宋体" w:hAnsi="宋体" w:eastAsia="宋体" w:cs="宋体"/>
          <w:b/>
          <w:bCs w:val="0"/>
          <w:color w:val="auto"/>
          <w:kern w:val="0"/>
          <w:sz w:val="28"/>
          <w:szCs w:val="28"/>
        </w:rPr>
      </w:pPr>
      <w:bookmarkStart w:id="1606" w:name="_Toc3316"/>
      <w:r>
        <w:rPr>
          <w:rFonts w:hint="eastAsia" w:ascii="宋体" w:hAnsi="宋体" w:eastAsia="宋体" w:cs="宋体"/>
          <w:b/>
          <w:bCs w:val="0"/>
          <w:color w:val="auto"/>
          <w:kern w:val="0"/>
          <w:sz w:val="28"/>
          <w:szCs w:val="28"/>
        </w:rPr>
        <w:t>第七章  其他</w:t>
      </w:r>
      <w:bookmarkEnd w:id="1606"/>
    </w:p>
    <w:p w14:paraId="27F8961B">
      <w:pPr>
        <w:pageBreakBefore w:val="0"/>
        <w:kinsoku/>
        <w:overflowPunct/>
        <w:bidi w:val="0"/>
        <w:spacing w:line="360" w:lineRule="auto"/>
        <w:rPr>
          <w:rFonts w:hint="eastAsia" w:ascii="宋体" w:hAnsi="宋体" w:eastAsia="宋体" w:cs="宋体"/>
          <w:color w:val="auto"/>
        </w:rPr>
      </w:pPr>
    </w:p>
    <w:p w14:paraId="401DACCE">
      <w:pPr>
        <w:widowControl w:val="0"/>
        <w:snapToGrid w:val="0"/>
        <w:spacing w:before="0" w:after="0" w:line="360" w:lineRule="auto"/>
        <w:ind w:right="84" w:rightChars="40"/>
        <w:jc w:val="center"/>
        <w:outlineLvl w:val="1"/>
        <w:rPr>
          <w:rFonts w:hint="eastAsia" w:ascii="宋体" w:hAnsi="宋体" w:eastAsia="宋体" w:cs="宋体"/>
          <w:b/>
          <w:bCs/>
          <w:color w:val="auto"/>
          <w:kern w:val="2"/>
          <w:sz w:val="28"/>
          <w:szCs w:val="28"/>
          <w:lang w:val="en-US" w:eastAsia="zh-CN" w:bidi="ar-SA"/>
        </w:rPr>
      </w:pPr>
      <w:bookmarkStart w:id="1607" w:name="_Toc8913"/>
      <w:bookmarkStart w:id="1608" w:name="_Toc22146"/>
      <w:bookmarkStart w:id="1609" w:name="_Toc10452"/>
      <w:bookmarkStart w:id="1610" w:name="_Toc18254"/>
      <w:bookmarkStart w:id="1611" w:name="_Toc24501"/>
      <w:bookmarkStart w:id="1612" w:name="_Toc48292544"/>
      <w:bookmarkStart w:id="1613" w:name="_Toc32133"/>
      <w:r>
        <w:rPr>
          <w:rFonts w:hint="eastAsia" w:ascii="宋体" w:hAnsi="宋体" w:eastAsia="宋体" w:cs="宋体"/>
          <w:b/>
          <w:bCs/>
          <w:color w:val="auto"/>
          <w:kern w:val="2"/>
          <w:sz w:val="28"/>
          <w:szCs w:val="28"/>
          <w:lang w:val="en-US" w:eastAsia="zh-CN" w:bidi="ar-SA"/>
        </w:rPr>
        <w:t>中国电信供应商不良行为管理规则</w:t>
      </w:r>
      <w:bookmarkEnd w:id="1607"/>
      <w:bookmarkEnd w:id="1608"/>
      <w:bookmarkEnd w:id="1609"/>
      <w:bookmarkEnd w:id="1610"/>
      <w:bookmarkEnd w:id="1611"/>
      <w:bookmarkEnd w:id="1612"/>
      <w:bookmarkEnd w:id="1613"/>
    </w:p>
    <w:p w14:paraId="5961E709">
      <w:pPr>
        <w:wordWrap w:val="0"/>
        <w:snapToGrid w:val="0"/>
        <w:spacing w:line="360" w:lineRule="auto"/>
        <w:ind w:firstLine="424" w:firstLineChars="202"/>
        <w:jc w:val="left"/>
        <w:rPr>
          <w:rFonts w:hint="eastAsia" w:ascii="宋体" w:hAnsi="宋体" w:eastAsia="宋体" w:cs="宋体"/>
          <w:color w:val="auto"/>
          <w:szCs w:val="21"/>
        </w:rPr>
        <w:sectPr>
          <w:type w:val="continuous"/>
          <w:pgSz w:w="11906" w:h="16838"/>
          <w:pgMar w:top="1411" w:right="1800" w:bottom="1440" w:left="1800" w:header="851" w:footer="992" w:gutter="0"/>
          <w:cols w:space="720" w:num="1"/>
          <w:docGrid w:type="lines" w:linePitch="312" w:charSpace="0"/>
        </w:sectPr>
      </w:pPr>
      <w:r>
        <w:rPr>
          <w:rFonts w:hint="eastAsia" w:ascii="宋体" w:hAnsi="宋体" w:eastAsia="宋体" w:cs="宋体"/>
          <w:color w:val="auto"/>
          <w:szCs w:val="21"/>
        </w:rPr>
        <w:t>本项目将按照最新的《中国电信供应商不良行为管理规则》执行供应商不良行为处理结果，请务必登录</w:t>
      </w:r>
      <w:r>
        <w:rPr>
          <w:rFonts w:hint="eastAsia" w:ascii="宋体" w:hAnsi="宋体" w:eastAsia="宋体" w:cs="宋体"/>
          <w:color w:val="auto"/>
        </w:rPr>
        <w:t>中国电信阳光采购网（https://caigou.chinatelecom.com.cn）</w:t>
      </w:r>
      <w:r>
        <w:rPr>
          <w:rFonts w:hint="eastAsia" w:ascii="宋体" w:hAnsi="宋体" w:eastAsia="宋体" w:cs="宋体"/>
          <w:color w:val="auto"/>
          <w:szCs w:val="21"/>
        </w:rPr>
        <w:t>查阅《中国电信供应商不良行为管理规则》。</w:t>
      </w:r>
    </w:p>
    <w:p w14:paraId="439F77AD">
      <w:pPr>
        <w:pageBreakBefore w:val="0"/>
        <w:kinsoku/>
        <w:overflowPunct/>
        <w:bidi w:val="0"/>
        <w:spacing w:line="360" w:lineRule="auto"/>
        <w:rPr>
          <w:rFonts w:hint="eastAsia" w:ascii="宋体" w:hAnsi="宋体" w:eastAsia="宋体" w:cs="宋体"/>
          <w:color w:val="auto"/>
          <w:szCs w:val="21"/>
        </w:rPr>
      </w:pPr>
    </w:p>
    <w:sectPr>
      <w:type w:val="continuous"/>
      <w:pgSz w:w="11906" w:h="16838"/>
      <w:pgMar w:top="1418"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宋体-18030">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29BC0">
    <w:pPr>
      <w:pStyle w:val="2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3581D">
    <w:pPr>
      <w:pStyle w:val="2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30407">
    <w:pPr>
      <w:pStyle w:val="2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0C8CE">
    <w:pPr>
      <w:pStyle w:val="27"/>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8C975">
    <w:pPr>
      <w:pStyle w:val="27"/>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BEA08">
    <w:pPr>
      <w:widowControl w:val="0"/>
      <w:snapToGrid w:val="0"/>
      <w:jc w:val="center"/>
      <w:rPr>
        <w:rFonts w:ascii="Times New Roman" w:hAnsi="Times New Roman" w:eastAsia="宋体" w:cs="Times New Roman"/>
        <w:kern w:val="0"/>
        <w:sz w:val="18"/>
        <w:szCs w:val="18"/>
        <w:lang w:val="en-US" w:eastAsia="zh-CN" w:bidi="ar-SA"/>
      </w:rPr>
    </w:pPr>
    <w:r>
      <w:rPr>
        <w:rFonts w:hint="eastAsia" w:ascii="Times New Roman" w:hAnsi="Times New Roman" w:eastAsia="宋体" w:cs="宋体"/>
        <w:kern w:val="0"/>
        <w:sz w:val="18"/>
        <w:szCs w:val="18"/>
        <w:lang w:val="en-US" w:eastAsia="zh-CN" w:bidi="ar-SA"/>
      </w:rPr>
      <w:t>第</w:t>
    </w: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1</w:t>
    </w:r>
    <w:r>
      <w:rPr>
        <w:rFonts w:ascii="Times New Roman" w:hAnsi="Times New Roman" w:eastAsia="宋体" w:cs="Times New Roman"/>
        <w:kern w:val="0"/>
        <w:sz w:val="18"/>
        <w:szCs w:val="18"/>
        <w:lang w:val="en-US" w:eastAsia="zh-CN" w:bidi="ar-SA"/>
      </w:rPr>
      <w:fldChar w:fldCharType="end"/>
    </w:r>
    <w:r>
      <w:rPr>
        <w:rFonts w:hint="eastAsia" w:ascii="Times New Roman" w:hAnsi="Times New Roman" w:eastAsia="宋体" w:cs="宋体"/>
        <w:kern w:val="0"/>
        <w:sz w:val="18"/>
        <w:szCs w:val="18"/>
        <w:lang w:val="en-US" w:eastAsia="zh-CN" w:bidi="ar-SA"/>
      </w:rPr>
      <w:t>页共</w:t>
    </w: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NUMPAGES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22</w:t>
    </w:r>
    <w:r>
      <w:rPr>
        <w:rFonts w:ascii="Times New Roman" w:hAnsi="Times New Roman" w:eastAsia="宋体" w:cs="Times New Roman"/>
        <w:kern w:val="0"/>
        <w:sz w:val="18"/>
        <w:szCs w:val="18"/>
        <w:lang w:val="en-US" w:eastAsia="zh-CN" w:bidi="ar-SA"/>
      </w:rPr>
      <w:fldChar w:fldCharType="end"/>
    </w:r>
    <w:r>
      <w:rPr>
        <w:rFonts w:hint="eastAsia" w:ascii="Times New Roman" w:hAnsi="Times New Roman" w:eastAsia="宋体" w:cs="宋体"/>
        <w:kern w:val="0"/>
        <w:sz w:val="18"/>
        <w:szCs w:val="18"/>
        <w:lang w:val="en-US" w:eastAsia="zh-CN" w:bidi="ar-SA"/>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756B4">
    <w:pPr>
      <w:pStyle w:val="27"/>
      <w:jc w:val="center"/>
      <w:rPr>
        <w:rFonts w:ascii="宋体" w:hAnsi="宋体"/>
      </w:rPr>
    </w:pPr>
  </w:p>
  <w:p w14:paraId="2F254BA3">
    <w:pPr>
      <w:pStyle w:val="27"/>
      <w:ind w:left="525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D0714">
    <w:pPr>
      <w:widowControl w:val="0"/>
      <w:snapToGrid w:val="0"/>
      <w:spacing w:line="360" w:lineRule="auto"/>
      <w:ind w:firstLine="360"/>
      <w:rPr>
        <w:rFonts w:ascii="宋体" w:hAnsi="宋体" w:eastAsiaTheme="minorEastAsia" w:cstheme="minorBidi"/>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8FADD">
    <w:pPr>
      <w:pStyle w:val="28"/>
      <w:jc w:val="right"/>
    </w:pPr>
    <w:r>
      <w:rPr>
        <w:rFonts w:hint="eastAsia" w:ascii="宋体" w:hAnsi="宋体"/>
        <w:sz w:val="21"/>
        <w:szCs w:val="21"/>
      </w:rPr>
      <w:t>V14.3（2</w:t>
    </w:r>
    <w:r>
      <w:rPr>
        <w:rFonts w:ascii="宋体" w:hAnsi="宋体"/>
        <w:sz w:val="21"/>
        <w:szCs w:val="21"/>
      </w:rPr>
      <w:t>02</w:t>
    </w:r>
    <w:r>
      <w:rPr>
        <w:rFonts w:hint="eastAsia" w:ascii="宋体" w:hAnsi="宋体"/>
        <w:sz w:val="21"/>
        <w:szCs w:val="21"/>
        <w:lang w:val="en-US" w:eastAsia="zh-CN"/>
      </w:rPr>
      <w:t>4</w:t>
    </w:r>
    <w:r>
      <w:rPr>
        <w:rFonts w:hint="eastAsia" w:ascii="宋体" w:hAnsi="宋体"/>
        <w:sz w:val="21"/>
        <w:szCs w:val="21"/>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087B5">
    <w:pPr>
      <w:widowControl w:val="0"/>
      <w:pBdr>
        <w:bottom w:val="single" w:color="auto" w:sz="6" w:space="1"/>
      </w:pBdr>
      <w:snapToGrid w:val="0"/>
      <w:jc w:val="left"/>
      <w:rPr>
        <w:rFonts w:ascii="Times New Roman" w:hAnsi="Times New Roman" w:eastAsia="宋体" w:cs="Times New Roman"/>
        <w:kern w:val="0"/>
        <w:sz w:val="18"/>
        <w:szCs w:val="18"/>
        <w:lang w:val="en-US" w:eastAsia="zh-CN" w:bidi="ar-SA"/>
      </w:rPr>
    </w:pPr>
    <w:r>
      <w:rPr>
        <w:rFonts w:hint="eastAsia" w:ascii="宋体" w:hAnsi="宋体" w:eastAsia="宋体" w:cs="宋体"/>
        <w:kern w:val="0"/>
        <w:sz w:val="18"/>
        <w:szCs w:val="18"/>
        <w:lang w:val="en-US" w:eastAsia="zh-CN" w:bidi="ar-SA"/>
      </w:rPr>
      <w:t>合同文本版本号ZGDX202</w:t>
    </w:r>
    <w:r>
      <w:rPr>
        <w:rFonts w:ascii="宋体" w:hAnsi="宋体" w:eastAsia="宋体" w:cs="宋体"/>
        <w:kern w:val="0"/>
        <w:sz w:val="18"/>
        <w:szCs w:val="18"/>
        <w:lang w:val="en-US" w:eastAsia="zh-CN" w:bidi="ar-SA"/>
      </w:rPr>
      <w:t>4</w:t>
    </w:r>
    <w:r>
      <w:rPr>
        <w:rFonts w:hint="eastAsia" w:ascii="宋体" w:hAnsi="宋体" w:eastAsia="宋体" w:cs="宋体"/>
        <w:kern w:val="0"/>
        <w:sz w:val="18"/>
        <w:szCs w:val="18"/>
        <w:lang w:val="en-US" w:eastAsia="zh-CN" w:bidi="ar-SA"/>
      </w:rPr>
      <w:t>028</w:t>
    </w:r>
    <w:r>
      <w:rPr>
        <w:rFonts w:hint="eastAsia" w:ascii="Times New Roman" w:hAnsi="Times New Roman" w:eastAsia="宋体" w:cs="Times New Roman"/>
        <w:kern w:val="0"/>
        <w:sz w:val="18"/>
        <w:szCs w:val="18"/>
        <w:lang w:val="en-US" w:eastAsia="zh-CN" w:bidi="ar-SA"/>
      </w:rPr>
      <w:t xml:space="preserve">          合同编号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A52EC">
    <w:pPr>
      <w:pStyle w:val="2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FF10D">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AC00F"/>
    <w:multiLevelType w:val="singleLevel"/>
    <w:tmpl w:val="928AC00F"/>
    <w:lvl w:ilvl="0" w:tentative="0">
      <w:start w:val="1"/>
      <w:numFmt w:val="decimal"/>
      <w:suff w:val="nothing"/>
      <w:lvlText w:val="（%1）"/>
      <w:lvlJc w:val="left"/>
    </w:lvl>
  </w:abstractNum>
  <w:abstractNum w:abstractNumId="1">
    <w:nsid w:val="AEDD269F"/>
    <w:multiLevelType w:val="multilevel"/>
    <w:tmpl w:val="AEDD269F"/>
    <w:lvl w:ilvl="0" w:tentative="0">
      <w:start w:val="1"/>
      <w:numFmt w:val="decimal"/>
      <w:lvlText w:val="%1."/>
      <w:lvlJc w:val="left"/>
      <w:pPr>
        <w:ind w:left="425" w:hanging="425"/>
      </w:pPr>
      <w:rPr>
        <w:rFonts w:hint="eastAsia"/>
        <w:b w:val="0"/>
      </w:rPr>
    </w:lvl>
    <w:lvl w:ilvl="1" w:tentative="0">
      <w:start w:val="1"/>
      <w:numFmt w:val="decimal"/>
      <w:lvlText w:val="%1.%2"/>
      <w:lvlJc w:val="left"/>
      <w:pPr>
        <w:ind w:left="992" w:hanging="567"/>
      </w:pPr>
      <w:rPr>
        <w:rFonts w:hint="eastAsia"/>
      </w:rPr>
    </w:lvl>
    <w:lvl w:ilvl="2" w:tentative="0">
      <w:start w:val="1"/>
      <w:numFmt w:val="decimal"/>
      <w:lvlText w:val="%1.%2.%3"/>
      <w:lvlJc w:val="left"/>
      <w:pPr>
        <w:ind w:left="567"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B6CB9648"/>
    <w:multiLevelType w:val="singleLevel"/>
    <w:tmpl w:val="B6CB9648"/>
    <w:lvl w:ilvl="0" w:tentative="0">
      <w:start w:val="1"/>
      <w:numFmt w:val="decimal"/>
      <w:lvlText w:val="%1."/>
      <w:lvlJc w:val="left"/>
      <w:pPr>
        <w:tabs>
          <w:tab w:val="left" w:pos="312"/>
        </w:tabs>
      </w:pPr>
    </w:lvl>
  </w:abstractNum>
  <w:abstractNum w:abstractNumId="3">
    <w:nsid w:val="E6B1D58D"/>
    <w:multiLevelType w:val="multilevel"/>
    <w:tmpl w:val="E6B1D58D"/>
    <w:lvl w:ilvl="0" w:tentative="0">
      <w:start w:val="1"/>
      <w:numFmt w:val="decimal"/>
      <w:lvlText w:val="%1."/>
      <w:lvlJc w:val="left"/>
      <w:pPr>
        <w:ind w:left="425" w:hanging="425"/>
      </w:pPr>
      <w:rPr>
        <w:rFonts w:hint="eastAsia"/>
        <w:b w:val="0"/>
      </w:rPr>
    </w:lvl>
    <w:lvl w:ilvl="1" w:tentative="0">
      <w:start w:val="1"/>
      <w:numFmt w:val="decimal"/>
      <w:lvlText w:val="%1.%2"/>
      <w:lvlJc w:val="left"/>
      <w:pPr>
        <w:ind w:left="992" w:hanging="567"/>
      </w:pPr>
      <w:rPr>
        <w:rFonts w:hint="eastAsia"/>
      </w:rPr>
    </w:lvl>
    <w:lvl w:ilvl="2" w:tentative="0">
      <w:start w:val="1"/>
      <w:numFmt w:val="decimal"/>
      <w:lvlText w:val="%1.%2.%3"/>
      <w:lvlJc w:val="left"/>
      <w:pPr>
        <w:ind w:left="567"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0000045"/>
    <w:multiLevelType w:val="multilevel"/>
    <w:tmpl w:val="00000045"/>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13151E9"/>
    <w:multiLevelType w:val="multilevel"/>
    <w:tmpl w:val="013151E9"/>
    <w:lvl w:ilvl="0" w:tentative="0">
      <w:start w:val="1"/>
      <w:numFmt w:val="decimal"/>
      <w:lvlText w:val="%1."/>
      <w:lvlJc w:val="left"/>
      <w:pPr>
        <w:ind w:left="425" w:hanging="425"/>
      </w:pPr>
      <w:rPr>
        <w:rFonts w:hint="eastAsia"/>
        <w:b w:val="0"/>
      </w:rPr>
    </w:lvl>
    <w:lvl w:ilvl="1" w:tentative="0">
      <w:start w:val="1"/>
      <w:numFmt w:val="decimal"/>
      <w:lvlText w:val="%1.%2"/>
      <w:lvlJc w:val="left"/>
      <w:pPr>
        <w:ind w:left="992" w:hanging="567"/>
      </w:pPr>
      <w:rPr>
        <w:rFonts w:hint="eastAsia"/>
      </w:rPr>
    </w:lvl>
    <w:lvl w:ilvl="2" w:tentative="0">
      <w:start w:val="1"/>
      <w:numFmt w:val="decimal"/>
      <w:lvlText w:val="%1.%2.%3"/>
      <w:lvlJc w:val="left"/>
      <w:pPr>
        <w:ind w:left="567"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5CC020D"/>
    <w:multiLevelType w:val="multilevel"/>
    <w:tmpl w:val="05CC020D"/>
    <w:lvl w:ilvl="0" w:tentative="0">
      <w:start w:val="1"/>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7">
    <w:nsid w:val="070C7B60"/>
    <w:multiLevelType w:val="singleLevel"/>
    <w:tmpl w:val="070C7B60"/>
    <w:lvl w:ilvl="0" w:tentative="0">
      <w:start w:val="1"/>
      <w:numFmt w:val="decimal"/>
      <w:lvlText w:val="%1."/>
      <w:legacy w:legacy="1" w:legacySpace="0" w:legacyIndent="0"/>
      <w:lvlJc w:val="left"/>
    </w:lvl>
  </w:abstractNum>
  <w:abstractNum w:abstractNumId="8">
    <w:nsid w:val="10205CF6"/>
    <w:multiLevelType w:val="multilevel"/>
    <w:tmpl w:val="10205CF6"/>
    <w:lvl w:ilvl="0" w:tentative="0">
      <w:start w:val="1"/>
      <w:numFmt w:val="decimal"/>
      <w:lvlText w:val="%1."/>
      <w:lvlJc w:val="left"/>
      <w:pPr>
        <w:ind w:left="360" w:hanging="360"/>
      </w:pPr>
      <w:rPr>
        <w:rFonts w:hint="default"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154A6C66"/>
    <w:multiLevelType w:val="multilevel"/>
    <w:tmpl w:val="154A6C6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9F639AF"/>
    <w:multiLevelType w:val="multilevel"/>
    <w:tmpl w:val="19F639A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BB6522B"/>
    <w:multiLevelType w:val="multilevel"/>
    <w:tmpl w:val="1BB6522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D270C2F"/>
    <w:multiLevelType w:val="multilevel"/>
    <w:tmpl w:val="1D270C2F"/>
    <w:lvl w:ilvl="0" w:tentative="0">
      <w:start w:val="1"/>
      <w:numFmt w:val="decimal"/>
      <w:lvlText w:val="第 %1 条"/>
      <w:lvlJc w:val="left"/>
      <w:pPr>
        <w:tabs>
          <w:tab w:val="left" w:pos="1500"/>
        </w:tabs>
        <w:ind w:left="0" w:firstLine="420"/>
      </w:pPr>
      <w:rPr>
        <w:rFonts w:hint="eastAsia" w:ascii="宋体" w:hAnsi="宋体" w:eastAsia="黑体"/>
        <w:b w:val="0"/>
        <w:i w:val="0"/>
        <w:caps w:val="0"/>
        <w:strike w:val="0"/>
        <w:dstrike w:val="0"/>
        <w:vanish w:val="0"/>
        <w:color w:val="auto"/>
        <w:spacing w:val="0"/>
        <w:w w:val="100"/>
        <w:kern w:val="21"/>
        <w:position w:val="0"/>
        <w:sz w:val="21"/>
        <w:u w:val="none"/>
        <w:vertAlign w:val="baseline"/>
      </w:rPr>
    </w:lvl>
    <w:lvl w:ilvl="1" w:tentative="0">
      <w:start w:val="1"/>
      <w:numFmt w:val="decimal"/>
      <w:lvlText w:val="%2."/>
      <w:lvlJc w:val="left"/>
      <w:pPr>
        <w:tabs>
          <w:tab w:val="left" w:pos="780"/>
        </w:tabs>
        <w:ind w:left="780" w:hanging="360"/>
      </w:pPr>
      <w:rPr>
        <w:rFonts w:hint="eastAsia"/>
        <w:color w:val="auto"/>
      </w:rPr>
    </w:lvl>
    <w:lvl w:ilvl="2" w:tentative="0">
      <w:start w:val="1"/>
      <w:numFmt w:val="decimal"/>
      <w:lvlText w:val="第 %3 条"/>
      <w:lvlJc w:val="left"/>
      <w:pPr>
        <w:tabs>
          <w:tab w:val="left" w:pos="1560"/>
        </w:tabs>
        <w:ind w:left="420" w:firstLine="420"/>
      </w:pPr>
      <w:rPr>
        <w:rFonts w:hint="default" w:ascii="Arial" w:hAnsi="Arial" w:eastAsia="宋体"/>
        <w:b/>
        <w:i w:val="0"/>
        <w:sz w:val="21"/>
      </w:rPr>
    </w:lvl>
    <w:lvl w:ilvl="3" w:tentative="0">
      <w:start w:val="1"/>
      <w:numFmt w:val="japaneseCounting"/>
      <w:lvlText w:val="%4."/>
      <w:lvlJc w:val="left"/>
      <w:pPr>
        <w:tabs>
          <w:tab w:val="left" w:pos="1620"/>
        </w:tabs>
        <w:ind w:left="1620" w:hanging="360"/>
      </w:pPr>
      <w:rPr>
        <w:rFonts w:hint="eastAsia"/>
      </w:rPr>
    </w:lvl>
    <w:lvl w:ilvl="4" w:tentative="0">
      <w:start w:val="1"/>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1F86F66"/>
    <w:multiLevelType w:val="multilevel"/>
    <w:tmpl w:val="21F86F6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2677976"/>
    <w:multiLevelType w:val="multilevel"/>
    <w:tmpl w:val="22677976"/>
    <w:lvl w:ilvl="0" w:tentative="0">
      <w:start w:val="1"/>
      <w:numFmt w:val="decimal"/>
      <w:lvlText w:val="%1."/>
      <w:lvlJc w:val="left"/>
      <w:pPr>
        <w:ind w:left="360" w:hanging="360"/>
      </w:pPr>
      <w:rPr>
        <w:rFonts w:hint="default" w:ascii="宋体" w:hAnsi="宋体" w:eastAsia="宋体"/>
        <w:b w:val="0"/>
        <w:i w:val="0"/>
        <w:sz w:val="21"/>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3151149"/>
    <w:multiLevelType w:val="multilevel"/>
    <w:tmpl w:val="23151149"/>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29694D05"/>
    <w:multiLevelType w:val="multilevel"/>
    <w:tmpl w:val="29694D05"/>
    <w:lvl w:ilvl="0" w:tentative="0">
      <w:start w:val="1"/>
      <w:numFmt w:val="decimal"/>
      <w:lvlText w:val="%1."/>
      <w:lvlJc w:val="left"/>
      <w:pPr>
        <w:ind w:left="345" w:hanging="360"/>
      </w:pPr>
      <w:rPr>
        <w:rFonts w:hint="default"/>
      </w:rPr>
    </w:lvl>
    <w:lvl w:ilvl="1" w:tentative="0">
      <w:start w:val="1"/>
      <w:numFmt w:val="lowerLetter"/>
      <w:lvlText w:val="%2)"/>
      <w:lvlJc w:val="left"/>
      <w:pPr>
        <w:ind w:left="825" w:hanging="420"/>
      </w:pPr>
    </w:lvl>
    <w:lvl w:ilvl="2" w:tentative="0">
      <w:start w:val="1"/>
      <w:numFmt w:val="lowerRoman"/>
      <w:lvlText w:val="%3."/>
      <w:lvlJc w:val="right"/>
      <w:pPr>
        <w:ind w:left="1245" w:hanging="420"/>
      </w:pPr>
    </w:lvl>
    <w:lvl w:ilvl="3" w:tentative="0">
      <w:start w:val="1"/>
      <w:numFmt w:val="decimal"/>
      <w:lvlText w:val="%4."/>
      <w:lvlJc w:val="left"/>
      <w:pPr>
        <w:ind w:left="1665" w:hanging="420"/>
      </w:pPr>
    </w:lvl>
    <w:lvl w:ilvl="4" w:tentative="0">
      <w:start w:val="1"/>
      <w:numFmt w:val="lowerLetter"/>
      <w:lvlText w:val="%5)"/>
      <w:lvlJc w:val="left"/>
      <w:pPr>
        <w:ind w:left="2085" w:hanging="420"/>
      </w:pPr>
    </w:lvl>
    <w:lvl w:ilvl="5" w:tentative="0">
      <w:start w:val="1"/>
      <w:numFmt w:val="lowerRoman"/>
      <w:lvlText w:val="%6."/>
      <w:lvlJc w:val="right"/>
      <w:pPr>
        <w:ind w:left="2505" w:hanging="420"/>
      </w:pPr>
    </w:lvl>
    <w:lvl w:ilvl="6" w:tentative="0">
      <w:start w:val="1"/>
      <w:numFmt w:val="decimal"/>
      <w:lvlText w:val="%7."/>
      <w:lvlJc w:val="left"/>
      <w:pPr>
        <w:ind w:left="2925" w:hanging="420"/>
      </w:pPr>
    </w:lvl>
    <w:lvl w:ilvl="7" w:tentative="0">
      <w:start w:val="1"/>
      <w:numFmt w:val="lowerLetter"/>
      <w:lvlText w:val="%8)"/>
      <w:lvlJc w:val="left"/>
      <w:pPr>
        <w:ind w:left="3345" w:hanging="420"/>
      </w:pPr>
    </w:lvl>
    <w:lvl w:ilvl="8" w:tentative="0">
      <w:start w:val="1"/>
      <w:numFmt w:val="lowerRoman"/>
      <w:lvlText w:val="%9."/>
      <w:lvlJc w:val="right"/>
      <w:pPr>
        <w:ind w:left="3765" w:hanging="420"/>
      </w:pPr>
    </w:lvl>
  </w:abstractNum>
  <w:abstractNum w:abstractNumId="18">
    <w:nsid w:val="2CB96BE2"/>
    <w:multiLevelType w:val="multilevel"/>
    <w:tmpl w:val="2CB96BE2"/>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2E077590"/>
    <w:multiLevelType w:val="multilevel"/>
    <w:tmpl w:val="2E077590"/>
    <w:lvl w:ilvl="0" w:tentative="0">
      <w:start w:val="1"/>
      <w:numFmt w:val="decimal"/>
      <w:lvlText w:val="%1."/>
      <w:lvlJc w:val="left"/>
      <w:pPr>
        <w:ind w:left="862" w:hanging="360"/>
      </w:pPr>
      <w:rPr>
        <w:rFonts w:hint="default"/>
      </w:rPr>
    </w:lvl>
    <w:lvl w:ilvl="1" w:tentative="0">
      <w:start w:val="1"/>
      <w:numFmt w:val="lowerLetter"/>
      <w:lvlText w:val="%2)"/>
      <w:lvlJc w:val="left"/>
      <w:pPr>
        <w:ind w:left="1342" w:hanging="420"/>
      </w:pPr>
    </w:lvl>
    <w:lvl w:ilvl="2" w:tentative="0">
      <w:start w:val="1"/>
      <w:numFmt w:val="lowerRoman"/>
      <w:lvlText w:val="%3."/>
      <w:lvlJc w:val="right"/>
      <w:pPr>
        <w:ind w:left="1762" w:hanging="420"/>
      </w:pPr>
    </w:lvl>
    <w:lvl w:ilvl="3" w:tentative="0">
      <w:start w:val="1"/>
      <w:numFmt w:val="decimal"/>
      <w:lvlText w:val="%4."/>
      <w:lvlJc w:val="left"/>
      <w:pPr>
        <w:ind w:left="2182" w:hanging="420"/>
      </w:pPr>
    </w:lvl>
    <w:lvl w:ilvl="4" w:tentative="0">
      <w:start w:val="1"/>
      <w:numFmt w:val="lowerLetter"/>
      <w:lvlText w:val="%5)"/>
      <w:lvlJc w:val="left"/>
      <w:pPr>
        <w:ind w:left="2602" w:hanging="420"/>
      </w:pPr>
    </w:lvl>
    <w:lvl w:ilvl="5" w:tentative="0">
      <w:start w:val="1"/>
      <w:numFmt w:val="lowerRoman"/>
      <w:lvlText w:val="%6."/>
      <w:lvlJc w:val="right"/>
      <w:pPr>
        <w:ind w:left="3022" w:hanging="420"/>
      </w:pPr>
    </w:lvl>
    <w:lvl w:ilvl="6" w:tentative="0">
      <w:start w:val="1"/>
      <w:numFmt w:val="decimal"/>
      <w:lvlText w:val="%7."/>
      <w:lvlJc w:val="left"/>
      <w:pPr>
        <w:ind w:left="3442" w:hanging="420"/>
      </w:pPr>
    </w:lvl>
    <w:lvl w:ilvl="7" w:tentative="0">
      <w:start w:val="1"/>
      <w:numFmt w:val="lowerLetter"/>
      <w:lvlText w:val="%8)"/>
      <w:lvlJc w:val="left"/>
      <w:pPr>
        <w:ind w:left="3862" w:hanging="420"/>
      </w:pPr>
    </w:lvl>
    <w:lvl w:ilvl="8" w:tentative="0">
      <w:start w:val="1"/>
      <w:numFmt w:val="lowerRoman"/>
      <w:lvlText w:val="%9."/>
      <w:lvlJc w:val="right"/>
      <w:pPr>
        <w:ind w:left="4282" w:hanging="420"/>
      </w:pPr>
    </w:lvl>
  </w:abstractNum>
  <w:abstractNum w:abstractNumId="20">
    <w:nsid w:val="35C200DD"/>
    <w:multiLevelType w:val="multilevel"/>
    <w:tmpl w:val="35C200DD"/>
    <w:lvl w:ilvl="0" w:tentative="0">
      <w:start w:val="1"/>
      <w:numFmt w:val="decimal"/>
      <w:lvlText w:val="%1."/>
      <w:lvlJc w:val="left"/>
      <w:pPr>
        <w:ind w:left="425" w:hanging="425"/>
      </w:pPr>
      <w:rPr>
        <w:rFonts w:hint="eastAsia"/>
      </w:rPr>
    </w:lvl>
    <w:lvl w:ilvl="1" w:tentative="0">
      <w:start w:val="1"/>
      <w:numFmt w:val="decimal"/>
      <w:lvlText w:val="%1.%2"/>
      <w:lvlJc w:val="left"/>
      <w:pPr>
        <w:ind w:left="561" w:hanging="567"/>
      </w:pPr>
      <w:rPr>
        <w:rFonts w:hint="eastAsia"/>
      </w:rPr>
    </w:lvl>
    <w:lvl w:ilvl="2" w:tentative="0">
      <w:start w:val="1"/>
      <w:numFmt w:val="decimal"/>
      <w:lvlText w:val="%1.%2.%3"/>
      <w:lvlJc w:val="left"/>
      <w:pPr>
        <w:ind w:left="1419"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365777D9"/>
    <w:multiLevelType w:val="multilevel"/>
    <w:tmpl w:val="365777D9"/>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396D3B13"/>
    <w:multiLevelType w:val="multilevel"/>
    <w:tmpl w:val="396D3B1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415F10B2"/>
    <w:multiLevelType w:val="multilevel"/>
    <w:tmpl w:val="415F10B2"/>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4">
    <w:nsid w:val="4554676B"/>
    <w:multiLevelType w:val="multilevel"/>
    <w:tmpl w:val="4554676B"/>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46CF4529"/>
    <w:multiLevelType w:val="multilevel"/>
    <w:tmpl w:val="46CF4529"/>
    <w:lvl w:ilvl="0" w:tentative="0">
      <w:start w:val="1"/>
      <w:numFmt w:val="decimal"/>
      <w:lvlText w:val="第 %1 条"/>
      <w:lvlJc w:val="left"/>
      <w:pPr>
        <w:tabs>
          <w:tab w:val="left" w:pos="1500"/>
        </w:tabs>
        <w:ind w:left="0" w:firstLine="420"/>
      </w:pPr>
      <w:rPr>
        <w:rFonts w:hint="eastAsia" w:ascii="宋体" w:hAnsi="宋体" w:eastAsia="黑体"/>
        <w:b w:val="0"/>
        <w:i w:val="0"/>
        <w:caps w:val="0"/>
        <w:strike w:val="0"/>
        <w:dstrike w:val="0"/>
        <w:vanish w:val="0"/>
        <w:color w:val="auto"/>
        <w:spacing w:val="0"/>
        <w:w w:val="100"/>
        <w:kern w:val="21"/>
        <w:position w:val="0"/>
        <w:sz w:val="21"/>
        <w:u w:val="none"/>
        <w:vertAlign w:val="baseline"/>
      </w:rPr>
    </w:lvl>
    <w:lvl w:ilvl="1" w:tentative="0">
      <w:start w:val="1"/>
      <w:numFmt w:val="decimal"/>
      <w:lvlText w:val="%2."/>
      <w:lvlJc w:val="left"/>
      <w:pPr>
        <w:tabs>
          <w:tab w:val="left" w:pos="780"/>
        </w:tabs>
        <w:ind w:left="780" w:hanging="360"/>
      </w:pPr>
      <w:rPr>
        <w:rFonts w:hint="eastAsia"/>
        <w:color w:val="auto"/>
      </w:rPr>
    </w:lvl>
    <w:lvl w:ilvl="2" w:tentative="0">
      <w:start w:val="1"/>
      <w:numFmt w:val="decimal"/>
      <w:lvlText w:val="第 %3 条"/>
      <w:lvlJc w:val="left"/>
      <w:pPr>
        <w:tabs>
          <w:tab w:val="left" w:pos="1560"/>
        </w:tabs>
        <w:ind w:left="420" w:firstLine="420"/>
      </w:pPr>
      <w:rPr>
        <w:rFonts w:hint="default" w:ascii="Arial" w:hAnsi="Arial" w:eastAsia="宋体"/>
        <w:b/>
        <w:i w:val="0"/>
        <w:sz w:val="21"/>
      </w:rPr>
    </w:lvl>
    <w:lvl w:ilvl="3" w:tentative="0">
      <w:start w:val="1"/>
      <w:numFmt w:val="japaneseCounting"/>
      <w:lvlText w:val="%4."/>
      <w:lvlJc w:val="left"/>
      <w:pPr>
        <w:tabs>
          <w:tab w:val="left" w:pos="1620"/>
        </w:tabs>
        <w:ind w:left="1620" w:hanging="360"/>
      </w:pPr>
      <w:rPr>
        <w:rFonts w:hint="eastAsia"/>
      </w:rPr>
    </w:lvl>
    <w:lvl w:ilvl="4" w:tentative="0">
      <w:start w:val="1"/>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4AC775F4"/>
    <w:multiLevelType w:val="multilevel"/>
    <w:tmpl w:val="4AC775F4"/>
    <w:lvl w:ilvl="0" w:tentative="0">
      <w:start w:val="1"/>
      <w:numFmt w:val="decimal"/>
      <w:lvlText w:val="%1."/>
      <w:lvlJc w:val="left"/>
      <w:pPr>
        <w:ind w:left="425" w:hanging="425"/>
      </w:pPr>
      <w:rPr>
        <w:rFonts w:hint="eastAsia" w:ascii="宋体" w:hAnsi="宋体" w:eastAsia="宋体"/>
        <w:b/>
        <w:sz w:val="28"/>
      </w:rPr>
    </w:lvl>
    <w:lvl w:ilvl="1" w:tentative="0">
      <w:start w:val="1"/>
      <w:numFmt w:val="decimal"/>
      <w:lvlText w:val="%1.%2"/>
      <w:lvlJc w:val="left"/>
      <w:pPr>
        <w:ind w:left="850" w:hanging="425"/>
      </w:pPr>
      <w:rPr>
        <w:rFonts w:hint="eastAsia" w:eastAsia="宋体"/>
        <w:b/>
        <w:i w:val="0"/>
        <w:sz w:val="24"/>
      </w:rPr>
    </w:lvl>
    <w:lvl w:ilvl="2" w:tentative="0">
      <w:start w:val="1"/>
      <w:numFmt w:val="decimal"/>
      <w:lvlText w:val="%1.%2.%3"/>
      <w:lvlJc w:val="left"/>
      <w:pPr>
        <w:ind w:left="1275" w:hanging="425"/>
      </w:pPr>
      <w:rPr>
        <w:rFonts w:hint="eastAsia" w:eastAsia="宋体"/>
        <w:b w:val="0"/>
        <w:i w:val="0"/>
        <w:sz w:val="21"/>
      </w:rPr>
    </w:lvl>
    <w:lvl w:ilvl="3" w:tentative="0">
      <w:start w:val="1"/>
      <w:numFmt w:val="decimal"/>
      <w:lvlText w:val="%1.%2.%3.%4"/>
      <w:lvlJc w:val="left"/>
      <w:pPr>
        <w:ind w:left="1700" w:hanging="425"/>
      </w:pPr>
      <w:rPr>
        <w:rFonts w:hint="eastAsia"/>
      </w:rPr>
    </w:lvl>
    <w:lvl w:ilvl="4" w:tentative="0">
      <w:start w:val="1"/>
      <w:numFmt w:val="decimal"/>
      <w:lvlText w:val="%1.%2.%3.%4.%5"/>
      <w:lvlJc w:val="left"/>
      <w:pPr>
        <w:ind w:left="2125" w:hanging="425"/>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27">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2"/>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8">
    <w:nsid w:val="51E30BF1"/>
    <w:multiLevelType w:val="singleLevel"/>
    <w:tmpl w:val="51E30BF1"/>
    <w:lvl w:ilvl="0" w:tentative="0">
      <w:start w:val="4"/>
      <w:numFmt w:val="chineseCounting"/>
      <w:suff w:val="space"/>
      <w:lvlText w:val="第%1章"/>
      <w:lvlJc w:val="left"/>
      <w:rPr>
        <w:rFonts w:hint="eastAsia"/>
      </w:rPr>
    </w:lvl>
  </w:abstractNum>
  <w:abstractNum w:abstractNumId="29">
    <w:nsid w:val="5532341A"/>
    <w:multiLevelType w:val="multilevel"/>
    <w:tmpl w:val="5532341A"/>
    <w:lvl w:ilvl="0" w:tentative="0">
      <w:start w:val="1"/>
      <w:numFmt w:val="decimal"/>
      <w:lvlText w:val="%1."/>
      <w:lvlJc w:val="left"/>
      <w:pPr>
        <w:ind w:left="862" w:hanging="360"/>
      </w:pPr>
      <w:rPr>
        <w:rFonts w:hint="default"/>
      </w:rPr>
    </w:lvl>
    <w:lvl w:ilvl="1" w:tentative="0">
      <w:start w:val="1"/>
      <w:numFmt w:val="lowerLetter"/>
      <w:lvlText w:val="%2)"/>
      <w:lvlJc w:val="left"/>
      <w:pPr>
        <w:ind w:left="1342" w:hanging="420"/>
      </w:pPr>
    </w:lvl>
    <w:lvl w:ilvl="2" w:tentative="0">
      <w:start w:val="1"/>
      <w:numFmt w:val="lowerRoman"/>
      <w:lvlText w:val="%3."/>
      <w:lvlJc w:val="right"/>
      <w:pPr>
        <w:ind w:left="1762" w:hanging="420"/>
      </w:pPr>
    </w:lvl>
    <w:lvl w:ilvl="3" w:tentative="0">
      <w:start w:val="1"/>
      <w:numFmt w:val="decimal"/>
      <w:lvlText w:val="%4."/>
      <w:lvlJc w:val="left"/>
      <w:pPr>
        <w:ind w:left="2182" w:hanging="420"/>
      </w:pPr>
    </w:lvl>
    <w:lvl w:ilvl="4" w:tentative="0">
      <w:start w:val="1"/>
      <w:numFmt w:val="lowerLetter"/>
      <w:lvlText w:val="%5)"/>
      <w:lvlJc w:val="left"/>
      <w:pPr>
        <w:ind w:left="2602" w:hanging="420"/>
      </w:pPr>
    </w:lvl>
    <w:lvl w:ilvl="5" w:tentative="0">
      <w:start w:val="1"/>
      <w:numFmt w:val="lowerRoman"/>
      <w:lvlText w:val="%6."/>
      <w:lvlJc w:val="right"/>
      <w:pPr>
        <w:ind w:left="3022" w:hanging="420"/>
      </w:pPr>
    </w:lvl>
    <w:lvl w:ilvl="6" w:tentative="0">
      <w:start w:val="1"/>
      <w:numFmt w:val="decimal"/>
      <w:lvlText w:val="%7."/>
      <w:lvlJc w:val="left"/>
      <w:pPr>
        <w:ind w:left="3442" w:hanging="420"/>
      </w:pPr>
    </w:lvl>
    <w:lvl w:ilvl="7" w:tentative="0">
      <w:start w:val="1"/>
      <w:numFmt w:val="lowerLetter"/>
      <w:lvlText w:val="%8)"/>
      <w:lvlJc w:val="left"/>
      <w:pPr>
        <w:ind w:left="3862" w:hanging="420"/>
      </w:pPr>
    </w:lvl>
    <w:lvl w:ilvl="8" w:tentative="0">
      <w:start w:val="1"/>
      <w:numFmt w:val="lowerRoman"/>
      <w:lvlText w:val="%9."/>
      <w:lvlJc w:val="right"/>
      <w:pPr>
        <w:ind w:left="4282" w:hanging="420"/>
      </w:pPr>
    </w:lvl>
  </w:abstractNum>
  <w:abstractNum w:abstractNumId="30">
    <w:nsid w:val="63DE7ADE"/>
    <w:multiLevelType w:val="multilevel"/>
    <w:tmpl w:val="63DE7ADE"/>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1">
    <w:nsid w:val="64FB4BFD"/>
    <w:multiLevelType w:val="multilevel"/>
    <w:tmpl w:val="64FB4BF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58021CE"/>
    <w:multiLevelType w:val="multilevel"/>
    <w:tmpl w:val="658021C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69D69EA"/>
    <w:multiLevelType w:val="multilevel"/>
    <w:tmpl w:val="669D69EA"/>
    <w:lvl w:ilvl="0" w:tentative="0">
      <w:start w:val="1"/>
      <w:numFmt w:val="decimal"/>
      <w:lvlText w:val="%1."/>
      <w:lvlJc w:val="left"/>
      <w:pPr>
        <w:ind w:left="840" w:hanging="420"/>
      </w:pPr>
      <w:rPr>
        <w:rFonts w:hint="eastAsia" w:eastAsia="仿宋_GB2312"/>
        <w:color w:val="auto"/>
        <w:sz w:val="28"/>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113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4">
    <w:nsid w:val="6A1C073A"/>
    <w:multiLevelType w:val="multilevel"/>
    <w:tmpl w:val="6A1C073A"/>
    <w:lvl w:ilvl="0" w:tentative="0">
      <w:start w:val="1"/>
      <w:numFmt w:val="decimal"/>
      <w:lvlText w:val="%1."/>
      <w:lvlJc w:val="left"/>
      <w:pPr>
        <w:ind w:left="862" w:hanging="360"/>
      </w:pPr>
      <w:rPr>
        <w:rFonts w:hint="default"/>
        <w:color w:val="auto"/>
      </w:rPr>
    </w:lvl>
    <w:lvl w:ilvl="1" w:tentative="0">
      <w:start w:val="1"/>
      <w:numFmt w:val="lowerLetter"/>
      <w:lvlText w:val="%2)"/>
      <w:lvlJc w:val="left"/>
      <w:pPr>
        <w:ind w:left="1342" w:hanging="420"/>
      </w:pPr>
    </w:lvl>
    <w:lvl w:ilvl="2" w:tentative="0">
      <w:start w:val="1"/>
      <w:numFmt w:val="lowerRoman"/>
      <w:lvlText w:val="%3."/>
      <w:lvlJc w:val="right"/>
      <w:pPr>
        <w:ind w:left="1762" w:hanging="420"/>
      </w:pPr>
    </w:lvl>
    <w:lvl w:ilvl="3" w:tentative="0">
      <w:start w:val="1"/>
      <w:numFmt w:val="decimal"/>
      <w:lvlText w:val="%4."/>
      <w:lvlJc w:val="left"/>
      <w:pPr>
        <w:ind w:left="2182" w:hanging="420"/>
      </w:pPr>
    </w:lvl>
    <w:lvl w:ilvl="4" w:tentative="0">
      <w:start w:val="1"/>
      <w:numFmt w:val="lowerLetter"/>
      <w:lvlText w:val="%5)"/>
      <w:lvlJc w:val="left"/>
      <w:pPr>
        <w:ind w:left="2602" w:hanging="420"/>
      </w:pPr>
    </w:lvl>
    <w:lvl w:ilvl="5" w:tentative="0">
      <w:start w:val="1"/>
      <w:numFmt w:val="lowerRoman"/>
      <w:lvlText w:val="%6."/>
      <w:lvlJc w:val="right"/>
      <w:pPr>
        <w:ind w:left="3022" w:hanging="420"/>
      </w:pPr>
    </w:lvl>
    <w:lvl w:ilvl="6" w:tentative="0">
      <w:start w:val="1"/>
      <w:numFmt w:val="decimal"/>
      <w:lvlText w:val="%7."/>
      <w:lvlJc w:val="left"/>
      <w:pPr>
        <w:ind w:left="3442" w:hanging="420"/>
      </w:pPr>
    </w:lvl>
    <w:lvl w:ilvl="7" w:tentative="0">
      <w:start w:val="1"/>
      <w:numFmt w:val="lowerLetter"/>
      <w:lvlText w:val="%8)"/>
      <w:lvlJc w:val="left"/>
      <w:pPr>
        <w:ind w:left="3862" w:hanging="420"/>
      </w:pPr>
    </w:lvl>
    <w:lvl w:ilvl="8" w:tentative="0">
      <w:start w:val="1"/>
      <w:numFmt w:val="lowerRoman"/>
      <w:lvlText w:val="%9."/>
      <w:lvlJc w:val="right"/>
      <w:pPr>
        <w:ind w:left="4282" w:hanging="420"/>
      </w:pPr>
    </w:lvl>
  </w:abstractNum>
  <w:abstractNum w:abstractNumId="35">
    <w:nsid w:val="6C357887"/>
    <w:multiLevelType w:val="multilevel"/>
    <w:tmpl w:val="6C357887"/>
    <w:lvl w:ilvl="0" w:tentative="0">
      <w:start w:val="1"/>
      <w:numFmt w:val="decimal"/>
      <w:lvlText w:val="%1."/>
      <w:lvlJc w:val="left"/>
      <w:pPr>
        <w:tabs>
          <w:tab w:val="left" w:pos="780"/>
        </w:tabs>
        <w:ind w:left="780" w:hanging="36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6EDB18A8"/>
    <w:multiLevelType w:val="multilevel"/>
    <w:tmpl w:val="6EDB18A8"/>
    <w:lvl w:ilvl="0" w:tentative="0">
      <w:start w:val="1"/>
      <w:numFmt w:val="decimal"/>
      <w:lvlText w:val="%1."/>
      <w:lvlJc w:val="left"/>
      <w:pPr>
        <w:ind w:left="360" w:hanging="360"/>
      </w:pPr>
      <w:rPr>
        <w:rFonts w:hint="default" w:ascii="宋体" w:hAnsi="宋体" w:eastAsia="宋体"/>
        <w:b w:val="0"/>
        <w:i w:val="0"/>
        <w:sz w:val="21"/>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78D603AC"/>
    <w:multiLevelType w:val="multilevel"/>
    <w:tmpl w:val="78D603AC"/>
    <w:lvl w:ilvl="0" w:tentative="0">
      <w:start w:val="4"/>
      <w:numFmt w:val="decimal"/>
      <w:lvlText w:val="%1."/>
      <w:lvlJc w:val="left"/>
      <w:pPr>
        <w:ind w:left="1135" w:hanging="425"/>
      </w:pPr>
      <w:rPr>
        <w:rFonts w:hint="eastAsia"/>
      </w:rPr>
    </w:lvl>
    <w:lvl w:ilvl="1" w:tentative="0">
      <w:start w:val="1"/>
      <w:numFmt w:val="decimal"/>
      <w:lvlText w:val="%1.%2"/>
      <w:lvlJc w:val="left"/>
      <w:pPr>
        <w:ind w:left="1702" w:hanging="567"/>
      </w:pPr>
      <w:rPr>
        <w:rFonts w:hint="eastAsia"/>
      </w:rPr>
    </w:lvl>
    <w:lvl w:ilvl="2" w:tentative="0">
      <w:start w:val="1"/>
      <w:numFmt w:val="decimal"/>
      <w:lvlText w:val="%1.%2.%3"/>
      <w:lvlJc w:val="left"/>
      <w:pPr>
        <w:ind w:left="2128" w:hanging="567"/>
      </w:pPr>
      <w:rPr>
        <w:rFonts w:hint="eastAsia" w:eastAsia="宋体" w:asciiTheme="minorEastAsia" w:hAnsiTheme="minorEastAsia"/>
      </w:rPr>
    </w:lvl>
    <w:lvl w:ilvl="3" w:tentative="0">
      <w:start w:val="1"/>
      <w:numFmt w:val="decimal"/>
      <w:lvlText w:val="%1.%2.%3.%4"/>
      <w:lvlJc w:val="left"/>
      <w:pPr>
        <w:ind w:left="2694" w:hanging="708"/>
      </w:pPr>
      <w:rPr>
        <w:rFonts w:hint="eastAsia"/>
      </w:rPr>
    </w:lvl>
    <w:lvl w:ilvl="4" w:tentative="0">
      <w:start w:val="1"/>
      <w:numFmt w:val="decimal"/>
      <w:lvlText w:val="%1.%2.%3.%4.%5"/>
      <w:lvlJc w:val="left"/>
      <w:pPr>
        <w:ind w:left="3261" w:hanging="850"/>
      </w:pPr>
      <w:rPr>
        <w:rFonts w:hint="eastAsia"/>
      </w:rPr>
    </w:lvl>
    <w:lvl w:ilvl="5" w:tentative="0">
      <w:start w:val="1"/>
      <w:numFmt w:val="decimal"/>
      <w:lvlText w:val="%1.%2.%3.%4.%5.%6"/>
      <w:lvlJc w:val="left"/>
      <w:pPr>
        <w:ind w:left="3970" w:hanging="1134"/>
      </w:pPr>
      <w:rPr>
        <w:rFonts w:hint="eastAsia"/>
      </w:rPr>
    </w:lvl>
    <w:lvl w:ilvl="6" w:tentative="0">
      <w:start w:val="1"/>
      <w:numFmt w:val="decimal"/>
      <w:lvlText w:val="%1.%2.%3.%4.%5.%6.%7"/>
      <w:lvlJc w:val="left"/>
      <w:pPr>
        <w:ind w:left="4537" w:hanging="1276"/>
      </w:pPr>
      <w:rPr>
        <w:rFonts w:hint="eastAsia"/>
      </w:rPr>
    </w:lvl>
    <w:lvl w:ilvl="7" w:tentative="0">
      <w:start w:val="1"/>
      <w:numFmt w:val="decimal"/>
      <w:lvlText w:val="%1.%2.%3.%4.%5.%6.%7.%8"/>
      <w:lvlJc w:val="left"/>
      <w:pPr>
        <w:ind w:left="5104" w:hanging="1418"/>
      </w:pPr>
      <w:rPr>
        <w:rFonts w:hint="eastAsia"/>
      </w:rPr>
    </w:lvl>
    <w:lvl w:ilvl="8" w:tentative="0">
      <w:start w:val="1"/>
      <w:numFmt w:val="decimal"/>
      <w:lvlText w:val="%1.%2.%3.%4.%5.%6.%7.%8.%9"/>
      <w:lvlJc w:val="left"/>
      <w:pPr>
        <w:ind w:left="5812" w:hanging="1700"/>
      </w:pPr>
      <w:rPr>
        <w:rFonts w:hint="eastAsia"/>
      </w:rPr>
    </w:lvl>
  </w:abstractNum>
  <w:abstractNum w:abstractNumId="38">
    <w:nsid w:val="79E35829"/>
    <w:multiLevelType w:val="multilevel"/>
    <w:tmpl w:val="79E35829"/>
    <w:lvl w:ilvl="0" w:tentative="0">
      <w:start w:val="1"/>
      <w:numFmt w:val="decimal"/>
      <w:lvlText w:val="第 %1 条"/>
      <w:lvlJc w:val="left"/>
      <w:pPr>
        <w:tabs>
          <w:tab w:val="left" w:pos="1500"/>
        </w:tabs>
        <w:ind w:left="0" w:firstLine="420"/>
      </w:pPr>
      <w:rPr>
        <w:rFonts w:hint="eastAsia" w:ascii="宋体" w:hAnsi="宋体" w:eastAsia="黑体"/>
        <w:b w:val="0"/>
        <w:i w:val="0"/>
        <w:caps w:val="0"/>
        <w:strike w:val="0"/>
        <w:dstrike w:val="0"/>
        <w:vanish w:val="0"/>
        <w:color w:val="auto"/>
        <w:spacing w:val="0"/>
        <w:w w:val="100"/>
        <w:kern w:val="21"/>
        <w:position w:val="0"/>
        <w:sz w:val="21"/>
        <w:u w:val="none"/>
        <w:vertAlign w:val="baseline"/>
        <w:lang w:val="en-US"/>
      </w:rPr>
    </w:lvl>
    <w:lvl w:ilvl="1" w:tentative="0">
      <w:start w:val="1"/>
      <w:numFmt w:val="decimal"/>
      <w:lvlText w:val="%2."/>
      <w:lvlJc w:val="left"/>
      <w:pPr>
        <w:tabs>
          <w:tab w:val="left" w:pos="780"/>
        </w:tabs>
        <w:ind w:left="780" w:hanging="360"/>
      </w:pPr>
      <w:rPr>
        <w:rFonts w:hint="eastAsia"/>
        <w:color w:val="auto"/>
      </w:rPr>
    </w:lvl>
    <w:lvl w:ilvl="2" w:tentative="0">
      <w:start w:val="1"/>
      <w:numFmt w:val="decimal"/>
      <w:lvlText w:val="第 %3 条"/>
      <w:lvlJc w:val="left"/>
      <w:pPr>
        <w:tabs>
          <w:tab w:val="left" w:pos="1560"/>
        </w:tabs>
        <w:ind w:left="420" w:firstLine="420"/>
      </w:pPr>
      <w:rPr>
        <w:rFonts w:hint="default" w:ascii="Arial" w:hAnsi="Arial" w:eastAsia="宋体"/>
        <w:b/>
        <w:i w:val="0"/>
        <w:sz w:val="21"/>
      </w:rPr>
    </w:lvl>
    <w:lvl w:ilvl="3" w:tentative="0">
      <w:start w:val="1"/>
      <w:numFmt w:val="japaneseCounting"/>
      <w:lvlText w:val="%4."/>
      <w:lvlJc w:val="left"/>
      <w:pPr>
        <w:tabs>
          <w:tab w:val="left" w:pos="1620"/>
        </w:tabs>
        <w:ind w:left="1620" w:hanging="360"/>
      </w:pPr>
      <w:rPr>
        <w:rFonts w:hint="eastAsia"/>
      </w:rPr>
    </w:lvl>
    <w:lvl w:ilvl="4" w:tentative="0">
      <w:start w:val="1"/>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B8871F3"/>
    <w:multiLevelType w:val="multilevel"/>
    <w:tmpl w:val="7B8871F3"/>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0">
    <w:nsid w:val="7FA36634"/>
    <w:multiLevelType w:val="multilevel"/>
    <w:tmpl w:val="7FA36634"/>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7"/>
  </w:num>
  <w:num w:numId="2">
    <w:abstractNumId w:val="20"/>
  </w:num>
  <w:num w:numId="3">
    <w:abstractNumId w:val="37"/>
  </w:num>
  <w:num w:numId="4">
    <w:abstractNumId w:val="3"/>
  </w:num>
  <w:num w:numId="5">
    <w:abstractNumId w:val="26"/>
  </w:num>
  <w:num w:numId="6">
    <w:abstractNumId w:val="10"/>
  </w:num>
  <w:num w:numId="7">
    <w:abstractNumId w:val="31"/>
  </w:num>
  <w:num w:numId="8">
    <w:abstractNumId w:val="0"/>
  </w:num>
  <w:num w:numId="9">
    <w:abstractNumId w:val="6"/>
  </w:num>
  <w:num w:numId="10">
    <w:abstractNumId w:val="40"/>
  </w:num>
  <w:num w:numId="11">
    <w:abstractNumId w:val="28"/>
  </w:num>
  <w:num w:numId="12">
    <w:abstractNumId w:val="13"/>
  </w:num>
  <w:num w:numId="13">
    <w:abstractNumId w:val="38"/>
  </w:num>
  <w:num w:numId="14">
    <w:abstractNumId w:val="11"/>
  </w:num>
  <w:num w:numId="15">
    <w:abstractNumId w:val="16"/>
  </w:num>
  <w:num w:numId="16">
    <w:abstractNumId w:val="25"/>
  </w:num>
  <w:num w:numId="17">
    <w:abstractNumId w:val="35"/>
  </w:num>
  <w:num w:numId="18">
    <w:abstractNumId w:val="39"/>
  </w:num>
  <w:num w:numId="19">
    <w:abstractNumId w:val="23"/>
  </w:num>
  <w:num w:numId="20">
    <w:abstractNumId w:val="19"/>
  </w:num>
  <w:num w:numId="21">
    <w:abstractNumId w:val="29"/>
  </w:num>
  <w:num w:numId="22">
    <w:abstractNumId w:val="34"/>
  </w:num>
  <w:num w:numId="23">
    <w:abstractNumId w:val="17"/>
  </w:num>
  <w:num w:numId="24">
    <w:abstractNumId w:val="32"/>
  </w:num>
  <w:num w:numId="25">
    <w:abstractNumId w:val="14"/>
  </w:num>
  <w:num w:numId="26">
    <w:abstractNumId w:val="7"/>
  </w:num>
  <w:num w:numId="27">
    <w:abstractNumId w:val="1"/>
  </w:num>
  <w:num w:numId="28">
    <w:abstractNumId w:val="5"/>
  </w:num>
  <w:num w:numId="29">
    <w:abstractNumId w:val="30"/>
  </w:num>
  <w:num w:numId="30">
    <w:abstractNumId w:val="33"/>
  </w:num>
  <w:num w:numId="31">
    <w:abstractNumId w:val="9"/>
  </w:num>
  <w:num w:numId="32">
    <w:abstractNumId w:val="18"/>
  </w:num>
  <w:num w:numId="33">
    <w:abstractNumId w:val="22"/>
  </w:num>
  <w:num w:numId="34">
    <w:abstractNumId w:val="8"/>
  </w:num>
  <w:num w:numId="35">
    <w:abstractNumId w:val="4"/>
  </w:num>
  <w:num w:numId="36">
    <w:abstractNumId w:val="21"/>
  </w:num>
  <w:num w:numId="37">
    <w:abstractNumId w:val="2"/>
  </w:num>
  <w:num w:numId="38">
    <w:abstractNumId w:val="12"/>
  </w:num>
  <w:num w:numId="39">
    <w:abstractNumId w:val="15"/>
  </w:num>
  <w:num w:numId="40">
    <w:abstractNumId w:val="24"/>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MjE2ZTBmMzVlNDU2ODM4MDU2ZTc5NjM4YTZhZjcifQ=="/>
  </w:docVars>
  <w:rsids>
    <w:rsidRoot w:val="006D1E24"/>
    <w:rsid w:val="0000107C"/>
    <w:rsid w:val="00001243"/>
    <w:rsid w:val="00001D14"/>
    <w:rsid w:val="00003939"/>
    <w:rsid w:val="000047AE"/>
    <w:rsid w:val="00004907"/>
    <w:rsid w:val="000057B9"/>
    <w:rsid w:val="00005869"/>
    <w:rsid w:val="0000597B"/>
    <w:rsid w:val="00007097"/>
    <w:rsid w:val="000075A0"/>
    <w:rsid w:val="000077AB"/>
    <w:rsid w:val="00010968"/>
    <w:rsid w:val="00011A09"/>
    <w:rsid w:val="000126F7"/>
    <w:rsid w:val="00012B5E"/>
    <w:rsid w:val="00013A07"/>
    <w:rsid w:val="00014A6B"/>
    <w:rsid w:val="00014F14"/>
    <w:rsid w:val="0001593D"/>
    <w:rsid w:val="00015A22"/>
    <w:rsid w:val="00015BF3"/>
    <w:rsid w:val="00015CF1"/>
    <w:rsid w:val="000164B5"/>
    <w:rsid w:val="0001659A"/>
    <w:rsid w:val="00016CB3"/>
    <w:rsid w:val="00016DEE"/>
    <w:rsid w:val="000202BD"/>
    <w:rsid w:val="000207D1"/>
    <w:rsid w:val="00020D9C"/>
    <w:rsid w:val="0002129D"/>
    <w:rsid w:val="00021A11"/>
    <w:rsid w:val="00021AA4"/>
    <w:rsid w:val="0002398D"/>
    <w:rsid w:val="000246FF"/>
    <w:rsid w:val="00024789"/>
    <w:rsid w:val="0002509A"/>
    <w:rsid w:val="00025960"/>
    <w:rsid w:val="0002606E"/>
    <w:rsid w:val="000265DB"/>
    <w:rsid w:val="0002661D"/>
    <w:rsid w:val="00027253"/>
    <w:rsid w:val="0002725B"/>
    <w:rsid w:val="000276E2"/>
    <w:rsid w:val="00027794"/>
    <w:rsid w:val="00030B3A"/>
    <w:rsid w:val="00030F0C"/>
    <w:rsid w:val="00032499"/>
    <w:rsid w:val="00032550"/>
    <w:rsid w:val="00033ED9"/>
    <w:rsid w:val="0003405B"/>
    <w:rsid w:val="00034D67"/>
    <w:rsid w:val="000357F1"/>
    <w:rsid w:val="0003775A"/>
    <w:rsid w:val="00037E1F"/>
    <w:rsid w:val="00041272"/>
    <w:rsid w:val="0004206C"/>
    <w:rsid w:val="0004255D"/>
    <w:rsid w:val="00042E7E"/>
    <w:rsid w:val="000437ED"/>
    <w:rsid w:val="0004453D"/>
    <w:rsid w:val="000445C6"/>
    <w:rsid w:val="00044AB7"/>
    <w:rsid w:val="00044D32"/>
    <w:rsid w:val="000466F9"/>
    <w:rsid w:val="00047CB9"/>
    <w:rsid w:val="00047DBE"/>
    <w:rsid w:val="00047E9C"/>
    <w:rsid w:val="00050DC7"/>
    <w:rsid w:val="00051895"/>
    <w:rsid w:val="000519A8"/>
    <w:rsid w:val="00051CBD"/>
    <w:rsid w:val="00052288"/>
    <w:rsid w:val="00052F71"/>
    <w:rsid w:val="00053C97"/>
    <w:rsid w:val="00055DE2"/>
    <w:rsid w:val="000560BC"/>
    <w:rsid w:val="00056105"/>
    <w:rsid w:val="00057963"/>
    <w:rsid w:val="00060BF6"/>
    <w:rsid w:val="00061B23"/>
    <w:rsid w:val="00062473"/>
    <w:rsid w:val="000629D4"/>
    <w:rsid w:val="00062A74"/>
    <w:rsid w:val="00062C51"/>
    <w:rsid w:val="00062DCD"/>
    <w:rsid w:val="00063079"/>
    <w:rsid w:val="00063128"/>
    <w:rsid w:val="00064271"/>
    <w:rsid w:val="00064517"/>
    <w:rsid w:val="00064F84"/>
    <w:rsid w:val="00070114"/>
    <w:rsid w:val="00070C06"/>
    <w:rsid w:val="00070CDD"/>
    <w:rsid w:val="000717AA"/>
    <w:rsid w:val="000725D7"/>
    <w:rsid w:val="00073027"/>
    <w:rsid w:val="0007311E"/>
    <w:rsid w:val="00073E0B"/>
    <w:rsid w:val="00074167"/>
    <w:rsid w:val="00074915"/>
    <w:rsid w:val="0007547C"/>
    <w:rsid w:val="00075B62"/>
    <w:rsid w:val="0007666A"/>
    <w:rsid w:val="000768CC"/>
    <w:rsid w:val="00077A51"/>
    <w:rsid w:val="00080E67"/>
    <w:rsid w:val="00081BE6"/>
    <w:rsid w:val="00081C20"/>
    <w:rsid w:val="0008220C"/>
    <w:rsid w:val="00085530"/>
    <w:rsid w:val="000855BF"/>
    <w:rsid w:val="00086296"/>
    <w:rsid w:val="000862FE"/>
    <w:rsid w:val="00087053"/>
    <w:rsid w:val="0008747D"/>
    <w:rsid w:val="000901AA"/>
    <w:rsid w:val="000903B0"/>
    <w:rsid w:val="00092670"/>
    <w:rsid w:val="0009287B"/>
    <w:rsid w:val="00093E50"/>
    <w:rsid w:val="00094678"/>
    <w:rsid w:val="000950F9"/>
    <w:rsid w:val="00095379"/>
    <w:rsid w:val="0009650A"/>
    <w:rsid w:val="00096BF6"/>
    <w:rsid w:val="000975BF"/>
    <w:rsid w:val="000A0EF5"/>
    <w:rsid w:val="000A1448"/>
    <w:rsid w:val="000A1D1F"/>
    <w:rsid w:val="000A1E34"/>
    <w:rsid w:val="000A2258"/>
    <w:rsid w:val="000A3AD8"/>
    <w:rsid w:val="000A3C0C"/>
    <w:rsid w:val="000A3D5D"/>
    <w:rsid w:val="000A4B36"/>
    <w:rsid w:val="000A5778"/>
    <w:rsid w:val="000A63E9"/>
    <w:rsid w:val="000A705A"/>
    <w:rsid w:val="000A71E6"/>
    <w:rsid w:val="000A77D5"/>
    <w:rsid w:val="000A7F41"/>
    <w:rsid w:val="000B04F2"/>
    <w:rsid w:val="000B079C"/>
    <w:rsid w:val="000B256E"/>
    <w:rsid w:val="000B55EC"/>
    <w:rsid w:val="000B67FE"/>
    <w:rsid w:val="000B6EB8"/>
    <w:rsid w:val="000B731B"/>
    <w:rsid w:val="000C063A"/>
    <w:rsid w:val="000C09BF"/>
    <w:rsid w:val="000C0A9D"/>
    <w:rsid w:val="000C0F5A"/>
    <w:rsid w:val="000C1CD8"/>
    <w:rsid w:val="000C1E9B"/>
    <w:rsid w:val="000C228B"/>
    <w:rsid w:val="000C28C1"/>
    <w:rsid w:val="000C37EF"/>
    <w:rsid w:val="000C3B04"/>
    <w:rsid w:val="000C4244"/>
    <w:rsid w:val="000C4B42"/>
    <w:rsid w:val="000C52B4"/>
    <w:rsid w:val="000C56D3"/>
    <w:rsid w:val="000C6898"/>
    <w:rsid w:val="000D090B"/>
    <w:rsid w:val="000D14BD"/>
    <w:rsid w:val="000D16E4"/>
    <w:rsid w:val="000D1A2E"/>
    <w:rsid w:val="000D1C1F"/>
    <w:rsid w:val="000D204A"/>
    <w:rsid w:val="000D21AC"/>
    <w:rsid w:val="000D2C2A"/>
    <w:rsid w:val="000D3834"/>
    <w:rsid w:val="000D4D81"/>
    <w:rsid w:val="000D66AE"/>
    <w:rsid w:val="000D6E7B"/>
    <w:rsid w:val="000D7B50"/>
    <w:rsid w:val="000E045B"/>
    <w:rsid w:val="000E1109"/>
    <w:rsid w:val="000E1C06"/>
    <w:rsid w:val="000E1EDF"/>
    <w:rsid w:val="000E1F04"/>
    <w:rsid w:val="000E25C5"/>
    <w:rsid w:val="000E28EF"/>
    <w:rsid w:val="000E2CF1"/>
    <w:rsid w:val="000E2DD2"/>
    <w:rsid w:val="000E33CC"/>
    <w:rsid w:val="000E4B58"/>
    <w:rsid w:val="000E4D61"/>
    <w:rsid w:val="000E579C"/>
    <w:rsid w:val="000E5DCA"/>
    <w:rsid w:val="000E5F8C"/>
    <w:rsid w:val="000E65C0"/>
    <w:rsid w:val="000E68A1"/>
    <w:rsid w:val="000F0563"/>
    <w:rsid w:val="000F1D30"/>
    <w:rsid w:val="000F2448"/>
    <w:rsid w:val="000F2A61"/>
    <w:rsid w:val="000F5530"/>
    <w:rsid w:val="000F6AD7"/>
    <w:rsid w:val="000F6C5A"/>
    <w:rsid w:val="000F6D4B"/>
    <w:rsid w:val="000F6F16"/>
    <w:rsid w:val="000F7DD6"/>
    <w:rsid w:val="00100441"/>
    <w:rsid w:val="00100E05"/>
    <w:rsid w:val="00102BE9"/>
    <w:rsid w:val="0010339A"/>
    <w:rsid w:val="0010374A"/>
    <w:rsid w:val="00104246"/>
    <w:rsid w:val="001042D2"/>
    <w:rsid w:val="001043E8"/>
    <w:rsid w:val="001046B6"/>
    <w:rsid w:val="00104E3E"/>
    <w:rsid w:val="001051DB"/>
    <w:rsid w:val="00106245"/>
    <w:rsid w:val="001075F9"/>
    <w:rsid w:val="00107748"/>
    <w:rsid w:val="00107807"/>
    <w:rsid w:val="00107991"/>
    <w:rsid w:val="00107E05"/>
    <w:rsid w:val="00107F69"/>
    <w:rsid w:val="00110A63"/>
    <w:rsid w:val="001112B6"/>
    <w:rsid w:val="001112C1"/>
    <w:rsid w:val="00112A10"/>
    <w:rsid w:val="0011414A"/>
    <w:rsid w:val="0011621A"/>
    <w:rsid w:val="001162FB"/>
    <w:rsid w:val="00116CB4"/>
    <w:rsid w:val="00117A40"/>
    <w:rsid w:val="00120CA5"/>
    <w:rsid w:val="00121624"/>
    <w:rsid w:val="00122DE5"/>
    <w:rsid w:val="0012392E"/>
    <w:rsid w:val="001241F1"/>
    <w:rsid w:val="0012492E"/>
    <w:rsid w:val="0012512B"/>
    <w:rsid w:val="0012524C"/>
    <w:rsid w:val="001253E8"/>
    <w:rsid w:val="001258A8"/>
    <w:rsid w:val="00125A7A"/>
    <w:rsid w:val="00126370"/>
    <w:rsid w:val="00127F1F"/>
    <w:rsid w:val="001306E5"/>
    <w:rsid w:val="00130BCA"/>
    <w:rsid w:val="00131518"/>
    <w:rsid w:val="001315EB"/>
    <w:rsid w:val="00131CD5"/>
    <w:rsid w:val="00133588"/>
    <w:rsid w:val="001337DF"/>
    <w:rsid w:val="00133EC5"/>
    <w:rsid w:val="00135350"/>
    <w:rsid w:val="001358FC"/>
    <w:rsid w:val="0013604E"/>
    <w:rsid w:val="00137021"/>
    <w:rsid w:val="001374C5"/>
    <w:rsid w:val="001400EC"/>
    <w:rsid w:val="001405FC"/>
    <w:rsid w:val="00140D89"/>
    <w:rsid w:val="00141291"/>
    <w:rsid w:val="00141358"/>
    <w:rsid w:val="001413DE"/>
    <w:rsid w:val="001413E9"/>
    <w:rsid w:val="00141474"/>
    <w:rsid w:val="00141EC9"/>
    <w:rsid w:val="001438EB"/>
    <w:rsid w:val="00143DC1"/>
    <w:rsid w:val="00143F8B"/>
    <w:rsid w:val="0014441E"/>
    <w:rsid w:val="00144944"/>
    <w:rsid w:val="00144E54"/>
    <w:rsid w:val="001464EC"/>
    <w:rsid w:val="001467A1"/>
    <w:rsid w:val="0014690F"/>
    <w:rsid w:val="00146A1E"/>
    <w:rsid w:val="00146A2C"/>
    <w:rsid w:val="001476AF"/>
    <w:rsid w:val="00151335"/>
    <w:rsid w:val="001521DF"/>
    <w:rsid w:val="00152C1A"/>
    <w:rsid w:val="00153BA2"/>
    <w:rsid w:val="00153DA1"/>
    <w:rsid w:val="0015477C"/>
    <w:rsid w:val="001558E8"/>
    <w:rsid w:val="001559C5"/>
    <w:rsid w:val="00156364"/>
    <w:rsid w:val="001567BD"/>
    <w:rsid w:val="00156AD9"/>
    <w:rsid w:val="0015713C"/>
    <w:rsid w:val="001603BD"/>
    <w:rsid w:val="0016072E"/>
    <w:rsid w:val="00160E7C"/>
    <w:rsid w:val="00160F5A"/>
    <w:rsid w:val="00162F41"/>
    <w:rsid w:val="00163380"/>
    <w:rsid w:val="0016398B"/>
    <w:rsid w:val="00165875"/>
    <w:rsid w:val="00165935"/>
    <w:rsid w:val="00165C45"/>
    <w:rsid w:val="00166608"/>
    <w:rsid w:val="001676BC"/>
    <w:rsid w:val="00167912"/>
    <w:rsid w:val="00167E66"/>
    <w:rsid w:val="00170340"/>
    <w:rsid w:val="00170507"/>
    <w:rsid w:val="0017070C"/>
    <w:rsid w:val="001712B8"/>
    <w:rsid w:val="001723AD"/>
    <w:rsid w:val="00172DC9"/>
    <w:rsid w:val="00173C41"/>
    <w:rsid w:val="00173C8F"/>
    <w:rsid w:val="001742CB"/>
    <w:rsid w:val="00174F8F"/>
    <w:rsid w:val="001753BA"/>
    <w:rsid w:val="00175694"/>
    <w:rsid w:val="001757E4"/>
    <w:rsid w:val="001759D8"/>
    <w:rsid w:val="00176123"/>
    <w:rsid w:val="00176386"/>
    <w:rsid w:val="00176B74"/>
    <w:rsid w:val="00177428"/>
    <w:rsid w:val="00177531"/>
    <w:rsid w:val="00180C55"/>
    <w:rsid w:val="00180FCE"/>
    <w:rsid w:val="00181017"/>
    <w:rsid w:val="00181B28"/>
    <w:rsid w:val="00182766"/>
    <w:rsid w:val="001830EA"/>
    <w:rsid w:val="001845D4"/>
    <w:rsid w:val="001848F1"/>
    <w:rsid w:val="00184C8A"/>
    <w:rsid w:val="00184F2C"/>
    <w:rsid w:val="001851E3"/>
    <w:rsid w:val="0018551F"/>
    <w:rsid w:val="001861E0"/>
    <w:rsid w:val="00186411"/>
    <w:rsid w:val="00186424"/>
    <w:rsid w:val="0018646D"/>
    <w:rsid w:val="00190050"/>
    <w:rsid w:val="00190437"/>
    <w:rsid w:val="001916FE"/>
    <w:rsid w:val="00191A7D"/>
    <w:rsid w:val="00192158"/>
    <w:rsid w:val="00193C2A"/>
    <w:rsid w:val="001945B8"/>
    <w:rsid w:val="00194691"/>
    <w:rsid w:val="001946E9"/>
    <w:rsid w:val="001949A4"/>
    <w:rsid w:val="00195240"/>
    <w:rsid w:val="00195A65"/>
    <w:rsid w:val="00196397"/>
    <w:rsid w:val="00196607"/>
    <w:rsid w:val="001978BE"/>
    <w:rsid w:val="00197B12"/>
    <w:rsid w:val="001A0B00"/>
    <w:rsid w:val="001A1122"/>
    <w:rsid w:val="001A15F3"/>
    <w:rsid w:val="001A1B0A"/>
    <w:rsid w:val="001A1B30"/>
    <w:rsid w:val="001A2791"/>
    <w:rsid w:val="001A4B06"/>
    <w:rsid w:val="001A714E"/>
    <w:rsid w:val="001A7B9F"/>
    <w:rsid w:val="001A7C37"/>
    <w:rsid w:val="001B0149"/>
    <w:rsid w:val="001B041E"/>
    <w:rsid w:val="001B0424"/>
    <w:rsid w:val="001B05F6"/>
    <w:rsid w:val="001B1E47"/>
    <w:rsid w:val="001B2099"/>
    <w:rsid w:val="001B2883"/>
    <w:rsid w:val="001B2C64"/>
    <w:rsid w:val="001B30FF"/>
    <w:rsid w:val="001B3CFD"/>
    <w:rsid w:val="001B3DD5"/>
    <w:rsid w:val="001B3F0F"/>
    <w:rsid w:val="001B4730"/>
    <w:rsid w:val="001B79BF"/>
    <w:rsid w:val="001C0B43"/>
    <w:rsid w:val="001C1069"/>
    <w:rsid w:val="001C161E"/>
    <w:rsid w:val="001C162C"/>
    <w:rsid w:val="001C1E3D"/>
    <w:rsid w:val="001C2082"/>
    <w:rsid w:val="001C2649"/>
    <w:rsid w:val="001C2B03"/>
    <w:rsid w:val="001C2C69"/>
    <w:rsid w:val="001C3C89"/>
    <w:rsid w:val="001C3F5C"/>
    <w:rsid w:val="001C5177"/>
    <w:rsid w:val="001C538A"/>
    <w:rsid w:val="001C5464"/>
    <w:rsid w:val="001C560E"/>
    <w:rsid w:val="001C59FC"/>
    <w:rsid w:val="001C5D49"/>
    <w:rsid w:val="001C6081"/>
    <w:rsid w:val="001C651B"/>
    <w:rsid w:val="001C6674"/>
    <w:rsid w:val="001C7EA9"/>
    <w:rsid w:val="001D0DDC"/>
    <w:rsid w:val="001D1275"/>
    <w:rsid w:val="001D1438"/>
    <w:rsid w:val="001D17BA"/>
    <w:rsid w:val="001D17F2"/>
    <w:rsid w:val="001D201F"/>
    <w:rsid w:val="001D2C1F"/>
    <w:rsid w:val="001D320A"/>
    <w:rsid w:val="001D3A09"/>
    <w:rsid w:val="001D433D"/>
    <w:rsid w:val="001D4673"/>
    <w:rsid w:val="001D5A14"/>
    <w:rsid w:val="001D618A"/>
    <w:rsid w:val="001D64E0"/>
    <w:rsid w:val="001D6D30"/>
    <w:rsid w:val="001D7E6B"/>
    <w:rsid w:val="001E0048"/>
    <w:rsid w:val="001E0AF4"/>
    <w:rsid w:val="001E10D9"/>
    <w:rsid w:val="001E15DC"/>
    <w:rsid w:val="001E2A0A"/>
    <w:rsid w:val="001E324D"/>
    <w:rsid w:val="001E39E7"/>
    <w:rsid w:val="001E4D7B"/>
    <w:rsid w:val="001E5758"/>
    <w:rsid w:val="001E5CFE"/>
    <w:rsid w:val="001E6112"/>
    <w:rsid w:val="001E6416"/>
    <w:rsid w:val="001E6C97"/>
    <w:rsid w:val="001E724F"/>
    <w:rsid w:val="001E7788"/>
    <w:rsid w:val="001E7991"/>
    <w:rsid w:val="001F145D"/>
    <w:rsid w:val="001F2D6E"/>
    <w:rsid w:val="001F2F59"/>
    <w:rsid w:val="001F3539"/>
    <w:rsid w:val="001F3853"/>
    <w:rsid w:val="001F3FDC"/>
    <w:rsid w:val="001F5418"/>
    <w:rsid w:val="001F603D"/>
    <w:rsid w:val="001F74E8"/>
    <w:rsid w:val="001F7C23"/>
    <w:rsid w:val="00200002"/>
    <w:rsid w:val="002010F2"/>
    <w:rsid w:val="002017B3"/>
    <w:rsid w:val="0020216F"/>
    <w:rsid w:val="0020431E"/>
    <w:rsid w:val="0020456B"/>
    <w:rsid w:val="00205C2E"/>
    <w:rsid w:val="00207B4E"/>
    <w:rsid w:val="00210392"/>
    <w:rsid w:val="002109CC"/>
    <w:rsid w:val="00210D4C"/>
    <w:rsid w:val="00210ECA"/>
    <w:rsid w:val="00212626"/>
    <w:rsid w:val="00213454"/>
    <w:rsid w:val="002135C7"/>
    <w:rsid w:val="00213E35"/>
    <w:rsid w:val="002141B5"/>
    <w:rsid w:val="0021467C"/>
    <w:rsid w:val="00214844"/>
    <w:rsid w:val="00214972"/>
    <w:rsid w:val="002149F3"/>
    <w:rsid w:val="0021517D"/>
    <w:rsid w:val="002151BA"/>
    <w:rsid w:val="0021636E"/>
    <w:rsid w:val="00216461"/>
    <w:rsid w:val="0021752B"/>
    <w:rsid w:val="002177C0"/>
    <w:rsid w:val="00217911"/>
    <w:rsid w:val="002179C0"/>
    <w:rsid w:val="002200BC"/>
    <w:rsid w:val="002200D7"/>
    <w:rsid w:val="00220906"/>
    <w:rsid w:val="0022246C"/>
    <w:rsid w:val="0022262F"/>
    <w:rsid w:val="00222817"/>
    <w:rsid w:val="002233EC"/>
    <w:rsid w:val="00223FA3"/>
    <w:rsid w:val="002250A6"/>
    <w:rsid w:val="002255BE"/>
    <w:rsid w:val="00225FC3"/>
    <w:rsid w:val="0022705A"/>
    <w:rsid w:val="002314D3"/>
    <w:rsid w:val="0023172D"/>
    <w:rsid w:val="0023206B"/>
    <w:rsid w:val="00232E61"/>
    <w:rsid w:val="002336F3"/>
    <w:rsid w:val="002342E9"/>
    <w:rsid w:val="002346FB"/>
    <w:rsid w:val="00234EA4"/>
    <w:rsid w:val="00235D5D"/>
    <w:rsid w:val="0023604B"/>
    <w:rsid w:val="002370E6"/>
    <w:rsid w:val="002379D0"/>
    <w:rsid w:val="0024082B"/>
    <w:rsid w:val="00240D2D"/>
    <w:rsid w:val="0024288D"/>
    <w:rsid w:val="002434D9"/>
    <w:rsid w:val="002439BE"/>
    <w:rsid w:val="00243FA4"/>
    <w:rsid w:val="0024442B"/>
    <w:rsid w:val="0024569C"/>
    <w:rsid w:val="00246597"/>
    <w:rsid w:val="00247BC5"/>
    <w:rsid w:val="00250068"/>
    <w:rsid w:val="00250163"/>
    <w:rsid w:val="002507CF"/>
    <w:rsid w:val="00250A85"/>
    <w:rsid w:val="00250E3E"/>
    <w:rsid w:val="002514C8"/>
    <w:rsid w:val="00252D35"/>
    <w:rsid w:val="0025344E"/>
    <w:rsid w:val="0025470E"/>
    <w:rsid w:val="00254C4F"/>
    <w:rsid w:val="00254DD5"/>
    <w:rsid w:val="002551D4"/>
    <w:rsid w:val="00255BC7"/>
    <w:rsid w:val="002560C5"/>
    <w:rsid w:val="00257217"/>
    <w:rsid w:val="002576AF"/>
    <w:rsid w:val="00257772"/>
    <w:rsid w:val="00257BC2"/>
    <w:rsid w:val="00257EA3"/>
    <w:rsid w:val="002603F5"/>
    <w:rsid w:val="00260A7C"/>
    <w:rsid w:val="00260CC4"/>
    <w:rsid w:val="002611A6"/>
    <w:rsid w:val="00261D39"/>
    <w:rsid w:val="00261D82"/>
    <w:rsid w:val="00262517"/>
    <w:rsid w:val="002627E3"/>
    <w:rsid w:val="00263504"/>
    <w:rsid w:val="00263A42"/>
    <w:rsid w:val="00263CAB"/>
    <w:rsid w:val="00263D8B"/>
    <w:rsid w:val="00264F8F"/>
    <w:rsid w:val="0026596A"/>
    <w:rsid w:val="00265D3C"/>
    <w:rsid w:val="0026626A"/>
    <w:rsid w:val="00266376"/>
    <w:rsid w:val="0026656B"/>
    <w:rsid w:val="00266F33"/>
    <w:rsid w:val="002677AA"/>
    <w:rsid w:val="0027044A"/>
    <w:rsid w:val="002709E5"/>
    <w:rsid w:val="00271B1A"/>
    <w:rsid w:val="00272C88"/>
    <w:rsid w:val="00273253"/>
    <w:rsid w:val="002734E5"/>
    <w:rsid w:val="00273CF6"/>
    <w:rsid w:val="00276068"/>
    <w:rsid w:val="00276B75"/>
    <w:rsid w:val="00276C1D"/>
    <w:rsid w:val="00277184"/>
    <w:rsid w:val="00277897"/>
    <w:rsid w:val="00277C54"/>
    <w:rsid w:val="002809A3"/>
    <w:rsid w:val="00280A92"/>
    <w:rsid w:val="00280BCA"/>
    <w:rsid w:val="00280E8F"/>
    <w:rsid w:val="0028126D"/>
    <w:rsid w:val="00281520"/>
    <w:rsid w:val="00281EDF"/>
    <w:rsid w:val="0028282F"/>
    <w:rsid w:val="002829E2"/>
    <w:rsid w:val="00283714"/>
    <w:rsid w:val="00284F5F"/>
    <w:rsid w:val="002864CD"/>
    <w:rsid w:val="00287999"/>
    <w:rsid w:val="00287A8C"/>
    <w:rsid w:val="00287C55"/>
    <w:rsid w:val="00290DEE"/>
    <w:rsid w:val="00290E4B"/>
    <w:rsid w:val="00291EFA"/>
    <w:rsid w:val="00293313"/>
    <w:rsid w:val="00294153"/>
    <w:rsid w:val="00294BC9"/>
    <w:rsid w:val="00294E02"/>
    <w:rsid w:val="00295D81"/>
    <w:rsid w:val="00296112"/>
    <w:rsid w:val="0029705C"/>
    <w:rsid w:val="00297C27"/>
    <w:rsid w:val="002A0953"/>
    <w:rsid w:val="002A0EA0"/>
    <w:rsid w:val="002A0F0A"/>
    <w:rsid w:val="002A305B"/>
    <w:rsid w:val="002A411E"/>
    <w:rsid w:val="002A5964"/>
    <w:rsid w:val="002A5F03"/>
    <w:rsid w:val="002A5F78"/>
    <w:rsid w:val="002A679C"/>
    <w:rsid w:val="002A6E2F"/>
    <w:rsid w:val="002B06CB"/>
    <w:rsid w:val="002B0B9F"/>
    <w:rsid w:val="002B1672"/>
    <w:rsid w:val="002B292F"/>
    <w:rsid w:val="002B2ED4"/>
    <w:rsid w:val="002B3064"/>
    <w:rsid w:val="002B3D3C"/>
    <w:rsid w:val="002B4238"/>
    <w:rsid w:val="002B636F"/>
    <w:rsid w:val="002B6551"/>
    <w:rsid w:val="002B6A65"/>
    <w:rsid w:val="002B6C61"/>
    <w:rsid w:val="002C01C6"/>
    <w:rsid w:val="002C06C9"/>
    <w:rsid w:val="002C17E2"/>
    <w:rsid w:val="002C21E8"/>
    <w:rsid w:val="002C264F"/>
    <w:rsid w:val="002C2734"/>
    <w:rsid w:val="002C3215"/>
    <w:rsid w:val="002C364D"/>
    <w:rsid w:val="002C3771"/>
    <w:rsid w:val="002C3D47"/>
    <w:rsid w:val="002C4699"/>
    <w:rsid w:val="002C46B7"/>
    <w:rsid w:val="002C51B3"/>
    <w:rsid w:val="002C5FE2"/>
    <w:rsid w:val="002C6439"/>
    <w:rsid w:val="002C6C4D"/>
    <w:rsid w:val="002D09E0"/>
    <w:rsid w:val="002D164B"/>
    <w:rsid w:val="002D1C4F"/>
    <w:rsid w:val="002D2EAE"/>
    <w:rsid w:val="002D3C08"/>
    <w:rsid w:val="002D44B5"/>
    <w:rsid w:val="002D5059"/>
    <w:rsid w:val="002D5396"/>
    <w:rsid w:val="002D557F"/>
    <w:rsid w:val="002D5862"/>
    <w:rsid w:val="002D67CA"/>
    <w:rsid w:val="002D6970"/>
    <w:rsid w:val="002D70B3"/>
    <w:rsid w:val="002D74A0"/>
    <w:rsid w:val="002D74A6"/>
    <w:rsid w:val="002D7600"/>
    <w:rsid w:val="002D794D"/>
    <w:rsid w:val="002E0056"/>
    <w:rsid w:val="002E0B98"/>
    <w:rsid w:val="002E2A86"/>
    <w:rsid w:val="002E2C80"/>
    <w:rsid w:val="002E2C94"/>
    <w:rsid w:val="002E2DDD"/>
    <w:rsid w:val="002E31E7"/>
    <w:rsid w:val="002E32AA"/>
    <w:rsid w:val="002E4F50"/>
    <w:rsid w:val="002E543A"/>
    <w:rsid w:val="002E635F"/>
    <w:rsid w:val="002E65D3"/>
    <w:rsid w:val="002E6A25"/>
    <w:rsid w:val="002E6B3F"/>
    <w:rsid w:val="002E71A2"/>
    <w:rsid w:val="002E782D"/>
    <w:rsid w:val="002E792F"/>
    <w:rsid w:val="002F037F"/>
    <w:rsid w:val="002F19DB"/>
    <w:rsid w:val="002F2670"/>
    <w:rsid w:val="002F4305"/>
    <w:rsid w:val="002F4560"/>
    <w:rsid w:val="002F67EF"/>
    <w:rsid w:val="002F6DA5"/>
    <w:rsid w:val="002F6F77"/>
    <w:rsid w:val="002F738D"/>
    <w:rsid w:val="0030008E"/>
    <w:rsid w:val="00300CCB"/>
    <w:rsid w:val="00301D3B"/>
    <w:rsid w:val="00302333"/>
    <w:rsid w:val="00302486"/>
    <w:rsid w:val="003026E9"/>
    <w:rsid w:val="00304EF4"/>
    <w:rsid w:val="0030594D"/>
    <w:rsid w:val="00306EB1"/>
    <w:rsid w:val="00307BF6"/>
    <w:rsid w:val="00310005"/>
    <w:rsid w:val="00310515"/>
    <w:rsid w:val="0031082E"/>
    <w:rsid w:val="00310C54"/>
    <w:rsid w:val="003116CF"/>
    <w:rsid w:val="00311EA8"/>
    <w:rsid w:val="00312426"/>
    <w:rsid w:val="00313C13"/>
    <w:rsid w:val="00314152"/>
    <w:rsid w:val="00314673"/>
    <w:rsid w:val="00315047"/>
    <w:rsid w:val="003156AE"/>
    <w:rsid w:val="00316F86"/>
    <w:rsid w:val="0031734A"/>
    <w:rsid w:val="00317641"/>
    <w:rsid w:val="00317B40"/>
    <w:rsid w:val="00320956"/>
    <w:rsid w:val="003211E6"/>
    <w:rsid w:val="00321A82"/>
    <w:rsid w:val="00322D96"/>
    <w:rsid w:val="00324AB3"/>
    <w:rsid w:val="00325313"/>
    <w:rsid w:val="00325834"/>
    <w:rsid w:val="003258B7"/>
    <w:rsid w:val="00325C11"/>
    <w:rsid w:val="00325E0C"/>
    <w:rsid w:val="0032602E"/>
    <w:rsid w:val="00326B73"/>
    <w:rsid w:val="00327187"/>
    <w:rsid w:val="00331E14"/>
    <w:rsid w:val="003324BB"/>
    <w:rsid w:val="003330C2"/>
    <w:rsid w:val="00333637"/>
    <w:rsid w:val="00333D0C"/>
    <w:rsid w:val="00335493"/>
    <w:rsid w:val="00335DCD"/>
    <w:rsid w:val="00335F8A"/>
    <w:rsid w:val="00336072"/>
    <w:rsid w:val="00337135"/>
    <w:rsid w:val="00337148"/>
    <w:rsid w:val="00337612"/>
    <w:rsid w:val="00340F8B"/>
    <w:rsid w:val="00340FFB"/>
    <w:rsid w:val="003421C8"/>
    <w:rsid w:val="00342C93"/>
    <w:rsid w:val="00346703"/>
    <w:rsid w:val="00346E58"/>
    <w:rsid w:val="00347031"/>
    <w:rsid w:val="00347290"/>
    <w:rsid w:val="00347C15"/>
    <w:rsid w:val="00350628"/>
    <w:rsid w:val="003522DC"/>
    <w:rsid w:val="00352761"/>
    <w:rsid w:val="00353146"/>
    <w:rsid w:val="00353469"/>
    <w:rsid w:val="003551B4"/>
    <w:rsid w:val="003551F9"/>
    <w:rsid w:val="00355398"/>
    <w:rsid w:val="0035559A"/>
    <w:rsid w:val="00355C67"/>
    <w:rsid w:val="003567AB"/>
    <w:rsid w:val="00356B01"/>
    <w:rsid w:val="003576E6"/>
    <w:rsid w:val="003577D0"/>
    <w:rsid w:val="00357AF4"/>
    <w:rsid w:val="00360CD9"/>
    <w:rsid w:val="003620DF"/>
    <w:rsid w:val="00362590"/>
    <w:rsid w:val="003628BF"/>
    <w:rsid w:val="00363085"/>
    <w:rsid w:val="00363850"/>
    <w:rsid w:val="0036458A"/>
    <w:rsid w:val="00366A80"/>
    <w:rsid w:val="00366EEC"/>
    <w:rsid w:val="00367328"/>
    <w:rsid w:val="00367944"/>
    <w:rsid w:val="00367E08"/>
    <w:rsid w:val="00370B51"/>
    <w:rsid w:val="003718C3"/>
    <w:rsid w:val="00372139"/>
    <w:rsid w:val="003725AE"/>
    <w:rsid w:val="0037276D"/>
    <w:rsid w:val="003728E8"/>
    <w:rsid w:val="00372D5B"/>
    <w:rsid w:val="003739A8"/>
    <w:rsid w:val="00373F09"/>
    <w:rsid w:val="00373F68"/>
    <w:rsid w:val="0037478D"/>
    <w:rsid w:val="00375967"/>
    <w:rsid w:val="00375A09"/>
    <w:rsid w:val="003766B2"/>
    <w:rsid w:val="0037723F"/>
    <w:rsid w:val="00380463"/>
    <w:rsid w:val="00381A65"/>
    <w:rsid w:val="00381BC0"/>
    <w:rsid w:val="00381C0C"/>
    <w:rsid w:val="00381F10"/>
    <w:rsid w:val="003823FC"/>
    <w:rsid w:val="00382FA4"/>
    <w:rsid w:val="003843B7"/>
    <w:rsid w:val="00384578"/>
    <w:rsid w:val="00384735"/>
    <w:rsid w:val="00384FAB"/>
    <w:rsid w:val="00385140"/>
    <w:rsid w:val="00386842"/>
    <w:rsid w:val="003869B6"/>
    <w:rsid w:val="00387BF5"/>
    <w:rsid w:val="00387DB2"/>
    <w:rsid w:val="0039040B"/>
    <w:rsid w:val="00391035"/>
    <w:rsid w:val="00391A80"/>
    <w:rsid w:val="003920D0"/>
    <w:rsid w:val="00392919"/>
    <w:rsid w:val="00393E78"/>
    <w:rsid w:val="00394DFC"/>
    <w:rsid w:val="003970A0"/>
    <w:rsid w:val="00397BE2"/>
    <w:rsid w:val="003A0849"/>
    <w:rsid w:val="003A0DEE"/>
    <w:rsid w:val="003A12E8"/>
    <w:rsid w:val="003A25CE"/>
    <w:rsid w:val="003A2C0F"/>
    <w:rsid w:val="003A2C28"/>
    <w:rsid w:val="003A3957"/>
    <w:rsid w:val="003A395A"/>
    <w:rsid w:val="003A4DEB"/>
    <w:rsid w:val="003A4F08"/>
    <w:rsid w:val="003A500C"/>
    <w:rsid w:val="003A58B6"/>
    <w:rsid w:val="003A5FC8"/>
    <w:rsid w:val="003A6245"/>
    <w:rsid w:val="003B02AA"/>
    <w:rsid w:val="003B0EA3"/>
    <w:rsid w:val="003B1653"/>
    <w:rsid w:val="003B16A0"/>
    <w:rsid w:val="003B18CA"/>
    <w:rsid w:val="003B1BFF"/>
    <w:rsid w:val="003B1D68"/>
    <w:rsid w:val="003B34FF"/>
    <w:rsid w:val="003B3511"/>
    <w:rsid w:val="003B3CC3"/>
    <w:rsid w:val="003B4BCB"/>
    <w:rsid w:val="003B57AA"/>
    <w:rsid w:val="003B6288"/>
    <w:rsid w:val="003B654E"/>
    <w:rsid w:val="003B73CB"/>
    <w:rsid w:val="003B79B5"/>
    <w:rsid w:val="003C0EF7"/>
    <w:rsid w:val="003C1184"/>
    <w:rsid w:val="003C2639"/>
    <w:rsid w:val="003C3666"/>
    <w:rsid w:val="003C3983"/>
    <w:rsid w:val="003C4099"/>
    <w:rsid w:val="003C74B2"/>
    <w:rsid w:val="003D0D46"/>
    <w:rsid w:val="003D2EE1"/>
    <w:rsid w:val="003D3AA9"/>
    <w:rsid w:val="003D42E7"/>
    <w:rsid w:val="003D578B"/>
    <w:rsid w:val="003D6685"/>
    <w:rsid w:val="003D672C"/>
    <w:rsid w:val="003D7D57"/>
    <w:rsid w:val="003E0626"/>
    <w:rsid w:val="003E205A"/>
    <w:rsid w:val="003E42C6"/>
    <w:rsid w:val="003E4BD8"/>
    <w:rsid w:val="003E5236"/>
    <w:rsid w:val="003E52F2"/>
    <w:rsid w:val="003E5604"/>
    <w:rsid w:val="003E6406"/>
    <w:rsid w:val="003E6A09"/>
    <w:rsid w:val="003E6B2C"/>
    <w:rsid w:val="003E709C"/>
    <w:rsid w:val="003E717C"/>
    <w:rsid w:val="003E7CA0"/>
    <w:rsid w:val="003F0BEA"/>
    <w:rsid w:val="003F0C44"/>
    <w:rsid w:val="003F171D"/>
    <w:rsid w:val="003F3580"/>
    <w:rsid w:val="003F360D"/>
    <w:rsid w:val="003F4D30"/>
    <w:rsid w:val="003F5459"/>
    <w:rsid w:val="003F5AED"/>
    <w:rsid w:val="003F5E5E"/>
    <w:rsid w:val="003F6657"/>
    <w:rsid w:val="003F6DE6"/>
    <w:rsid w:val="003F6F4B"/>
    <w:rsid w:val="003F75FF"/>
    <w:rsid w:val="003F7856"/>
    <w:rsid w:val="004006EB"/>
    <w:rsid w:val="00400B3E"/>
    <w:rsid w:val="0040109A"/>
    <w:rsid w:val="00401104"/>
    <w:rsid w:val="00401A3C"/>
    <w:rsid w:val="00402110"/>
    <w:rsid w:val="00403219"/>
    <w:rsid w:val="00405E56"/>
    <w:rsid w:val="004062F8"/>
    <w:rsid w:val="00406D8F"/>
    <w:rsid w:val="0040745D"/>
    <w:rsid w:val="00407F26"/>
    <w:rsid w:val="00410896"/>
    <w:rsid w:val="0041140F"/>
    <w:rsid w:val="00413265"/>
    <w:rsid w:val="00413770"/>
    <w:rsid w:val="00413A24"/>
    <w:rsid w:val="00413A88"/>
    <w:rsid w:val="00414AF7"/>
    <w:rsid w:val="004159C7"/>
    <w:rsid w:val="00416880"/>
    <w:rsid w:val="00416AF9"/>
    <w:rsid w:val="00420736"/>
    <w:rsid w:val="004217D4"/>
    <w:rsid w:val="00422955"/>
    <w:rsid w:val="00422D1C"/>
    <w:rsid w:val="00423302"/>
    <w:rsid w:val="0042339D"/>
    <w:rsid w:val="00423DC5"/>
    <w:rsid w:val="00424B9D"/>
    <w:rsid w:val="00424CF0"/>
    <w:rsid w:val="00424E25"/>
    <w:rsid w:val="00424EC0"/>
    <w:rsid w:val="00425096"/>
    <w:rsid w:val="00425128"/>
    <w:rsid w:val="00426094"/>
    <w:rsid w:val="00426B48"/>
    <w:rsid w:val="00426F8C"/>
    <w:rsid w:val="00427135"/>
    <w:rsid w:val="0043002E"/>
    <w:rsid w:val="0043039F"/>
    <w:rsid w:val="00431173"/>
    <w:rsid w:val="00431278"/>
    <w:rsid w:val="00431DCB"/>
    <w:rsid w:val="00431EED"/>
    <w:rsid w:val="00432010"/>
    <w:rsid w:val="00432C26"/>
    <w:rsid w:val="00434873"/>
    <w:rsid w:val="004359B6"/>
    <w:rsid w:val="00436072"/>
    <w:rsid w:val="004362FE"/>
    <w:rsid w:val="0043650B"/>
    <w:rsid w:val="00436A44"/>
    <w:rsid w:val="00436FE1"/>
    <w:rsid w:val="00437817"/>
    <w:rsid w:val="00440CC5"/>
    <w:rsid w:val="004418C5"/>
    <w:rsid w:val="004437B5"/>
    <w:rsid w:val="00444ADD"/>
    <w:rsid w:val="00444C20"/>
    <w:rsid w:val="0044504E"/>
    <w:rsid w:val="004451C2"/>
    <w:rsid w:val="004453FA"/>
    <w:rsid w:val="00445D76"/>
    <w:rsid w:val="00446220"/>
    <w:rsid w:val="00446C3E"/>
    <w:rsid w:val="00447FE3"/>
    <w:rsid w:val="00452229"/>
    <w:rsid w:val="0045388A"/>
    <w:rsid w:val="004539CD"/>
    <w:rsid w:val="00453F4D"/>
    <w:rsid w:val="004545D0"/>
    <w:rsid w:val="00454D2C"/>
    <w:rsid w:val="0045530D"/>
    <w:rsid w:val="00455413"/>
    <w:rsid w:val="004555EE"/>
    <w:rsid w:val="0045600E"/>
    <w:rsid w:val="00456ADD"/>
    <w:rsid w:val="00456C5A"/>
    <w:rsid w:val="00456CE8"/>
    <w:rsid w:val="0045728D"/>
    <w:rsid w:val="00457DB3"/>
    <w:rsid w:val="004604D3"/>
    <w:rsid w:val="004610D6"/>
    <w:rsid w:val="004613BF"/>
    <w:rsid w:val="0046259F"/>
    <w:rsid w:val="004628DF"/>
    <w:rsid w:val="00463A3A"/>
    <w:rsid w:val="00463CF7"/>
    <w:rsid w:val="00463E6B"/>
    <w:rsid w:val="0046422B"/>
    <w:rsid w:val="00464D06"/>
    <w:rsid w:val="004650FF"/>
    <w:rsid w:val="0046568F"/>
    <w:rsid w:val="00465D58"/>
    <w:rsid w:val="00466026"/>
    <w:rsid w:val="004669FC"/>
    <w:rsid w:val="0046735C"/>
    <w:rsid w:val="004679FC"/>
    <w:rsid w:val="00467C8B"/>
    <w:rsid w:val="004706A5"/>
    <w:rsid w:val="00470BBF"/>
    <w:rsid w:val="00474A74"/>
    <w:rsid w:val="0047520A"/>
    <w:rsid w:val="00480EF6"/>
    <w:rsid w:val="004817CC"/>
    <w:rsid w:val="0048232D"/>
    <w:rsid w:val="00483139"/>
    <w:rsid w:val="00484350"/>
    <w:rsid w:val="00484D35"/>
    <w:rsid w:val="0048504C"/>
    <w:rsid w:val="00485FDC"/>
    <w:rsid w:val="00486C53"/>
    <w:rsid w:val="0048715D"/>
    <w:rsid w:val="004876D5"/>
    <w:rsid w:val="00487AD0"/>
    <w:rsid w:val="004903DE"/>
    <w:rsid w:val="004908F9"/>
    <w:rsid w:val="004918F4"/>
    <w:rsid w:val="004923F7"/>
    <w:rsid w:val="00492A9C"/>
    <w:rsid w:val="00492AB2"/>
    <w:rsid w:val="00493539"/>
    <w:rsid w:val="00493D0F"/>
    <w:rsid w:val="00493D14"/>
    <w:rsid w:val="00494DEE"/>
    <w:rsid w:val="004951C8"/>
    <w:rsid w:val="0049521E"/>
    <w:rsid w:val="004975C0"/>
    <w:rsid w:val="00497BB3"/>
    <w:rsid w:val="004A0251"/>
    <w:rsid w:val="004A061A"/>
    <w:rsid w:val="004A0902"/>
    <w:rsid w:val="004A09A6"/>
    <w:rsid w:val="004A1847"/>
    <w:rsid w:val="004A194C"/>
    <w:rsid w:val="004A1D2D"/>
    <w:rsid w:val="004A1EFB"/>
    <w:rsid w:val="004A23A1"/>
    <w:rsid w:val="004A24B1"/>
    <w:rsid w:val="004A486F"/>
    <w:rsid w:val="004A48B7"/>
    <w:rsid w:val="004A4C51"/>
    <w:rsid w:val="004A5604"/>
    <w:rsid w:val="004A596D"/>
    <w:rsid w:val="004A59D9"/>
    <w:rsid w:val="004A677E"/>
    <w:rsid w:val="004A701D"/>
    <w:rsid w:val="004A7BD9"/>
    <w:rsid w:val="004A7D86"/>
    <w:rsid w:val="004A7F16"/>
    <w:rsid w:val="004B0624"/>
    <w:rsid w:val="004B0CAD"/>
    <w:rsid w:val="004B3376"/>
    <w:rsid w:val="004B33FE"/>
    <w:rsid w:val="004B5AEC"/>
    <w:rsid w:val="004B614C"/>
    <w:rsid w:val="004B7085"/>
    <w:rsid w:val="004B7F86"/>
    <w:rsid w:val="004C0425"/>
    <w:rsid w:val="004C06B7"/>
    <w:rsid w:val="004C17E1"/>
    <w:rsid w:val="004C1CF8"/>
    <w:rsid w:val="004C38A7"/>
    <w:rsid w:val="004C3BF4"/>
    <w:rsid w:val="004C498B"/>
    <w:rsid w:val="004C5909"/>
    <w:rsid w:val="004C64C2"/>
    <w:rsid w:val="004C68E6"/>
    <w:rsid w:val="004D013F"/>
    <w:rsid w:val="004D0289"/>
    <w:rsid w:val="004D0596"/>
    <w:rsid w:val="004D07CA"/>
    <w:rsid w:val="004D0FA8"/>
    <w:rsid w:val="004D1731"/>
    <w:rsid w:val="004D22F4"/>
    <w:rsid w:val="004D27D7"/>
    <w:rsid w:val="004D3245"/>
    <w:rsid w:val="004D3318"/>
    <w:rsid w:val="004D3F7F"/>
    <w:rsid w:val="004D760E"/>
    <w:rsid w:val="004E0227"/>
    <w:rsid w:val="004E0866"/>
    <w:rsid w:val="004E0925"/>
    <w:rsid w:val="004E166E"/>
    <w:rsid w:val="004E1970"/>
    <w:rsid w:val="004E1D43"/>
    <w:rsid w:val="004E2339"/>
    <w:rsid w:val="004E24B8"/>
    <w:rsid w:val="004E24FF"/>
    <w:rsid w:val="004E3223"/>
    <w:rsid w:val="004E3E10"/>
    <w:rsid w:val="004E4708"/>
    <w:rsid w:val="004E4714"/>
    <w:rsid w:val="004E49BC"/>
    <w:rsid w:val="004E5C03"/>
    <w:rsid w:val="004E5F93"/>
    <w:rsid w:val="004E6DBF"/>
    <w:rsid w:val="004E70C5"/>
    <w:rsid w:val="004E7D6B"/>
    <w:rsid w:val="004F0227"/>
    <w:rsid w:val="004F0949"/>
    <w:rsid w:val="004F340A"/>
    <w:rsid w:val="004F36FE"/>
    <w:rsid w:val="004F45BA"/>
    <w:rsid w:val="004F4877"/>
    <w:rsid w:val="004F4901"/>
    <w:rsid w:val="004F538E"/>
    <w:rsid w:val="005003B1"/>
    <w:rsid w:val="0050069D"/>
    <w:rsid w:val="005013C1"/>
    <w:rsid w:val="00502370"/>
    <w:rsid w:val="005024CC"/>
    <w:rsid w:val="00503B90"/>
    <w:rsid w:val="00504011"/>
    <w:rsid w:val="00504025"/>
    <w:rsid w:val="0050766F"/>
    <w:rsid w:val="005079C9"/>
    <w:rsid w:val="00510268"/>
    <w:rsid w:val="00510982"/>
    <w:rsid w:val="005112A3"/>
    <w:rsid w:val="00511D96"/>
    <w:rsid w:val="00512735"/>
    <w:rsid w:val="00513E0F"/>
    <w:rsid w:val="00514261"/>
    <w:rsid w:val="00514617"/>
    <w:rsid w:val="005148AC"/>
    <w:rsid w:val="005152B9"/>
    <w:rsid w:val="005157D9"/>
    <w:rsid w:val="00515EB1"/>
    <w:rsid w:val="00515F9D"/>
    <w:rsid w:val="00516EDF"/>
    <w:rsid w:val="00517237"/>
    <w:rsid w:val="00517960"/>
    <w:rsid w:val="00520559"/>
    <w:rsid w:val="00520659"/>
    <w:rsid w:val="00521172"/>
    <w:rsid w:val="00521792"/>
    <w:rsid w:val="005227F2"/>
    <w:rsid w:val="00523504"/>
    <w:rsid w:val="005242CA"/>
    <w:rsid w:val="005245FA"/>
    <w:rsid w:val="00525402"/>
    <w:rsid w:val="00526A9E"/>
    <w:rsid w:val="00530697"/>
    <w:rsid w:val="00530B70"/>
    <w:rsid w:val="00530CB7"/>
    <w:rsid w:val="00531093"/>
    <w:rsid w:val="0053210D"/>
    <w:rsid w:val="00533130"/>
    <w:rsid w:val="005331E6"/>
    <w:rsid w:val="00533A19"/>
    <w:rsid w:val="00533E29"/>
    <w:rsid w:val="00534354"/>
    <w:rsid w:val="0053445B"/>
    <w:rsid w:val="00534666"/>
    <w:rsid w:val="005348FF"/>
    <w:rsid w:val="00535D4C"/>
    <w:rsid w:val="00537532"/>
    <w:rsid w:val="005379C2"/>
    <w:rsid w:val="00537F1B"/>
    <w:rsid w:val="00537F4F"/>
    <w:rsid w:val="00540348"/>
    <w:rsid w:val="0054148D"/>
    <w:rsid w:val="00541765"/>
    <w:rsid w:val="00541840"/>
    <w:rsid w:val="00542212"/>
    <w:rsid w:val="00542516"/>
    <w:rsid w:val="00542E33"/>
    <w:rsid w:val="00543CA0"/>
    <w:rsid w:val="00543E79"/>
    <w:rsid w:val="005442B4"/>
    <w:rsid w:val="00544A93"/>
    <w:rsid w:val="00545839"/>
    <w:rsid w:val="00545F85"/>
    <w:rsid w:val="005462BF"/>
    <w:rsid w:val="00546DC8"/>
    <w:rsid w:val="005471CF"/>
    <w:rsid w:val="005473AE"/>
    <w:rsid w:val="00547AE6"/>
    <w:rsid w:val="005505F9"/>
    <w:rsid w:val="00550E70"/>
    <w:rsid w:val="005514A7"/>
    <w:rsid w:val="00551806"/>
    <w:rsid w:val="00551DCE"/>
    <w:rsid w:val="00553505"/>
    <w:rsid w:val="005541A7"/>
    <w:rsid w:val="005547C4"/>
    <w:rsid w:val="005548D5"/>
    <w:rsid w:val="00554BF2"/>
    <w:rsid w:val="00555398"/>
    <w:rsid w:val="005554FE"/>
    <w:rsid w:val="00555C79"/>
    <w:rsid w:val="0055626D"/>
    <w:rsid w:val="00556EB1"/>
    <w:rsid w:val="0055775A"/>
    <w:rsid w:val="005605AE"/>
    <w:rsid w:val="0056313B"/>
    <w:rsid w:val="0056394F"/>
    <w:rsid w:val="005642D6"/>
    <w:rsid w:val="0056494C"/>
    <w:rsid w:val="00564D16"/>
    <w:rsid w:val="00564D46"/>
    <w:rsid w:val="00564E88"/>
    <w:rsid w:val="00565324"/>
    <w:rsid w:val="00565790"/>
    <w:rsid w:val="00565B1F"/>
    <w:rsid w:val="0056663D"/>
    <w:rsid w:val="0056789E"/>
    <w:rsid w:val="00567C88"/>
    <w:rsid w:val="0057179D"/>
    <w:rsid w:val="00571BE7"/>
    <w:rsid w:val="00572028"/>
    <w:rsid w:val="005726B3"/>
    <w:rsid w:val="00572AB8"/>
    <w:rsid w:val="00573490"/>
    <w:rsid w:val="00573876"/>
    <w:rsid w:val="00573F83"/>
    <w:rsid w:val="00574FA4"/>
    <w:rsid w:val="00575101"/>
    <w:rsid w:val="00575687"/>
    <w:rsid w:val="00575968"/>
    <w:rsid w:val="00575A64"/>
    <w:rsid w:val="00575FB9"/>
    <w:rsid w:val="00576A85"/>
    <w:rsid w:val="00576E9B"/>
    <w:rsid w:val="0057736F"/>
    <w:rsid w:val="00577639"/>
    <w:rsid w:val="00577B4A"/>
    <w:rsid w:val="00577ED9"/>
    <w:rsid w:val="0058074A"/>
    <w:rsid w:val="005809A2"/>
    <w:rsid w:val="00580D19"/>
    <w:rsid w:val="00581003"/>
    <w:rsid w:val="0058173A"/>
    <w:rsid w:val="005819BF"/>
    <w:rsid w:val="00581A41"/>
    <w:rsid w:val="00581A88"/>
    <w:rsid w:val="0058203B"/>
    <w:rsid w:val="005820D7"/>
    <w:rsid w:val="0058321C"/>
    <w:rsid w:val="00583ADB"/>
    <w:rsid w:val="00583FB6"/>
    <w:rsid w:val="0058411E"/>
    <w:rsid w:val="00587191"/>
    <w:rsid w:val="00587874"/>
    <w:rsid w:val="00590013"/>
    <w:rsid w:val="00590CE4"/>
    <w:rsid w:val="00590F87"/>
    <w:rsid w:val="00595349"/>
    <w:rsid w:val="00596E23"/>
    <w:rsid w:val="00596F75"/>
    <w:rsid w:val="00597CE0"/>
    <w:rsid w:val="005A0F69"/>
    <w:rsid w:val="005A1497"/>
    <w:rsid w:val="005A1C47"/>
    <w:rsid w:val="005A1FEB"/>
    <w:rsid w:val="005A2FE6"/>
    <w:rsid w:val="005A4107"/>
    <w:rsid w:val="005A457B"/>
    <w:rsid w:val="005A49A5"/>
    <w:rsid w:val="005A4A80"/>
    <w:rsid w:val="005A4F3C"/>
    <w:rsid w:val="005A5C85"/>
    <w:rsid w:val="005A6616"/>
    <w:rsid w:val="005B10BA"/>
    <w:rsid w:val="005B11C8"/>
    <w:rsid w:val="005B157C"/>
    <w:rsid w:val="005B1654"/>
    <w:rsid w:val="005B1F45"/>
    <w:rsid w:val="005B200A"/>
    <w:rsid w:val="005B29D0"/>
    <w:rsid w:val="005B45CF"/>
    <w:rsid w:val="005B4A4F"/>
    <w:rsid w:val="005B51B6"/>
    <w:rsid w:val="005B59C8"/>
    <w:rsid w:val="005B6BB6"/>
    <w:rsid w:val="005B6FE1"/>
    <w:rsid w:val="005B79AD"/>
    <w:rsid w:val="005B79E3"/>
    <w:rsid w:val="005C070C"/>
    <w:rsid w:val="005C0710"/>
    <w:rsid w:val="005C0987"/>
    <w:rsid w:val="005C0C2F"/>
    <w:rsid w:val="005C3035"/>
    <w:rsid w:val="005C3429"/>
    <w:rsid w:val="005C3992"/>
    <w:rsid w:val="005C3CBA"/>
    <w:rsid w:val="005C3CF1"/>
    <w:rsid w:val="005C4ED6"/>
    <w:rsid w:val="005C5893"/>
    <w:rsid w:val="005C5A60"/>
    <w:rsid w:val="005C5B43"/>
    <w:rsid w:val="005C6D06"/>
    <w:rsid w:val="005C743A"/>
    <w:rsid w:val="005C7CDE"/>
    <w:rsid w:val="005C7F0D"/>
    <w:rsid w:val="005D1015"/>
    <w:rsid w:val="005D2321"/>
    <w:rsid w:val="005D26BE"/>
    <w:rsid w:val="005D2801"/>
    <w:rsid w:val="005D40D7"/>
    <w:rsid w:val="005D483E"/>
    <w:rsid w:val="005D4C85"/>
    <w:rsid w:val="005D4CF7"/>
    <w:rsid w:val="005D4DE3"/>
    <w:rsid w:val="005D6187"/>
    <w:rsid w:val="005D6440"/>
    <w:rsid w:val="005D6842"/>
    <w:rsid w:val="005D6AAD"/>
    <w:rsid w:val="005D6AD1"/>
    <w:rsid w:val="005D6BDC"/>
    <w:rsid w:val="005D6EE0"/>
    <w:rsid w:val="005D6FA4"/>
    <w:rsid w:val="005E1359"/>
    <w:rsid w:val="005E14E9"/>
    <w:rsid w:val="005E2223"/>
    <w:rsid w:val="005E23ED"/>
    <w:rsid w:val="005E2F6E"/>
    <w:rsid w:val="005E2FF9"/>
    <w:rsid w:val="005E4392"/>
    <w:rsid w:val="005E5706"/>
    <w:rsid w:val="005E5AE7"/>
    <w:rsid w:val="005E68C1"/>
    <w:rsid w:val="005E6B27"/>
    <w:rsid w:val="005E71D6"/>
    <w:rsid w:val="005E7C2F"/>
    <w:rsid w:val="005E7F32"/>
    <w:rsid w:val="005F0E36"/>
    <w:rsid w:val="005F1A22"/>
    <w:rsid w:val="005F1BA7"/>
    <w:rsid w:val="005F216C"/>
    <w:rsid w:val="005F23ED"/>
    <w:rsid w:val="005F2F82"/>
    <w:rsid w:val="005F3889"/>
    <w:rsid w:val="005F3BAC"/>
    <w:rsid w:val="005F42C7"/>
    <w:rsid w:val="005F4B13"/>
    <w:rsid w:val="005F4BAA"/>
    <w:rsid w:val="005F5265"/>
    <w:rsid w:val="005F5614"/>
    <w:rsid w:val="005F58F6"/>
    <w:rsid w:val="005F622E"/>
    <w:rsid w:val="005F6314"/>
    <w:rsid w:val="006010F7"/>
    <w:rsid w:val="0060299F"/>
    <w:rsid w:val="00602F50"/>
    <w:rsid w:val="006041B3"/>
    <w:rsid w:val="006042C3"/>
    <w:rsid w:val="00604320"/>
    <w:rsid w:val="00605194"/>
    <w:rsid w:val="006058B2"/>
    <w:rsid w:val="0060594D"/>
    <w:rsid w:val="00605C8D"/>
    <w:rsid w:val="00605FF8"/>
    <w:rsid w:val="00606456"/>
    <w:rsid w:val="00606580"/>
    <w:rsid w:val="00606B8B"/>
    <w:rsid w:val="006075EC"/>
    <w:rsid w:val="00610022"/>
    <w:rsid w:val="00610077"/>
    <w:rsid w:val="0061030D"/>
    <w:rsid w:val="00610411"/>
    <w:rsid w:val="00610E5B"/>
    <w:rsid w:val="006115FF"/>
    <w:rsid w:val="0061178A"/>
    <w:rsid w:val="00611CC4"/>
    <w:rsid w:val="00611F3B"/>
    <w:rsid w:val="00612A4F"/>
    <w:rsid w:val="00612B87"/>
    <w:rsid w:val="006133BE"/>
    <w:rsid w:val="0061347B"/>
    <w:rsid w:val="00613D5A"/>
    <w:rsid w:val="006146A5"/>
    <w:rsid w:val="006148C6"/>
    <w:rsid w:val="00615E3B"/>
    <w:rsid w:val="00616743"/>
    <w:rsid w:val="00616E1D"/>
    <w:rsid w:val="00616F5E"/>
    <w:rsid w:val="006174BE"/>
    <w:rsid w:val="00617691"/>
    <w:rsid w:val="006201D6"/>
    <w:rsid w:val="00620EFD"/>
    <w:rsid w:val="00620FCD"/>
    <w:rsid w:val="0062129D"/>
    <w:rsid w:val="00621791"/>
    <w:rsid w:val="00621798"/>
    <w:rsid w:val="0062227C"/>
    <w:rsid w:val="006239FF"/>
    <w:rsid w:val="00624B97"/>
    <w:rsid w:val="006256CE"/>
    <w:rsid w:val="006259A5"/>
    <w:rsid w:val="006300D3"/>
    <w:rsid w:val="006310C0"/>
    <w:rsid w:val="00631B00"/>
    <w:rsid w:val="00631CAC"/>
    <w:rsid w:val="00631EA6"/>
    <w:rsid w:val="0063212B"/>
    <w:rsid w:val="006321E1"/>
    <w:rsid w:val="00632ADA"/>
    <w:rsid w:val="006336B2"/>
    <w:rsid w:val="00633D61"/>
    <w:rsid w:val="00633E3E"/>
    <w:rsid w:val="00634288"/>
    <w:rsid w:val="00634D47"/>
    <w:rsid w:val="006350C2"/>
    <w:rsid w:val="00635155"/>
    <w:rsid w:val="0063515E"/>
    <w:rsid w:val="00635AA4"/>
    <w:rsid w:val="00637451"/>
    <w:rsid w:val="00637896"/>
    <w:rsid w:val="00637FAB"/>
    <w:rsid w:val="00640175"/>
    <w:rsid w:val="006406F6"/>
    <w:rsid w:val="00641002"/>
    <w:rsid w:val="006414E6"/>
    <w:rsid w:val="00641FBF"/>
    <w:rsid w:val="00643401"/>
    <w:rsid w:val="006437D0"/>
    <w:rsid w:val="0064454A"/>
    <w:rsid w:val="006453C1"/>
    <w:rsid w:val="00646BEA"/>
    <w:rsid w:val="0064737A"/>
    <w:rsid w:val="006479D9"/>
    <w:rsid w:val="00647B9C"/>
    <w:rsid w:val="00651325"/>
    <w:rsid w:val="00651E13"/>
    <w:rsid w:val="00652523"/>
    <w:rsid w:val="00654D65"/>
    <w:rsid w:val="006558F9"/>
    <w:rsid w:val="006568E6"/>
    <w:rsid w:val="00656F1A"/>
    <w:rsid w:val="006570F2"/>
    <w:rsid w:val="00657242"/>
    <w:rsid w:val="006572AA"/>
    <w:rsid w:val="00660A19"/>
    <w:rsid w:val="00660E38"/>
    <w:rsid w:val="00661073"/>
    <w:rsid w:val="00661B3F"/>
    <w:rsid w:val="00662741"/>
    <w:rsid w:val="00662CD5"/>
    <w:rsid w:val="00662F8A"/>
    <w:rsid w:val="006644C0"/>
    <w:rsid w:val="00666BDC"/>
    <w:rsid w:val="00666E08"/>
    <w:rsid w:val="0066720A"/>
    <w:rsid w:val="00667E25"/>
    <w:rsid w:val="00667EEF"/>
    <w:rsid w:val="0067119F"/>
    <w:rsid w:val="006717E3"/>
    <w:rsid w:val="006723C6"/>
    <w:rsid w:val="00675206"/>
    <w:rsid w:val="00675300"/>
    <w:rsid w:val="0067638A"/>
    <w:rsid w:val="00676A57"/>
    <w:rsid w:val="00676D62"/>
    <w:rsid w:val="00677A55"/>
    <w:rsid w:val="00677E41"/>
    <w:rsid w:val="00680700"/>
    <w:rsid w:val="00680D0B"/>
    <w:rsid w:val="00680E77"/>
    <w:rsid w:val="006825FC"/>
    <w:rsid w:val="0068278C"/>
    <w:rsid w:val="00682D93"/>
    <w:rsid w:val="00682F06"/>
    <w:rsid w:val="00683ED3"/>
    <w:rsid w:val="00683FF5"/>
    <w:rsid w:val="00685206"/>
    <w:rsid w:val="0068537B"/>
    <w:rsid w:val="00686547"/>
    <w:rsid w:val="006868C0"/>
    <w:rsid w:val="00687482"/>
    <w:rsid w:val="00687BB7"/>
    <w:rsid w:val="00690C12"/>
    <w:rsid w:val="00690E1D"/>
    <w:rsid w:val="006912DA"/>
    <w:rsid w:val="00692DA8"/>
    <w:rsid w:val="00693415"/>
    <w:rsid w:val="00693838"/>
    <w:rsid w:val="00694432"/>
    <w:rsid w:val="00694AAE"/>
    <w:rsid w:val="00695990"/>
    <w:rsid w:val="00695BE5"/>
    <w:rsid w:val="0069643C"/>
    <w:rsid w:val="00697097"/>
    <w:rsid w:val="006979BF"/>
    <w:rsid w:val="00697E9A"/>
    <w:rsid w:val="006A22EF"/>
    <w:rsid w:val="006A281F"/>
    <w:rsid w:val="006A3C17"/>
    <w:rsid w:val="006A4920"/>
    <w:rsid w:val="006A61E8"/>
    <w:rsid w:val="006A6BDA"/>
    <w:rsid w:val="006A758F"/>
    <w:rsid w:val="006A78FB"/>
    <w:rsid w:val="006A7B52"/>
    <w:rsid w:val="006B126E"/>
    <w:rsid w:val="006B3E32"/>
    <w:rsid w:val="006B404C"/>
    <w:rsid w:val="006B4649"/>
    <w:rsid w:val="006B4EA7"/>
    <w:rsid w:val="006B5212"/>
    <w:rsid w:val="006B530D"/>
    <w:rsid w:val="006B7401"/>
    <w:rsid w:val="006B79D0"/>
    <w:rsid w:val="006B7EE6"/>
    <w:rsid w:val="006C0F11"/>
    <w:rsid w:val="006C1BEB"/>
    <w:rsid w:val="006C213E"/>
    <w:rsid w:val="006C2339"/>
    <w:rsid w:val="006C327F"/>
    <w:rsid w:val="006C35BA"/>
    <w:rsid w:val="006C35DB"/>
    <w:rsid w:val="006C3739"/>
    <w:rsid w:val="006C379B"/>
    <w:rsid w:val="006C3A0D"/>
    <w:rsid w:val="006C3DAC"/>
    <w:rsid w:val="006C432A"/>
    <w:rsid w:val="006C4D0E"/>
    <w:rsid w:val="006C57D3"/>
    <w:rsid w:val="006C5E01"/>
    <w:rsid w:val="006C6524"/>
    <w:rsid w:val="006C6D3A"/>
    <w:rsid w:val="006C6F1E"/>
    <w:rsid w:val="006C7204"/>
    <w:rsid w:val="006C7506"/>
    <w:rsid w:val="006C7FDE"/>
    <w:rsid w:val="006D021D"/>
    <w:rsid w:val="006D041A"/>
    <w:rsid w:val="006D0C6C"/>
    <w:rsid w:val="006D149F"/>
    <w:rsid w:val="006D1E24"/>
    <w:rsid w:val="006D2AEA"/>
    <w:rsid w:val="006D2B09"/>
    <w:rsid w:val="006D3574"/>
    <w:rsid w:val="006D3759"/>
    <w:rsid w:val="006D3969"/>
    <w:rsid w:val="006D73B0"/>
    <w:rsid w:val="006E013D"/>
    <w:rsid w:val="006E10E6"/>
    <w:rsid w:val="006E1566"/>
    <w:rsid w:val="006E3C97"/>
    <w:rsid w:val="006E3CF4"/>
    <w:rsid w:val="006E4607"/>
    <w:rsid w:val="006E4787"/>
    <w:rsid w:val="006E49E2"/>
    <w:rsid w:val="006E4FF8"/>
    <w:rsid w:val="006E5E48"/>
    <w:rsid w:val="006E6CDA"/>
    <w:rsid w:val="006E7C96"/>
    <w:rsid w:val="006F0D6F"/>
    <w:rsid w:val="006F14B0"/>
    <w:rsid w:val="006F2060"/>
    <w:rsid w:val="006F270D"/>
    <w:rsid w:val="006F296F"/>
    <w:rsid w:val="006F3705"/>
    <w:rsid w:val="006F5F84"/>
    <w:rsid w:val="006F702F"/>
    <w:rsid w:val="006F79E9"/>
    <w:rsid w:val="006F7C6A"/>
    <w:rsid w:val="006F7C99"/>
    <w:rsid w:val="006F7F3B"/>
    <w:rsid w:val="00701E8C"/>
    <w:rsid w:val="00702560"/>
    <w:rsid w:val="00704F0D"/>
    <w:rsid w:val="007066E0"/>
    <w:rsid w:val="00706D50"/>
    <w:rsid w:val="00707506"/>
    <w:rsid w:val="007076CD"/>
    <w:rsid w:val="007116E4"/>
    <w:rsid w:val="00711852"/>
    <w:rsid w:val="00711A02"/>
    <w:rsid w:val="007127CA"/>
    <w:rsid w:val="007149EE"/>
    <w:rsid w:val="00714B33"/>
    <w:rsid w:val="00714CAB"/>
    <w:rsid w:val="00714DD9"/>
    <w:rsid w:val="00714F6F"/>
    <w:rsid w:val="00715952"/>
    <w:rsid w:val="0071665A"/>
    <w:rsid w:val="0071698C"/>
    <w:rsid w:val="00720978"/>
    <w:rsid w:val="00721215"/>
    <w:rsid w:val="00721820"/>
    <w:rsid w:val="007218C3"/>
    <w:rsid w:val="0072333F"/>
    <w:rsid w:val="00723DF5"/>
    <w:rsid w:val="00723EF1"/>
    <w:rsid w:val="007240D6"/>
    <w:rsid w:val="007243F8"/>
    <w:rsid w:val="0072595E"/>
    <w:rsid w:val="00726C5A"/>
    <w:rsid w:val="00726C79"/>
    <w:rsid w:val="00726FEA"/>
    <w:rsid w:val="00727A04"/>
    <w:rsid w:val="00730E04"/>
    <w:rsid w:val="00731043"/>
    <w:rsid w:val="00731105"/>
    <w:rsid w:val="007317A0"/>
    <w:rsid w:val="00731A6A"/>
    <w:rsid w:val="0073252E"/>
    <w:rsid w:val="00732D8D"/>
    <w:rsid w:val="007332BC"/>
    <w:rsid w:val="0073380F"/>
    <w:rsid w:val="00733BE0"/>
    <w:rsid w:val="007341CF"/>
    <w:rsid w:val="0073452E"/>
    <w:rsid w:val="0073456F"/>
    <w:rsid w:val="00735535"/>
    <w:rsid w:val="00740A08"/>
    <w:rsid w:val="00742795"/>
    <w:rsid w:val="00743CFC"/>
    <w:rsid w:val="00743E0F"/>
    <w:rsid w:val="0074406A"/>
    <w:rsid w:val="007454E8"/>
    <w:rsid w:val="00746A22"/>
    <w:rsid w:val="00746EE9"/>
    <w:rsid w:val="00747016"/>
    <w:rsid w:val="00747293"/>
    <w:rsid w:val="00750597"/>
    <w:rsid w:val="00750AC6"/>
    <w:rsid w:val="00750AC8"/>
    <w:rsid w:val="00750D13"/>
    <w:rsid w:val="00751618"/>
    <w:rsid w:val="00751AE2"/>
    <w:rsid w:val="00753151"/>
    <w:rsid w:val="00753505"/>
    <w:rsid w:val="00753960"/>
    <w:rsid w:val="0075594E"/>
    <w:rsid w:val="00756A6E"/>
    <w:rsid w:val="00756BD8"/>
    <w:rsid w:val="00757B89"/>
    <w:rsid w:val="00757E64"/>
    <w:rsid w:val="007600D6"/>
    <w:rsid w:val="0076103F"/>
    <w:rsid w:val="00761074"/>
    <w:rsid w:val="007618AD"/>
    <w:rsid w:val="00761BA2"/>
    <w:rsid w:val="007623EA"/>
    <w:rsid w:val="0076273A"/>
    <w:rsid w:val="00763061"/>
    <w:rsid w:val="007637FC"/>
    <w:rsid w:val="00764525"/>
    <w:rsid w:val="00765290"/>
    <w:rsid w:val="0076560B"/>
    <w:rsid w:val="00766B60"/>
    <w:rsid w:val="00767448"/>
    <w:rsid w:val="00770409"/>
    <w:rsid w:val="00770C6D"/>
    <w:rsid w:val="007716B6"/>
    <w:rsid w:val="00771E0A"/>
    <w:rsid w:val="00771F86"/>
    <w:rsid w:val="007728A2"/>
    <w:rsid w:val="007729BA"/>
    <w:rsid w:val="007744AD"/>
    <w:rsid w:val="00774828"/>
    <w:rsid w:val="00774C21"/>
    <w:rsid w:val="00775590"/>
    <w:rsid w:val="00775641"/>
    <w:rsid w:val="00777504"/>
    <w:rsid w:val="0078172C"/>
    <w:rsid w:val="0078188A"/>
    <w:rsid w:val="007822E2"/>
    <w:rsid w:val="007825AF"/>
    <w:rsid w:val="00782FEE"/>
    <w:rsid w:val="0078382B"/>
    <w:rsid w:val="0078394C"/>
    <w:rsid w:val="00783F4B"/>
    <w:rsid w:val="007845F3"/>
    <w:rsid w:val="007845FA"/>
    <w:rsid w:val="00784F97"/>
    <w:rsid w:val="0078701A"/>
    <w:rsid w:val="007877D5"/>
    <w:rsid w:val="00787972"/>
    <w:rsid w:val="0079163B"/>
    <w:rsid w:val="00791AB2"/>
    <w:rsid w:val="00791CFD"/>
    <w:rsid w:val="0079240F"/>
    <w:rsid w:val="007929B4"/>
    <w:rsid w:val="00793370"/>
    <w:rsid w:val="00793F98"/>
    <w:rsid w:val="00794614"/>
    <w:rsid w:val="007A0B87"/>
    <w:rsid w:val="007A1A6B"/>
    <w:rsid w:val="007A1A9F"/>
    <w:rsid w:val="007A361F"/>
    <w:rsid w:val="007A4AA7"/>
    <w:rsid w:val="007A4D64"/>
    <w:rsid w:val="007A4D87"/>
    <w:rsid w:val="007A5619"/>
    <w:rsid w:val="007A5BD2"/>
    <w:rsid w:val="007A5F97"/>
    <w:rsid w:val="007A66C1"/>
    <w:rsid w:val="007A69CE"/>
    <w:rsid w:val="007A6AE8"/>
    <w:rsid w:val="007A6F06"/>
    <w:rsid w:val="007A70D1"/>
    <w:rsid w:val="007A75FE"/>
    <w:rsid w:val="007A78A8"/>
    <w:rsid w:val="007A7B62"/>
    <w:rsid w:val="007B02C1"/>
    <w:rsid w:val="007B0491"/>
    <w:rsid w:val="007B057B"/>
    <w:rsid w:val="007B1AA6"/>
    <w:rsid w:val="007B2FB5"/>
    <w:rsid w:val="007B3149"/>
    <w:rsid w:val="007B317E"/>
    <w:rsid w:val="007B42E1"/>
    <w:rsid w:val="007B4CB3"/>
    <w:rsid w:val="007B5036"/>
    <w:rsid w:val="007B5541"/>
    <w:rsid w:val="007B6419"/>
    <w:rsid w:val="007B6786"/>
    <w:rsid w:val="007B703A"/>
    <w:rsid w:val="007B7131"/>
    <w:rsid w:val="007C00CB"/>
    <w:rsid w:val="007C07A8"/>
    <w:rsid w:val="007C2585"/>
    <w:rsid w:val="007C3369"/>
    <w:rsid w:val="007C4225"/>
    <w:rsid w:val="007C442F"/>
    <w:rsid w:val="007C4C1C"/>
    <w:rsid w:val="007C5044"/>
    <w:rsid w:val="007C65D7"/>
    <w:rsid w:val="007C6D91"/>
    <w:rsid w:val="007C7411"/>
    <w:rsid w:val="007C7480"/>
    <w:rsid w:val="007C78A5"/>
    <w:rsid w:val="007D0B9F"/>
    <w:rsid w:val="007D20BD"/>
    <w:rsid w:val="007D420D"/>
    <w:rsid w:val="007D4699"/>
    <w:rsid w:val="007D5C07"/>
    <w:rsid w:val="007D627B"/>
    <w:rsid w:val="007D772E"/>
    <w:rsid w:val="007E072B"/>
    <w:rsid w:val="007E0769"/>
    <w:rsid w:val="007E11EF"/>
    <w:rsid w:val="007E2149"/>
    <w:rsid w:val="007E3C41"/>
    <w:rsid w:val="007E46B2"/>
    <w:rsid w:val="007E53BC"/>
    <w:rsid w:val="007E6200"/>
    <w:rsid w:val="007E6E00"/>
    <w:rsid w:val="007E7009"/>
    <w:rsid w:val="007E757D"/>
    <w:rsid w:val="007E7E11"/>
    <w:rsid w:val="007F10B1"/>
    <w:rsid w:val="007F169F"/>
    <w:rsid w:val="007F22D7"/>
    <w:rsid w:val="007F306F"/>
    <w:rsid w:val="007F4C77"/>
    <w:rsid w:val="007F617D"/>
    <w:rsid w:val="007F6535"/>
    <w:rsid w:val="007F6962"/>
    <w:rsid w:val="007F6996"/>
    <w:rsid w:val="007F6AEA"/>
    <w:rsid w:val="0080007B"/>
    <w:rsid w:val="00800580"/>
    <w:rsid w:val="008009FF"/>
    <w:rsid w:val="00800C71"/>
    <w:rsid w:val="0080185D"/>
    <w:rsid w:val="0080254C"/>
    <w:rsid w:val="00802716"/>
    <w:rsid w:val="0080277F"/>
    <w:rsid w:val="008028B8"/>
    <w:rsid w:val="00802F8F"/>
    <w:rsid w:val="00803606"/>
    <w:rsid w:val="0080428E"/>
    <w:rsid w:val="008052A1"/>
    <w:rsid w:val="00805396"/>
    <w:rsid w:val="008055E1"/>
    <w:rsid w:val="008060BB"/>
    <w:rsid w:val="0080646B"/>
    <w:rsid w:val="0080680E"/>
    <w:rsid w:val="0080721A"/>
    <w:rsid w:val="00807BC2"/>
    <w:rsid w:val="00810E84"/>
    <w:rsid w:val="0081178E"/>
    <w:rsid w:val="00812942"/>
    <w:rsid w:val="00812B5D"/>
    <w:rsid w:val="00812D0B"/>
    <w:rsid w:val="00812E6B"/>
    <w:rsid w:val="00813CE0"/>
    <w:rsid w:val="00813ECF"/>
    <w:rsid w:val="00814331"/>
    <w:rsid w:val="0081484E"/>
    <w:rsid w:val="00814D87"/>
    <w:rsid w:val="00815713"/>
    <w:rsid w:val="008163A1"/>
    <w:rsid w:val="00816614"/>
    <w:rsid w:val="00816620"/>
    <w:rsid w:val="00817B73"/>
    <w:rsid w:val="008218C8"/>
    <w:rsid w:val="00822871"/>
    <w:rsid w:val="00823F13"/>
    <w:rsid w:val="00824927"/>
    <w:rsid w:val="008251D7"/>
    <w:rsid w:val="00825839"/>
    <w:rsid w:val="00826295"/>
    <w:rsid w:val="008264FB"/>
    <w:rsid w:val="0082728A"/>
    <w:rsid w:val="00830214"/>
    <w:rsid w:val="00830AA3"/>
    <w:rsid w:val="00830B76"/>
    <w:rsid w:val="00830CA3"/>
    <w:rsid w:val="00832641"/>
    <w:rsid w:val="008328B7"/>
    <w:rsid w:val="008337BD"/>
    <w:rsid w:val="0083474E"/>
    <w:rsid w:val="00834DD2"/>
    <w:rsid w:val="00837ECC"/>
    <w:rsid w:val="008403A6"/>
    <w:rsid w:val="00841166"/>
    <w:rsid w:val="00841A62"/>
    <w:rsid w:val="0084207A"/>
    <w:rsid w:val="00842159"/>
    <w:rsid w:val="008424FC"/>
    <w:rsid w:val="00842856"/>
    <w:rsid w:val="00843D83"/>
    <w:rsid w:val="00843EE0"/>
    <w:rsid w:val="00844557"/>
    <w:rsid w:val="008448EA"/>
    <w:rsid w:val="00844CFA"/>
    <w:rsid w:val="0084526A"/>
    <w:rsid w:val="00845F89"/>
    <w:rsid w:val="00846062"/>
    <w:rsid w:val="0084705D"/>
    <w:rsid w:val="00850AC3"/>
    <w:rsid w:val="00851069"/>
    <w:rsid w:val="008514F3"/>
    <w:rsid w:val="008522E2"/>
    <w:rsid w:val="008523AE"/>
    <w:rsid w:val="00852484"/>
    <w:rsid w:val="00852CB2"/>
    <w:rsid w:val="00852D1A"/>
    <w:rsid w:val="00855FA8"/>
    <w:rsid w:val="00857F7C"/>
    <w:rsid w:val="00860C7B"/>
    <w:rsid w:val="008610DC"/>
    <w:rsid w:val="00861AA1"/>
    <w:rsid w:val="00861F84"/>
    <w:rsid w:val="0086307B"/>
    <w:rsid w:val="00863311"/>
    <w:rsid w:val="00863E1B"/>
    <w:rsid w:val="008655AD"/>
    <w:rsid w:val="00865702"/>
    <w:rsid w:val="00866FEA"/>
    <w:rsid w:val="00867961"/>
    <w:rsid w:val="008679CA"/>
    <w:rsid w:val="008705ED"/>
    <w:rsid w:val="00870C59"/>
    <w:rsid w:val="00871C3F"/>
    <w:rsid w:val="008722E5"/>
    <w:rsid w:val="00872C61"/>
    <w:rsid w:val="00873067"/>
    <w:rsid w:val="00873903"/>
    <w:rsid w:val="00875204"/>
    <w:rsid w:val="00875BDB"/>
    <w:rsid w:val="00875D54"/>
    <w:rsid w:val="00875DC7"/>
    <w:rsid w:val="0087689A"/>
    <w:rsid w:val="008768D5"/>
    <w:rsid w:val="008778A2"/>
    <w:rsid w:val="00877936"/>
    <w:rsid w:val="0088000D"/>
    <w:rsid w:val="00880BE2"/>
    <w:rsid w:val="00880DBE"/>
    <w:rsid w:val="008818BD"/>
    <w:rsid w:val="00881E40"/>
    <w:rsid w:val="008820FE"/>
    <w:rsid w:val="00883071"/>
    <w:rsid w:val="008830CD"/>
    <w:rsid w:val="00883791"/>
    <w:rsid w:val="008837BA"/>
    <w:rsid w:val="008849BF"/>
    <w:rsid w:val="008856C7"/>
    <w:rsid w:val="00885AA6"/>
    <w:rsid w:val="00885DDC"/>
    <w:rsid w:val="0088616C"/>
    <w:rsid w:val="00886805"/>
    <w:rsid w:val="008878FF"/>
    <w:rsid w:val="00887F75"/>
    <w:rsid w:val="008901DD"/>
    <w:rsid w:val="00890BCD"/>
    <w:rsid w:val="00892E00"/>
    <w:rsid w:val="00893678"/>
    <w:rsid w:val="00893B10"/>
    <w:rsid w:val="0089494D"/>
    <w:rsid w:val="00895DA3"/>
    <w:rsid w:val="008965FE"/>
    <w:rsid w:val="008966EE"/>
    <w:rsid w:val="0089678B"/>
    <w:rsid w:val="00897F9B"/>
    <w:rsid w:val="008A028F"/>
    <w:rsid w:val="008A1733"/>
    <w:rsid w:val="008A20D2"/>
    <w:rsid w:val="008A44F2"/>
    <w:rsid w:val="008A4667"/>
    <w:rsid w:val="008B0D35"/>
    <w:rsid w:val="008B14BF"/>
    <w:rsid w:val="008B2445"/>
    <w:rsid w:val="008B3CB1"/>
    <w:rsid w:val="008B6145"/>
    <w:rsid w:val="008B6EFA"/>
    <w:rsid w:val="008C02EA"/>
    <w:rsid w:val="008C0C59"/>
    <w:rsid w:val="008C178B"/>
    <w:rsid w:val="008C1BC7"/>
    <w:rsid w:val="008C2617"/>
    <w:rsid w:val="008C2A4D"/>
    <w:rsid w:val="008C3840"/>
    <w:rsid w:val="008C3DCF"/>
    <w:rsid w:val="008C42E6"/>
    <w:rsid w:val="008C4A72"/>
    <w:rsid w:val="008C4B6B"/>
    <w:rsid w:val="008C4E7D"/>
    <w:rsid w:val="008C51A4"/>
    <w:rsid w:val="008C51EC"/>
    <w:rsid w:val="008C5B00"/>
    <w:rsid w:val="008C6D3F"/>
    <w:rsid w:val="008D03E0"/>
    <w:rsid w:val="008D0E03"/>
    <w:rsid w:val="008D2E7D"/>
    <w:rsid w:val="008D4F13"/>
    <w:rsid w:val="008D7090"/>
    <w:rsid w:val="008E05A3"/>
    <w:rsid w:val="008E19C7"/>
    <w:rsid w:val="008E36FF"/>
    <w:rsid w:val="008E3BE6"/>
    <w:rsid w:val="008E43A2"/>
    <w:rsid w:val="008E4A4D"/>
    <w:rsid w:val="008E5122"/>
    <w:rsid w:val="008E532D"/>
    <w:rsid w:val="008E53AD"/>
    <w:rsid w:val="008E617E"/>
    <w:rsid w:val="008E7A23"/>
    <w:rsid w:val="008F19CE"/>
    <w:rsid w:val="008F4E02"/>
    <w:rsid w:val="008F4F88"/>
    <w:rsid w:val="008F56EC"/>
    <w:rsid w:val="008F5B84"/>
    <w:rsid w:val="008F6A4B"/>
    <w:rsid w:val="008F7728"/>
    <w:rsid w:val="008F7BC3"/>
    <w:rsid w:val="0090023A"/>
    <w:rsid w:val="00900307"/>
    <w:rsid w:val="0090060E"/>
    <w:rsid w:val="009009DE"/>
    <w:rsid w:val="00901F62"/>
    <w:rsid w:val="00902408"/>
    <w:rsid w:val="0090455A"/>
    <w:rsid w:val="00905370"/>
    <w:rsid w:val="00906250"/>
    <w:rsid w:val="00906586"/>
    <w:rsid w:val="009077FF"/>
    <w:rsid w:val="00911701"/>
    <w:rsid w:val="00911BA0"/>
    <w:rsid w:val="00912EC1"/>
    <w:rsid w:val="00913781"/>
    <w:rsid w:val="00913D4F"/>
    <w:rsid w:val="00914033"/>
    <w:rsid w:val="00916209"/>
    <w:rsid w:val="00916E62"/>
    <w:rsid w:val="009172C9"/>
    <w:rsid w:val="00917EC6"/>
    <w:rsid w:val="0092084A"/>
    <w:rsid w:val="00920926"/>
    <w:rsid w:val="00921A7D"/>
    <w:rsid w:val="00923AF7"/>
    <w:rsid w:val="009249B1"/>
    <w:rsid w:val="00924B9A"/>
    <w:rsid w:val="00924E42"/>
    <w:rsid w:val="0092582F"/>
    <w:rsid w:val="00926EC8"/>
    <w:rsid w:val="0092765B"/>
    <w:rsid w:val="00927A63"/>
    <w:rsid w:val="0093020A"/>
    <w:rsid w:val="009304CD"/>
    <w:rsid w:val="009308AC"/>
    <w:rsid w:val="0093163B"/>
    <w:rsid w:val="00931810"/>
    <w:rsid w:val="00931B57"/>
    <w:rsid w:val="00931DEB"/>
    <w:rsid w:val="00932E32"/>
    <w:rsid w:val="00932FA6"/>
    <w:rsid w:val="009337A1"/>
    <w:rsid w:val="00933EDE"/>
    <w:rsid w:val="0093574B"/>
    <w:rsid w:val="0093704C"/>
    <w:rsid w:val="00937277"/>
    <w:rsid w:val="00937F94"/>
    <w:rsid w:val="0094141C"/>
    <w:rsid w:val="009416B1"/>
    <w:rsid w:val="009419A5"/>
    <w:rsid w:val="00941B15"/>
    <w:rsid w:val="009426CC"/>
    <w:rsid w:val="00942A13"/>
    <w:rsid w:val="00942B29"/>
    <w:rsid w:val="00943A82"/>
    <w:rsid w:val="00944355"/>
    <w:rsid w:val="00945982"/>
    <w:rsid w:val="00945A2F"/>
    <w:rsid w:val="00945F08"/>
    <w:rsid w:val="0094774A"/>
    <w:rsid w:val="00947CFC"/>
    <w:rsid w:val="00950E31"/>
    <w:rsid w:val="00951461"/>
    <w:rsid w:val="00951846"/>
    <w:rsid w:val="00951DE5"/>
    <w:rsid w:val="00952287"/>
    <w:rsid w:val="00952643"/>
    <w:rsid w:val="009528AF"/>
    <w:rsid w:val="00952D13"/>
    <w:rsid w:val="00953E28"/>
    <w:rsid w:val="00957742"/>
    <w:rsid w:val="009601AE"/>
    <w:rsid w:val="00963ED1"/>
    <w:rsid w:val="00964E27"/>
    <w:rsid w:val="0096527E"/>
    <w:rsid w:val="00965B53"/>
    <w:rsid w:val="00965DEC"/>
    <w:rsid w:val="00966853"/>
    <w:rsid w:val="00966AE6"/>
    <w:rsid w:val="00966B34"/>
    <w:rsid w:val="00967C8E"/>
    <w:rsid w:val="00967DC9"/>
    <w:rsid w:val="00967F4E"/>
    <w:rsid w:val="00970886"/>
    <w:rsid w:val="009721CB"/>
    <w:rsid w:val="00973793"/>
    <w:rsid w:val="00974B38"/>
    <w:rsid w:val="00974FE6"/>
    <w:rsid w:val="00975F5B"/>
    <w:rsid w:val="00976D44"/>
    <w:rsid w:val="0097735A"/>
    <w:rsid w:val="00977EA2"/>
    <w:rsid w:val="00977ED6"/>
    <w:rsid w:val="00980DBD"/>
    <w:rsid w:val="00980F02"/>
    <w:rsid w:val="009810B1"/>
    <w:rsid w:val="00981150"/>
    <w:rsid w:val="00981EF2"/>
    <w:rsid w:val="00983180"/>
    <w:rsid w:val="00983556"/>
    <w:rsid w:val="00983604"/>
    <w:rsid w:val="00983F5A"/>
    <w:rsid w:val="00984F6F"/>
    <w:rsid w:val="0098572E"/>
    <w:rsid w:val="0098629F"/>
    <w:rsid w:val="0098690A"/>
    <w:rsid w:val="00987137"/>
    <w:rsid w:val="009876B2"/>
    <w:rsid w:val="00987BC9"/>
    <w:rsid w:val="009902F9"/>
    <w:rsid w:val="009903DB"/>
    <w:rsid w:val="00990756"/>
    <w:rsid w:val="00990F1C"/>
    <w:rsid w:val="00991447"/>
    <w:rsid w:val="0099189E"/>
    <w:rsid w:val="00991ABB"/>
    <w:rsid w:val="009934E6"/>
    <w:rsid w:val="00993795"/>
    <w:rsid w:val="00994596"/>
    <w:rsid w:val="0099463C"/>
    <w:rsid w:val="00994D5D"/>
    <w:rsid w:val="00994D79"/>
    <w:rsid w:val="0099524C"/>
    <w:rsid w:val="00995DD2"/>
    <w:rsid w:val="00997F9D"/>
    <w:rsid w:val="009A0DAC"/>
    <w:rsid w:val="009A0EE5"/>
    <w:rsid w:val="009A0FFE"/>
    <w:rsid w:val="009A176D"/>
    <w:rsid w:val="009A184D"/>
    <w:rsid w:val="009A2F08"/>
    <w:rsid w:val="009A479F"/>
    <w:rsid w:val="009A4D37"/>
    <w:rsid w:val="009A5DB0"/>
    <w:rsid w:val="009A5E40"/>
    <w:rsid w:val="009A69FE"/>
    <w:rsid w:val="009A6D66"/>
    <w:rsid w:val="009A7438"/>
    <w:rsid w:val="009B0E77"/>
    <w:rsid w:val="009B1E34"/>
    <w:rsid w:val="009B2108"/>
    <w:rsid w:val="009B213E"/>
    <w:rsid w:val="009B239E"/>
    <w:rsid w:val="009B2AF9"/>
    <w:rsid w:val="009B3198"/>
    <w:rsid w:val="009B33ED"/>
    <w:rsid w:val="009B3539"/>
    <w:rsid w:val="009B47A3"/>
    <w:rsid w:val="009B5028"/>
    <w:rsid w:val="009B5479"/>
    <w:rsid w:val="009B5597"/>
    <w:rsid w:val="009B5C78"/>
    <w:rsid w:val="009B6748"/>
    <w:rsid w:val="009B6E42"/>
    <w:rsid w:val="009B7BB9"/>
    <w:rsid w:val="009C0BC2"/>
    <w:rsid w:val="009C1103"/>
    <w:rsid w:val="009C1319"/>
    <w:rsid w:val="009C14C4"/>
    <w:rsid w:val="009C171E"/>
    <w:rsid w:val="009C1E4B"/>
    <w:rsid w:val="009C34CC"/>
    <w:rsid w:val="009C37E7"/>
    <w:rsid w:val="009C40B7"/>
    <w:rsid w:val="009C436E"/>
    <w:rsid w:val="009C6CA1"/>
    <w:rsid w:val="009C6D2A"/>
    <w:rsid w:val="009D1CC4"/>
    <w:rsid w:val="009D2154"/>
    <w:rsid w:val="009D289C"/>
    <w:rsid w:val="009D2B2D"/>
    <w:rsid w:val="009D3253"/>
    <w:rsid w:val="009D326A"/>
    <w:rsid w:val="009D4757"/>
    <w:rsid w:val="009D4A1E"/>
    <w:rsid w:val="009D4D93"/>
    <w:rsid w:val="009D4E4B"/>
    <w:rsid w:val="009D5EB7"/>
    <w:rsid w:val="009D5FDA"/>
    <w:rsid w:val="009D640C"/>
    <w:rsid w:val="009D67FF"/>
    <w:rsid w:val="009D6DA4"/>
    <w:rsid w:val="009D7270"/>
    <w:rsid w:val="009D7598"/>
    <w:rsid w:val="009E0668"/>
    <w:rsid w:val="009E122C"/>
    <w:rsid w:val="009E274F"/>
    <w:rsid w:val="009E3AD6"/>
    <w:rsid w:val="009E3FD7"/>
    <w:rsid w:val="009E614F"/>
    <w:rsid w:val="009E687D"/>
    <w:rsid w:val="009E6B4E"/>
    <w:rsid w:val="009E7330"/>
    <w:rsid w:val="009E7F0E"/>
    <w:rsid w:val="009E7FB1"/>
    <w:rsid w:val="009F08FF"/>
    <w:rsid w:val="009F0DDF"/>
    <w:rsid w:val="009F0DFE"/>
    <w:rsid w:val="009F10A1"/>
    <w:rsid w:val="009F14BB"/>
    <w:rsid w:val="009F1D55"/>
    <w:rsid w:val="009F27DE"/>
    <w:rsid w:val="009F2931"/>
    <w:rsid w:val="009F2DF8"/>
    <w:rsid w:val="009F34D1"/>
    <w:rsid w:val="009F3619"/>
    <w:rsid w:val="009F40EB"/>
    <w:rsid w:val="009F5386"/>
    <w:rsid w:val="009F60E9"/>
    <w:rsid w:val="009F6275"/>
    <w:rsid w:val="009F6285"/>
    <w:rsid w:val="009F698A"/>
    <w:rsid w:val="009F6B73"/>
    <w:rsid w:val="009F7268"/>
    <w:rsid w:val="009F7F8B"/>
    <w:rsid w:val="009F7FB6"/>
    <w:rsid w:val="00A00023"/>
    <w:rsid w:val="00A00623"/>
    <w:rsid w:val="00A01093"/>
    <w:rsid w:val="00A016AA"/>
    <w:rsid w:val="00A03872"/>
    <w:rsid w:val="00A03EAC"/>
    <w:rsid w:val="00A03FB7"/>
    <w:rsid w:val="00A0451D"/>
    <w:rsid w:val="00A0582E"/>
    <w:rsid w:val="00A05C83"/>
    <w:rsid w:val="00A06708"/>
    <w:rsid w:val="00A06878"/>
    <w:rsid w:val="00A0760D"/>
    <w:rsid w:val="00A07917"/>
    <w:rsid w:val="00A11824"/>
    <w:rsid w:val="00A14013"/>
    <w:rsid w:val="00A146D0"/>
    <w:rsid w:val="00A14D2B"/>
    <w:rsid w:val="00A15525"/>
    <w:rsid w:val="00A15649"/>
    <w:rsid w:val="00A16360"/>
    <w:rsid w:val="00A17508"/>
    <w:rsid w:val="00A175E9"/>
    <w:rsid w:val="00A17969"/>
    <w:rsid w:val="00A17BBC"/>
    <w:rsid w:val="00A17E0B"/>
    <w:rsid w:val="00A20358"/>
    <w:rsid w:val="00A21041"/>
    <w:rsid w:val="00A211C7"/>
    <w:rsid w:val="00A216BD"/>
    <w:rsid w:val="00A21D17"/>
    <w:rsid w:val="00A22964"/>
    <w:rsid w:val="00A238D7"/>
    <w:rsid w:val="00A240BB"/>
    <w:rsid w:val="00A24819"/>
    <w:rsid w:val="00A24B66"/>
    <w:rsid w:val="00A24B75"/>
    <w:rsid w:val="00A25E98"/>
    <w:rsid w:val="00A26BE2"/>
    <w:rsid w:val="00A2703A"/>
    <w:rsid w:val="00A2705E"/>
    <w:rsid w:val="00A27D28"/>
    <w:rsid w:val="00A30FAC"/>
    <w:rsid w:val="00A3195D"/>
    <w:rsid w:val="00A31A42"/>
    <w:rsid w:val="00A339BF"/>
    <w:rsid w:val="00A33B45"/>
    <w:rsid w:val="00A3444D"/>
    <w:rsid w:val="00A347D7"/>
    <w:rsid w:val="00A35833"/>
    <w:rsid w:val="00A35FAA"/>
    <w:rsid w:val="00A37D6B"/>
    <w:rsid w:val="00A401FD"/>
    <w:rsid w:val="00A4051C"/>
    <w:rsid w:val="00A418D0"/>
    <w:rsid w:val="00A447E1"/>
    <w:rsid w:val="00A44BCB"/>
    <w:rsid w:val="00A45888"/>
    <w:rsid w:val="00A46470"/>
    <w:rsid w:val="00A46C53"/>
    <w:rsid w:val="00A46DD8"/>
    <w:rsid w:val="00A50EB0"/>
    <w:rsid w:val="00A512FC"/>
    <w:rsid w:val="00A526BC"/>
    <w:rsid w:val="00A52BE4"/>
    <w:rsid w:val="00A5477D"/>
    <w:rsid w:val="00A554C4"/>
    <w:rsid w:val="00A55531"/>
    <w:rsid w:val="00A56309"/>
    <w:rsid w:val="00A565A3"/>
    <w:rsid w:val="00A569D4"/>
    <w:rsid w:val="00A56D09"/>
    <w:rsid w:val="00A5743C"/>
    <w:rsid w:val="00A613AC"/>
    <w:rsid w:val="00A61431"/>
    <w:rsid w:val="00A6177B"/>
    <w:rsid w:val="00A61D1C"/>
    <w:rsid w:val="00A6371D"/>
    <w:rsid w:val="00A63754"/>
    <w:rsid w:val="00A63AAC"/>
    <w:rsid w:val="00A65011"/>
    <w:rsid w:val="00A6565C"/>
    <w:rsid w:val="00A657F5"/>
    <w:rsid w:val="00A66724"/>
    <w:rsid w:val="00A66FA9"/>
    <w:rsid w:val="00A70CA2"/>
    <w:rsid w:val="00A70DC6"/>
    <w:rsid w:val="00A71DE1"/>
    <w:rsid w:val="00A737C8"/>
    <w:rsid w:val="00A739B0"/>
    <w:rsid w:val="00A73B0D"/>
    <w:rsid w:val="00A73B72"/>
    <w:rsid w:val="00A748C4"/>
    <w:rsid w:val="00A74ADB"/>
    <w:rsid w:val="00A75430"/>
    <w:rsid w:val="00A75A97"/>
    <w:rsid w:val="00A764FA"/>
    <w:rsid w:val="00A80230"/>
    <w:rsid w:val="00A802C3"/>
    <w:rsid w:val="00A80D16"/>
    <w:rsid w:val="00A81304"/>
    <w:rsid w:val="00A813E1"/>
    <w:rsid w:val="00A8173C"/>
    <w:rsid w:val="00A82432"/>
    <w:rsid w:val="00A8248A"/>
    <w:rsid w:val="00A84359"/>
    <w:rsid w:val="00A84B9D"/>
    <w:rsid w:val="00A8580B"/>
    <w:rsid w:val="00A8604B"/>
    <w:rsid w:val="00A86199"/>
    <w:rsid w:val="00A86B2C"/>
    <w:rsid w:val="00A9034A"/>
    <w:rsid w:val="00A9183D"/>
    <w:rsid w:val="00A91B2B"/>
    <w:rsid w:val="00A91EAD"/>
    <w:rsid w:val="00A925C1"/>
    <w:rsid w:val="00A931DC"/>
    <w:rsid w:val="00A93F61"/>
    <w:rsid w:val="00A9429D"/>
    <w:rsid w:val="00A9501E"/>
    <w:rsid w:val="00A9521C"/>
    <w:rsid w:val="00A9540A"/>
    <w:rsid w:val="00A95E37"/>
    <w:rsid w:val="00A960E3"/>
    <w:rsid w:val="00A969FA"/>
    <w:rsid w:val="00A97D85"/>
    <w:rsid w:val="00AA018E"/>
    <w:rsid w:val="00AA028F"/>
    <w:rsid w:val="00AA0FDE"/>
    <w:rsid w:val="00AA1084"/>
    <w:rsid w:val="00AA1554"/>
    <w:rsid w:val="00AA1ECF"/>
    <w:rsid w:val="00AA25C2"/>
    <w:rsid w:val="00AA2601"/>
    <w:rsid w:val="00AA3501"/>
    <w:rsid w:val="00AA40AD"/>
    <w:rsid w:val="00AA40AF"/>
    <w:rsid w:val="00AA5754"/>
    <w:rsid w:val="00AA6689"/>
    <w:rsid w:val="00AA68F4"/>
    <w:rsid w:val="00AA7105"/>
    <w:rsid w:val="00AA74A7"/>
    <w:rsid w:val="00AB0588"/>
    <w:rsid w:val="00AB0B3B"/>
    <w:rsid w:val="00AB1F15"/>
    <w:rsid w:val="00AB22D3"/>
    <w:rsid w:val="00AB24E4"/>
    <w:rsid w:val="00AB4709"/>
    <w:rsid w:val="00AB5271"/>
    <w:rsid w:val="00AB575D"/>
    <w:rsid w:val="00AB6499"/>
    <w:rsid w:val="00AB671B"/>
    <w:rsid w:val="00AB674A"/>
    <w:rsid w:val="00AB693A"/>
    <w:rsid w:val="00AB720C"/>
    <w:rsid w:val="00AB797C"/>
    <w:rsid w:val="00AB797F"/>
    <w:rsid w:val="00AB7B5E"/>
    <w:rsid w:val="00AB7EDE"/>
    <w:rsid w:val="00AC0B5F"/>
    <w:rsid w:val="00AC1FB9"/>
    <w:rsid w:val="00AC2032"/>
    <w:rsid w:val="00AC2066"/>
    <w:rsid w:val="00AC2BE1"/>
    <w:rsid w:val="00AC3B4A"/>
    <w:rsid w:val="00AC50FF"/>
    <w:rsid w:val="00AC5358"/>
    <w:rsid w:val="00AC543A"/>
    <w:rsid w:val="00AC5B03"/>
    <w:rsid w:val="00AC7065"/>
    <w:rsid w:val="00AC7E69"/>
    <w:rsid w:val="00AD01F7"/>
    <w:rsid w:val="00AD0E17"/>
    <w:rsid w:val="00AD132B"/>
    <w:rsid w:val="00AD13DA"/>
    <w:rsid w:val="00AD1D93"/>
    <w:rsid w:val="00AD3529"/>
    <w:rsid w:val="00AD392E"/>
    <w:rsid w:val="00AD3E40"/>
    <w:rsid w:val="00AD3E68"/>
    <w:rsid w:val="00AD4488"/>
    <w:rsid w:val="00AD5925"/>
    <w:rsid w:val="00AD6093"/>
    <w:rsid w:val="00AD67FC"/>
    <w:rsid w:val="00AD7A06"/>
    <w:rsid w:val="00AD7B3E"/>
    <w:rsid w:val="00AD7D70"/>
    <w:rsid w:val="00AD7EEF"/>
    <w:rsid w:val="00AE01BD"/>
    <w:rsid w:val="00AE0566"/>
    <w:rsid w:val="00AE090C"/>
    <w:rsid w:val="00AE1341"/>
    <w:rsid w:val="00AE137B"/>
    <w:rsid w:val="00AE16E4"/>
    <w:rsid w:val="00AE3FFF"/>
    <w:rsid w:val="00AE4499"/>
    <w:rsid w:val="00AE50A6"/>
    <w:rsid w:val="00AE52A6"/>
    <w:rsid w:val="00AE5389"/>
    <w:rsid w:val="00AE5B64"/>
    <w:rsid w:val="00AE7451"/>
    <w:rsid w:val="00AE756C"/>
    <w:rsid w:val="00AF0BAC"/>
    <w:rsid w:val="00AF172F"/>
    <w:rsid w:val="00AF2B45"/>
    <w:rsid w:val="00AF3454"/>
    <w:rsid w:val="00AF3F35"/>
    <w:rsid w:val="00AF4481"/>
    <w:rsid w:val="00AF4715"/>
    <w:rsid w:val="00AF4726"/>
    <w:rsid w:val="00AF4A10"/>
    <w:rsid w:val="00AF4FEF"/>
    <w:rsid w:val="00AF679B"/>
    <w:rsid w:val="00AF7EA9"/>
    <w:rsid w:val="00B004F4"/>
    <w:rsid w:val="00B00D84"/>
    <w:rsid w:val="00B0239E"/>
    <w:rsid w:val="00B032A1"/>
    <w:rsid w:val="00B03F5B"/>
    <w:rsid w:val="00B05D1E"/>
    <w:rsid w:val="00B06B80"/>
    <w:rsid w:val="00B07424"/>
    <w:rsid w:val="00B078B8"/>
    <w:rsid w:val="00B07C09"/>
    <w:rsid w:val="00B11587"/>
    <w:rsid w:val="00B13203"/>
    <w:rsid w:val="00B13A54"/>
    <w:rsid w:val="00B13B22"/>
    <w:rsid w:val="00B13CB7"/>
    <w:rsid w:val="00B13D4A"/>
    <w:rsid w:val="00B1427A"/>
    <w:rsid w:val="00B152B8"/>
    <w:rsid w:val="00B1568C"/>
    <w:rsid w:val="00B15ACE"/>
    <w:rsid w:val="00B17C1E"/>
    <w:rsid w:val="00B20442"/>
    <w:rsid w:val="00B20569"/>
    <w:rsid w:val="00B21B31"/>
    <w:rsid w:val="00B21C42"/>
    <w:rsid w:val="00B23364"/>
    <w:rsid w:val="00B2344E"/>
    <w:rsid w:val="00B2362D"/>
    <w:rsid w:val="00B23EA6"/>
    <w:rsid w:val="00B24183"/>
    <w:rsid w:val="00B249FB"/>
    <w:rsid w:val="00B24B71"/>
    <w:rsid w:val="00B25905"/>
    <w:rsid w:val="00B273A5"/>
    <w:rsid w:val="00B30492"/>
    <w:rsid w:val="00B3124F"/>
    <w:rsid w:val="00B31EAA"/>
    <w:rsid w:val="00B3247B"/>
    <w:rsid w:val="00B33588"/>
    <w:rsid w:val="00B3411C"/>
    <w:rsid w:val="00B342EB"/>
    <w:rsid w:val="00B34B29"/>
    <w:rsid w:val="00B35147"/>
    <w:rsid w:val="00B36266"/>
    <w:rsid w:val="00B3659D"/>
    <w:rsid w:val="00B37948"/>
    <w:rsid w:val="00B405CE"/>
    <w:rsid w:val="00B41F9E"/>
    <w:rsid w:val="00B42EEC"/>
    <w:rsid w:val="00B441DE"/>
    <w:rsid w:val="00B45D45"/>
    <w:rsid w:val="00B45DFA"/>
    <w:rsid w:val="00B4723C"/>
    <w:rsid w:val="00B5088B"/>
    <w:rsid w:val="00B53D7C"/>
    <w:rsid w:val="00B53FB6"/>
    <w:rsid w:val="00B54BA5"/>
    <w:rsid w:val="00B54D01"/>
    <w:rsid w:val="00B54F70"/>
    <w:rsid w:val="00B550B9"/>
    <w:rsid w:val="00B55674"/>
    <w:rsid w:val="00B55D5C"/>
    <w:rsid w:val="00B56CEB"/>
    <w:rsid w:val="00B57FC2"/>
    <w:rsid w:val="00B602E0"/>
    <w:rsid w:val="00B606C1"/>
    <w:rsid w:val="00B607F1"/>
    <w:rsid w:val="00B614B8"/>
    <w:rsid w:val="00B62853"/>
    <w:rsid w:val="00B62EED"/>
    <w:rsid w:val="00B63E15"/>
    <w:rsid w:val="00B63EF0"/>
    <w:rsid w:val="00B65A77"/>
    <w:rsid w:val="00B65D23"/>
    <w:rsid w:val="00B66093"/>
    <w:rsid w:val="00B668A7"/>
    <w:rsid w:val="00B671B6"/>
    <w:rsid w:val="00B673B0"/>
    <w:rsid w:val="00B673D5"/>
    <w:rsid w:val="00B704F8"/>
    <w:rsid w:val="00B705EE"/>
    <w:rsid w:val="00B7092F"/>
    <w:rsid w:val="00B70F37"/>
    <w:rsid w:val="00B71039"/>
    <w:rsid w:val="00B71AFA"/>
    <w:rsid w:val="00B71D6D"/>
    <w:rsid w:val="00B7272C"/>
    <w:rsid w:val="00B72F43"/>
    <w:rsid w:val="00B736A2"/>
    <w:rsid w:val="00B7450F"/>
    <w:rsid w:val="00B74869"/>
    <w:rsid w:val="00B76609"/>
    <w:rsid w:val="00B776DB"/>
    <w:rsid w:val="00B77F15"/>
    <w:rsid w:val="00B806E3"/>
    <w:rsid w:val="00B81F62"/>
    <w:rsid w:val="00B83C6E"/>
    <w:rsid w:val="00B83E14"/>
    <w:rsid w:val="00B846B4"/>
    <w:rsid w:val="00B85408"/>
    <w:rsid w:val="00B858F4"/>
    <w:rsid w:val="00B86232"/>
    <w:rsid w:val="00B87253"/>
    <w:rsid w:val="00B90AE7"/>
    <w:rsid w:val="00B91DF4"/>
    <w:rsid w:val="00B9216D"/>
    <w:rsid w:val="00B92BAF"/>
    <w:rsid w:val="00B93660"/>
    <w:rsid w:val="00B93FC6"/>
    <w:rsid w:val="00B942BF"/>
    <w:rsid w:val="00B9448A"/>
    <w:rsid w:val="00B951FD"/>
    <w:rsid w:val="00B95419"/>
    <w:rsid w:val="00B959E5"/>
    <w:rsid w:val="00BA0B0F"/>
    <w:rsid w:val="00BA0F3E"/>
    <w:rsid w:val="00BA2C08"/>
    <w:rsid w:val="00BA4C68"/>
    <w:rsid w:val="00BA560E"/>
    <w:rsid w:val="00BA5662"/>
    <w:rsid w:val="00BA5874"/>
    <w:rsid w:val="00BA5CA0"/>
    <w:rsid w:val="00BA5F09"/>
    <w:rsid w:val="00BA6128"/>
    <w:rsid w:val="00BA7051"/>
    <w:rsid w:val="00BA7C71"/>
    <w:rsid w:val="00BA7D9D"/>
    <w:rsid w:val="00BB041A"/>
    <w:rsid w:val="00BB0975"/>
    <w:rsid w:val="00BB1691"/>
    <w:rsid w:val="00BB194B"/>
    <w:rsid w:val="00BB1970"/>
    <w:rsid w:val="00BB41F3"/>
    <w:rsid w:val="00BB6429"/>
    <w:rsid w:val="00BB6C5B"/>
    <w:rsid w:val="00BB6E65"/>
    <w:rsid w:val="00BB73BA"/>
    <w:rsid w:val="00BB7CE5"/>
    <w:rsid w:val="00BB7F6B"/>
    <w:rsid w:val="00BC025B"/>
    <w:rsid w:val="00BC0741"/>
    <w:rsid w:val="00BC2519"/>
    <w:rsid w:val="00BC25EB"/>
    <w:rsid w:val="00BC2876"/>
    <w:rsid w:val="00BC36CB"/>
    <w:rsid w:val="00BC52F4"/>
    <w:rsid w:val="00BC5FA0"/>
    <w:rsid w:val="00BC6487"/>
    <w:rsid w:val="00BC6679"/>
    <w:rsid w:val="00BC68BA"/>
    <w:rsid w:val="00BC6F1E"/>
    <w:rsid w:val="00BD0762"/>
    <w:rsid w:val="00BD0E95"/>
    <w:rsid w:val="00BD13B2"/>
    <w:rsid w:val="00BD2CA3"/>
    <w:rsid w:val="00BD3651"/>
    <w:rsid w:val="00BD3C7A"/>
    <w:rsid w:val="00BD4ABD"/>
    <w:rsid w:val="00BD4E90"/>
    <w:rsid w:val="00BD51C5"/>
    <w:rsid w:val="00BD6CB7"/>
    <w:rsid w:val="00BD72A3"/>
    <w:rsid w:val="00BD72B1"/>
    <w:rsid w:val="00BD7A9C"/>
    <w:rsid w:val="00BE0819"/>
    <w:rsid w:val="00BE0B3B"/>
    <w:rsid w:val="00BE1DFF"/>
    <w:rsid w:val="00BE2884"/>
    <w:rsid w:val="00BE342F"/>
    <w:rsid w:val="00BE531A"/>
    <w:rsid w:val="00BE5740"/>
    <w:rsid w:val="00BE63E9"/>
    <w:rsid w:val="00BE6936"/>
    <w:rsid w:val="00BE7095"/>
    <w:rsid w:val="00BE75CE"/>
    <w:rsid w:val="00BE78B4"/>
    <w:rsid w:val="00BE79D4"/>
    <w:rsid w:val="00BF004D"/>
    <w:rsid w:val="00BF10B0"/>
    <w:rsid w:val="00BF2371"/>
    <w:rsid w:val="00BF2FBA"/>
    <w:rsid w:val="00BF35C3"/>
    <w:rsid w:val="00BF3BA8"/>
    <w:rsid w:val="00BF3E01"/>
    <w:rsid w:val="00BF5E1C"/>
    <w:rsid w:val="00BF6187"/>
    <w:rsid w:val="00BF6455"/>
    <w:rsid w:val="00BF6CBA"/>
    <w:rsid w:val="00BF6E6F"/>
    <w:rsid w:val="00BF76E6"/>
    <w:rsid w:val="00BF7A38"/>
    <w:rsid w:val="00BF7E11"/>
    <w:rsid w:val="00C001DE"/>
    <w:rsid w:val="00C00EB6"/>
    <w:rsid w:val="00C010C2"/>
    <w:rsid w:val="00C011D2"/>
    <w:rsid w:val="00C01273"/>
    <w:rsid w:val="00C0187E"/>
    <w:rsid w:val="00C020D1"/>
    <w:rsid w:val="00C042F1"/>
    <w:rsid w:val="00C05300"/>
    <w:rsid w:val="00C05492"/>
    <w:rsid w:val="00C055D8"/>
    <w:rsid w:val="00C069B0"/>
    <w:rsid w:val="00C06BA3"/>
    <w:rsid w:val="00C0723D"/>
    <w:rsid w:val="00C078C2"/>
    <w:rsid w:val="00C10007"/>
    <w:rsid w:val="00C101FE"/>
    <w:rsid w:val="00C112EA"/>
    <w:rsid w:val="00C113C5"/>
    <w:rsid w:val="00C12D62"/>
    <w:rsid w:val="00C12EC1"/>
    <w:rsid w:val="00C13214"/>
    <w:rsid w:val="00C1455E"/>
    <w:rsid w:val="00C14A06"/>
    <w:rsid w:val="00C14F73"/>
    <w:rsid w:val="00C15623"/>
    <w:rsid w:val="00C15EDC"/>
    <w:rsid w:val="00C169C1"/>
    <w:rsid w:val="00C16AA8"/>
    <w:rsid w:val="00C16D42"/>
    <w:rsid w:val="00C2051A"/>
    <w:rsid w:val="00C205E8"/>
    <w:rsid w:val="00C21496"/>
    <w:rsid w:val="00C218DA"/>
    <w:rsid w:val="00C228D1"/>
    <w:rsid w:val="00C22CE3"/>
    <w:rsid w:val="00C232C3"/>
    <w:rsid w:val="00C23B89"/>
    <w:rsid w:val="00C23C79"/>
    <w:rsid w:val="00C2478D"/>
    <w:rsid w:val="00C249E9"/>
    <w:rsid w:val="00C24E26"/>
    <w:rsid w:val="00C24EE9"/>
    <w:rsid w:val="00C25075"/>
    <w:rsid w:val="00C25259"/>
    <w:rsid w:val="00C26CB0"/>
    <w:rsid w:val="00C2738A"/>
    <w:rsid w:val="00C27A7F"/>
    <w:rsid w:val="00C316BC"/>
    <w:rsid w:val="00C31D22"/>
    <w:rsid w:val="00C33E43"/>
    <w:rsid w:val="00C350EB"/>
    <w:rsid w:val="00C35491"/>
    <w:rsid w:val="00C358D0"/>
    <w:rsid w:val="00C36B6F"/>
    <w:rsid w:val="00C37028"/>
    <w:rsid w:val="00C40214"/>
    <w:rsid w:val="00C404BB"/>
    <w:rsid w:val="00C406D4"/>
    <w:rsid w:val="00C40D09"/>
    <w:rsid w:val="00C40F7C"/>
    <w:rsid w:val="00C41A3D"/>
    <w:rsid w:val="00C41BA0"/>
    <w:rsid w:val="00C42F56"/>
    <w:rsid w:val="00C430D8"/>
    <w:rsid w:val="00C44839"/>
    <w:rsid w:val="00C45915"/>
    <w:rsid w:val="00C46689"/>
    <w:rsid w:val="00C46E3F"/>
    <w:rsid w:val="00C47153"/>
    <w:rsid w:val="00C4789D"/>
    <w:rsid w:val="00C47A25"/>
    <w:rsid w:val="00C47C59"/>
    <w:rsid w:val="00C47C80"/>
    <w:rsid w:val="00C47D8C"/>
    <w:rsid w:val="00C50747"/>
    <w:rsid w:val="00C50E9B"/>
    <w:rsid w:val="00C516EC"/>
    <w:rsid w:val="00C535ED"/>
    <w:rsid w:val="00C53E65"/>
    <w:rsid w:val="00C53ECB"/>
    <w:rsid w:val="00C55C0B"/>
    <w:rsid w:val="00C55CFF"/>
    <w:rsid w:val="00C56044"/>
    <w:rsid w:val="00C5765E"/>
    <w:rsid w:val="00C61666"/>
    <w:rsid w:val="00C63A64"/>
    <w:rsid w:val="00C63DFB"/>
    <w:rsid w:val="00C64609"/>
    <w:rsid w:val="00C6586D"/>
    <w:rsid w:val="00C65D27"/>
    <w:rsid w:val="00C65DC8"/>
    <w:rsid w:val="00C6617C"/>
    <w:rsid w:val="00C6724E"/>
    <w:rsid w:val="00C7007A"/>
    <w:rsid w:val="00C70909"/>
    <w:rsid w:val="00C71660"/>
    <w:rsid w:val="00C71806"/>
    <w:rsid w:val="00C71A39"/>
    <w:rsid w:val="00C72E98"/>
    <w:rsid w:val="00C73093"/>
    <w:rsid w:val="00C73A63"/>
    <w:rsid w:val="00C73D5E"/>
    <w:rsid w:val="00C74827"/>
    <w:rsid w:val="00C74E4B"/>
    <w:rsid w:val="00C752E7"/>
    <w:rsid w:val="00C763A3"/>
    <w:rsid w:val="00C778E5"/>
    <w:rsid w:val="00C77DE9"/>
    <w:rsid w:val="00C807BA"/>
    <w:rsid w:val="00C811A3"/>
    <w:rsid w:val="00C81948"/>
    <w:rsid w:val="00C822CF"/>
    <w:rsid w:val="00C823BB"/>
    <w:rsid w:val="00C8325A"/>
    <w:rsid w:val="00C83FDD"/>
    <w:rsid w:val="00C8504B"/>
    <w:rsid w:val="00C855D9"/>
    <w:rsid w:val="00C8639E"/>
    <w:rsid w:val="00C868E5"/>
    <w:rsid w:val="00C87427"/>
    <w:rsid w:val="00C875A9"/>
    <w:rsid w:val="00C87EC4"/>
    <w:rsid w:val="00C90856"/>
    <w:rsid w:val="00C91390"/>
    <w:rsid w:val="00C91C85"/>
    <w:rsid w:val="00C91FA6"/>
    <w:rsid w:val="00C92388"/>
    <w:rsid w:val="00C9250E"/>
    <w:rsid w:val="00C927F4"/>
    <w:rsid w:val="00C92EEE"/>
    <w:rsid w:val="00C92FA0"/>
    <w:rsid w:val="00C93545"/>
    <w:rsid w:val="00C93E70"/>
    <w:rsid w:val="00C941A1"/>
    <w:rsid w:val="00C94864"/>
    <w:rsid w:val="00C955E3"/>
    <w:rsid w:val="00C96D8C"/>
    <w:rsid w:val="00C970F3"/>
    <w:rsid w:val="00C97925"/>
    <w:rsid w:val="00CA0343"/>
    <w:rsid w:val="00CA034C"/>
    <w:rsid w:val="00CA26B3"/>
    <w:rsid w:val="00CA2E53"/>
    <w:rsid w:val="00CA4625"/>
    <w:rsid w:val="00CA53B1"/>
    <w:rsid w:val="00CA5C62"/>
    <w:rsid w:val="00CA6AFE"/>
    <w:rsid w:val="00CB0469"/>
    <w:rsid w:val="00CB08FC"/>
    <w:rsid w:val="00CB0C82"/>
    <w:rsid w:val="00CB109F"/>
    <w:rsid w:val="00CB22D8"/>
    <w:rsid w:val="00CB4163"/>
    <w:rsid w:val="00CB4332"/>
    <w:rsid w:val="00CB5C83"/>
    <w:rsid w:val="00CC2798"/>
    <w:rsid w:val="00CC37AC"/>
    <w:rsid w:val="00CC4B21"/>
    <w:rsid w:val="00CC5670"/>
    <w:rsid w:val="00CC6075"/>
    <w:rsid w:val="00CC7467"/>
    <w:rsid w:val="00CC7968"/>
    <w:rsid w:val="00CD0E17"/>
    <w:rsid w:val="00CD31BA"/>
    <w:rsid w:val="00CD3BC0"/>
    <w:rsid w:val="00CD4285"/>
    <w:rsid w:val="00CD5D74"/>
    <w:rsid w:val="00CD6D08"/>
    <w:rsid w:val="00CD7302"/>
    <w:rsid w:val="00CD768F"/>
    <w:rsid w:val="00CE25F0"/>
    <w:rsid w:val="00CE36C9"/>
    <w:rsid w:val="00CE4D9B"/>
    <w:rsid w:val="00CE55D3"/>
    <w:rsid w:val="00CE5A8C"/>
    <w:rsid w:val="00CE5ABD"/>
    <w:rsid w:val="00CE5EA9"/>
    <w:rsid w:val="00CE78E9"/>
    <w:rsid w:val="00CF0066"/>
    <w:rsid w:val="00CF05EF"/>
    <w:rsid w:val="00CF20FC"/>
    <w:rsid w:val="00CF3035"/>
    <w:rsid w:val="00CF3327"/>
    <w:rsid w:val="00CF36EF"/>
    <w:rsid w:val="00CF3761"/>
    <w:rsid w:val="00CF3A17"/>
    <w:rsid w:val="00CF54A7"/>
    <w:rsid w:val="00CF55A0"/>
    <w:rsid w:val="00CF6020"/>
    <w:rsid w:val="00CF6253"/>
    <w:rsid w:val="00CF6DB9"/>
    <w:rsid w:val="00CF7286"/>
    <w:rsid w:val="00CF7487"/>
    <w:rsid w:val="00D00AD5"/>
    <w:rsid w:val="00D00C53"/>
    <w:rsid w:val="00D01BC1"/>
    <w:rsid w:val="00D0208E"/>
    <w:rsid w:val="00D025AE"/>
    <w:rsid w:val="00D02712"/>
    <w:rsid w:val="00D050A4"/>
    <w:rsid w:val="00D05260"/>
    <w:rsid w:val="00D05A0B"/>
    <w:rsid w:val="00D06B19"/>
    <w:rsid w:val="00D075A5"/>
    <w:rsid w:val="00D07BBD"/>
    <w:rsid w:val="00D07C1E"/>
    <w:rsid w:val="00D11D22"/>
    <w:rsid w:val="00D11D38"/>
    <w:rsid w:val="00D1291B"/>
    <w:rsid w:val="00D1396C"/>
    <w:rsid w:val="00D13E87"/>
    <w:rsid w:val="00D14875"/>
    <w:rsid w:val="00D15976"/>
    <w:rsid w:val="00D162D9"/>
    <w:rsid w:val="00D163D6"/>
    <w:rsid w:val="00D167F9"/>
    <w:rsid w:val="00D178E8"/>
    <w:rsid w:val="00D17F5D"/>
    <w:rsid w:val="00D17F79"/>
    <w:rsid w:val="00D200E4"/>
    <w:rsid w:val="00D2030E"/>
    <w:rsid w:val="00D203C7"/>
    <w:rsid w:val="00D21A25"/>
    <w:rsid w:val="00D224EF"/>
    <w:rsid w:val="00D2336D"/>
    <w:rsid w:val="00D23BB0"/>
    <w:rsid w:val="00D250AD"/>
    <w:rsid w:val="00D258BB"/>
    <w:rsid w:val="00D25D63"/>
    <w:rsid w:val="00D25F76"/>
    <w:rsid w:val="00D26152"/>
    <w:rsid w:val="00D26B7C"/>
    <w:rsid w:val="00D26F6B"/>
    <w:rsid w:val="00D2735E"/>
    <w:rsid w:val="00D27BBB"/>
    <w:rsid w:val="00D30380"/>
    <w:rsid w:val="00D3075E"/>
    <w:rsid w:val="00D30A5B"/>
    <w:rsid w:val="00D30D55"/>
    <w:rsid w:val="00D31049"/>
    <w:rsid w:val="00D31607"/>
    <w:rsid w:val="00D317EB"/>
    <w:rsid w:val="00D32BD9"/>
    <w:rsid w:val="00D32DD7"/>
    <w:rsid w:val="00D3320D"/>
    <w:rsid w:val="00D33431"/>
    <w:rsid w:val="00D346D4"/>
    <w:rsid w:val="00D34855"/>
    <w:rsid w:val="00D35EA4"/>
    <w:rsid w:val="00D36FBF"/>
    <w:rsid w:val="00D371C9"/>
    <w:rsid w:val="00D37B6F"/>
    <w:rsid w:val="00D425D7"/>
    <w:rsid w:val="00D42C9A"/>
    <w:rsid w:val="00D4362F"/>
    <w:rsid w:val="00D43824"/>
    <w:rsid w:val="00D43AD9"/>
    <w:rsid w:val="00D444E0"/>
    <w:rsid w:val="00D45617"/>
    <w:rsid w:val="00D45928"/>
    <w:rsid w:val="00D475BC"/>
    <w:rsid w:val="00D47974"/>
    <w:rsid w:val="00D47F86"/>
    <w:rsid w:val="00D47FA5"/>
    <w:rsid w:val="00D5014D"/>
    <w:rsid w:val="00D507B0"/>
    <w:rsid w:val="00D50A33"/>
    <w:rsid w:val="00D50E09"/>
    <w:rsid w:val="00D510DA"/>
    <w:rsid w:val="00D5188E"/>
    <w:rsid w:val="00D521BE"/>
    <w:rsid w:val="00D52AF0"/>
    <w:rsid w:val="00D52E3B"/>
    <w:rsid w:val="00D53511"/>
    <w:rsid w:val="00D55322"/>
    <w:rsid w:val="00D57D01"/>
    <w:rsid w:val="00D57EB9"/>
    <w:rsid w:val="00D57FDC"/>
    <w:rsid w:val="00D6035D"/>
    <w:rsid w:val="00D6111F"/>
    <w:rsid w:val="00D61ACA"/>
    <w:rsid w:val="00D62B98"/>
    <w:rsid w:val="00D62CEE"/>
    <w:rsid w:val="00D637C2"/>
    <w:rsid w:val="00D6525B"/>
    <w:rsid w:val="00D6546D"/>
    <w:rsid w:val="00D65716"/>
    <w:rsid w:val="00D65D0D"/>
    <w:rsid w:val="00D664C7"/>
    <w:rsid w:val="00D70726"/>
    <w:rsid w:val="00D7187F"/>
    <w:rsid w:val="00D720DD"/>
    <w:rsid w:val="00D727D8"/>
    <w:rsid w:val="00D73B08"/>
    <w:rsid w:val="00D73FC3"/>
    <w:rsid w:val="00D74237"/>
    <w:rsid w:val="00D742E6"/>
    <w:rsid w:val="00D74B5C"/>
    <w:rsid w:val="00D74CBB"/>
    <w:rsid w:val="00D74CD7"/>
    <w:rsid w:val="00D75B39"/>
    <w:rsid w:val="00D75E7A"/>
    <w:rsid w:val="00D7676A"/>
    <w:rsid w:val="00D80F19"/>
    <w:rsid w:val="00D8104F"/>
    <w:rsid w:val="00D81EEC"/>
    <w:rsid w:val="00D825B8"/>
    <w:rsid w:val="00D829CE"/>
    <w:rsid w:val="00D83E1B"/>
    <w:rsid w:val="00D83F05"/>
    <w:rsid w:val="00D84297"/>
    <w:rsid w:val="00D84E48"/>
    <w:rsid w:val="00D864C1"/>
    <w:rsid w:val="00D8739E"/>
    <w:rsid w:val="00D90A82"/>
    <w:rsid w:val="00D915B9"/>
    <w:rsid w:val="00D9288B"/>
    <w:rsid w:val="00D92A1F"/>
    <w:rsid w:val="00D9367A"/>
    <w:rsid w:val="00D94194"/>
    <w:rsid w:val="00D945ED"/>
    <w:rsid w:val="00D95382"/>
    <w:rsid w:val="00D96A88"/>
    <w:rsid w:val="00D96C52"/>
    <w:rsid w:val="00D9750E"/>
    <w:rsid w:val="00DA0534"/>
    <w:rsid w:val="00DA180B"/>
    <w:rsid w:val="00DA1DE2"/>
    <w:rsid w:val="00DA3AAD"/>
    <w:rsid w:val="00DA45E9"/>
    <w:rsid w:val="00DA4696"/>
    <w:rsid w:val="00DA48CC"/>
    <w:rsid w:val="00DA560D"/>
    <w:rsid w:val="00DA6441"/>
    <w:rsid w:val="00DA6853"/>
    <w:rsid w:val="00DA6A25"/>
    <w:rsid w:val="00DB1CC9"/>
    <w:rsid w:val="00DB1CD9"/>
    <w:rsid w:val="00DB289B"/>
    <w:rsid w:val="00DB2BC7"/>
    <w:rsid w:val="00DB2D41"/>
    <w:rsid w:val="00DB30B6"/>
    <w:rsid w:val="00DB312B"/>
    <w:rsid w:val="00DB337C"/>
    <w:rsid w:val="00DB3E96"/>
    <w:rsid w:val="00DB421F"/>
    <w:rsid w:val="00DB4804"/>
    <w:rsid w:val="00DB4ACD"/>
    <w:rsid w:val="00DB5234"/>
    <w:rsid w:val="00DB558C"/>
    <w:rsid w:val="00DB605B"/>
    <w:rsid w:val="00DB6102"/>
    <w:rsid w:val="00DB6354"/>
    <w:rsid w:val="00DB6D48"/>
    <w:rsid w:val="00DB751A"/>
    <w:rsid w:val="00DB7669"/>
    <w:rsid w:val="00DB7919"/>
    <w:rsid w:val="00DB7D9F"/>
    <w:rsid w:val="00DB7DB5"/>
    <w:rsid w:val="00DC0529"/>
    <w:rsid w:val="00DC0BF4"/>
    <w:rsid w:val="00DC12A4"/>
    <w:rsid w:val="00DC1552"/>
    <w:rsid w:val="00DC2D0C"/>
    <w:rsid w:val="00DC4684"/>
    <w:rsid w:val="00DC6749"/>
    <w:rsid w:val="00DC7069"/>
    <w:rsid w:val="00DC7704"/>
    <w:rsid w:val="00DC7815"/>
    <w:rsid w:val="00DD036F"/>
    <w:rsid w:val="00DD0CB0"/>
    <w:rsid w:val="00DD101B"/>
    <w:rsid w:val="00DD1922"/>
    <w:rsid w:val="00DD2062"/>
    <w:rsid w:val="00DD2ED9"/>
    <w:rsid w:val="00DD3A82"/>
    <w:rsid w:val="00DD3ABF"/>
    <w:rsid w:val="00DD485C"/>
    <w:rsid w:val="00DD493C"/>
    <w:rsid w:val="00DD4B67"/>
    <w:rsid w:val="00DD5923"/>
    <w:rsid w:val="00DD59A2"/>
    <w:rsid w:val="00DD71B2"/>
    <w:rsid w:val="00DD72E5"/>
    <w:rsid w:val="00DD79C6"/>
    <w:rsid w:val="00DE0DC5"/>
    <w:rsid w:val="00DE18A6"/>
    <w:rsid w:val="00DE21F1"/>
    <w:rsid w:val="00DE291B"/>
    <w:rsid w:val="00DE33B3"/>
    <w:rsid w:val="00DE4198"/>
    <w:rsid w:val="00DE4492"/>
    <w:rsid w:val="00DE644C"/>
    <w:rsid w:val="00DE6A7A"/>
    <w:rsid w:val="00DE722E"/>
    <w:rsid w:val="00DE763A"/>
    <w:rsid w:val="00DE7B53"/>
    <w:rsid w:val="00DF178B"/>
    <w:rsid w:val="00DF20DB"/>
    <w:rsid w:val="00DF2AE1"/>
    <w:rsid w:val="00DF2C5A"/>
    <w:rsid w:val="00DF3798"/>
    <w:rsid w:val="00DF43C6"/>
    <w:rsid w:val="00DF5A4E"/>
    <w:rsid w:val="00DF6A02"/>
    <w:rsid w:val="00DF6AAA"/>
    <w:rsid w:val="00DF76B4"/>
    <w:rsid w:val="00DF77CC"/>
    <w:rsid w:val="00E00046"/>
    <w:rsid w:val="00E00719"/>
    <w:rsid w:val="00E00B04"/>
    <w:rsid w:val="00E01E69"/>
    <w:rsid w:val="00E01EFE"/>
    <w:rsid w:val="00E01FC9"/>
    <w:rsid w:val="00E0201C"/>
    <w:rsid w:val="00E033D7"/>
    <w:rsid w:val="00E044EC"/>
    <w:rsid w:val="00E04DDD"/>
    <w:rsid w:val="00E050BD"/>
    <w:rsid w:val="00E05491"/>
    <w:rsid w:val="00E061EB"/>
    <w:rsid w:val="00E06598"/>
    <w:rsid w:val="00E067A6"/>
    <w:rsid w:val="00E0786D"/>
    <w:rsid w:val="00E079CE"/>
    <w:rsid w:val="00E1015E"/>
    <w:rsid w:val="00E1095A"/>
    <w:rsid w:val="00E128C3"/>
    <w:rsid w:val="00E14E14"/>
    <w:rsid w:val="00E1575C"/>
    <w:rsid w:val="00E15B3C"/>
    <w:rsid w:val="00E161D2"/>
    <w:rsid w:val="00E16263"/>
    <w:rsid w:val="00E169F4"/>
    <w:rsid w:val="00E16ECE"/>
    <w:rsid w:val="00E16F2A"/>
    <w:rsid w:val="00E16F9E"/>
    <w:rsid w:val="00E20045"/>
    <w:rsid w:val="00E22335"/>
    <w:rsid w:val="00E227AF"/>
    <w:rsid w:val="00E228B8"/>
    <w:rsid w:val="00E237D6"/>
    <w:rsid w:val="00E23FE3"/>
    <w:rsid w:val="00E25422"/>
    <w:rsid w:val="00E256C0"/>
    <w:rsid w:val="00E26030"/>
    <w:rsid w:val="00E26462"/>
    <w:rsid w:val="00E27FF5"/>
    <w:rsid w:val="00E30389"/>
    <w:rsid w:val="00E30443"/>
    <w:rsid w:val="00E30A6F"/>
    <w:rsid w:val="00E32226"/>
    <w:rsid w:val="00E33384"/>
    <w:rsid w:val="00E33CAE"/>
    <w:rsid w:val="00E347A1"/>
    <w:rsid w:val="00E348C6"/>
    <w:rsid w:val="00E3584C"/>
    <w:rsid w:val="00E36363"/>
    <w:rsid w:val="00E3721B"/>
    <w:rsid w:val="00E37370"/>
    <w:rsid w:val="00E40332"/>
    <w:rsid w:val="00E40F03"/>
    <w:rsid w:val="00E41213"/>
    <w:rsid w:val="00E4124B"/>
    <w:rsid w:val="00E418CE"/>
    <w:rsid w:val="00E41AD1"/>
    <w:rsid w:val="00E421AB"/>
    <w:rsid w:val="00E42515"/>
    <w:rsid w:val="00E428D5"/>
    <w:rsid w:val="00E42CED"/>
    <w:rsid w:val="00E438B9"/>
    <w:rsid w:val="00E43FC0"/>
    <w:rsid w:val="00E447D0"/>
    <w:rsid w:val="00E44B02"/>
    <w:rsid w:val="00E45989"/>
    <w:rsid w:val="00E45FC0"/>
    <w:rsid w:val="00E46620"/>
    <w:rsid w:val="00E4670A"/>
    <w:rsid w:val="00E50C51"/>
    <w:rsid w:val="00E5107A"/>
    <w:rsid w:val="00E52B1C"/>
    <w:rsid w:val="00E52C84"/>
    <w:rsid w:val="00E54A0B"/>
    <w:rsid w:val="00E55C5B"/>
    <w:rsid w:val="00E56DCD"/>
    <w:rsid w:val="00E57807"/>
    <w:rsid w:val="00E6015E"/>
    <w:rsid w:val="00E60815"/>
    <w:rsid w:val="00E60AA3"/>
    <w:rsid w:val="00E61D18"/>
    <w:rsid w:val="00E61EC7"/>
    <w:rsid w:val="00E63CF3"/>
    <w:rsid w:val="00E644F2"/>
    <w:rsid w:val="00E64A75"/>
    <w:rsid w:val="00E6516A"/>
    <w:rsid w:val="00E65370"/>
    <w:rsid w:val="00E65D09"/>
    <w:rsid w:val="00E67E9F"/>
    <w:rsid w:val="00E70EA2"/>
    <w:rsid w:val="00E715FF"/>
    <w:rsid w:val="00E71E0E"/>
    <w:rsid w:val="00E71E66"/>
    <w:rsid w:val="00E72CEC"/>
    <w:rsid w:val="00E73A9B"/>
    <w:rsid w:val="00E73BC9"/>
    <w:rsid w:val="00E742BE"/>
    <w:rsid w:val="00E745E4"/>
    <w:rsid w:val="00E746D0"/>
    <w:rsid w:val="00E74D61"/>
    <w:rsid w:val="00E75630"/>
    <w:rsid w:val="00E75909"/>
    <w:rsid w:val="00E75BA3"/>
    <w:rsid w:val="00E76634"/>
    <w:rsid w:val="00E76EC2"/>
    <w:rsid w:val="00E772EB"/>
    <w:rsid w:val="00E77A1A"/>
    <w:rsid w:val="00E77C41"/>
    <w:rsid w:val="00E8015D"/>
    <w:rsid w:val="00E81D2C"/>
    <w:rsid w:val="00E83653"/>
    <w:rsid w:val="00E839D1"/>
    <w:rsid w:val="00E83A88"/>
    <w:rsid w:val="00E83EE6"/>
    <w:rsid w:val="00E846DA"/>
    <w:rsid w:val="00E85BEA"/>
    <w:rsid w:val="00E8697F"/>
    <w:rsid w:val="00E86C94"/>
    <w:rsid w:val="00E8714A"/>
    <w:rsid w:val="00E87A53"/>
    <w:rsid w:val="00E90CC2"/>
    <w:rsid w:val="00E90D5D"/>
    <w:rsid w:val="00E9176A"/>
    <w:rsid w:val="00E91954"/>
    <w:rsid w:val="00E91E2D"/>
    <w:rsid w:val="00E92493"/>
    <w:rsid w:val="00E931E9"/>
    <w:rsid w:val="00E9385F"/>
    <w:rsid w:val="00E964F9"/>
    <w:rsid w:val="00E96A32"/>
    <w:rsid w:val="00E96C8E"/>
    <w:rsid w:val="00E96D31"/>
    <w:rsid w:val="00E97B4B"/>
    <w:rsid w:val="00EA0668"/>
    <w:rsid w:val="00EA116D"/>
    <w:rsid w:val="00EA1279"/>
    <w:rsid w:val="00EA1457"/>
    <w:rsid w:val="00EA1523"/>
    <w:rsid w:val="00EA2D11"/>
    <w:rsid w:val="00EA30A6"/>
    <w:rsid w:val="00EA4E24"/>
    <w:rsid w:val="00EA50FF"/>
    <w:rsid w:val="00EA59BF"/>
    <w:rsid w:val="00EA6172"/>
    <w:rsid w:val="00EA69B6"/>
    <w:rsid w:val="00EA6DF1"/>
    <w:rsid w:val="00EA7007"/>
    <w:rsid w:val="00EA7699"/>
    <w:rsid w:val="00EA7891"/>
    <w:rsid w:val="00EB0C6C"/>
    <w:rsid w:val="00EB48A8"/>
    <w:rsid w:val="00EB4AA8"/>
    <w:rsid w:val="00EB5E79"/>
    <w:rsid w:val="00EB651D"/>
    <w:rsid w:val="00EB7374"/>
    <w:rsid w:val="00EB77D0"/>
    <w:rsid w:val="00EC0244"/>
    <w:rsid w:val="00EC179E"/>
    <w:rsid w:val="00EC1998"/>
    <w:rsid w:val="00EC2928"/>
    <w:rsid w:val="00EC30CC"/>
    <w:rsid w:val="00EC604A"/>
    <w:rsid w:val="00EC6701"/>
    <w:rsid w:val="00EC7E71"/>
    <w:rsid w:val="00ED1A60"/>
    <w:rsid w:val="00ED1AD1"/>
    <w:rsid w:val="00ED21E7"/>
    <w:rsid w:val="00ED2B55"/>
    <w:rsid w:val="00ED3481"/>
    <w:rsid w:val="00ED3AFE"/>
    <w:rsid w:val="00ED4FF0"/>
    <w:rsid w:val="00ED5FB0"/>
    <w:rsid w:val="00ED646E"/>
    <w:rsid w:val="00ED741E"/>
    <w:rsid w:val="00ED78C9"/>
    <w:rsid w:val="00EE0339"/>
    <w:rsid w:val="00EE0AB3"/>
    <w:rsid w:val="00EE1B1A"/>
    <w:rsid w:val="00EE2311"/>
    <w:rsid w:val="00EE247D"/>
    <w:rsid w:val="00EE27EF"/>
    <w:rsid w:val="00EE33D7"/>
    <w:rsid w:val="00EE378B"/>
    <w:rsid w:val="00EE3D18"/>
    <w:rsid w:val="00EE3D69"/>
    <w:rsid w:val="00EE5820"/>
    <w:rsid w:val="00EE6793"/>
    <w:rsid w:val="00EE6B66"/>
    <w:rsid w:val="00EE6BEE"/>
    <w:rsid w:val="00EE775F"/>
    <w:rsid w:val="00EF018D"/>
    <w:rsid w:val="00EF071F"/>
    <w:rsid w:val="00EF1AA8"/>
    <w:rsid w:val="00EF245C"/>
    <w:rsid w:val="00EF24F7"/>
    <w:rsid w:val="00EF2B48"/>
    <w:rsid w:val="00EF422C"/>
    <w:rsid w:val="00EF4978"/>
    <w:rsid w:val="00EF4FAA"/>
    <w:rsid w:val="00EF54D8"/>
    <w:rsid w:val="00EF5979"/>
    <w:rsid w:val="00EF6038"/>
    <w:rsid w:val="00EF64C9"/>
    <w:rsid w:val="00EF64EA"/>
    <w:rsid w:val="00EF6A30"/>
    <w:rsid w:val="00EF6FD5"/>
    <w:rsid w:val="00EF7106"/>
    <w:rsid w:val="00EF7684"/>
    <w:rsid w:val="00EF77D4"/>
    <w:rsid w:val="00EF78D1"/>
    <w:rsid w:val="00EF7BF0"/>
    <w:rsid w:val="00F00209"/>
    <w:rsid w:val="00F00252"/>
    <w:rsid w:val="00F05C6D"/>
    <w:rsid w:val="00F0642A"/>
    <w:rsid w:val="00F06CAC"/>
    <w:rsid w:val="00F07504"/>
    <w:rsid w:val="00F07567"/>
    <w:rsid w:val="00F077DB"/>
    <w:rsid w:val="00F10354"/>
    <w:rsid w:val="00F11F5D"/>
    <w:rsid w:val="00F12DB1"/>
    <w:rsid w:val="00F13133"/>
    <w:rsid w:val="00F13E3E"/>
    <w:rsid w:val="00F14002"/>
    <w:rsid w:val="00F142AF"/>
    <w:rsid w:val="00F16D7B"/>
    <w:rsid w:val="00F2009A"/>
    <w:rsid w:val="00F2021C"/>
    <w:rsid w:val="00F20439"/>
    <w:rsid w:val="00F215D2"/>
    <w:rsid w:val="00F21AD6"/>
    <w:rsid w:val="00F2262D"/>
    <w:rsid w:val="00F22998"/>
    <w:rsid w:val="00F22B0A"/>
    <w:rsid w:val="00F230B4"/>
    <w:rsid w:val="00F24196"/>
    <w:rsid w:val="00F24265"/>
    <w:rsid w:val="00F25896"/>
    <w:rsid w:val="00F26A54"/>
    <w:rsid w:val="00F27207"/>
    <w:rsid w:val="00F3188B"/>
    <w:rsid w:val="00F3260D"/>
    <w:rsid w:val="00F32638"/>
    <w:rsid w:val="00F33931"/>
    <w:rsid w:val="00F33B93"/>
    <w:rsid w:val="00F34633"/>
    <w:rsid w:val="00F346A3"/>
    <w:rsid w:val="00F3478F"/>
    <w:rsid w:val="00F35549"/>
    <w:rsid w:val="00F363EE"/>
    <w:rsid w:val="00F36BB5"/>
    <w:rsid w:val="00F37829"/>
    <w:rsid w:val="00F40B5B"/>
    <w:rsid w:val="00F40F79"/>
    <w:rsid w:val="00F41009"/>
    <w:rsid w:val="00F417CB"/>
    <w:rsid w:val="00F41AEF"/>
    <w:rsid w:val="00F427FC"/>
    <w:rsid w:val="00F428B7"/>
    <w:rsid w:val="00F42B59"/>
    <w:rsid w:val="00F44135"/>
    <w:rsid w:val="00F449FC"/>
    <w:rsid w:val="00F44D3B"/>
    <w:rsid w:val="00F45808"/>
    <w:rsid w:val="00F45C63"/>
    <w:rsid w:val="00F45DF4"/>
    <w:rsid w:val="00F4659C"/>
    <w:rsid w:val="00F47CD7"/>
    <w:rsid w:val="00F50D4B"/>
    <w:rsid w:val="00F511FC"/>
    <w:rsid w:val="00F513DD"/>
    <w:rsid w:val="00F5168C"/>
    <w:rsid w:val="00F52C9D"/>
    <w:rsid w:val="00F53566"/>
    <w:rsid w:val="00F53E97"/>
    <w:rsid w:val="00F5404C"/>
    <w:rsid w:val="00F540E8"/>
    <w:rsid w:val="00F543C5"/>
    <w:rsid w:val="00F54532"/>
    <w:rsid w:val="00F5458A"/>
    <w:rsid w:val="00F54B0F"/>
    <w:rsid w:val="00F54CE3"/>
    <w:rsid w:val="00F54CEE"/>
    <w:rsid w:val="00F559C7"/>
    <w:rsid w:val="00F57C20"/>
    <w:rsid w:val="00F60611"/>
    <w:rsid w:val="00F6189B"/>
    <w:rsid w:val="00F63B32"/>
    <w:rsid w:val="00F63C70"/>
    <w:rsid w:val="00F64D6C"/>
    <w:rsid w:val="00F65482"/>
    <w:rsid w:val="00F67356"/>
    <w:rsid w:val="00F67A8C"/>
    <w:rsid w:val="00F702DD"/>
    <w:rsid w:val="00F71C23"/>
    <w:rsid w:val="00F72A3A"/>
    <w:rsid w:val="00F736B3"/>
    <w:rsid w:val="00F73AAD"/>
    <w:rsid w:val="00F74F93"/>
    <w:rsid w:val="00F75557"/>
    <w:rsid w:val="00F76061"/>
    <w:rsid w:val="00F767DF"/>
    <w:rsid w:val="00F76C94"/>
    <w:rsid w:val="00F77459"/>
    <w:rsid w:val="00F808F3"/>
    <w:rsid w:val="00F81816"/>
    <w:rsid w:val="00F81F69"/>
    <w:rsid w:val="00F8251B"/>
    <w:rsid w:val="00F82907"/>
    <w:rsid w:val="00F84219"/>
    <w:rsid w:val="00F8506F"/>
    <w:rsid w:val="00F852DA"/>
    <w:rsid w:val="00F853B2"/>
    <w:rsid w:val="00F854A7"/>
    <w:rsid w:val="00F866A8"/>
    <w:rsid w:val="00F87284"/>
    <w:rsid w:val="00F872CC"/>
    <w:rsid w:val="00F87F8F"/>
    <w:rsid w:val="00F905F0"/>
    <w:rsid w:val="00F90996"/>
    <w:rsid w:val="00F91159"/>
    <w:rsid w:val="00F925F2"/>
    <w:rsid w:val="00F93935"/>
    <w:rsid w:val="00F93BE5"/>
    <w:rsid w:val="00F9417B"/>
    <w:rsid w:val="00F9441C"/>
    <w:rsid w:val="00F9550A"/>
    <w:rsid w:val="00F960BD"/>
    <w:rsid w:val="00F970FF"/>
    <w:rsid w:val="00F976D6"/>
    <w:rsid w:val="00FA0183"/>
    <w:rsid w:val="00FA14C0"/>
    <w:rsid w:val="00FA376B"/>
    <w:rsid w:val="00FA4436"/>
    <w:rsid w:val="00FA4E84"/>
    <w:rsid w:val="00FA54CC"/>
    <w:rsid w:val="00FA5B70"/>
    <w:rsid w:val="00FA5F16"/>
    <w:rsid w:val="00FA6913"/>
    <w:rsid w:val="00FA6954"/>
    <w:rsid w:val="00FA6D4F"/>
    <w:rsid w:val="00FA6F95"/>
    <w:rsid w:val="00FB0D51"/>
    <w:rsid w:val="00FB13E7"/>
    <w:rsid w:val="00FB1A4A"/>
    <w:rsid w:val="00FB32C2"/>
    <w:rsid w:val="00FB4608"/>
    <w:rsid w:val="00FB503C"/>
    <w:rsid w:val="00FB5B3F"/>
    <w:rsid w:val="00FB7358"/>
    <w:rsid w:val="00FB7409"/>
    <w:rsid w:val="00FB76BA"/>
    <w:rsid w:val="00FC1396"/>
    <w:rsid w:val="00FC1DB0"/>
    <w:rsid w:val="00FC22A6"/>
    <w:rsid w:val="00FC39D5"/>
    <w:rsid w:val="00FC3C97"/>
    <w:rsid w:val="00FC41F3"/>
    <w:rsid w:val="00FC59B4"/>
    <w:rsid w:val="00FC686F"/>
    <w:rsid w:val="00FC701E"/>
    <w:rsid w:val="00FC7955"/>
    <w:rsid w:val="00FD09CF"/>
    <w:rsid w:val="00FD196D"/>
    <w:rsid w:val="00FD1D94"/>
    <w:rsid w:val="00FD230A"/>
    <w:rsid w:val="00FD24C3"/>
    <w:rsid w:val="00FD2D64"/>
    <w:rsid w:val="00FD3D2F"/>
    <w:rsid w:val="00FD3ECB"/>
    <w:rsid w:val="00FD50CA"/>
    <w:rsid w:val="00FD5723"/>
    <w:rsid w:val="00FD65C9"/>
    <w:rsid w:val="00FD6A18"/>
    <w:rsid w:val="00FE005E"/>
    <w:rsid w:val="00FE062A"/>
    <w:rsid w:val="00FE0C38"/>
    <w:rsid w:val="00FE1755"/>
    <w:rsid w:val="00FE1B91"/>
    <w:rsid w:val="00FE30AA"/>
    <w:rsid w:val="00FE3104"/>
    <w:rsid w:val="00FE3D29"/>
    <w:rsid w:val="00FE54B3"/>
    <w:rsid w:val="00FE6B12"/>
    <w:rsid w:val="00FE7413"/>
    <w:rsid w:val="00FE780D"/>
    <w:rsid w:val="00FE7D09"/>
    <w:rsid w:val="00FF033C"/>
    <w:rsid w:val="00FF2016"/>
    <w:rsid w:val="00FF2649"/>
    <w:rsid w:val="00FF2AA4"/>
    <w:rsid w:val="00FF2D06"/>
    <w:rsid w:val="00FF424C"/>
    <w:rsid w:val="00FF4521"/>
    <w:rsid w:val="00FF4DE0"/>
    <w:rsid w:val="00FF5524"/>
    <w:rsid w:val="00FF5DAB"/>
    <w:rsid w:val="00FF64F2"/>
    <w:rsid w:val="00FF6B23"/>
    <w:rsid w:val="00FF6F58"/>
    <w:rsid w:val="00FF748B"/>
    <w:rsid w:val="016D5763"/>
    <w:rsid w:val="01814321"/>
    <w:rsid w:val="021A0742"/>
    <w:rsid w:val="0274320C"/>
    <w:rsid w:val="029F7154"/>
    <w:rsid w:val="03590756"/>
    <w:rsid w:val="03AD4F39"/>
    <w:rsid w:val="041807EB"/>
    <w:rsid w:val="04FA67EE"/>
    <w:rsid w:val="05567B93"/>
    <w:rsid w:val="066E1476"/>
    <w:rsid w:val="068F128E"/>
    <w:rsid w:val="0690672E"/>
    <w:rsid w:val="0708176C"/>
    <w:rsid w:val="070B6C09"/>
    <w:rsid w:val="072C62C7"/>
    <w:rsid w:val="07632D76"/>
    <w:rsid w:val="086867CF"/>
    <w:rsid w:val="0871529D"/>
    <w:rsid w:val="092A73FE"/>
    <w:rsid w:val="095027B2"/>
    <w:rsid w:val="097A45F1"/>
    <w:rsid w:val="09EB2B6A"/>
    <w:rsid w:val="09F71624"/>
    <w:rsid w:val="0B7F7B23"/>
    <w:rsid w:val="0BFC73C5"/>
    <w:rsid w:val="0D272220"/>
    <w:rsid w:val="0DF955E7"/>
    <w:rsid w:val="0E8658A8"/>
    <w:rsid w:val="0EED198A"/>
    <w:rsid w:val="0F330BCA"/>
    <w:rsid w:val="0F8B1426"/>
    <w:rsid w:val="105E4E09"/>
    <w:rsid w:val="108646FD"/>
    <w:rsid w:val="10905A89"/>
    <w:rsid w:val="10DC5FDA"/>
    <w:rsid w:val="114A5C13"/>
    <w:rsid w:val="115A2C6A"/>
    <w:rsid w:val="11B73719"/>
    <w:rsid w:val="12AA1929"/>
    <w:rsid w:val="1350772B"/>
    <w:rsid w:val="13BA5B9C"/>
    <w:rsid w:val="142C636E"/>
    <w:rsid w:val="14820EB5"/>
    <w:rsid w:val="15845ED1"/>
    <w:rsid w:val="15B67EAD"/>
    <w:rsid w:val="166433AC"/>
    <w:rsid w:val="16A551A7"/>
    <w:rsid w:val="18427D94"/>
    <w:rsid w:val="1AE45024"/>
    <w:rsid w:val="1B353BB9"/>
    <w:rsid w:val="1BAF007D"/>
    <w:rsid w:val="1C0E4AF1"/>
    <w:rsid w:val="1CC35D40"/>
    <w:rsid w:val="1D302BCD"/>
    <w:rsid w:val="1D3C5874"/>
    <w:rsid w:val="1DC8725F"/>
    <w:rsid w:val="1DFE521F"/>
    <w:rsid w:val="1E3C3846"/>
    <w:rsid w:val="1E525035"/>
    <w:rsid w:val="1E64310F"/>
    <w:rsid w:val="1EE83FEB"/>
    <w:rsid w:val="1FDD6E9A"/>
    <w:rsid w:val="208600A7"/>
    <w:rsid w:val="21902632"/>
    <w:rsid w:val="22381D28"/>
    <w:rsid w:val="230B4F32"/>
    <w:rsid w:val="234B4041"/>
    <w:rsid w:val="23653152"/>
    <w:rsid w:val="23726F32"/>
    <w:rsid w:val="23C72304"/>
    <w:rsid w:val="23FF633B"/>
    <w:rsid w:val="240D7F6A"/>
    <w:rsid w:val="241E1463"/>
    <w:rsid w:val="244016C1"/>
    <w:rsid w:val="25311A36"/>
    <w:rsid w:val="263C168A"/>
    <w:rsid w:val="265D2FBE"/>
    <w:rsid w:val="268F4C66"/>
    <w:rsid w:val="270B3755"/>
    <w:rsid w:val="272B53DA"/>
    <w:rsid w:val="28186EDD"/>
    <w:rsid w:val="281E4C27"/>
    <w:rsid w:val="28752103"/>
    <w:rsid w:val="288D4B68"/>
    <w:rsid w:val="28C055AB"/>
    <w:rsid w:val="28D149CA"/>
    <w:rsid w:val="28F812D8"/>
    <w:rsid w:val="29E7118D"/>
    <w:rsid w:val="2A2B739C"/>
    <w:rsid w:val="2A3240E3"/>
    <w:rsid w:val="2A471CA1"/>
    <w:rsid w:val="2AED4651"/>
    <w:rsid w:val="2C5B6EA4"/>
    <w:rsid w:val="2C5C6190"/>
    <w:rsid w:val="2C7B2AAC"/>
    <w:rsid w:val="2D766EC0"/>
    <w:rsid w:val="2E204E3C"/>
    <w:rsid w:val="2E527668"/>
    <w:rsid w:val="2EF91AA7"/>
    <w:rsid w:val="2FF91CED"/>
    <w:rsid w:val="304C49CD"/>
    <w:rsid w:val="30B03AA8"/>
    <w:rsid w:val="30B117B3"/>
    <w:rsid w:val="316E6827"/>
    <w:rsid w:val="31BD7947"/>
    <w:rsid w:val="32194C17"/>
    <w:rsid w:val="32351D14"/>
    <w:rsid w:val="32BE43E0"/>
    <w:rsid w:val="337F6063"/>
    <w:rsid w:val="34402B3F"/>
    <w:rsid w:val="34D32B0A"/>
    <w:rsid w:val="35067E2A"/>
    <w:rsid w:val="375B3826"/>
    <w:rsid w:val="37601401"/>
    <w:rsid w:val="377E3E19"/>
    <w:rsid w:val="38A81BB8"/>
    <w:rsid w:val="393366BF"/>
    <w:rsid w:val="393C605D"/>
    <w:rsid w:val="395C441F"/>
    <w:rsid w:val="39D763F8"/>
    <w:rsid w:val="39F73330"/>
    <w:rsid w:val="3A415B2D"/>
    <w:rsid w:val="3ABE088E"/>
    <w:rsid w:val="3AC47107"/>
    <w:rsid w:val="3B231504"/>
    <w:rsid w:val="3C6504EB"/>
    <w:rsid w:val="3C6849CF"/>
    <w:rsid w:val="3D606F05"/>
    <w:rsid w:val="3DDB30C9"/>
    <w:rsid w:val="3E523630"/>
    <w:rsid w:val="3E821105"/>
    <w:rsid w:val="3E8409D1"/>
    <w:rsid w:val="3F4A3DB6"/>
    <w:rsid w:val="3F5605BF"/>
    <w:rsid w:val="3FCD67B6"/>
    <w:rsid w:val="3FD64074"/>
    <w:rsid w:val="3FDC1003"/>
    <w:rsid w:val="3FE056C1"/>
    <w:rsid w:val="40372531"/>
    <w:rsid w:val="406E7AF0"/>
    <w:rsid w:val="40775140"/>
    <w:rsid w:val="40DA6FCE"/>
    <w:rsid w:val="41335388"/>
    <w:rsid w:val="41EC1732"/>
    <w:rsid w:val="420276B4"/>
    <w:rsid w:val="42BC4BDD"/>
    <w:rsid w:val="439C056B"/>
    <w:rsid w:val="442674B2"/>
    <w:rsid w:val="45FC13CE"/>
    <w:rsid w:val="47090C74"/>
    <w:rsid w:val="474E7DCE"/>
    <w:rsid w:val="47927E4E"/>
    <w:rsid w:val="484C255F"/>
    <w:rsid w:val="49097091"/>
    <w:rsid w:val="49C40322"/>
    <w:rsid w:val="4A266DE0"/>
    <w:rsid w:val="4A3C7A6F"/>
    <w:rsid w:val="4A6900F3"/>
    <w:rsid w:val="4B191C99"/>
    <w:rsid w:val="4BDB2578"/>
    <w:rsid w:val="4BE23C61"/>
    <w:rsid w:val="4C3D3896"/>
    <w:rsid w:val="4C6873EF"/>
    <w:rsid w:val="4C8A494B"/>
    <w:rsid w:val="4D2E24FC"/>
    <w:rsid w:val="4E760869"/>
    <w:rsid w:val="4EE5336B"/>
    <w:rsid w:val="4F063AA2"/>
    <w:rsid w:val="4F133DD7"/>
    <w:rsid w:val="50357356"/>
    <w:rsid w:val="503D10D4"/>
    <w:rsid w:val="50560908"/>
    <w:rsid w:val="50CD2C63"/>
    <w:rsid w:val="54654177"/>
    <w:rsid w:val="5517654E"/>
    <w:rsid w:val="56F96770"/>
    <w:rsid w:val="578A48CF"/>
    <w:rsid w:val="582043FE"/>
    <w:rsid w:val="58527591"/>
    <w:rsid w:val="593A21B0"/>
    <w:rsid w:val="5B943852"/>
    <w:rsid w:val="5C087630"/>
    <w:rsid w:val="5C2B0A82"/>
    <w:rsid w:val="5C4F3CC8"/>
    <w:rsid w:val="5D0134C1"/>
    <w:rsid w:val="5DAE249C"/>
    <w:rsid w:val="5EB737DB"/>
    <w:rsid w:val="5EEB0F6B"/>
    <w:rsid w:val="5F9A4A53"/>
    <w:rsid w:val="5FD00E70"/>
    <w:rsid w:val="60057A67"/>
    <w:rsid w:val="60163727"/>
    <w:rsid w:val="60673F83"/>
    <w:rsid w:val="61241E74"/>
    <w:rsid w:val="62087870"/>
    <w:rsid w:val="62E95123"/>
    <w:rsid w:val="635062A9"/>
    <w:rsid w:val="638E6BF9"/>
    <w:rsid w:val="639806F8"/>
    <w:rsid w:val="63C274B8"/>
    <w:rsid w:val="63DE0B99"/>
    <w:rsid w:val="664136AB"/>
    <w:rsid w:val="66795441"/>
    <w:rsid w:val="66B82B8C"/>
    <w:rsid w:val="67F646BC"/>
    <w:rsid w:val="6A3B11DE"/>
    <w:rsid w:val="6AB6155C"/>
    <w:rsid w:val="6AEF57B0"/>
    <w:rsid w:val="6AF206FE"/>
    <w:rsid w:val="6B324453"/>
    <w:rsid w:val="6B8029EE"/>
    <w:rsid w:val="6C03456A"/>
    <w:rsid w:val="6C66551E"/>
    <w:rsid w:val="6CC62031"/>
    <w:rsid w:val="6D1B31A8"/>
    <w:rsid w:val="6E11368A"/>
    <w:rsid w:val="6E82642B"/>
    <w:rsid w:val="6F256FFB"/>
    <w:rsid w:val="7059760C"/>
    <w:rsid w:val="712E667B"/>
    <w:rsid w:val="71566079"/>
    <w:rsid w:val="7164006A"/>
    <w:rsid w:val="7187709C"/>
    <w:rsid w:val="72393B34"/>
    <w:rsid w:val="72805C66"/>
    <w:rsid w:val="73165394"/>
    <w:rsid w:val="73B345E1"/>
    <w:rsid w:val="73FB2542"/>
    <w:rsid w:val="74C67665"/>
    <w:rsid w:val="75023830"/>
    <w:rsid w:val="75461019"/>
    <w:rsid w:val="75533329"/>
    <w:rsid w:val="762F7B3F"/>
    <w:rsid w:val="76F854DD"/>
    <w:rsid w:val="77B42279"/>
    <w:rsid w:val="77FD0463"/>
    <w:rsid w:val="78A70AED"/>
    <w:rsid w:val="79020C70"/>
    <w:rsid w:val="79801D50"/>
    <w:rsid w:val="79D64D6F"/>
    <w:rsid w:val="79F8717B"/>
    <w:rsid w:val="7AA85DE5"/>
    <w:rsid w:val="7B825CBD"/>
    <w:rsid w:val="7C494F5C"/>
    <w:rsid w:val="7C4F0478"/>
    <w:rsid w:val="7C4F369E"/>
    <w:rsid w:val="7C6B04FF"/>
    <w:rsid w:val="7D243343"/>
    <w:rsid w:val="7D342DA6"/>
    <w:rsid w:val="7D7D315B"/>
    <w:rsid w:val="7E2374E0"/>
    <w:rsid w:val="7E404BC4"/>
    <w:rsid w:val="7E644F6F"/>
    <w:rsid w:val="7F4532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autoRedefine/>
    <w:qFormat/>
    <w:uiPriority w:val="0"/>
    <w:pPr>
      <w:keepNext/>
      <w:keepLines/>
      <w:spacing w:before="340" w:after="330" w:line="578" w:lineRule="auto"/>
      <w:outlineLvl w:val="0"/>
    </w:pPr>
    <w:rPr>
      <w:b/>
      <w:bCs/>
      <w:kern w:val="44"/>
      <w:sz w:val="44"/>
      <w:szCs w:val="44"/>
    </w:rPr>
  </w:style>
  <w:style w:type="paragraph" w:styleId="3">
    <w:name w:val="heading 2"/>
    <w:basedOn w:val="2"/>
    <w:next w:val="1"/>
    <w:link w:val="55"/>
    <w:autoRedefine/>
    <w:qFormat/>
    <w:uiPriority w:val="9"/>
    <w:pPr>
      <w:keepNext/>
      <w:keepLines/>
      <w:spacing w:before="260" w:after="260" w:line="416" w:lineRule="auto"/>
      <w:outlineLvl w:val="1"/>
    </w:pPr>
    <w:rPr>
      <w:rFonts w:ascii="Arial" w:hAnsi="Arial" w:eastAsia="黑体"/>
      <w:sz w:val="32"/>
      <w:szCs w:val="32"/>
    </w:rPr>
  </w:style>
  <w:style w:type="paragraph" w:styleId="4">
    <w:name w:val="heading 3"/>
    <w:basedOn w:val="1"/>
    <w:next w:val="1"/>
    <w:link w:val="56"/>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5">
    <w:name w:val="heading 4"/>
    <w:basedOn w:val="1"/>
    <w:next w:val="1"/>
    <w:link w:val="57"/>
    <w:autoRedefine/>
    <w:qFormat/>
    <w:uiPriority w:val="0"/>
    <w:pPr>
      <w:keepNext/>
      <w:outlineLvl w:val="3"/>
    </w:pPr>
    <w:rPr>
      <w:sz w:val="28"/>
      <w:szCs w:val="20"/>
    </w:rPr>
  </w:style>
  <w:style w:type="paragraph" w:styleId="6">
    <w:name w:val="heading 5"/>
    <w:basedOn w:val="1"/>
    <w:next w:val="1"/>
    <w:link w:val="58"/>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59"/>
    <w:autoRedefine/>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60"/>
    <w:autoRedefine/>
    <w:qFormat/>
    <w:uiPriority w:val="0"/>
    <w:pPr>
      <w:keepNext/>
      <w:keepLines/>
      <w:spacing w:before="240" w:after="64" w:line="320" w:lineRule="auto"/>
      <w:outlineLvl w:val="6"/>
    </w:pPr>
    <w:rPr>
      <w:b/>
      <w:bCs/>
      <w:sz w:val="24"/>
    </w:rPr>
  </w:style>
  <w:style w:type="paragraph" w:styleId="9">
    <w:name w:val="heading 8"/>
    <w:basedOn w:val="1"/>
    <w:next w:val="1"/>
    <w:link w:val="61"/>
    <w:autoRedefine/>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link w:val="62"/>
    <w:autoRedefine/>
    <w:qFormat/>
    <w:uiPriority w:val="0"/>
    <w:pPr>
      <w:keepNext/>
      <w:keepLines/>
      <w:spacing w:before="240" w:after="64" w:line="320" w:lineRule="auto"/>
      <w:outlineLvl w:val="8"/>
    </w:pPr>
    <w:rPr>
      <w:rFonts w:ascii="Arial" w:hAnsi="Arial" w:eastAsia="黑体"/>
      <w:szCs w:val="21"/>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2520" w:leftChars="1200"/>
    </w:pPr>
    <w:rPr>
      <w:rFonts w:ascii="Calibri" w:hAnsi="Calibri"/>
      <w:szCs w:val="22"/>
    </w:rPr>
  </w:style>
  <w:style w:type="paragraph" w:styleId="12">
    <w:name w:val="Normal Indent"/>
    <w:basedOn w:val="1"/>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3">
    <w:name w:val="caption"/>
    <w:basedOn w:val="1"/>
    <w:next w:val="1"/>
    <w:autoRedefine/>
    <w:semiHidden/>
    <w:unhideWhenUsed/>
    <w:qFormat/>
    <w:uiPriority w:val="0"/>
    <w:rPr>
      <w:rFonts w:ascii="Cambria" w:hAnsi="Cambria" w:eastAsia="黑体"/>
      <w:sz w:val="20"/>
      <w:szCs w:val="20"/>
    </w:rPr>
  </w:style>
  <w:style w:type="paragraph" w:styleId="14">
    <w:name w:val="Document Map"/>
    <w:basedOn w:val="1"/>
    <w:link w:val="67"/>
    <w:autoRedefine/>
    <w:qFormat/>
    <w:uiPriority w:val="0"/>
    <w:rPr>
      <w:rFonts w:ascii="宋体"/>
      <w:sz w:val="18"/>
      <w:szCs w:val="18"/>
    </w:rPr>
  </w:style>
  <w:style w:type="paragraph" w:styleId="15">
    <w:name w:val="annotation text"/>
    <w:basedOn w:val="1"/>
    <w:link w:val="65"/>
    <w:autoRedefine/>
    <w:unhideWhenUsed/>
    <w:qFormat/>
    <w:uiPriority w:val="0"/>
    <w:pPr>
      <w:jc w:val="left"/>
    </w:pPr>
  </w:style>
  <w:style w:type="paragraph" w:styleId="16">
    <w:name w:val="Body Text 3"/>
    <w:basedOn w:val="1"/>
    <w:link w:val="91"/>
    <w:autoRedefine/>
    <w:unhideWhenUsed/>
    <w:qFormat/>
    <w:uiPriority w:val="99"/>
    <w:pPr>
      <w:spacing w:after="120"/>
    </w:pPr>
    <w:rPr>
      <w:sz w:val="16"/>
      <w:szCs w:val="16"/>
    </w:rPr>
  </w:style>
  <w:style w:type="paragraph" w:styleId="17">
    <w:name w:val="Body Text"/>
    <w:basedOn w:val="1"/>
    <w:link w:val="68"/>
    <w:autoRedefine/>
    <w:qFormat/>
    <w:uiPriority w:val="0"/>
    <w:rPr>
      <w:sz w:val="28"/>
      <w:szCs w:val="20"/>
    </w:rPr>
  </w:style>
  <w:style w:type="paragraph" w:styleId="18">
    <w:name w:val="Body Text Indent"/>
    <w:basedOn w:val="1"/>
    <w:link w:val="69"/>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9">
    <w:name w:val="List 2"/>
    <w:basedOn w:val="1"/>
    <w:autoRedefine/>
    <w:qFormat/>
    <w:uiPriority w:val="0"/>
    <w:pPr>
      <w:ind w:left="100" w:leftChars="200" w:hanging="200" w:hangingChars="200"/>
    </w:pPr>
  </w:style>
  <w:style w:type="paragraph" w:styleId="20">
    <w:name w:val="toc 5"/>
    <w:basedOn w:val="1"/>
    <w:next w:val="1"/>
    <w:autoRedefine/>
    <w:unhideWhenUsed/>
    <w:qFormat/>
    <w:uiPriority w:val="39"/>
    <w:pPr>
      <w:ind w:left="1680" w:leftChars="800"/>
    </w:pPr>
    <w:rPr>
      <w:rFonts w:ascii="Calibri" w:hAnsi="Calibri"/>
      <w:szCs w:val="22"/>
    </w:rPr>
  </w:style>
  <w:style w:type="paragraph" w:styleId="21">
    <w:name w:val="toc 3"/>
    <w:basedOn w:val="1"/>
    <w:next w:val="1"/>
    <w:autoRedefine/>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2">
    <w:name w:val="Plain Text"/>
    <w:basedOn w:val="1"/>
    <w:link w:val="70"/>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1"/>
    <w:autoRedefine/>
    <w:qFormat/>
    <w:uiPriority w:val="0"/>
    <w:pPr>
      <w:ind w:left="100" w:leftChars="2500"/>
    </w:pPr>
    <w:rPr>
      <w:szCs w:val="20"/>
    </w:rPr>
  </w:style>
  <w:style w:type="paragraph" w:styleId="25">
    <w:name w:val="Body Text Indent 2"/>
    <w:basedOn w:val="1"/>
    <w:link w:val="72"/>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53"/>
    <w:autoRedefine/>
    <w:semiHidden/>
    <w:unhideWhenUsed/>
    <w:qFormat/>
    <w:uiPriority w:val="0"/>
    <w:rPr>
      <w:sz w:val="18"/>
      <w:szCs w:val="18"/>
    </w:rPr>
  </w:style>
  <w:style w:type="paragraph" w:styleId="27">
    <w:name w:val="footer"/>
    <w:basedOn w:val="1"/>
    <w:link w:val="64"/>
    <w:autoRedefine/>
    <w:unhideWhenUsed/>
    <w:qFormat/>
    <w:uiPriority w:val="0"/>
    <w:pPr>
      <w:tabs>
        <w:tab w:val="center" w:pos="4153"/>
        <w:tab w:val="right" w:pos="8306"/>
      </w:tabs>
      <w:snapToGrid w:val="0"/>
      <w:jc w:val="left"/>
    </w:pPr>
    <w:rPr>
      <w:sz w:val="18"/>
      <w:szCs w:val="18"/>
    </w:rPr>
  </w:style>
  <w:style w:type="paragraph" w:styleId="28">
    <w:name w:val="header"/>
    <w:basedOn w:val="1"/>
    <w:link w:val="6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3"/>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103"/>
    <w:autoRedefine/>
    <w:unhideWhenUsed/>
    <w:qFormat/>
    <w:uiPriority w:val="0"/>
    <w:pPr>
      <w:adjustRightInd w:val="0"/>
      <w:spacing w:line="312" w:lineRule="atLeast"/>
      <w:jc w:val="left"/>
    </w:pPr>
    <w:rPr>
      <w:kern w:val="0"/>
      <w:sz w:val="18"/>
      <w:szCs w:val="20"/>
      <w:lang w:val="zh-CN"/>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4"/>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Normal (Web)"/>
    <w:basedOn w:val="1"/>
    <w:autoRedefine/>
    <w:unhideWhenUsed/>
    <w:qFormat/>
    <w:uiPriority w:val="99"/>
    <w:pPr>
      <w:widowControl/>
      <w:spacing w:before="100" w:beforeAutospacing="1" w:after="100" w:afterAutospacing="1"/>
      <w:jc w:val="left"/>
    </w:pPr>
    <w:rPr>
      <w:rFonts w:ascii="ˎ̥" w:hAnsi="ˎ̥" w:cs="宋体"/>
      <w:kern w:val="0"/>
      <w:sz w:val="24"/>
    </w:rPr>
  </w:style>
  <w:style w:type="paragraph" w:styleId="38">
    <w:name w:val="index 1"/>
    <w:basedOn w:val="1"/>
    <w:next w:val="1"/>
    <w:autoRedefine/>
    <w:semiHidden/>
    <w:qFormat/>
    <w:uiPriority w:val="0"/>
    <w:pPr>
      <w:spacing w:line="220" w:lineRule="exact"/>
      <w:jc w:val="center"/>
    </w:pPr>
    <w:rPr>
      <w:rFonts w:ascii="仿宋_GB2312" w:eastAsia="仿宋_GB2312"/>
      <w:szCs w:val="21"/>
    </w:rPr>
  </w:style>
  <w:style w:type="paragraph" w:styleId="39">
    <w:name w:val="Title"/>
    <w:basedOn w:val="1"/>
    <w:next w:val="1"/>
    <w:link w:val="75"/>
    <w:autoRedefine/>
    <w:qFormat/>
    <w:uiPriority w:val="10"/>
    <w:pPr>
      <w:spacing w:before="240" w:after="60"/>
      <w:jc w:val="center"/>
      <w:outlineLvl w:val="0"/>
    </w:pPr>
    <w:rPr>
      <w:rFonts w:ascii="Cambria" w:hAnsi="Cambria"/>
      <w:b/>
      <w:bCs/>
      <w:sz w:val="32"/>
      <w:szCs w:val="32"/>
    </w:rPr>
  </w:style>
  <w:style w:type="paragraph" w:styleId="40">
    <w:name w:val="annotation subject"/>
    <w:basedOn w:val="15"/>
    <w:next w:val="15"/>
    <w:link w:val="66"/>
    <w:autoRedefine/>
    <w:qFormat/>
    <w:uiPriority w:val="0"/>
    <w:rPr>
      <w:b/>
      <w:bCs/>
      <w:szCs w:val="20"/>
    </w:rPr>
  </w:style>
  <w:style w:type="table" w:styleId="42">
    <w:name w:val="Table Grid"/>
    <w:basedOn w:val="41"/>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22"/>
    <w:rPr>
      <w:b/>
      <w:bCs/>
    </w:rPr>
  </w:style>
  <w:style w:type="character" w:styleId="45">
    <w:name w:val="page number"/>
    <w:basedOn w:val="43"/>
    <w:autoRedefine/>
    <w:qFormat/>
    <w:uiPriority w:val="0"/>
  </w:style>
  <w:style w:type="character" w:styleId="46">
    <w:name w:val="FollowedHyperlink"/>
    <w:autoRedefine/>
    <w:qFormat/>
    <w:uiPriority w:val="0"/>
    <w:rPr>
      <w:color w:val="800080"/>
      <w:u w:val="single"/>
    </w:rPr>
  </w:style>
  <w:style w:type="character" w:styleId="47">
    <w:name w:val="Hyperlink"/>
    <w:autoRedefine/>
    <w:qFormat/>
    <w:uiPriority w:val="99"/>
    <w:rPr>
      <w:color w:val="0000FF"/>
      <w:u w:val="single"/>
    </w:rPr>
  </w:style>
  <w:style w:type="character" w:styleId="48">
    <w:name w:val="annotation reference"/>
    <w:autoRedefine/>
    <w:qFormat/>
    <w:uiPriority w:val="0"/>
    <w:rPr>
      <w:sz w:val="21"/>
      <w:szCs w:val="21"/>
    </w:rPr>
  </w:style>
  <w:style w:type="paragraph" w:customStyle="1" w:styleId="49">
    <w:name w:val="List Paragraph1"/>
    <w:basedOn w:val="1"/>
    <w:autoRedefine/>
    <w:qFormat/>
    <w:uiPriority w:val="0"/>
    <w:pPr>
      <w:ind w:firstLine="420"/>
    </w:pPr>
    <w:rPr>
      <w:rFonts w:ascii="Calibri" w:hAnsi="Calibri" w:cs="黑体"/>
      <w:szCs w:val="21"/>
    </w:rPr>
  </w:style>
  <w:style w:type="paragraph" w:customStyle="1" w:styleId="50">
    <w:name w:val="bt1bt1"/>
    <w:basedOn w:val="2"/>
    <w:autoRedefine/>
    <w:qFormat/>
    <w:uiPriority w:val="0"/>
    <w:pPr>
      <w:spacing w:line="240" w:lineRule="auto"/>
      <w:jc w:val="center"/>
    </w:pPr>
    <w:rPr>
      <w:rFonts w:ascii="黑体" w:eastAsia="黑体"/>
      <w:b w:val="0"/>
      <w:sz w:val="36"/>
      <w:szCs w:val="36"/>
    </w:rPr>
  </w:style>
  <w:style w:type="paragraph" w:styleId="51">
    <w:name w:val="List Paragraph"/>
    <w:basedOn w:val="1"/>
    <w:autoRedefine/>
    <w:unhideWhenUsed/>
    <w:qFormat/>
    <w:uiPriority w:val="34"/>
    <w:pPr>
      <w:ind w:firstLine="420" w:firstLineChars="200"/>
    </w:pPr>
  </w:style>
  <w:style w:type="character" w:customStyle="1" w:styleId="52">
    <w:name w:val="标题 1 字符"/>
    <w:basedOn w:val="43"/>
    <w:link w:val="2"/>
    <w:autoRedefine/>
    <w:qFormat/>
    <w:uiPriority w:val="0"/>
    <w:rPr>
      <w:rFonts w:ascii="Times New Roman" w:hAnsi="Times New Roman" w:eastAsia="宋体" w:cs="Times New Roman"/>
      <w:b/>
      <w:bCs/>
      <w:kern w:val="44"/>
      <w:sz w:val="44"/>
      <w:szCs w:val="44"/>
    </w:rPr>
  </w:style>
  <w:style w:type="character" w:customStyle="1" w:styleId="53">
    <w:name w:val="批注框文本 字符"/>
    <w:basedOn w:val="43"/>
    <w:link w:val="26"/>
    <w:autoRedefine/>
    <w:semiHidden/>
    <w:qFormat/>
    <w:uiPriority w:val="0"/>
    <w:rPr>
      <w:rFonts w:ascii="Times New Roman" w:hAnsi="Times New Roman" w:eastAsia="宋体" w:cs="Times New Roman"/>
      <w:sz w:val="18"/>
      <w:szCs w:val="18"/>
    </w:rPr>
  </w:style>
  <w:style w:type="paragraph" w:customStyle="1" w:styleId="54">
    <w:name w:val="TOC 标题1"/>
    <w:basedOn w:val="2"/>
    <w:next w:val="1"/>
    <w:autoRedefine/>
    <w:unhideWhenUsed/>
    <w:qFormat/>
    <w:uiPriority w:val="0"/>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5">
    <w:name w:val="标题 2 字符"/>
    <w:basedOn w:val="43"/>
    <w:link w:val="3"/>
    <w:autoRedefine/>
    <w:qFormat/>
    <w:uiPriority w:val="9"/>
    <w:rPr>
      <w:rFonts w:ascii="Arial" w:hAnsi="Arial" w:eastAsia="黑体" w:cs="Times New Roman"/>
      <w:b/>
      <w:bCs/>
      <w:sz w:val="32"/>
      <w:szCs w:val="32"/>
    </w:rPr>
  </w:style>
  <w:style w:type="character" w:customStyle="1" w:styleId="56">
    <w:name w:val="标题 3 字符"/>
    <w:basedOn w:val="43"/>
    <w:link w:val="4"/>
    <w:autoRedefine/>
    <w:qFormat/>
    <w:uiPriority w:val="0"/>
    <w:rPr>
      <w:rFonts w:ascii="黑体" w:hAnsi="Times New Roman" w:eastAsia="黑体" w:cs="Times New Roman"/>
      <w:kern w:val="0"/>
      <w:sz w:val="28"/>
      <w:szCs w:val="20"/>
    </w:rPr>
  </w:style>
  <w:style w:type="character" w:customStyle="1" w:styleId="57">
    <w:name w:val="标题 4 字符"/>
    <w:basedOn w:val="43"/>
    <w:link w:val="5"/>
    <w:autoRedefine/>
    <w:qFormat/>
    <w:uiPriority w:val="0"/>
    <w:rPr>
      <w:rFonts w:ascii="Times New Roman" w:hAnsi="Times New Roman" w:eastAsia="宋体" w:cs="Times New Roman"/>
      <w:sz w:val="28"/>
      <w:szCs w:val="20"/>
    </w:rPr>
  </w:style>
  <w:style w:type="character" w:customStyle="1" w:styleId="58">
    <w:name w:val="标题 5 字符"/>
    <w:basedOn w:val="43"/>
    <w:link w:val="6"/>
    <w:autoRedefine/>
    <w:qFormat/>
    <w:uiPriority w:val="0"/>
    <w:rPr>
      <w:rFonts w:ascii="Times New Roman" w:hAnsi="Times New Roman" w:eastAsia="宋体" w:cs="Times New Roman"/>
      <w:b/>
      <w:bCs/>
      <w:sz w:val="28"/>
      <w:szCs w:val="28"/>
    </w:rPr>
  </w:style>
  <w:style w:type="character" w:customStyle="1" w:styleId="59">
    <w:name w:val="标题 6 字符"/>
    <w:basedOn w:val="43"/>
    <w:link w:val="7"/>
    <w:autoRedefine/>
    <w:qFormat/>
    <w:uiPriority w:val="0"/>
    <w:rPr>
      <w:rFonts w:ascii="Arial" w:hAnsi="Arial" w:eastAsia="黑体" w:cs="Times New Roman"/>
      <w:b/>
      <w:bCs/>
      <w:sz w:val="24"/>
      <w:szCs w:val="24"/>
    </w:rPr>
  </w:style>
  <w:style w:type="character" w:customStyle="1" w:styleId="60">
    <w:name w:val="标题 7 字符"/>
    <w:basedOn w:val="43"/>
    <w:link w:val="8"/>
    <w:autoRedefine/>
    <w:qFormat/>
    <w:uiPriority w:val="0"/>
    <w:rPr>
      <w:rFonts w:ascii="Times New Roman" w:hAnsi="Times New Roman" w:eastAsia="宋体" w:cs="Times New Roman"/>
      <w:b/>
      <w:bCs/>
      <w:sz w:val="24"/>
      <w:szCs w:val="24"/>
    </w:rPr>
  </w:style>
  <w:style w:type="character" w:customStyle="1" w:styleId="61">
    <w:name w:val="标题 8 字符"/>
    <w:basedOn w:val="43"/>
    <w:link w:val="9"/>
    <w:autoRedefine/>
    <w:qFormat/>
    <w:uiPriority w:val="0"/>
    <w:rPr>
      <w:rFonts w:ascii="Arial" w:hAnsi="Arial" w:eastAsia="黑体" w:cs="Times New Roman"/>
      <w:sz w:val="24"/>
      <w:szCs w:val="24"/>
    </w:rPr>
  </w:style>
  <w:style w:type="character" w:customStyle="1" w:styleId="62">
    <w:name w:val="标题 9 字符"/>
    <w:basedOn w:val="43"/>
    <w:link w:val="10"/>
    <w:autoRedefine/>
    <w:qFormat/>
    <w:uiPriority w:val="0"/>
    <w:rPr>
      <w:rFonts w:ascii="Arial" w:hAnsi="Arial" w:eastAsia="黑体" w:cs="Times New Roman"/>
      <w:szCs w:val="21"/>
    </w:rPr>
  </w:style>
  <w:style w:type="character" w:customStyle="1" w:styleId="63">
    <w:name w:val="页眉 字符"/>
    <w:basedOn w:val="43"/>
    <w:link w:val="28"/>
    <w:autoRedefine/>
    <w:qFormat/>
    <w:uiPriority w:val="99"/>
    <w:rPr>
      <w:rFonts w:ascii="Times New Roman" w:hAnsi="Times New Roman" w:eastAsia="宋体" w:cs="Times New Roman"/>
      <w:sz w:val="18"/>
      <w:szCs w:val="18"/>
    </w:rPr>
  </w:style>
  <w:style w:type="character" w:customStyle="1" w:styleId="64">
    <w:name w:val="页脚 字符"/>
    <w:basedOn w:val="43"/>
    <w:link w:val="27"/>
    <w:autoRedefine/>
    <w:qFormat/>
    <w:uiPriority w:val="99"/>
    <w:rPr>
      <w:rFonts w:ascii="Times New Roman" w:hAnsi="Times New Roman" w:eastAsia="宋体" w:cs="Times New Roman"/>
      <w:sz w:val="18"/>
      <w:szCs w:val="18"/>
    </w:rPr>
  </w:style>
  <w:style w:type="character" w:customStyle="1" w:styleId="65">
    <w:name w:val="批注文字 字符"/>
    <w:basedOn w:val="43"/>
    <w:link w:val="15"/>
    <w:autoRedefine/>
    <w:qFormat/>
    <w:uiPriority w:val="0"/>
    <w:rPr>
      <w:rFonts w:ascii="Times New Roman" w:hAnsi="Times New Roman" w:eastAsia="宋体" w:cs="Times New Roman"/>
      <w:szCs w:val="24"/>
    </w:rPr>
  </w:style>
  <w:style w:type="character" w:customStyle="1" w:styleId="66">
    <w:name w:val="批注主题 字符"/>
    <w:basedOn w:val="65"/>
    <w:link w:val="40"/>
    <w:autoRedefine/>
    <w:qFormat/>
    <w:uiPriority w:val="0"/>
    <w:rPr>
      <w:rFonts w:ascii="Times New Roman" w:hAnsi="Times New Roman" w:eastAsia="宋体" w:cs="Times New Roman"/>
      <w:b/>
      <w:bCs/>
      <w:szCs w:val="20"/>
    </w:rPr>
  </w:style>
  <w:style w:type="character" w:customStyle="1" w:styleId="67">
    <w:name w:val="文档结构图 字符"/>
    <w:basedOn w:val="43"/>
    <w:link w:val="14"/>
    <w:autoRedefine/>
    <w:qFormat/>
    <w:uiPriority w:val="0"/>
    <w:rPr>
      <w:rFonts w:ascii="宋体" w:hAnsi="Times New Roman" w:eastAsia="宋体" w:cs="Times New Roman"/>
      <w:sz w:val="18"/>
      <w:szCs w:val="18"/>
    </w:rPr>
  </w:style>
  <w:style w:type="character" w:customStyle="1" w:styleId="68">
    <w:name w:val="正文文本 字符"/>
    <w:basedOn w:val="43"/>
    <w:link w:val="17"/>
    <w:autoRedefine/>
    <w:qFormat/>
    <w:uiPriority w:val="0"/>
    <w:rPr>
      <w:rFonts w:ascii="Times New Roman" w:hAnsi="Times New Roman" w:eastAsia="宋体" w:cs="Times New Roman"/>
      <w:sz w:val="28"/>
      <w:szCs w:val="20"/>
    </w:rPr>
  </w:style>
  <w:style w:type="character" w:customStyle="1" w:styleId="69">
    <w:name w:val="正文文本缩进 字符"/>
    <w:basedOn w:val="43"/>
    <w:link w:val="18"/>
    <w:autoRedefine/>
    <w:qFormat/>
    <w:uiPriority w:val="0"/>
    <w:rPr>
      <w:rFonts w:ascii="楷体_GB2312" w:hAnsi="Times New Roman" w:eastAsia="楷体_GB2312" w:cs="Times New Roman"/>
      <w:kern w:val="0"/>
      <w:sz w:val="28"/>
      <w:szCs w:val="20"/>
    </w:rPr>
  </w:style>
  <w:style w:type="character" w:customStyle="1" w:styleId="70">
    <w:name w:val="纯文本 字符"/>
    <w:basedOn w:val="43"/>
    <w:link w:val="22"/>
    <w:autoRedefine/>
    <w:qFormat/>
    <w:uiPriority w:val="0"/>
    <w:rPr>
      <w:rFonts w:ascii="宋体" w:hAnsi="Courier New" w:eastAsia="宋体" w:cs="Times New Roman"/>
      <w:szCs w:val="20"/>
    </w:rPr>
  </w:style>
  <w:style w:type="character" w:customStyle="1" w:styleId="71">
    <w:name w:val="日期 字符"/>
    <w:basedOn w:val="43"/>
    <w:link w:val="24"/>
    <w:autoRedefine/>
    <w:qFormat/>
    <w:uiPriority w:val="0"/>
    <w:rPr>
      <w:rFonts w:ascii="Times New Roman" w:hAnsi="Times New Roman" w:eastAsia="宋体" w:cs="Times New Roman"/>
      <w:szCs w:val="20"/>
    </w:rPr>
  </w:style>
  <w:style w:type="character" w:customStyle="1" w:styleId="72">
    <w:name w:val="正文文本缩进 2 字符"/>
    <w:basedOn w:val="43"/>
    <w:link w:val="25"/>
    <w:autoRedefine/>
    <w:qFormat/>
    <w:uiPriority w:val="0"/>
    <w:rPr>
      <w:rFonts w:ascii="仿宋_GB2312" w:hAnsi="宋体" w:eastAsia="仿宋_GB2312" w:cs="Times New Roman"/>
      <w:sz w:val="24"/>
      <w:szCs w:val="24"/>
    </w:rPr>
  </w:style>
  <w:style w:type="character" w:customStyle="1" w:styleId="73">
    <w:name w:val="副标题 字符"/>
    <w:basedOn w:val="43"/>
    <w:link w:val="31"/>
    <w:autoRedefine/>
    <w:qFormat/>
    <w:uiPriority w:val="0"/>
    <w:rPr>
      <w:rFonts w:ascii="Cambria" w:hAnsi="Cambria" w:eastAsia="宋体" w:cs="黑体"/>
      <w:b/>
      <w:bCs/>
      <w:kern w:val="28"/>
      <w:sz w:val="32"/>
      <w:szCs w:val="32"/>
    </w:rPr>
  </w:style>
  <w:style w:type="character" w:customStyle="1" w:styleId="74">
    <w:name w:val="正文文本缩进 3 字符"/>
    <w:basedOn w:val="43"/>
    <w:link w:val="34"/>
    <w:autoRedefine/>
    <w:qFormat/>
    <w:uiPriority w:val="0"/>
    <w:rPr>
      <w:rFonts w:ascii="Times New Roman" w:hAnsi="Times New Roman" w:eastAsia="宋体" w:cs="Times New Roman"/>
      <w:sz w:val="24"/>
      <w:szCs w:val="20"/>
    </w:rPr>
  </w:style>
  <w:style w:type="character" w:customStyle="1" w:styleId="75">
    <w:name w:val="标题 字符"/>
    <w:basedOn w:val="43"/>
    <w:link w:val="39"/>
    <w:autoRedefine/>
    <w:qFormat/>
    <w:uiPriority w:val="10"/>
    <w:rPr>
      <w:rFonts w:ascii="Cambria" w:hAnsi="Cambria" w:eastAsia="宋体" w:cs="Times New Roman"/>
      <w:b/>
      <w:bCs/>
      <w:sz w:val="32"/>
      <w:szCs w:val="32"/>
    </w:rPr>
  </w:style>
  <w:style w:type="paragraph" w:customStyle="1" w:styleId="76">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7">
    <w:name w:val="_Style 36"/>
    <w:basedOn w:val="1"/>
    <w:autoRedefine/>
    <w:qFormat/>
    <w:uiPriority w:val="34"/>
    <w:pPr>
      <w:ind w:firstLine="420" w:firstLineChars="200"/>
    </w:pPr>
    <w:rPr>
      <w:szCs w:val="20"/>
    </w:rPr>
  </w:style>
  <w:style w:type="paragraph" w:customStyle="1" w:styleId="78">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79">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0">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1">
    <w:name w:val="新定义正文"/>
    <w:basedOn w:val="1"/>
    <w:autoRedefine/>
    <w:qFormat/>
    <w:uiPriority w:val="0"/>
    <w:pPr>
      <w:widowControl/>
    </w:pPr>
    <w:rPr>
      <w:color w:val="000000"/>
      <w:szCs w:val="21"/>
    </w:rPr>
  </w:style>
  <w:style w:type="paragraph" w:customStyle="1" w:styleId="82">
    <w:name w:val="节"/>
    <w:basedOn w:val="3"/>
    <w:autoRedefine/>
    <w:qFormat/>
    <w:uiPriority w:val="0"/>
    <w:pPr>
      <w:numPr>
        <w:ilvl w:val="1"/>
        <w:numId w:val="1"/>
      </w:numPr>
      <w:tabs>
        <w:tab w:val="left" w:pos="432"/>
      </w:tabs>
      <w:spacing w:line="240" w:lineRule="auto"/>
    </w:pPr>
    <w:rPr>
      <w:rFonts w:ascii="黑体"/>
      <w:sz w:val="28"/>
      <w:szCs w:val="28"/>
    </w:rPr>
  </w:style>
  <w:style w:type="paragraph" w:customStyle="1" w:styleId="83">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4">
    <w:name w:val="列出段落1"/>
    <w:basedOn w:val="1"/>
    <w:autoRedefine/>
    <w:qFormat/>
    <w:uiPriority w:val="0"/>
    <w:pPr>
      <w:ind w:firstLine="420" w:firstLineChars="200"/>
    </w:pPr>
    <w:rPr>
      <w:szCs w:val="20"/>
    </w:rPr>
  </w:style>
  <w:style w:type="paragraph" w:customStyle="1" w:styleId="85">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6">
    <w:name w:val="Char Char1"/>
    <w:autoRedefine/>
    <w:qFormat/>
    <w:uiPriority w:val="0"/>
    <w:rPr>
      <w:rFonts w:ascii="楷体_GB2312" w:eastAsia="楷体_GB2312"/>
      <w:sz w:val="28"/>
    </w:rPr>
  </w:style>
  <w:style w:type="character" w:customStyle="1" w:styleId="87">
    <w:name w:val="Char Char"/>
    <w:autoRedefine/>
    <w:qFormat/>
    <w:uiPriority w:val="0"/>
    <w:rPr>
      <w:rFonts w:ascii="宋体"/>
      <w:kern w:val="2"/>
      <w:sz w:val="18"/>
      <w:szCs w:val="18"/>
    </w:rPr>
  </w:style>
  <w:style w:type="paragraph" w:customStyle="1" w:styleId="88">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89">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0">
    <w:name w:val="批注文字 Char1"/>
    <w:autoRedefine/>
    <w:qFormat/>
    <w:uiPriority w:val="99"/>
    <w:rPr>
      <w:kern w:val="2"/>
      <w:sz w:val="21"/>
    </w:rPr>
  </w:style>
  <w:style w:type="character" w:customStyle="1" w:styleId="91">
    <w:name w:val="正文文本 3 字符"/>
    <w:basedOn w:val="43"/>
    <w:link w:val="16"/>
    <w:autoRedefine/>
    <w:qFormat/>
    <w:uiPriority w:val="99"/>
    <w:rPr>
      <w:rFonts w:ascii="Times New Roman" w:hAnsi="Times New Roman" w:eastAsia="宋体" w:cs="Times New Roman"/>
      <w:sz w:val="16"/>
      <w:szCs w:val="16"/>
    </w:rPr>
  </w:style>
  <w:style w:type="paragraph" w:customStyle="1" w:styleId="9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sz w:val="28"/>
      <w:szCs w:val="20"/>
    </w:rPr>
  </w:style>
  <w:style w:type="paragraph" w:customStyle="1" w:styleId="93">
    <w:name w:val="正文00"/>
    <w:basedOn w:val="1"/>
    <w:autoRedefine/>
    <w:qFormat/>
    <w:uiPriority w:val="0"/>
    <w:pPr>
      <w:topLinePunct/>
      <w:spacing w:line="360" w:lineRule="auto"/>
      <w:ind w:firstLine="200" w:firstLineChars="200"/>
    </w:pPr>
    <w:rPr>
      <w:sz w:val="24"/>
      <w:szCs w:val="21"/>
    </w:rPr>
  </w:style>
  <w:style w:type="paragraph" w:customStyle="1" w:styleId="94">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TOC 标题3"/>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96">
    <w:name w:val="修订3"/>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97">
    <w:name w:val="font161"/>
    <w:autoRedefine/>
    <w:qFormat/>
    <w:uiPriority w:val="0"/>
    <w:rPr>
      <w:b/>
      <w:bCs/>
      <w:sz w:val="32"/>
      <w:szCs w:val="32"/>
    </w:rPr>
  </w:style>
  <w:style w:type="paragraph" w:customStyle="1" w:styleId="98">
    <w:name w:val="表格"/>
    <w:basedOn w:val="1"/>
    <w:autoRedefine/>
    <w:qFormat/>
    <w:uiPriority w:val="0"/>
    <w:pPr>
      <w:jc w:val="center"/>
      <w:textAlignment w:val="center"/>
    </w:pPr>
    <w:rPr>
      <w:rFonts w:ascii="华文细黑" w:hAnsi="华文细黑"/>
      <w:kern w:val="0"/>
      <w:szCs w:val="20"/>
    </w:rPr>
  </w:style>
  <w:style w:type="paragraph" w:customStyle="1" w:styleId="99">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00">
    <w:name w:val="1"/>
    <w:basedOn w:val="1"/>
    <w:next w:val="1"/>
    <w:autoRedefine/>
    <w:qFormat/>
    <w:uiPriority w:val="0"/>
  </w:style>
  <w:style w:type="paragraph" w:customStyle="1" w:styleId="101">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2">
    <w:name w:val="表格文字"/>
    <w:basedOn w:val="1"/>
    <w:autoRedefine/>
    <w:qFormat/>
    <w:uiPriority w:val="0"/>
    <w:pPr>
      <w:adjustRightInd w:val="0"/>
      <w:spacing w:line="420" w:lineRule="atLeast"/>
      <w:jc w:val="left"/>
      <w:textAlignment w:val="baseline"/>
    </w:pPr>
    <w:rPr>
      <w:kern w:val="0"/>
      <w:szCs w:val="20"/>
    </w:rPr>
  </w:style>
  <w:style w:type="character" w:customStyle="1" w:styleId="103">
    <w:name w:val="脚注文本 字符"/>
    <w:basedOn w:val="43"/>
    <w:link w:val="32"/>
    <w:autoRedefine/>
    <w:qFormat/>
    <w:uiPriority w:val="0"/>
    <w:rPr>
      <w:rFonts w:ascii="Times New Roman" w:hAnsi="Times New Roman" w:eastAsia="宋体" w:cs="Times New Roman"/>
      <w:sz w:val="18"/>
      <w:lang w:val="zh-CN" w:eastAsia="zh-CN"/>
    </w:rPr>
  </w:style>
  <w:style w:type="paragraph" w:styleId="104">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character" w:customStyle="1" w:styleId="105">
    <w:name w:val="批注文字 Char"/>
    <w:autoRedefine/>
    <w:qFormat/>
    <w:uiPriority w:val="0"/>
    <w:rPr>
      <w:kern w:val="2"/>
      <w:sz w:val="21"/>
      <w:szCs w:val="24"/>
    </w:rPr>
  </w:style>
  <w:style w:type="character" w:customStyle="1" w:styleId="106">
    <w:name w:val="font91"/>
    <w:basedOn w:val="43"/>
    <w:autoRedefine/>
    <w:qFormat/>
    <w:uiPriority w:val="0"/>
    <w:rPr>
      <w:rFonts w:hint="eastAsia" w:ascii="宋体" w:hAnsi="宋体" w:eastAsia="宋体" w:cs="宋体"/>
      <w:b/>
      <w:bCs/>
      <w:color w:val="000000"/>
      <w:sz w:val="24"/>
      <w:szCs w:val="24"/>
      <w:u w:val="none"/>
    </w:rPr>
  </w:style>
  <w:style w:type="character" w:customStyle="1" w:styleId="107">
    <w:name w:val="font11"/>
    <w:basedOn w:val="43"/>
    <w:autoRedefine/>
    <w:qFormat/>
    <w:uiPriority w:val="0"/>
    <w:rPr>
      <w:rFonts w:hint="eastAsia" w:ascii="宋体" w:hAnsi="宋体" w:eastAsia="宋体" w:cs="宋体"/>
      <w:color w:val="000000"/>
      <w:sz w:val="20"/>
      <w:szCs w:val="20"/>
      <w:u w:val="none"/>
    </w:rPr>
  </w:style>
  <w:style w:type="character" w:customStyle="1" w:styleId="108">
    <w:name w:val="font21"/>
    <w:basedOn w:val="43"/>
    <w:autoRedefine/>
    <w:qFormat/>
    <w:uiPriority w:val="0"/>
    <w:rPr>
      <w:rFonts w:hint="eastAsia" w:ascii="宋体" w:hAnsi="宋体" w:eastAsia="宋体" w:cs="宋体"/>
      <w:b/>
      <w:bCs/>
      <w:color w:val="000000"/>
      <w:sz w:val="20"/>
      <w:szCs w:val="20"/>
      <w:u w:val="none"/>
    </w:rPr>
  </w:style>
  <w:style w:type="character" w:customStyle="1" w:styleId="109">
    <w:name w:val="font31"/>
    <w:basedOn w:val="43"/>
    <w:autoRedefine/>
    <w:qFormat/>
    <w:uiPriority w:val="0"/>
    <w:rPr>
      <w:rFonts w:hint="eastAsia" w:ascii="宋体" w:hAnsi="宋体" w:eastAsia="宋体" w:cs="宋体"/>
      <w:b/>
      <w:bCs/>
      <w:color w:val="000000"/>
      <w:sz w:val="20"/>
      <w:szCs w:val="20"/>
      <w:u w:val="none"/>
    </w:rPr>
  </w:style>
  <w:style w:type="character" w:customStyle="1" w:styleId="110">
    <w:name w:val="font41"/>
    <w:basedOn w:val="43"/>
    <w:autoRedefine/>
    <w:qFormat/>
    <w:uiPriority w:val="0"/>
    <w:rPr>
      <w:rFonts w:hint="eastAsia" w:ascii="宋体" w:hAnsi="宋体" w:eastAsia="宋体" w:cs="宋体"/>
      <w:color w:val="000000"/>
      <w:sz w:val="24"/>
      <w:szCs w:val="24"/>
      <w:u w:val="none"/>
    </w:rPr>
  </w:style>
  <w:style w:type="character" w:customStyle="1" w:styleId="111">
    <w:name w:val="font01"/>
    <w:basedOn w:val="43"/>
    <w:autoRedefine/>
    <w:qFormat/>
    <w:uiPriority w:val="0"/>
    <w:rPr>
      <w:rFonts w:hint="eastAsia" w:ascii="宋体" w:hAnsi="宋体" w:eastAsia="宋体" w:cs="宋体"/>
      <w:color w:val="000000"/>
      <w:sz w:val="24"/>
      <w:szCs w:val="24"/>
      <w:u w:val="none"/>
    </w:rPr>
  </w:style>
  <w:style w:type="paragraph" w:customStyle="1" w:styleId="112">
    <w:name w:val="正文正"/>
    <w:basedOn w:val="1"/>
    <w:autoRedefine/>
    <w:qFormat/>
    <w:uiPriority w:val="0"/>
    <w:pPr>
      <w:spacing w:line="560" w:lineRule="exact"/>
      <w:ind w:firstLine="561"/>
    </w:pPr>
    <w:rPr>
      <w:rFonts w:eastAsia="仿宋_GB2312"/>
      <w:sz w:val="28"/>
    </w:rPr>
  </w:style>
  <w:style w:type="character" w:customStyle="1" w:styleId="113">
    <w:name w:val="font71"/>
    <w:basedOn w:val="43"/>
    <w:autoRedefine/>
    <w:qFormat/>
    <w:uiPriority w:val="0"/>
    <w:rPr>
      <w:rFonts w:hint="eastAsia" w:ascii="宋体" w:hAnsi="宋体" w:eastAsia="宋体" w:cs="宋体"/>
      <w:b/>
      <w:bCs/>
      <w:color w:val="000000"/>
      <w:sz w:val="24"/>
      <w:szCs w:val="24"/>
      <w:u w:val="none"/>
    </w:rPr>
  </w:style>
  <w:style w:type="character" w:customStyle="1" w:styleId="114">
    <w:name w:val="font61"/>
    <w:basedOn w:val="43"/>
    <w:autoRedefine/>
    <w:qFormat/>
    <w:uiPriority w:val="0"/>
    <w:rPr>
      <w:rFonts w:hint="eastAsia" w:ascii="宋体" w:hAnsi="宋体" w:eastAsia="宋体" w:cs="宋体"/>
      <w:color w:val="000000"/>
      <w:sz w:val="20"/>
      <w:szCs w:val="20"/>
      <w:u w:val="none"/>
    </w:rPr>
  </w:style>
  <w:style w:type="character" w:customStyle="1" w:styleId="115">
    <w:name w:val="font81"/>
    <w:basedOn w:val="43"/>
    <w:autoRedefine/>
    <w:qFormat/>
    <w:uiPriority w:val="0"/>
    <w:rPr>
      <w:rFonts w:hint="eastAsia" w:ascii="宋体" w:hAnsi="宋体" w:eastAsia="宋体" w:cs="宋体"/>
      <w:b/>
      <w:bCs/>
      <w:color w:val="000000"/>
      <w:sz w:val="20"/>
      <w:szCs w:val="20"/>
      <w:u w:val="none"/>
    </w:rPr>
  </w:style>
  <w:style w:type="character" w:customStyle="1" w:styleId="116">
    <w:name w:val="font51"/>
    <w:basedOn w:val="43"/>
    <w:qFormat/>
    <w:uiPriority w:val="0"/>
    <w:rPr>
      <w:rFonts w:hint="eastAsia" w:ascii="宋体" w:hAnsi="宋体" w:eastAsia="宋体" w:cs="宋体"/>
      <w:color w:val="000000"/>
      <w:sz w:val="20"/>
      <w:szCs w:val="20"/>
      <w:u w:val="single"/>
    </w:rPr>
  </w:style>
  <w:style w:type="paragraph" w:customStyle="1" w:styleId="117">
    <w:name w:val="tabletext"/>
    <w:basedOn w:val="1"/>
    <w:next w:val="1"/>
    <w:autoRedefine/>
    <w:qFormat/>
    <w:uiPriority w:val="0"/>
    <w:pPr>
      <w:spacing w:line="360" w:lineRule="exact"/>
      <w:jc w:val="center"/>
    </w:pPr>
    <w:rPr>
      <w:rFonts w:ascii="宋体" w:hAnsi="宋体" w:eastAsia="宋体" w:cs="Times New Roman"/>
      <w:szCs w:val="24"/>
    </w:rPr>
  </w:style>
  <w:style w:type="paragraph" w:customStyle="1" w:styleId="118">
    <w:name w:val="段"/>
    <w:autoRedefine/>
    <w:qFormat/>
    <w:uiPriority w:val="0"/>
    <w:pPr>
      <w:autoSpaceDE w:val="0"/>
      <w:autoSpaceDN w:val="0"/>
      <w:spacing w:after="200" w:line="276" w:lineRule="auto"/>
      <w:ind w:firstLine="200" w:firstLineChars="200"/>
      <w:jc w:val="both"/>
    </w:pPr>
    <w:rPr>
      <w:rFonts w:ascii="宋体" w:hAnsi="Times New Roman" w:eastAsia="宋体" w:cs="Times New Roman"/>
      <w:sz w:val="21"/>
      <w:szCs w:val="22"/>
      <w:lang w:val="en-US" w:eastAsia="zh-CN" w:bidi="ar-SA"/>
    </w:rPr>
  </w:style>
  <w:style w:type="table" w:customStyle="1" w:styleId="119">
    <w:name w:val="Table Normal"/>
    <w:semiHidden/>
    <w:unhideWhenUsed/>
    <w:qFormat/>
    <w:uiPriority w:val="2"/>
    <w:pPr>
      <w:widowControl w:val="0"/>
    </w:pPr>
    <w:rPr>
      <w:kern w:val="0"/>
      <w:sz w:val="22"/>
      <w:lang w:eastAsia="en-US"/>
    </w:rPr>
    <w:tblPr>
      <w:tblCellMar>
        <w:top w:w="0" w:type="dxa"/>
        <w:left w:w="0" w:type="dxa"/>
        <w:bottom w:w="0" w:type="dxa"/>
        <w:right w:w="0" w:type="dxa"/>
      </w:tblCellMar>
    </w:tblPr>
  </w:style>
  <w:style w:type="paragraph" w:customStyle="1" w:styleId="120">
    <w:name w:val="_Style 17"/>
    <w:basedOn w:val="1"/>
    <w:next w:val="51"/>
    <w:qFormat/>
    <w:uiPriority w:val="0"/>
    <w:pPr>
      <w:ind w:firstLine="420" w:firstLineChars="200"/>
    </w:pPr>
    <w:rPr>
      <w:rFonts w:ascii="Calibri" w:hAnsi="Calibri"/>
      <w:szCs w:val="22"/>
    </w:rPr>
  </w:style>
  <w:style w:type="paragraph" w:customStyle="1" w:styleId="121">
    <w:name w:val="正文（缩进）"/>
    <w:basedOn w:val="1"/>
    <w:qFormat/>
    <w:uiPriority w:val="0"/>
    <w:pPr>
      <w:spacing w:before="156" w:after="156" w:line="240" w:lineRule="auto"/>
    </w:pPr>
    <w:rPr>
      <w:rFonts w:eastAsia="宋体"/>
    </w:rPr>
  </w:style>
  <w:style w:type="character" w:customStyle="1" w:styleId="122">
    <w:name w:val="font112"/>
    <w:basedOn w:val="43"/>
    <w:qFormat/>
    <w:uiPriority w:val="0"/>
    <w:rPr>
      <w:rFonts w:hint="eastAsia" w:ascii="宋体" w:hAnsi="宋体" w:eastAsia="宋体" w:cs="宋体"/>
      <w:color w:val="000000"/>
      <w:sz w:val="21"/>
      <w:szCs w:val="21"/>
      <w:u w:val="none"/>
    </w:rPr>
  </w:style>
  <w:style w:type="character" w:customStyle="1" w:styleId="123">
    <w:name w:val="font101"/>
    <w:basedOn w:val="4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2.wmf"/><Relationship Id="rId18" Type="http://schemas.openxmlformats.org/officeDocument/2006/relationships/oleObject" Target="embeddings/oleObject2.bin"/><Relationship Id="rId17" Type="http://schemas.openxmlformats.org/officeDocument/2006/relationships/image" Target="media/image1.wmf"/><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138</Pages>
  <Words>7402</Words>
  <Characters>8234</Characters>
  <Lines>545</Lines>
  <Paragraphs>153</Paragraphs>
  <TotalTime>343</TotalTime>
  <ScaleCrop>false</ScaleCrop>
  <LinksUpToDate>false</LinksUpToDate>
  <CharactersWithSpaces>8317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2021-11-10T03:28:00Z</dcterms:created>
  <dcterms:modified xsi:type="dcterms:W3CDTF">2025-10-31T09:47:14Z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91D635147C1F401CA57A4BD26E1D0351_13</vt:lpwstr>
  </property>
  <property fmtid="{D5CDD505-2E9C-101B-9397-08002B2CF9AE}" pid="4" name="KSOTemplateDocerSaveRecord">
    <vt:lpwstr>eyJoZGlkIjoiNmJjMjE2ZTBmMzVlNDU2ODM4MDU2ZTc5NjM4YTZhZjciLCJ1c2VySWQiOiIzNzg2Mjg2MTAifQ==</vt:lpwstr>
  </property>
</Properties>
</file>