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CA1E6">
      <w:pPr>
        <w:pStyle w:val="55"/>
        <w:spacing w:before="240" w:after="120"/>
        <w:rPr>
          <w:rFonts w:hint="eastAsia" w:ascii="宋体" w:hAnsi="宋体" w:cs="宋体"/>
          <w:b/>
          <w:kern w:val="0"/>
          <w:sz w:val="28"/>
          <w:szCs w:val="28"/>
          <w:lang w:val="en-US" w:eastAsia="zh-CN"/>
        </w:rPr>
      </w:pPr>
      <w:bookmarkStart w:id="0" w:name="OLE_LINK6"/>
      <w:bookmarkStart w:id="1" w:name="OLE_LINK25"/>
      <w:bookmarkStart w:id="2" w:name="OLE_LINK15"/>
      <w:bookmarkStart w:id="3" w:name="OLE_LINK18"/>
      <w:bookmarkStart w:id="4" w:name="OLE_LINK27"/>
      <w:bookmarkStart w:id="5" w:name="OLE_LINK10"/>
      <w:bookmarkStart w:id="6" w:name="OLE_LINK14"/>
      <w:bookmarkStart w:id="7" w:name="OLE_LINK22"/>
      <w:bookmarkStart w:id="8" w:name="OLE_LINK4"/>
      <w:bookmarkStart w:id="9" w:name="OLE_LINK28"/>
      <w:bookmarkStart w:id="10" w:name="OLE_LINK16"/>
      <w:bookmarkStart w:id="11" w:name="OLE_LINK19"/>
      <w:bookmarkStart w:id="12" w:name="OLE_LINK8"/>
      <w:bookmarkStart w:id="13" w:name="OLE_LINK12"/>
      <w:bookmarkStart w:id="14" w:name="OLE_LINK1"/>
      <w:bookmarkStart w:id="15" w:name="OLE_LINK5"/>
      <w:bookmarkStart w:id="16" w:name="OLE_LINK20"/>
      <w:bookmarkStart w:id="17" w:name="OLE_LINK3"/>
      <w:bookmarkStart w:id="18" w:name="OLE_LINK9"/>
      <w:bookmarkStart w:id="19" w:name="OLE_LINK17"/>
      <w:bookmarkStart w:id="20" w:name="OLE_LINK26"/>
      <w:bookmarkStart w:id="21" w:name="OLE_LINK21"/>
      <w:bookmarkStart w:id="22" w:name="OLE_LINK2"/>
      <w:bookmarkStart w:id="23" w:name="OLE_LINK24"/>
      <w:bookmarkStart w:id="24" w:name="OLE_LINK13"/>
      <w:bookmarkStart w:id="25" w:name="OLE_LINK11"/>
      <w:bookmarkStart w:id="26" w:name="OLE_LINK7"/>
      <w:bookmarkStart w:id="27" w:name="OLE_LINK23"/>
      <w:r>
        <w:rPr>
          <w:rFonts w:hint="eastAsia" w:ascii="宋体" w:hAnsi="宋体" w:cs="宋体"/>
          <w:b/>
          <w:kern w:val="0"/>
          <w:sz w:val="28"/>
          <w:szCs w:val="28"/>
          <w:lang w:val="en-US" w:eastAsia="zh-CN"/>
        </w:rPr>
        <w:t>2025年中国电信股份有限公司泉州分公司某航线升级扩容建设采购项目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bookmarkStart w:id="34" w:name="_GoBack"/>
      <w:bookmarkEnd w:id="34"/>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询比</w:t>
      </w:r>
      <w:r>
        <w:rPr>
          <w:rFonts w:hint="eastAsia" w:ascii="宋体" w:hAnsi="宋体"/>
          <w:color w:val="auto"/>
          <w:szCs w:val="21"/>
          <w:highlight w:val="none"/>
        </w:rPr>
        <w:t>项目为</w:t>
      </w:r>
      <w:r>
        <w:rPr>
          <w:rFonts w:hint="eastAsia" w:ascii="宋体" w:hAnsi="宋体"/>
          <w:color w:val="auto"/>
          <w:szCs w:val="21"/>
          <w:highlight w:val="none"/>
          <w:u w:val="single"/>
          <w:lang w:eastAsia="zh-CN"/>
        </w:rPr>
        <w:t>2025年中国电信股份有限公司泉州分公司某航线升级扩容建设采购项目</w:t>
      </w:r>
      <w:r>
        <w:rPr>
          <w:rFonts w:hint="eastAsia" w:ascii="宋体" w:hAnsi="宋体"/>
          <w:color w:val="auto"/>
          <w:szCs w:val="21"/>
          <w:highlight w:val="none"/>
        </w:rPr>
        <w:t>（项目编号：</w:t>
      </w:r>
      <w:r>
        <w:rPr>
          <w:rFonts w:hint="eastAsia" w:ascii="宋体" w:hAnsi="宋体"/>
          <w:color w:val="auto"/>
          <w:szCs w:val="21"/>
          <w:highlight w:val="none"/>
          <w:u w:val="single"/>
          <w:lang w:eastAsia="zh-CN"/>
        </w:rPr>
        <w:t>FJBBFA202510170010</w:t>
      </w:r>
      <w:r>
        <w:rPr>
          <w:rFonts w:hint="eastAsia" w:ascii="宋体" w:hAnsi="宋体"/>
          <w:color w:val="auto"/>
          <w:szCs w:val="21"/>
          <w:highlight w:val="none"/>
        </w:rPr>
        <w:t>），</w:t>
      </w:r>
      <w:r>
        <w:rPr>
          <w:rFonts w:hint="eastAsia" w:ascii="宋体" w:hAnsi="宋体"/>
          <w:color w:val="auto"/>
          <w:szCs w:val="21"/>
          <w:highlight w:val="none"/>
          <w:lang w:eastAsia="zh-CN"/>
        </w:rPr>
        <w:t>采购人</w:t>
      </w:r>
      <w:r>
        <w:rPr>
          <w:rFonts w:hint="eastAsia" w:ascii="宋体" w:hAnsi="宋体"/>
          <w:color w:val="auto"/>
          <w:szCs w:val="21"/>
          <w:highlight w:val="none"/>
        </w:rPr>
        <w:t>为</w:t>
      </w:r>
      <w:r>
        <w:rPr>
          <w:rFonts w:hint="eastAsia" w:ascii="宋体" w:hAnsi="宋体" w:cs="宋体"/>
          <w:color w:val="auto"/>
          <w:szCs w:val="21"/>
          <w:highlight w:val="none"/>
          <w:lang w:eastAsia="zh-CN"/>
        </w:rPr>
        <w:t>中国电信股份有限公司泉州分公司</w:t>
      </w:r>
      <w:r>
        <w:rPr>
          <w:rFonts w:hint="eastAsia" w:ascii="宋体" w:hAnsi="宋体"/>
          <w:color w:val="auto"/>
          <w:szCs w:val="21"/>
          <w:highlight w:val="none"/>
        </w:rPr>
        <w:t>，</w:t>
      </w:r>
      <w:r>
        <w:rPr>
          <w:rFonts w:hint="eastAsia" w:ascii="宋体" w:hAnsi="宋体"/>
          <w:color w:val="auto"/>
          <w:szCs w:val="21"/>
          <w:highlight w:val="none"/>
          <w:lang w:eastAsia="zh-CN"/>
        </w:rPr>
        <w:t>采购代理机构</w:t>
      </w:r>
      <w:r>
        <w:rPr>
          <w:rFonts w:hint="eastAsia" w:ascii="宋体" w:hAnsi="宋体"/>
          <w:color w:val="auto"/>
          <w:szCs w:val="21"/>
          <w:highlight w:val="none"/>
        </w:rPr>
        <w:t>为</w:t>
      </w:r>
      <w:r>
        <w:rPr>
          <w:rFonts w:hint="eastAsia" w:ascii="宋体" w:hAnsi="宋体" w:cs="宋体"/>
          <w:color w:val="auto"/>
          <w:szCs w:val="21"/>
          <w:highlight w:val="none"/>
          <w:lang w:eastAsia="zh-CN"/>
        </w:rPr>
        <w:t>福建省中通通信有限公司</w:t>
      </w:r>
      <w:r>
        <w:rPr>
          <w:rFonts w:hint="eastAsia" w:ascii="宋体" w:hAnsi="宋体"/>
          <w:color w:val="auto"/>
          <w:szCs w:val="21"/>
          <w:highlight w:val="none"/>
        </w:rPr>
        <w:t>。项目资金已落实，具备</w:t>
      </w:r>
      <w:r>
        <w:rPr>
          <w:rFonts w:hint="eastAsia" w:ascii="宋体" w:hAnsi="宋体"/>
          <w:color w:val="auto"/>
          <w:szCs w:val="21"/>
          <w:highlight w:val="none"/>
          <w:lang w:val="en-US" w:eastAsia="zh-CN"/>
        </w:rPr>
        <w:t>采购</w:t>
      </w:r>
      <w:r>
        <w:rPr>
          <w:rFonts w:hint="eastAsia" w:ascii="宋体" w:hAnsi="宋体"/>
          <w:color w:val="auto"/>
          <w:szCs w:val="21"/>
          <w:highlight w:val="none"/>
        </w:rPr>
        <w:t>条件，现进行公开</w:t>
      </w:r>
      <w:r>
        <w:rPr>
          <w:rFonts w:hint="eastAsia" w:ascii="宋体" w:hAnsi="宋体"/>
          <w:color w:val="auto"/>
          <w:szCs w:val="21"/>
          <w:highlight w:val="none"/>
          <w:lang w:eastAsia="zh-CN"/>
        </w:rPr>
        <w:t>询比</w:t>
      </w:r>
      <w:r>
        <w:rPr>
          <w:rFonts w:hint="eastAsia" w:ascii="宋体" w:hAnsi="宋体"/>
          <w:color w:val="auto"/>
          <w:szCs w:val="21"/>
          <w:highlight w:val="none"/>
        </w:rPr>
        <w:t>，特邀请有意向的且具有提供标的物能力的潜在</w:t>
      </w:r>
      <w:r>
        <w:rPr>
          <w:rFonts w:hint="eastAsia" w:ascii="宋体" w:hAnsi="宋体"/>
          <w:color w:val="auto"/>
          <w:szCs w:val="21"/>
          <w:highlight w:val="none"/>
          <w:lang w:eastAsia="zh-CN"/>
        </w:rPr>
        <w:t>供应商</w:t>
      </w:r>
      <w:r>
        <w:rPr>
          <w:rFonts w:hint="eastAsia" w:ascii="宋体" w:hAnsi="宋体"/>
          <w:color w:val="auto"/>
          <w:szCs w:val="21"/>
          <w:highlight w:val="none"/>
        </w:rPr>
        <w:t>（以下简称</w:t>
      </w:r>
      <w:r>
        <w:rPr>
          <w:rFonts w:hint="eastAsia" w:ascii="宋体" w:hAnsi="宋体"/>
          <w:color w:val="auto"/>
          <w:szCs w:val="21"/>
          <w:highlight w:val="none"/>
          <w:lang w:eastAsia="zh-CN"/>
        </w:rPr>
        <w:t>供应商</w:t>
      </w:r>
      <w:r>
        <w:rPr>
          <w:rFonts w:hint="eastAsia" w:ascii="宋体" w:hAnsi="宋体"/>
          <w:color w:val="auto"/>
          <w:szCs w:val="21"/>
          <w:highlight w:val="none"/>
        </w:rPr>
        <w:t>）</w:t>
      </w:r>
      <w:r>
        <w:rPr>
          <w:rFonts w:hint="eastAsia" w:ascii="宋体" w:hAnsi="宋体"/>
          <w:color w:val="auto"/>
          <w:szCs w:val="21"/>
          <w:highlight w:val="none"/>
          <w:lang w:val="en-US" w:eastAsia="zh-CN"/>
        </w:rPr>
        <w:t>参加询比响应</w:t>
      </w:r>
      <w:r>
        <w:rPr>
          <w:rFonts w:hint="eastAsia" w:ascii="宋体" w:hAnsi="宋体"/>
          <w:color w:val="auto"/>
          <w:szCs w:val="21"/>
          <w:highlight w:val="none"/>
        </w:rPr>
        <w:t>。</w:t>
      </w:r>
    </w:p>
    <w:p w14:paraId="2E97149B">
      <w:pPr>
        <w:pStyle w:val="53"/>
        <w:adjustRightInd w:val="0"/>
        <w:snapToGrid w:val="0"/>
        <w:spacing w:line="360" w:lineRule="auto"/>
        <w:ind w:firstLine="0" w:firstLineChars="0"/>
        <w:rPr>
          <w:rFonts w:ascii="宋体" w:hAnsi="宋体"/>
          <w:b/>
          <w:color w:val="auto"/>
          <w:szCs w:val="21"/>
          <w:highlight w:val="none"/>
        </w:rPr>
      </w:pPr>
      <w:r>
        <w:rPr>
          <w:rFonts w:hint="eastAsia" w:ascii="宋体" w:hAnsi="宋体"/>
          <w:b/>
          <w:color w:val="auto"/>
          <w:szCs w:val="21"/>
          <w:highlight w:val="none"/>
        </w:rPr>
        <w:t>1.项目概况与采购内容</w:t>
      </w:r>
    </w:p>
    <w:p w14:paraId="59AB4CA4">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bookmarkStart w:id="28" w:name="_Toc184704555"/>
      <w:bookmarkStart w:id="29" w:name="_Toc319769473"/>
      <w:bookmarkStart w:id="30" w:name="_Toc319394714"/>
      <w:r>
        <w:rPr>
          <w:rFonts w:hint="eastAsia" w:ascii="宋体" w:hAnsi="宋体" w:eastAsia="宋体" w:cs="宋体"/>
          <w:color w:val="auto"/>
          <w:szCs w:val="21"/>
          <w:highlight w:val="none"/>
          <w14:ligatures w14:val="none"/>
        </w:rPr>
        <w:t>1.1项目概况</w:t>
      </w:r>
    </w:p>
    <w:p w14:paraId="1217BD04">
      <w:pPr>
        <w:wordWrap w:val="0"/>
        <w:adjustRightInd w:val="0"/>
        <w:snapToGrid w:val="0"/>
        <w:spacing w:line="360" w:lineRule="auto"/>
        <w:ind w:firstLine="428" w:firstLineChars="200"/>
        <w:jc w:val="left"/>
        <w:rPr>
          <w:rFonts w:ascii="宋体" w:hAnsi="宋体" w:eastAsia="宋体" w:cs="宋体"/>
          <w:color w:val="auto"/>
          <w:szCs w:val="21"/>
          <w:highlight w:val="none"/>
          <w:u w:val="none"/>
          <w14:ligatures w14:val="none"/>
        </w:rPr>
      </w:pPr>
      <w:r>
        <w:rPr>
          <w:rFonts w:hint="eastAsia" w:ascii="宋体" w:hAnsi="宋体" w:eastAsia="宋体" w:cs="宋体"/>
          <w:color w:val="auto"/>
          <w:spacing w:val="2"/>
          <w:szCs w:val="21"/>
          <w:highlight w:val="none"/>
          <w:u w:val="none"/>
          <w14:ligatures w14:val="none"/>
        </w:rPr>
        <w:t>【</w:t>
      </w:r>
      <w:r>
        <w:rPr>
          <w:rFonts w:hint="eastAsia" w:ascii="宋体" w:hAnsi="宋体" w:cs="Times New Roman"/>
          <w:color w:val="auto"/>
          <w:spacing w:val="2"/>
          <w:szCs w:val="21"/>
          <w:highlight w:val="none"/>
          <w:u w:val="none"/>
          <w:lang w:eastAsia="zh-CN"/>
        </w:rPr>
        <w:t>2025年中国电信股份有限公司泉州分公司某航线升级扩容建设采购项目，</w:t>
      </w:r>
      <w:r>
        <w:rPr>
          <w:rFonts w:hint="eastAsia" w:ascii="宋体" w:hAnsi="宋体"/>
          <w:color w:val="000000" w:themeColor="text1"/>
          <w:spacing w:val="2"/>
          <w:szCs w:val="21"/>
          <w:highlight w:val="none"/>
          <w:u w:val="none"/>
          <w14:textFill>
            <w14:solidFill>
              <w14:schemeClr w14:val="tx1"/>
            </w14:solidFill>
          </w14:textFill>
        </w:rPr>
        <w:t>本项目为包干项目，</w:t>
      </w:r>
      <w:r>
        <w:rPr>
          <w:rFonts w:hint="eastAsia" w:ascii="宋体" w:hAnsi="宋体"/>
          <w:color w:val="000000" w:themeColor="text1"/>
          <w:spacing w:val="2"/>
          <w:szCs w:val="21"/>
          <w:highlight w:val="none"/>
          <w:u w:val="none"/>
          <w:lang w:eastAsia="zh-CN"/>
          <w14:textFill>
            <w14:solidFill>
              <w14:schemeClr w14:val="tx1"/>
            </w14:solidFill>
          </w14:textFill>
        </w:rPr>
        <w:t>供应商</w:t>
      </w:r>
      <w:r>
        <w:rPr>
          <w:rFonts w:hint="eastAsia" w:ascii="宋体" w:hAnsi="宋体"/>
          <w:color w:val="000000" w:themeColor="text1"/>
          <w:spacing w:val="2"/>
          <w:szCs w:val="21"/>
          <w:highlight w:val="none"/>
          <w:u w:val="none"/>
          <w14:textFill>
            <w14:solidFill>
              <w14:schemeClr w14:val="tx1"/>
            </w14:solidFill>
          </w14:textFill>
        </w:rPr>
        <w:t>报价应包含项目一切可预见及不可预见的费用</w:t>
      </w:r>
      <w:r>
        <w:rPr>
          <w:rFonts w:hint="eastAsia" w:ascii="宋体" w:hAnsi="宋体" w:eastAsia="宋体" w:cs="宋体"/>
          <w:color w:val="auto"/>
          <w:spacing w:val="2"/>
          <w:szCs w:val="21"/>
          <w:highlight w:val="none"/>
          <w:u w:val="none"/>
          <w14:ligatures w14:val="none"/>
        </w:rPr>
        <w:t>】。</w:t>
      </w:r>
    </w:p>
    <w:p w14:paraId="37FEC3CD">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1.2采购内容</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415"/>
        <w:gridCol w:w="1554"/>
        <w:gridCol w:w="1576"/>
        <w:gridCol w:w="2236"/>
      </w:tblGrid>
      <w:tr w14:paraId="378A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432" w:type="pct"/>
            <w:shd w:val="clear" w:color="000000" w:fill="F2F2F2"/>
            <w:vAlign w:val="center"/>
          </w:tcPr>
          <w:p w14:paraId="2EE66F16">
            <w:pPr>
              <w:keepNext w:val="0"/>
              <w:keepLines w:val="0"/>
              <w:widowControl/>
              <w:suppressLineNumbers w:val="0"/>
              <w:spacing w:before="0" w:beforeAutospacing="0" w:after="0" w:afterAutospacing="0"/>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417" w:type="pct"/>
            <w:shd w:val="clear" w:color="000000" w:fill="F2F2F2"/>
            <w:vAlign w:val="center"/>
          </w:tcPr>
          <w:p w14:paraId="04B99CFE">
            <w:pPr>
              <w:keepNext w:val="0"/>
              <w:keepLines w:val="0"/>
              <w:widowControl/>
              <w:suppressLineNumbers w:val="0"/>
              <w:spacing w:before="0" w:beforeAutospacing="0" w:after="0" w:afterAutospacing="0"/>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产品名称</w:t>
            </w:r>
          </w:p>
        </w:tc>
        <w:tc>
          <w:tcPr>
            <w:tcW w:w="912" w:type="pct"/>
            <w:shd w:val="clear" w:color="000000" w:fill="F2F2F2"/>
          </w:tcPr>
          <w:p w14:paraId="185DD4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数量</w:t>
            </w:r>
          </w:p>
        </w:tc>
        <w:tc>
          <w:tcPr>
            <w:tcW w:w="925" w:type="pct"/>
            <w:shd w:val="clear" w:color="000000" w:fill="F2F2F2"/>
          </w:tcPr>
          <w:p w14:paraId="65463A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单位</w:t>
            </w:r>
          </w:p>
        </w:tc>
        <w:tc>
          <w:tcPr>
            <w:tcW w:w="1312" w:type="pct"/>
            <w:shd w:val="clear" w:color="000000" w:fill="F2F2F2"/>
          </w:tcPr>
          <w:p w14:paraId="04DFE9D7">
            <w:pPr>
              <w:keepNext w:val="0"/>
              <w:keepLines w:val="0"/>
              <w:widowControl/>
              <w:suppressLineNumbers w:val="0"/>
              <w:spacing w:before="0" w:beforeAutospacing="0" w:after="0" w:afterAutospacing="0"/>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最高限价（不含税总价合计，元）</w:t>
            </w:r>
          </w:p>
        </w:tc>
      </w:tr>
      <w:tr w14:paraId="709E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A7C62D9">
            <w:pPr>
              <w:keepNext w:val="0"/>
              <w:keepLines w:val="0"/>
              <w:widowControl/>
              <w:suppressLineNumbers w:val="0"/>
              <w:spacing w:before="0" w:beforeAutospacing="0" w:after="0" w:afterAutospacing="0"/>
              <w:ind w:left="0" w:leftChars="0" w:right="0" w:rightChars="0"/>
              <w:jc w:val="center"/>
              <w:rPr>
                <w:rFonts w:hint="eastAsia" w:ascii="宋体" w:hAnsi="宋体"/>
                <w:color w:val="auto"/>
                <w:highlight w:val="none"/>
              </w:rPr>
            </w:pPr>
            <w:r>
              <w:rPr>
                <w:rFonts w:hint="eastAsia" w:ascii="宋体" w:hAnsi="宋体"/>
                <w:color w:val="auto"/>
                <w:highlight w:val="none"/>
              </w:rPr>
              <w:t>1</w:t>
            </w:r>
          </w:p>
        </w:tc>
        <w:tc>
          <w:tcPr>
            <w:tcW w:w="1417" w:type="pct"/>
            <w:vAlign w:val="center"/>
          </w:tcPr>
          <w:p w14:paraId="581EA434">
            <w:pPr>
              <w:keepNext w:val="0"/>
              <w:keepLines w:val="0"/>
              <w:widowControl/>
              <w:suppressLineNumbers w:val="0"/>
              <w:spacing w:before="0" w:beforeAutospacing="0" w:after="0" w:afterAutospacing="0"/>
              <w:ind w:left="0" w:leftChars="0" w:right="0" w:rightChars="0"/>
              <w:jc w:val="center"/>
              <w:rPr>
                <w:rFonts w:hint="eastAsia" w:ascii="宋体" w:hAnsi="宋体"/>
                <w:color w:val="auto"/>
                <w:highlight w:val="none"/>
              </w:rPr>
            </w:pPr>
            <w:r>
              <w:rPr>
                <w:rFonts w:hint="eastAsia" w:ascii="宋体" w:hAnsi="宋体"/>
                <w:color w:val="auto"/>
                <w:highlight w:val="none"/>
              </w:rPr>
              <w:t>某航线升级扩容建设采购项目-设备部分</w:t>
            </w:r>
          </w:p>
        </w:tc>
        <w:tc>
          <w:tcPr>
            <w:tcW w:w="912" w:type="pct"/>
            <w:vAlign w:val="center"/>
          </w:tcPr>
          <w:p w14:paraId="29C69DC8">
            <w:pPr>
              <w:keepNext w:val="0"/>
              <w:keepLines w:val="0"/>
              <w:widowControl/>
              <w:suppressLineNumbers w:val="0"/>
              <w:spacing w:before="0" w:beforeAutospacing="0" w:after="0" w:afterAutospacing="0"/>
              <w:ind w:left="0" w:leftChars="0" w:right="0" w:rightChars="0"/>
              <w:jc w:val="center"/>
              <w:rPr>
                <w:rFonts w:hint="default" w:ascii="宋体" w:hAnsi="宋体"/>
                <w:color w:val="auto"/>
                <w:highlight w:val="none"/>
                <w:lang w:val="en-US" w:eastAsia="zh-CN"/>
              </w:rPr>
            </w:pPr>
            <w:r>
              <w:rPr>
                <w:rFonts w:hint="eastAsia" w:ascii="宋体" w:hAnsi="宋体"/>
                <w:color w:val="auto"/>
                <w:highlight w:val="none"/>
                <w:lang w:val="en-US" w:eastAsia="zh-CN"/>
              </w:rPr>
              <w:t>1</w:t>
            </w:r>
          </w:p>
        </w:tc>
        <w:tc>
          <w:tcPr>
            <w:tcW w:w="925" w:type="pct"/>
            <w:vAlign w:val="center"/>
          </w:tcPr>
          <w:p w14:paraId="3E141B0B">
            <w:pPr>
              <w:keepNext w:val="0"/>
              <w:keepLines w:val="0"/>
              <w:widowControl/>
              <w:suppressLineNumbers w:val="0"/>
              <w:spacing w:before="0" w:beforeAutospacing="0" w:after="0" w:afterAutospacing="0"/>
              <w:ind w:left="0" w:leftChars="0" w:right="0" w:rightChars="0"/>
              <w:jc w:val="center"/>
              <w:rPr>
                <w:rFonts w:hint="default" w:ascii="宋体" w:hAnsi="宋体"/>
                <w:color w:val="auto"/>
                <w:highlight w:val="none"/>
                <w:lang w:val="en-US" w:eastAsia="zh-CN"/>
              </w:rPr>
            </w:pPr>
            <w:r>
              <w:rPr>
                <w:rFonts w:hint="eastAsia" w:ascii="宋体" w:hAnsi="宋体"/>
                <w:color w:val="auto"/>
                <w:highlight w:val="none"/>
                <w:lang w:val="en-US" w:eastAsia="zh-CN"/>
              </w:rPr>
              <w:t>项</w:t>
            </w:r>
          </w:p>
        </w:tc>
        <w:tc>
          <w:tcPr>
            <w:tcW w:w="1312" w:type="pct"/>
            <w:vAlign w:val="top"/>
          </w:tcPr>
          <w:p w14:paraId="2D4E3D51">
            <w:pPr>
              <w:keepNext w:val="0"/>
              <w:keepLines w:val="0"/>
              <w:widowControl/>
              <w:suppressLineNumbers w:val="0"/>
              <w:spacing w:before="0" w:beforeAutospacing="0" w:after="0" w:afterAutospacing="0"/>
              <w:ind w:left="0" w:leftChars="0" w:right="0" w:rightChars="0" w:firstLine="630" w:firstLineChars="300"/>
              <w:jc w:val="both"/>
              <w:rPr>
                <w:rFonts w:hint="default" w:ascii="宋体" w:hAnsi="宋体"/>
                <w:color w:val="auto"/>
                <w:highlight w:val="none"/>
                <w:lang w:val="en-US"/>
              </w:rPr>
            </w:pPr>
            <w:r>
              <w:rPr>
                <w:rFonts w:hint="eastAsia" w:ascii="宋体" w:hAnsi="宋体"/>
                <w:color w:val="auto"/>
                <w:highlight w:val="none"/>
              </w:rPr>
              <w:t>662831.86</w:t>
            </w:r>
          </w:p>
        </w:tc>
      </w:tr>
      <w:tr w14:paraId="7CDE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694CF41">
            <w:pPr>
              <w:keepNext w:val="0"/>
              <w:keepLines w:val="0"/>
              <w:widowControl/>
              <w:suppressLineNumbers w:val="0"/>
              <w:spacing w:before="0" w:beforeAutospacing="0" w:after="0" w:afterAutospacing="0"/>
              <w:ind w:left="0" w:leftChars="0" w:right="0" w:rightChars="0"/>
              <w:jc w:val="center"/>
              <w:rPr>
                <w:rFonts w:hint="eastAsia" w:ascii="宋体" w:hAnsi="宋体"/>
                <w:color w:val="auto"/>
                <w:highlight w:val="none"/>
              </w:rPr>
            </w:pPr>
            <w:r>
              <w:rPr>
                <w:rFonts w:hint="eastAsia" w:ascii="宋体" w:hAnsi="宋体"/>
                <w:color w:val="auto"/>
                <w:highlight w:val="none"/>
              </w:rPr>
              <w:t>2</w:t>
            </w:r>
          </w:p>
        </w:tc>
        <w:tc>
          <w:tcPr>
            <w:tcW w:w="1417" w:type="pct"/>
            <w:vAlign w:val="center"/>
          </w:tcPr>
          <w:p w14:paraId="0466D023">
            <w:pPr>
              <w:keepNext w:val="0"/>
              <w:keepLines w:val="0"/>
              <w:widowControl/>
              <w:suppressLineNumbers w:val="0"/>
              <w:spacing w:before="0" w:beforeAutospacing="0" w:after="0" w:afterAutospacing="0"/>
              <w:ind w:left="0" w:leftChars="0" w:right="0" w:rightChars="0"/>
              <w:jc w:val="center"/>
              <w:rPr>
                <w:rFonts w:hint="eastAsia" w:ascii="宋体" w:hAnsi="宋体"/>
                <w:color w:val="auto"/>
                <w:highlight w:val="none"/>
              </w:rPr>
            </w:pPr>
            <w:r>
              <w:rPr>
                <w:rFonts w:hint="eastAsia" w:ascii="宋体" w:hAnsi="宋体"/>
                <w:color w:val="auto"/>
                <w:highlight w:val="none"/>
              </w:rPr>
              <w:t>某航线升级扩容建设采购项目-</w:t>
            </w:r>
            <w:r>
              <w:rPr>
                <w:rFonts w:hint="eastAsia" w:ascii="宋体" w:hAnsi="宋体"/>
                <w:color w:val="auto"/>
                <w:highlight w:val="none"/>
                <w:lang w:val="en-US" w:eastAsia="zh-CN"/>
              </w:rPr>
              <w:t>服务</w:t>
            </w:r>
            <w:r>
              <w:rPr>
                <w:rFonts w:hint="eastAsia" w:ascii="宋体" w:hAnsi="宋体"/>
                <w:color w:val="auto"/>
                <w:highlight w:val="none"/>
              </w:rPr>
              <w:t>部分</w:t>
            </w:r>
          </w:p>
        </w:tc>
        <w:tc>
          <w:tcPr>
            <w:tcW w:w="912" w:type="pct"/>
            <w:vAlign w:val="center"/>
          </w:tcPr>
          <w:p w14:paraId="1D1879AD">
            <w:pPr>
              <w:keepNext w:val="0"/>
              <w:keepLines w:val="0"/>
              <w:widowControl/>
              <w:suppressLineNumbers w:val="0"/>
              <w:spacing w:before="0" w:beforeAutospacing="0" w:after="0" w:afterAutospacing="0"/>
              <w:ind w:left="0" w:leftChars="0" w:right="0" w:rightChars="0"/>
              <w:jc w:val="center"/>
              <w:rPr>
                <w:rFonts w:hint="default" w:ascii="宋体" w:hAnsi="宋体"/>
                <w:color w:val="auto"/>
                <w:highlight w:val="none"/>
                <w:lang w:val="en-US" w:eastAsia="zh-CN"/>
              </w:rPr>
            </w:pPr>
            <w:r>
              <w:rPr>
                <w:rFonts w:hint="eastAsia" w:ascii="宋体" w:hAnsi="宋体"/>
                <w:color w:val="auto"/>
                <w:highlight w:val="none"/>
                <w:lang w:val="en-US" w:eastAsia="zh-CN"/>
              </w:rPr>
              <w:t>1</w:t>
            </w:r>
          </w:p>
        </w:tc>
        <w:tc>
          <w:tcPr>
            <w:tcW w:w="925" w:type="pct"/>
            <w:vAlign w:val="center"/>
          </w:tcPr>
          <w:p w14:paraId="2527FF1B">
            <w:pPr>
              <w:keepNext w:val="0"/>
              <w:keepLines w:val="0"/>
              <w:widowControl/>
              <w:suppressLineNumbers w:val="0"/>
              <w:spacing w:before="0" w:beforeAutospacing="0" w:after="0" w:afterAutospacing="0"/>
              <w:ind w:left="0" w:leftChars="0" w:right="0" w:rightChars="0"/>
              <w:jc w:val="center"/>
              <w:rPr>
                <w:rFonts w:hint="eastAsia" w:ascii="宋体" w:hAnsi="宋体"/>
                <w:color w:val="auto"/>
                <w:highlight w:val="none"/>
                <w:lang w:val="en-US" w:eastAsia="zh-CN"/>
              </w:rPr>
            </w:pPr>
            <w:r>
              <w:rPr>
                <w:rFonts w:hint="eastAsia" w:ascii="宋体" w:hAnsi="宋体"/>
                <w:color w:val="auto"/>
                <w:highlight w:val="none"/>
                <w:lang w:val="en-US" w:eastAsia="zh-CN"/>
              </w:rPr>
              <w:t>项</w:t>
            </w:r>
          </w:p>
        </w:tc>
        <w:tc>
          <w:tcPr>
            <w:tcW w:w="1312" w:type="pct"/>
            <w:vAlign w:val="top"/>
          </w:tcPr>
          <w:p w14:paraId="38A61C72">
            <w:pPr>
              <w:keepNext w:val="0"/>
              <w:keepLines w:val="0"/>
              <w:widowControl/>
              <w:suppressLineNumbers w:val="0"/>
              <w:spacing w:before="0" w:beforeAutospacing="0" w:after="0" w:afterAutospacing="0"/>
              <w:ind w:left="0" w:leftChars="0" w:right="0" w:rightChars="0"/>
              <w:jc w:val="center"/>
              <w:rPr>
                <w:rFonts w:hint="default" w:ascii="宋体" w:hAnsi="宋体"/>
                <w:color w:val="auto"/>
                <w:highlight w:val="none"/>
                <w:lang w:val="en-US"/>
              </w:rPr>
            </w:pPr>
            <w:r>
              <w:rPr>
                <w:rFonts w:hint="eastAsia" w:ascii="宋体" w:hAnsi="宋体"/>
                <w:color w:val="auto"/>
                <w:highlight w:val="none"/>
              </w:rPr>
              <w:t>1418867.92</w:t>
            </w:r>
          </w:p>
        </w:tc>
      </w:tr>
    </w:tbl>
    <w:p w14:paraId="62AA14A3">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06867A44">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（1）预估</w:t>
      </w:r>
      <w:r>
        <w:rPr>
          <w:rFonts w:hint="eastAsia" w:ascii="宋体" w:hAnsi="宋体" w:eastAsia="宋体" w:cs="宋体"/>
          <w:color w:val="auto"/>
          <w:szCs w:val="21"/>
          <w:highlight w:val="none"/>
          <w14:ligatures w14:val="none"/>
        </w:rPr>
        <w:t>金额</w:t>
      </w:r>
      <w:r>
        <w:rPr>
          <w:rFonts w:hint="eastAsia" w:ascii="宋体" w:hAnsi="宋体" w:eastAsia="宋体" w:cs="宋体"/>
          <w:color w:val="auto"/>
          <w:szCs w:val="21"/>
          <w:highlight w:val="none"/>
          <w:lang w:bidi="ar"/>
          <w14:ligatures w14:val="none"/>
        </w:rPr>
        <w:t>：【</w:t>
      </w:r>
      <w:r>
        <w:rPr>
          <w:rFonts w:hint="eastAsia" w:ascii="宋体" w:hAnsi="宋体" w:cs="宋体"/>
          <w:szCs w:val="21"/>
          <w:highlight w:val="yellow"/>
          <w:lang w:bidi="ar"/>
        </w:rPr>
        <w:t>2081699.78</w:t>
      </w:r>
      <w:r>
        <w:rPr>
          <w:rFonts w:hint="eastAsia" w:ascii="宋体" w:hAnsi="宋体" w:eastAsia="宋体" w:cs="宋体"/>
          <w:color w:val="auto"/>
          <w:szCs w:val="21"/>
          <w:highlight w:val="none"/>
          <w:lang w:bidi="ar"/>
          <w14:ligatures w14:val="none"/>
        </w:rPr>
        <w:t>】元（不含税）；</w:t>
      </w:r>
    </w:p>
    <w:p w14:paraId="2F96FBD6">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（2）项目类型：【服务】；</w:t>
      </w:r>
    </w:p>
    <w:p w14:paraId="490B2E81">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lang w:bidi="ar"/>
          <w14:ligatures w14:val="none"/>
        </w:rPr>
        <w:t>（3）</w:t>
      </w:r>
      <w:r>
        <w:rPr>
          <w:rFonts w:hint="eastAsia" w:ascii="宋体" w:hAnsi="宋体" w:eastAsia="宋体" w:cs="宋体"/>
          <w:color w:val="auto"/>
          <w:szCs w:val="21"/>
          <w:highlight w:val="none"/>
          <w14:ligatures w14:val="none"/>
        </w:rPr>
        <w:t>技术要求</w:t>
      </w:r>
      <w:r>
        <w:rPr>
          <w:rFonts w:hint="eastAsia" w:ascii="宋体" w:hAnsi="宋体" w:eastAsia="宋体" w:cs="宋体"/>
          <w:color w:val="auto"/>
          <w:szCs w:val="21"/>
          <w:highlight w:val="none"/>
          <w:lang w:bidi="ar"/>
          <w14:ligatures w14:val="none"/>
        </w:rPr>
        <w:t>：以询比文件第五章技术规范书要求为准；</w:t>
      </w:r>
    </w:p>
    <w:p w14:paraId="43400E75">
      <w:pPr>
        <w:wordWrap w:val="0"/>
        <w:adjustRightInd w:val="0"/>
        <w:snapToGrid w:val="0"/>
        <w:spacing w:line="360" w:lineRule="auto"/>
        <w:ind w:firstLine="420" w:firstLineChars="200"/>
        <w:jc w:val="left"/>
        <w:rPr>
          <w:rFonts w:hint="eastAsia" w:ascii="宋体" w:hAnsi="宋体" w:eastAsia="宋体" w:cs="宋体"/>
          <w:color w:val="auto"/>
          <w:szCs w:val="21"/>
          <w:highlight w:val="none"/>
          <w:lang w:eastAsia="zh-CN"/>
          <w14:ligatures w14:val="none"/>
        </w:rPr>
      </w:pPr>
      <w:r>
        <w:rPr>
          <w:rFonts w:hint="eastAsia" w:ascii="宋体" w:hAnsi="宋体" w:eastAsia="宋体" w:cs="宋体"/>
          <w:color w:val="auto"/>
          <w:szCs w:val="21"/>
          <w:highlight w:val="none"/>
          <w:lang w:bidi="ar"/>
          <w14:ligatures w14:val="none"/>
        </w:rPr>
        <w:t>（4）</w:t>
      </w:r>
      <w:r>
        <w:rPr>
          <w:rFonts w:hint="eastAsia" w:ascii="宋体" w:hAnsi="宋体" w:cs="宋体"/>
          <w:color w:val="auto"/>
          <w:szCs w:val="21"/>
          <w:highlight w:val="none"/>
        </w:rPr>
        <w:t>★</w:t>
      </w:r>
      <w:r>
        <w:rPr>
          <w:rFonts w:hint="eastAsia" w:ascii="宋体" w:hAnsi="宋体" w:cs="宋体"/>
          <w:color w:val="auto"/>
          <w:szCs w:val="21"/>
          <w:highlight w:val="none"/>
          <w:lang w:eastAsia="zh-CN"/>
        </w:rPr>
        <w:t>免费保修期：自终验合格之日起1年</w:t>
      </w:r>
      <w:r>
        <w:rPr>
          <w:rFonts w:hint="eastAsia" w:ascii="宋体" w:hAnsi="宋体" w:cs="宋体"/>
          <w:color w:val="auto"/>
          <w:szCs w:val="21"/>
          <w:highlight w:val="none"/>
          <w:lang w:val="en-US" w:eastAsia="zh-CN"/>
          <w14:ligatures w14:val="none"/>
        </w:rPr>
        <w:t>。</w:t>
      </w:r>
    </w:p>
    <w:p w14:paraId="32B24605">
      <w:pPr>
        <w:wordWrap w:val="0"/>
        <w:adjustRightInd w:val="0"/>
        <w:snapToGrid w:val="0"/>
        <w:spacing w:line="360" w:lineRule="auto"/>
        <w:ind w:firstLine="420" w:firstLineChars="200"/>
        <w:jc w:val="left"/>
        <w:rPr>
          <w:rFonts w:cs="Times New Roman" w:asciiTheme="minorEastAsia" w:hAnsiTheme="minorEastAsia" w:eastAsiaTheme="minorEastAsia"/>
          <w:color w:val="auto"/>
          <w:sz w:val="22"/>
          <w:szCs w:val="22"/>
          <w:highlight w:val="none"/>
        </w:rPr>
      </w:pPr>
      <w:r>
        <w:rPr>
          <w:rFonts w:hint="eastAsia" w:ascii="宋体" w:hAnsi="宋体" w:eastAsia="宋体" w:cs="宋体"/>
          <w:color w:val="auto"/>
          <w:szCs w:val="21"/>
          <w:highlight w:val="none"/>
          <w14:ligatures w14:val="none"/>
        </w:rPr>
        <w:t>（</w:t>
      </w:r>
      <w:r>
        <w:rPr>
          <w:rFonts w:hint="eastAsia" w:ascii="宋体" w:hAnsi="宋体" w:cs="宋体"/>
          <w:color w:val="auto"/>
          <w:szCs w:val="21"/>
          <w:highlight w:val="none"/>
          <w:lang w:val="en-US" w:eastAsia="zh-CN"/>
          <w14:ligatures w14:val="none"/>
        </w:rPr>
        <w:t>5</w:t>
      </w:r>
      <w:r>
        <w:rPr>
          <w:rFonts w:hint="eastAsia" w:ascii="宋体" w:hAnsi="宋体" w:eastAsia="宋体" w:cs="宋体"/>
          <w:color w:val="auto"/>
          <w:szCs w:val="21"/>
          <w:highlight w:val="none"/>
          <w14:ligatures w14:val="none"/>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项目完成期：自合同签约之日起1个月内安装调试完毕，验收合格后并交付采购人使用</w:t>
      </w:r>
      <w:r>
        <w:rPr>
          <w:rFonts w:hint="eastAsia" w:cs="Times New Roman" w:asciiTheme="minorEastAsia" w:hAnsiTheme="minorEastAsia" w:eastAsiaTheme="minorEastAsia"/>
          <w:color w:val="auto"/>
          <w:sz w:val="22"/>
          <w:szCs w:val="22"/>
          <w:highlight w:val="none"/>
        </w:rPr>
        <w:t>。</w:t>
      </w:r>
    </w:p>
    <w:p w14:paraId="59E14078">
      <w:pPr>
        <w:wordWrap w:val="0"/>
        <w:adjustRightInd w:val="0"/>
        <w:snapToGrid w:val="0"/>
        <w:spacing w:line="360" w:lineRule="auto"/>
        <w:ind w:firstLine="420" w:firstLineChars="200"/>
        <w:jc w:val="left"/>
        <w:rPr>
          <w:rFonts w:hint="eastAsia" w:ascii="宋体" w:hAnsi="宋体" w:eastAsia="宋体" w:cs="宋体"/>
          <w:color w:val="auto"/>
          <w:szCs w:val="21"/>
          <w:highlight w:val="none"/>
          <w:lang w:eastAsia="zh-CN"/>
          <w14:ligatures w14: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实施地点：福建省泉州市采购人指定地点</w:t>
      </w:r>
      <w:r>
        <w:rPr>
          <w:rFonts w:hint="eastAsia" w:ascii="宋体" w:hAnsi="宋体"/>
          <w:color w:val="auto"/>
          <w:kern w:val="2"/>
          <w:sz w:val="21"/>
          <w:szCs w:val="21"/>
          <w:highlight w:val="none"/>
          <w:lang w:eastAsia="zh-CN"/>
        </w:rPr>
        <w:t>。</w:t>
      </w:r>
    </w:p>
    <w:p w14:paraId="126AB6CD">
      <w:pPr>
        <w:wordWrap w:val="0"/>
        <w:adjustRightInd w:val="0"/>
        <w:snapToGrid w:val="0"/>
        <w:spacing w:line="360" w:lineRule="auto"/>
        <w:ind w:firstLine="420" w:firstLineChars="200"/>
        <w:jc w:val="left"/>
        <w:rPr>
          <w:rFonts w:ascii="宋体" w:hAnsi="宋体" w:eastAsia="宋体" w:cs="宋体"/>
          <w:b/>
          <w:bCs/>
          <w:color w:val="auto"/>
          <w:szCs w:val="21"/>
          <w:highlight w:val="none"/>
          <w14:ligatures w14:val="none"/>
        </w:rPr>
      </w:pPr>
      <w:r>
        <w:rPr>
          <w:rFonts w:hint="eastAsia" w:ascii="宋体" w:hAnsi="宋体" w:eastAsia="宋体" w:cs="宋体"/>
          <w:color w:val="auto"/>
          <w:szCs w:val="21"/>
          <w:highlight w:val="none"/>
          <w14:ligatures w14:val="none"/>
        </w:rPr>
        <w:t>1.3</w:t>
      </w:r>
      <w:r>
        <w:rPr>
          <w:rFonts w:hint="eastAsia" w:ascii="宋体" w:hAnsi="宋体" w:eastAsia="宋体" w:cs="宋体"/>
          <w:szCs w:val="21"/>
          <w:highlight w:val="none"/>
          <w14:ligatures w14:val="none"/>
        </w:rPr>
        <w:t>本项目不划分标包，成交供应商数量1个</w:t>
      </w:r>
      <w:r>
        <w:rPr>
          <w:rFonts w:hint="eastAsia" w:ascii="宋体" w:hAnsi="宋体" w:eastAsia="宋体" w:cs="宋体"/>
          <w:color w:val="auto"/>
          <w:kern w:val="0"/>
          <w:szCs w:val="21"/>
          <w:highlight w:val="none"/>
          <w:lang w:bidi="ar"/>
          <w14:ligatures w14:val="none"/>
        </w:rPr>
        <w:t xml:space="preserve">。            </w:t>
      </w:r>
    </w:p>
    <w:p w14:paraId="1C972A79">
      <w:pPr>
        <w:adjustRightInd w:val="0"/>
        <w:snapToGrid w:val="0"/>
        <w:spacing w:line="440" w:lineRule="exact"/>
        <w:ind w:firstLine="420" w:firstLineChars="200"/>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bidi="ar"/>
          <w14:ligatures w14:val="none"/>
        </w:rPr>
        <w:t>1.</w:t>
      </w:r>
      <w:r>
        <w:rPr>
          <w:rFonts w:hint="eastAsia" w:ascii="宋体" w:hAnsi="宋体" w:cs="宋体"/>
          <w:color w:val="auto"/>
          <w:szCs w:val="21"/>
          <w:highlight w:val="none"/>
          <w:lang w:val="en-US" w:eastAsia="zh-CN" w:bidi="ar"/>
          <w14:ligatures w14:val="none"/>
        </w:rPr>
        <w:t>4</w:t>
      </w:r>
      <w:r>
        <w:rPr>
          <w:rFonts w:hint="eastAsia" w:ascii="宋体" w:hAnsi="宋体" w:eastAsia="宋体" w:cs="宋体"/>
          <w:color w:val="auto"/>
          <w:szCs w:val="21"/>
          <w:highlight w:val="none"/>
          <w:lang w:bidi="ar"/>
          <w14:ligatures w14:val="none"/>
        </w:rPr>
        <w:t>本项目设置最高响应限价，最高响应限价</w:t>
      </w:r>
      <w:r>
        <w:rPr>
          <w:rFonts w:hint="eastAsia" w:ascii="宋体" w:hAnsi="宋体" w:eastAsia="宋体" w:cs="宋体"/>
          <w:color w:val="auto"/>
          <w:szCs w:val="21"/>
          <w:highlight w:val="none"/>
          <w14:ligatures w14:val="none"/>
        </w:rPr>
        <w:t>【</w:t>
      </w:r>
      <w:r>
        <w:rPr>
          <w:rFonts w:hint="eastAsia" w:ascii="宋体" w:hAnsi="宋体" w:cs="宋体"/>
          <w:color w:val="auto"/>
          <w:szCs w:val="21"/>
          <w:highlight w:val="none"/>
          <w:lang w:val="en-US" w:eastAsia="zh-CN" w:bidi="ar"/>
          <w14:ligatures w14:val="none"/>
        </w:rPr>
        <w:t>详见询比公告1.2条款</w:t>
      </w:r>
      <w:r>
        <w:rPr>
          <w:rFonts w:hint="eastAsia" w:ascii="宋体" w:hAnsi="宋体" w:eastAsia="宋体" w:cs="宋体"/>
          <w:color w:val="auto"/>
          <w:szCs w:val="21"/>
          <w:highlight w:val="none"/>
          <w14:ligatures w14:val="none"/>
        </w:rPr>
        <w:t>】，供应商响应报价高于最高响应限价的，其响应将被否决</w:t>
      </w:r>
      <w:r>
        <w:rPr>
          <w:rFonts w:hint="eastAsia" w:ascii="宋体" w:hAnsi="宋体" w:cs="宋体"/>
          <w:color w:val="auto"/>
          <w:szCs w:val="21"/>
          <w:highlight w:val="none"/>
          <w:lang w:eastAsia="zh-CN"/>
          <w14:ligatures w14:val="none"/>
        </w:rPr>
        <w:t>。</w:t>
      </w:r>
    </w:p>
    <w:p w14:paraId="02E55AA4">
      <w:pPr>
        <w:pStyle w:val="53"/>
        <w:adjustRightInd w:val="0"/>
        <w:snapToGrid w:val="0"/>
        <w:spacing w:line="440" w:lineRule="exact"/>
        <w:ind w:firstLine="0" w:firstLineChars="0"/>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eastAsia="zh-CN"/>
        </w:rPr>
        <w:t>供应商</w:t>
      </w:r>
      <w:r>
        <w:rPr>
          <w:rFonts w:hint="eastAsia" w:ascii="宋体" w:hAnsi="宋体"/>
          <w:b/>
          <w:color w:val="auto"/>
          <w:szCs w:val="21"/>
          <w:highlight w:val="none"/>
        </w:rPr>
        <w:t>资格要求</w:t>
      </w:r>
      <w:bookmarkEnd w:id="28"/>
      <w:bookmarkEnd w:id="29"/>
      <w:bookmarkEnd w:id="30"/>
    </w:p>
    <w:p w14:paraId="714F6357">
      <w:pPr>
        <w:spacing w:line="440" w:lineRule="exact"/>
        <w:rPr>
          <w:rFonts w:ascii="宋体" w:hAnsi="宋体"/>
          <w:b/>
          <w:bCs/>
          <w:color w:val="auto"/>
          <w:szCs w:val="21"/>
          <w:highlight w:val="none"/>
        </w:rPr>
      </w:pPr>
      <w:bookmarkStart w:id="31" w:name="_Toc319769474"/>
      <w:bookmarkStart w:id="32" w:name="_Toc319394715"/>
      <w:bookmarkStart w:id="33" w:name="_Toc184704556"/>
      <w:r>
        <w:rPr>
          <w:rFonts w:hint="eastAsia" w:ascii="宋体" w:hAnsi="宋体"/>
          <w:b/>
          <w:bCs/>
          <w:color w:val="auto"/>
          <w:szCs w:val="21"/>
          <w:highlight w:val="none"/>
        </w:rPr>
        <w:t>2.1</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2.1.2</w:t>
      </w:r>
      <w:r>
        <w:rPr>
          <w:rFonts w:hint="eastAsia" w:ascii="宋体" w:hAnsi="宋体" w:eastAsia="宋体" w:cs="宋体"/>
          <w:color w:val="auto"/>
          <w:szCs w:val="21"/>
          <w:highlight w:val="none"/>
          <w:lang w:bidi="ar"/>
        </w:rPr>
        <w:t>供应商的法定代表人或负责人为同一人或者存在控股、管理关系的不同供应商，不得参加同一标包响应或者未划分标包的同一询比项目响应。</w:t>
      </w:r>
    </w:p>
    <w:p w14:paraId="53758959">
      <w:pPr>
        <w:tabs>
          <w:tab w:val="left" w:pos="993"/>
        </w:tabs>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2.1.</w:t>
      </w:r>
      <w:r>
        <w:rPr>
          <w:rFonts w:hint="eastAsia" w:ascii="宋体" w:hAnsi="宋体" w:eastAsia="宋体" w:cs="宋体"/>
          <w:color w:val="auto"/>
          <w:szCs w:val="21"/>
          <w:highlight w:val="none"/>
          <w:lang w:val="en-US" w:eastAsia="zh-CN"/>
          <w14:ligatures w14:val="none"/>
        </w:rPr>
        <w:t>3</w:t>
      </w:r>
      <w:r>
        <w:rPr>
          <w:rFonts w:hint="eastAsia" w:ascii="宋体" w:hAnsi="宋体" w:eastAsia="宋体" w:cs="宋体"/>
          <w:color w:val="auto"/>
          <w:szCs w:val="21"/>
          <w:highlight w:val="none"/>
          <w14:ligatures w14:val="none"/>
        </w:rPr>
        <w:t>本次询比不接受联合体响应。</w:t>
      </w:r>
    </w:p>
    <w:p w14:paraId="1A6D6845">
      <w:pPr>
        <w:wordWrap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2.1.</w:t>
      </w:r>
      <w:r>
        <w:rPr>
          <w:rFonts w:hint="eastAsia" w:ascii="宋体" w:hAnsi="宋体" w:eastAsia="宋体" w:cs="宋体"/>
          <w:color w:val="auto"/>
          <w:szCs w:val="21"/>
          <w:highlight w:val="none"/>
          <w:lang w:val="en-US" w:eastAsia="zh-CN"/>
          <w14:ligatures w14:val="none"/>
        </w:rPr>
        <w:t>4</w:t>
      </w:r>
      <w:r>
        <w:rPr>
          <w:rFonts w:hint="eastAsia" w:ascii="宋体" w:hAnsi="宋体" w:eastAsia="宋体" w:cs="宋体"/>
          <w:color w:val="auto"/>
          <w:szCs w:val="21"/>
          <w:highlight w:val="none"/>
          <w14:ligatures w14:val="none"/>
        </w:rPr>
        <w:t xml:space="preserve"> 本次询比接受代理商响应。代理商响应的，应满足下列要求：</w:t>
      </w:r>
    </w:p>
    <w:p w14:paraId="5C44673B">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lang w:eastAsia="zh-CN"/>
          <w14:ligatures w14:val="none"/>
        </w:rPr>
        <w:t>（</w:t>
      </w:r>
      <w:r>
        <w:rPr>
          <w:rFonts w:hint="eastAsia" w:ascii="宋体" w:hAnsi="宋体" w:eastAsia="宋体" w:cs="宋体"/>
          <w:color w:val="auto"/>
          <w:szCs w:val="21"/>
          <w:highlight w:val="none"/>
          <w:lang w:val="en-US" w:eastAsia="zh-CN"/>
          <w14:ligatures w14:val="none"/>
        </w:rPr>
        <w:t>1</w:t>
      </w:r>
      <w:r>
        <w:rPr>
          <w:rFonts w:hint="eastAsia" w:ascii="宋体" w:hAnsi="宋体" w:eastAsia="宋体" w:cs="宋体"/>
          <w:color w:val="auto"/>
          <w:szCs w:val="21"/>
          <w:highlight w:val="none"/>
          <w:lang w:eastAsia="zh-CN"/>
          <w14:ligatures w14:val="none"/>
        </w:rPr>
        <w:t>）</w:t>
      </w:r>
      <w:r>
        <w:rPr>
          <w:rFonts w:hint="eastAsia" w:ascii="宋体" w:hAnsi="宋体" w:eastAsia="宋体" w:cs="宋体"/>
          <w:color w:val="auto"/>
          <w:szCs w:val="21"/>
          <w:highlight w:val="none"/>
          <w14:ligatures w14:val="none"/>
        </w:rPr>
        <w:t>本项目的核心产品</w:t>
      </w:r>
      <w:r>
        <w:rPr>
          <w:rFonts w:hint="eastAsia" w:ascii="宋体" w:hAnsi="宋体" w:eastAsia="宋体" w:cs="宋体"/>
          <w:color w:val="auto"/>
          <w:szCs w:val="21"/>
          <w:highlight w:val="none"/>
          <w:lang w:eastAsia="zh-CN"/>
          <w14:ligatures w14:val="none"/>
        </w:rPr>
        <w:t>【</w:t>
      </w:r>
      <w:r>
        <w:rPr>
          <w:rFonts w:hint="eastAsia" w:ascii="宋体" w:hAnsi="宋体" w:cs="宋体"/>
          <w:color w:val="auto"/>
          <w:szCs w:val="21"/>
          <w:highlight w:val="none"/>
          <w:lang w:eastAsia="zh-CN"/>
          <w14:ligatures w14:val="none"/>
        </w:rPr>
        <w:t>X光机系统</w:t>
      </w:r>
      <w:r>
        <w:rPr>
          <w:rFonts w:hint="eastAsia" w:ascii="宋体" w:hAnsi="宋体" w:eastAsia="宋体" w:cs="宋体"/>
          <w:color w:val="auto"/>
          <w:szCs w:val="21"/>
          <w:highlight w:val="none"/>
          <w:lang w:eastAsia="zh-CN"/>
          <w14:ligatures w14:val="none"/>
        </w:rPr>
        <w:t>】</w:t>
      </w:r>
      <w:r>
        <w:rPr>
          <w:rFonts w:hint="eastAsia" w:ascii="宋体" w:hAnsi="宋体" w:eastAsia="宋体" w:cs="宋体"/>
          <w:color w:val="auto"/>
          <w:szCs w:val="21"/>
          <w:highlight w:val="none"/>
          <w14:ligatures w14:val="none"/>
        </w:rPr>
        <w:t>允许代理制造商响应，且该制造商不得再自行响应或对同一品牌同一型号的货物再委托其它供应商响应；</w:t>
      </w:r>
    </w:p>
    <w:p w14:paraId="30A3E227">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（2）供应商应提供</w:t>
      </w:r>
      <w:r>
        <w:rPr>
          <w:rFonts w:hint="eastAsia" w:ascii="宋体" w:hAnsi="宋体" w:eastAsia="宋体" w:cs="宋体"/>
          <w:color w:val="auto"/>
          <w:szCs w:val="21"/>
          <w:highlight w:val="none"/>
          <w:lang w:eastAsia="zh-CN"/>
          <w14:ligatures w14:val="none"/>
        </w:rPr>
        <w:t>【</w:t>
      </w:r>
      <w:r>
        <w:rPr>
          <w:rFonts w:hint="eastAsia" w:ascii="宋体" w:hAnsi="宋体" w:cs="宋体"/>
          <w:color w:val="auto"/>
          <w:szCs w:val="21"/>
          <w:highlight w:val="none"/>
          <w:lang w:eastAsia="zh-CN"/>
          <w14:ligatures w14:val="none"/>
        </w:rPr>
        <w:t>X光机系统</w:t>
      </w:r>
      <w:r>
        <w:rPr>
          <w:rFonts w:hint="eastAsia" w:ascii="宋体" w:hAnsi="宋体" w:eastAsia="宋体" w:cs="宋体"/>
          <w:color w:val="auto"/>
          <w:szCs w:val="21"/>
          <w:highlight w:val="none"/>
          <w14:ligatures w14:val="none"/>
        </w:rPr>
        <w:t>】产品的制造商产品说明书。</w:t>
      </w:r>
    </w:p>
    <w:p w14:paraId="2935603C">
      <w:pPr>
        <w:tabs>
          <w:tab w:val="left" w:pos="993"/>
        </w:tabs>
        <w:spacing w:line="440" w:lineRule="exact"/>
        <w:ind w:firstLine="424" w:firstLineChars="202"/>
        <w:rPr>
          <w:rFonts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【2.1.</w:t>
      </w:r>
      <w:r>
        <w:rPr>
          <w:rFonts w:hint="eastAsia" w:ascii="宋体" w:hAnsi="宋体" w:cs="宋体"/>
          <w:color w:val="auto"/>
          <w:szCs w:val="21"/>
          <w:highlight w:val="none"/>
          <w:lang w:val="en-US" w:eastAsia="zh-CN"/>
          <w14:ligatures w14:val="standardContextual"/>
        </w:rPr>
        <w:t>5</w:t>
      </w:r>
      <w:r>
        <w:rPr>
          <w:rFonts w:hint="eastAsia" w:ascii="宋体" w:hAnsi="宋体" w:eastAsia="宋体" w:cs="宋体"/>
          <w:color w:val="auto"/>
          <w:szCs w:val="21"/>
          <w:highlight w:val="none"/>
          <w14:ligatures w14:val="standardContextual"/>
        </w:rPr>
        <w:t>响应产品</w:t>
      </w:r>
      <w:r>
        <w:rPr>
          <w:rFonts w:hint="eastAsia" w:ascii="宋体" w:hAnsi="宋体" w:eastAsia="宋体" w:cs="宋体"/>
          <w:color w:val="auto"/>
          <w:szCs w:val="21"/>
          <w:highlight w:val="none"/>
          <w:lang w:eastAsia="zh-CN"/>
          <w14:ligatures w14:val="none"/>
        </w:rPr>
        <w:t>【</w:t>
      </w:r>
      <w:r>
        <w:rPr>
          <w:rFonts w:hint="eastAsia" w:ascii="宋体" w:hAnsi="宋体" w:cs="宋体"/>
          <w:color w:val="auto"/>
          <w:szCs w:val="21"/>
          <w:highlight w:val="none"/>
          <w:lang w:eastAsia="zh-CN"/>
          <w14:ligatures w14:val="none"/>
        </w:rPr>
        <w:t>X光机系统</w:t>
      </w:r>
      <w:r>
        <w:rPr>
          <w:rFonts w:hint="eastAsia" w:ascii="宋体" w:hAnsi="宋体" w:eastAsia="宋体" w:cs="宋体"/>
          <w:color w:val="auto"/>
          <w:szCs w:val="21"/>
          <w:highlight w:val="none"/>
          <w:lang w:eastAsia="zh-CN"/>
          <w14:ligatures w14:val="none"/>
        </w:rPr>
        <w:t>】</w:t>
      </w:r>
      <w:r>
        <w:rPr>
          <w:rFonts w:hint="eastAsia" w:ascii="宋体" w:hAnsi="宋体" w:eastAsia="宋体" w:cs="宋体"/>
          <w:color w:val="auto"/>
          <w:szCs w:val="21"/>
          <w:highlight w:val="none"/>
          <w14:ligatures w14:val="standardContextual"/>
        </w:rPr>
        <w:t>所涉知识产权应保证不存在权利瑕疵，不侵害第三方专利权、商标权、著作权或其他任何形式的合法权益，并提供《知识产权不侵权承诺函》。】</w:t>
      </w:r>
    </w:p>
    <w:p w14:paraId="384E8008">
      <w:pPr>
        <w:tabs>
          <w:tab w:val="left" w:pos="993"/>
        </w:tabs>
        <w:spacing w:line="440" w:lineRule="exact"/>
        <w:ind w:firstLine="424" w:firstLineChars="202"/>
        <w:rPr>
          <w:rFonts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【2.1.</w:t>
      </w:r>
      <w:r>
        <w:rPr>
          <w:rFonts w:hint="eastAsia" w:ascii="宋体" w:hAnsi="宋体" w:cs="宋体"/>
          <w:color w:val="auto"/>
          <w:szCs w:val="21"/>
          <w:highlight w:val="none"/>
          <w:lang w:val="en-US" w:eastAsia="zh-CN"/>
          <w14:ligatures w14:val="standardContextual"/>
        </w:rPr>
        <w:t xml:space="preserve">6 </w:t>
      </w:r>
      <w:r>
        <w:rPr>
          <w:rFonts w:hint="eastAsia" w:ascii="宋体" w:hAnsi="宋体" w:eastAsia="宋体" w:cs="宋体"/>
          <w:color w:val="auto"/>
          <w:szCs w:val="21"/>
          <w:highlight w:val="none"/>
          <w14:ligatures w14:val="standardContextual"/>
        </w:rPr>
        <w:t>与供应商有响应产品代工制造关系的制造商不得参加同一标包响应或者未划分标包的同一询比项目响应。】</w:t>
      </w:r>
    </w:p>
    <w:p w14:paraId="409AEAFD">
      <w:pPr>
        <w:spacing w:line="440" w:lineRule="exact"/>
        <w:rPr>
          <w:rFonts w:ascii="宋体" w:hAnsi="宋体"/>
          <w:color w:val="auto"/>
          <w:szCs w:val="21"/>
          <w:highlight w:val="none"/>
        </w:rPr>
      </w:pPr>
      <w:r>
        <w:rPr>
          <w:rFonts w:hint="eastAsia" w:ascii="宋体" w:hAnsi="宋体"/>
          <w:b/>
          <w:bCs/>
          <w:color w:val="auto"/>
          <w:szCs w:val="21"/>
          <w:highlight w:val="none"/>
        </w:rPr>
        <w:t>2.2</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不得存在下列情形之一</w:t>
      </w:r>
      <w:r>
        <w:rPr>
          <w:rFonts w:hint="eastAsia" w:ascii="宋体" w:hAnsi="宋体"/>
          <w:color w:val="auto"/>
          <w:szCs w:val="21"/>
          <w:highlight w:val="none"/>
        </w:rPr>
        <w:t>：</w:t>
      </w:r>
    </w:p>
    <w:p w14:paraId="3704AB87">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（1）为采购人不具有独立法人资格的附属机构（单位）；</w:t>
      </w:r>
    </w:p>
    <w:p w14:paraId="77EAE51F">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w:t>
      </w:r>
      <w:r>
        <w:rPr>
          <w:rFonts w:hint="eastAsia" w:ascii="宋体" w:hAnsi="宋体" w:eastAsia="宋体" w:cs="宋体"/>
          <w:color w:val="auto"/>
          <w:szCs w:val="21"/>
          <w:highlight w:val="none"/>
          <w:lang w:bidi="ar"/>
          <w14:ligatures w14:val="none"/>
        </w:rPr>
        <w:t>被依法暂停或取消投标/响应资格的</w:t>
      </w:r>
      <w:r>
        <w:rPr>
          <w:rFonts w:hint="eastAsia" w:ascii="宋体" w:hAnsi="宋体" w:eastAsia="宋体" w:cs="宋体"/>
          <w:color w:val="auto"/>
          <w:szCs w:val="21"/>
          <w:highlight w:val="none"/>
          <w14:ligatures w14:val="none"/>
        </w:rPr>
        <w:t>；</w:t>
      </w:r>
    </w:p>
    <w:p w14:paraId="175E17FF">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 xml:space="preserve">（3）被责令停产停业、暂扣或者吊销许可证、暂扣或者吊销执照； </w:t>
      </w:r>
    </w:p>
    <w:p w14:paraId="46EA19F3">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 xml:space="preserve">（4）进入清算程序，或被宣告破产，或其他丧失履约能力的情形； </w:t>
      </w:r>
    </w:p>
    <w:p w14:paraId="37F9D84B">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（5）在最近三年内（自20</w:t>
      </w:r>
      <w:r>
        <w:rPr>
          <w:rFonts w:hint="eastAsia" w:ascii="宋体" w:hAnsi="宋体" w:eastAsia="宋体" w:cs="宋体"/>
          <w:color w:val="auto"/>
          <w:szCs w:val="21"/>
          <w:highlight w:val="none"/>
          <w:lang w:val="en-US" w:eastAsia="zh-CN" w:bidi="ar"/>
          <w14:ligatures w14:val="none"/>
        </w:rPr>
        <w:t>22</w:t>
      </w:r>
      <w:r>
        <w:rPr>
          <w:rFonts w:hint="eastAsia" w:ascii="宋体" w:hAnsi="宋体" w:eastAsia="宋体" w:cs="宋体"/>
          <w:color w:val="auto"/>
          <w:szCs w:val="21"/>
          <w:highlight w:val="none"/>
          <w:lang w:bidi="ar"/>
          <w14:ligatures w14:val="none"/>
        </w:rPr>
        <w:t>年起，月日以响应截止时间的月日为准）被相关行业主管部门或司法机关认定有骗取中标/成交、严重违约、重大工程质量或者安全问题的；</w:t>
      </w:r>
    </w:p>
    <w:p w14:paraId="12A456DC">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（6）在最近五年内（自20</w:t>
      </w:r>
      <w:r>
        <w:rPr>
          <w:rFonts w:hint="eastAsia" w:ascii="宋体" w:hAnsi="宋体" w:eastAsia="宋体" w:cs="宋体"/>
          <w:color w:val="auto"/>
          <w:szCs w:val="21"/>
          <w:highlight w:val="none"/>
          <w:lang w:val="en-US" w:eastAsia="zh-CN" w:bidi="ar"/>
          <w14:ligatures w14:val="none"/>
        </w:rPr>
        <w:t>20</w:t>
      </w:r>
      <w:r>
        <w:rPr>
          <w:rFonts w:hint="eastAsia" w:ascii="宋体" w:hAnsi="宋体" w:eastAsia="宋体" w:cs="宋体"/>
          <w:color w:val="auto"/>
          <w:szCs w:val="21"/>
          <w:highlight w:val="none"/>
          <w:lang w:bidi="ar"/>
          <w14:ligatures w14:val="none"/>
        </w:rPr>
        <w:t>年起，月日以响应截止时间的月日为准）被判处单位行贿罪，且行贿行为与采购活动相关的（以“中国裁判文书网”的生效判决为准）；</w:t>
      </w:r>
    </w:p>
    <w:p w14:paraId="0BB8C63F">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（7）在最近五年内（自20</w:t>
      </w:r>
      <w:r>
        <w:rPr>
          <w:rFonts w:hint="eastAsia" w:ascii="宋体" w:hAnsi="宋体" w:eastAsia="宋体" w:cs="宋体"/>
          <w:color w:val="auto"/>
          <w:szCs w:val="21"/>
          <w:highlight w:val="none"/>
          <w:lang w:val="en-US" w:eastAsia="zh-CN" w:bidi="ar"/>
          <w14:ligatures w14:val="none"/>
        </w:rPr>
        <w:t>20</w:t>
      </w:r>
      <w:r>
        <w:rPr>
          <w:rFonts w:hint="eastAsia" w:ascii="宋体" w:hAnsi="宋体" w:eastAsia="宋体" w:cs="宋体"/>
          <w:color w:val="auto"/>
          <w:szCs w:val="21"/>
          <w:highlight w:val="none"/>
          <w:lang w:bidi="ar"/>
          <w14:ligatures w14:val="none"/>
        </w:rPr>
        <w:t>年起，月日以响应截止时间的月日为准）被判处合同诈骗罪的（以“中国裁判文书网”的生效判决为准）；</w:t>
      </w:r>
    </w:p>
    <w:p w14:paraId="33CD4E3C">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（8）被最高人民法院在“信用中国”网站（www.creditchina.gov.cn）或各级信用信息共享平台中列入失信被执行人名单，已执行完毕或不再执行的除外；</w:t>
      </w:r>
    </w:p>
    <w:p w14:paraId="398476EB">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（9）为本询比项目提供过设计、编制技术规范和其他文件的咨询服务；</w:t>
      </w:r>
    </w:p>
    <w:p w14:paraId="3085CB49">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（10）为本工程项目的相关监理人，或者与本工程项目的相关监理人存在隶属关系或者其他利害关系；</w:t>
      </w:r>
    </w:p>
    <w:p w14:paraId="2AB85C64">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（11）为本询比项目的代建人；</w:t>
      </w:r>
    </w:p>
    <w:p w14:paraId="2573BC2E">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（12）为本询比项目的采购代理机构；</w:t>
      </w:r>
    </w:p>
    <w:p w14:paraId="5D84D296">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（13）与本询比项目的监理人或代建人或采购代理机构同为一个法定代表人；</w:t>
      </w:r>
    </w:p>
    <w:p w14:paraId="04CC3A9D">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（14）与本询比项目的监理人或代建人或采购代理机构存在控股或参股关系；</w:t>
      </w:r>
    </w:p>
    <w:p w14:paraId="715ADF7D">
      <w:pPr>
        <w:wordWrap w:val="0"/>
        <w:adjustRightInd w:val="0"/>
        <w:snapToGrid w:val="0"/>
        <w:spacing w:line="360" w:lineRule="auto"/>
        <w:ind w:firstLine="420" w:firstLineChars="200"/>
        <w:jc w:val="left"/>
        <w:rPr>
          <w:rFonts w:hint="eastAsia"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（15）被工商行政管理机关在国家企业信用信息公示系统中列入严重违法失信企业名单的；</w:t>
      </w:r>
    </w:p>
    <w:p w14:paraId="379D4DDD">
      <w:pPr>
        <w:adjustRightInd w:val="0"/>
        <w:snapToGrid w:val="0"/>
        <w:spacing w:line="360" w:lineRule="auto"/>
        <w:ind w:firstLine="420" w:firstLineChars="200"/>
        <w:jc w:val="both"/>
        <w:rPr>
          <w:rFonts w:hint="eastAsia" w:ascii="宋体" w:hAnsi="宋体" w:eastAsia="宋体" w:cs="宋体"/>
          <w:color w:val="auto"/>
          <w:kern w:val="2"/>
          <w:sz w:val="21"/>
          <w:szCs w:val="21"/>
          <w:highlight w:val="none"/>
          <w:lang w:eastAsia="zh-CN" w:bidi="ar"/>
          <w14:ligatures w14:val="none"/>
        </w:rPr>
      </w:pPr>
      <w:r>
        <w:rPr>
          <w:rFonts w:hint="eastAsia" w:ascii="宋体" w:hAnsi="宋体" w:eastAsia="宋体" w:cs="宋体"/>
          <w:color w:val="auto"/>
          <w:kern w:val="2"/>
          <w:sz w:val="21"/>
          <w:szCs w:val="21"/>
          <w:highlight w:val="none"/>
          <w:lang w:eastAsia="zh-CN" w:bidi="ar"/>
          <w14:ligatures w14:val="none"/>
        </w:rPr>
        <w:t>（</w:t>
      </w:r>
      <w:r>
        <w:rPr>
          <w:rFonts w:hint="eastAsia" w:ascii="宋体" w:hAnsi="宋体" w:eastAsia="宋体" w:cs="宋体"/>
          <w:color w:val="auto"/>
          <w:kern w:val="2"/>
          <w:sz w:val="21"/>
          <w:szCs w:val="21"/>
          <w:highlight w:val="none"/>
          <w:lang w:val="en-US" w:eastAsia="zh-CN" w:bidi="ar"/>
          <w14:ligatures w14:val="none"/>
        </w:rPr>
        <w:t>16</w:t>
      </w:r>
      <w:r>
        <w:rPr>
          <w:rFonts w:hint="eastAsia" w:ascii="宋体" w:hAnsi="宋体" w:eastAsia="宋体" w:cs="宋体"/>
          <w:color w:val="auto"/>
          <w:kern w:val="2"/>
          <w:sz w:val="21"/>
          <w:szCs w:val="21"/>
          <w:highlight w:val="none"/>
          <w:lang w:eastAsia="zh-CN" w:bidi="ar"/>
          <w14:ligatures w14:val="none"/>
        </w:rPr>
        <w:t>）中国电信在职员工违规担任供应商法定代表人并参与采购活动的；</w:t>
      </w:r>
    </w:p>
    <w:p w14:paraId="071358AC">
      <w:pPr>
        <w:adjustRightInd w:val="0"/>
        <w:snapToGrid w:val="0"/>
        <w:spacing w:line="360" w:lineRule="auto"/>
        <w:ind w:firstLine="420" w:firstLineChars="200"/>
        <w:jc w:val="both"/>
        <w:rPr>
          <w:rFonts w:hint="eastAsia" w:ascii="宋体" w:hAnsi="宋体" w:eastAsia="宋体" w:cs="宋体"/>
          <w:color w:val="auto"/>
          <w:kern w:val="2"/>
          <w:sz w:val="21"/>
          <w:szCs w:val="21"/>
          <w:highlight w:val="none"/>
          <w:lang w:eastAsia="zh-CN" w:bidi="ar"/>
          <w14:ligatures w14:val="none"/>
        </w:rPr>
      </w:pPr>
      <w:r>
        <w:rPr>
          <w:rFonts w:hint="eastAsia" w:ascii="宋体" w:hAnsi="宋体" w:eastAsia="宋体" w:cs="宋体"/>
          <w:color w:val="auto"/>
          <w:kern w:val="2"/>
          <w:sz w:val="21"/>
          <w:szCs w:val="21"/>
          <w:highlight w:val="none"/>
          <w:lang w:eastAsia="zh-CN" w:bidi="ar"/>
          <w14:ligatures w14:val="none"/>
        </w:rPr>
        <w:t>（</w:t>
      </w:r>
      <w:r>
        <w:rPr>
          <w:rFonts w:hint="eastAsia" w:ascii="宋体" w:hAnsi="宋体" w:eastAsia="宋体" w:cs="宋体"/>
          <w:color w:val="auto"/>
          <w:kern w:val="2"/>
          <w:sz w:val="21"/>
          <w:szCs w:val="21"/>
          <w:highlight w:val="none"/>
          <w:lang w:val="en-US" w:eastAsia="zh-CN" w:bidi="ar"/>
          <w14:ligatures w14:val="none"/>
        </w:rPr>
        <w:t>17</w:t>
      </w:r>
      <w:r>
        <w:rPr>
          <w:rFonts w:hint="eastAsia" w:ascii="宋体" w:hAnsi="宋体" w:eastAsia="宋体" w:cs="宋体"/>
          <w:color w:val="auto"/>
          <w:kern w:val="2"/>
          <w:sz w:val="21"/>
          <w:szCs w:val="21"/>
          <w:highlight w:val="none"/>
          <w:lang w:eastAsia="zh-CN" w:bidi="ar"/>
          <w14:ligatures w14:val="none"/>
        </w:rPr>
        <w:t>）中国电信集团有限公司/中国电信股份有限公司中层及以上管理人员违反有关领导人员配偶、子女及其配偶经商办企业行为管理规定，其配偶、子女及其配偶经商办企业参与采购活动的；</w:t>
      </w:r>
    </w:p>
    <w:p w14:paraId="5B740715">
      <w:pPr>
        <w:adjustRightInd w:val="0"/>
        <w:snapToGrid w:val="0"/>
        <w:spacing w:line="360" w:lineRule="auto"/>
        <w:ind w:firstLine="420" w:firstLineChars="200"/>
        <w:jc w:val="both"/>
        <w:rPr>
          <w:rFonts w:hint="eastAsia" w:ascii="宋体" w:hAnsi="宋体" w:eastAsia="宋体" w:cs="宋体"/>
          <w:color w:val="auto"/>
          <w:szCs w:val="21"/>
          <w:highlight w:val="none"/>
          <w:lang w:bidi="ar"/>
          <w14:ligatures w14:val="none"/>
        </w:rPr>
      </w:pPr>
      <w:r>
        <w:rPr>
          <w:rFonts w:hint="eastAsia" w:ascii="宋体" w:hAnsi="宋体" w:eastAsia="宋体" w:cs="宋体"/>
          <w:color w:val="auto"/>
          <w:kern w:val="2"/>
          <w:sz w:val="21"/>
          <w:szCs w:val="21"/>
          <w:highlight w:val="none"/>
          <w:lang w:eastAsia="zh-CN" w:bidi="ar"/>
          <w14:ligatures w14:val="none"/>
        </w:rPr>
        <w:t>（</w:t>
      </w:r>
      <w:r>
        <w:rPr>
          <w:rFonts w:hint="eastAsia" w:ascii="宋体" w:hAnsi="宋体" w:eastAsia="宋体" w:cs="宋体"/>
          <w:color w:val="auto"/>
          <w:kern w:val="2"/>
          <w:sz w:val="21"/>
          <w:szCs w:val="21"/>
          <w:highlight w:val="none"/>
          <w:lang w:val="en-US" w:eastAsia="zh-CN" w:bidi="ar"/>
          <w14:ligatures w14:val="none"/>
        </w:rPr>
        <w:t>18</w:t>
      </w:r>
      <w:r>
        <w:rPr>
          <w:rFonts w:hint="eastAsia" w:ascii="宋体" w:hAnsi="宋体" w:eastAsia="宋体" w:cs="宋体"/>
          <w:color w:val="auto"/>
          <w:kern w:val="2"/>
          <w:sz w:val="21"/>
          <w:szCs w:val="21"/>
          <w:highlight w:val="none"/>
          <w:lang w:eastAsia="zh-CN" w:bidi="ar"/>
          <w14:ligatures w14:val="none"/>
        </w:rPr>
        <w:t>）中国电信领导人员离职或退休后三年内违反《国有企业领导人员廉洁从业若干规定》等相关规定任职、投资入股的私营企业、外资企业和中介机构，参与其原任职单位采购活动的；</w:t>
      </w:r>
    </w:p>
    <w:p w14:paraId="68A47C01">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19</w:t>
      </w:r>
      <w:r>
        <w:rPr>
          <w:rFonts w:hint="eastAsia" w:ascii="宋体" w:hAnsi="宋体" w:eastAsia="宋体" w:cs="宋体"/>
          <w:color w:val="auto"/>
          <w:szCs w:val="21"/>
          <w:highlight w:val="none"/>
          <w:lang w:bidi="ar"/>
          <w14:ligatures w14:val="none"/>
        </w:rPr>
        <w:t>）其他按照中国电信供应商不良行为处理结果及《中国电信供应商不良行为管理规则》的结果执行规则</w:t>
      </w:r>
      <w:r>
        <w:rPr>
          <w:rFonts w:ascii="宋体" w:hAnsi="宋体" w:eastAsia="宋体" w:cs="宋体"/>
          <w:color w:val="auto"/>
          <w:szCs w:val="21"/>
          <w:highlight w:val="none"/>
          <w:lang w:bidi="ar"/>
          <w14:ligatures w14:val="none"/>
        </w:rPr>
        <w:t>，应</w:t>
      </w:r>
      <w:r>
        <w:rPr>
          <w:rFonts w:hint="eastAsia" w:ascii="宋体" w:hAnsi="宋体" w:eastAsia="宋体" w:cs="宋体"/>
          <w:color w:val="auto"/>
          <w:szCs w:val="21"/>
          <w:highlight w:val="none"/>
          <w:lang w:bidi="ar"/>
          <w14:ligatures w14:val="none"/>
        </w:rPr>
        <w:t>对供应商</w:t>
      </w:r>
      <w:r>
        <w:rPr>
          <w:rFonts w:ascii="宋体" w:hAnsi="宋体" w:eastAsia="宋体" w:cs="宋体"/>
          <w:color w:val="auto"/>
          <w:szCs w:val="21"/>
          <w:highlight w:val="none"/>
          <w:lang w:bidi="ar"/>
          <w14:ligatures w14:val="none"/>
        </w:rPr>
        <w:t>及</w:t>
      </w:r>
      <w:r>
        <w:rPr>
          <w:rFonts w:hint="eastAsia" w:ascii="宋体" w:hAnsi="宋体" w:eastAsia="宋体" w:cs="宋体"/>
          <w:color w:val="auto"/>
          <w:szCs w:val="21"/>
          <w:highlight w:val="none"/>
          <w:lang w:bidi="ar"/>
          <w14:ligatures w14:val="none"/>
        </w:rPr>
        <w:t>其响应</w:t>
      </w:r>
      <w:r>
        <w:rPr>
          <w:rFonts w:ascii="宋体" w:hAnsi="宋体" w:eastAsia="宋体" w:cs="宋体"/>
          <w:color w:val="auto"/>
          <w:szCs w:val="21"/>
          <w:highlight w:val="none"/>
          <w:lang w:bidi="ar"/>
          <w14:ligatures w14:val="none"/>
        </w:rPr>
        <w:t>产品在本项目中</w:t>
      </w:r>
      <w:r>
        <w:rPr>
          <w:rFonts w:hint="eastAsia" w:ascii="宋体" w:hAnsi="宋体" w:eastAsia="宋体" w:cs="宋体"/>
          <w:color w:val="auto"/>
          <w:szCs w:val="21"/>
          <w:highlight w:val="none"/>
          <w:lang w:bidi="ar"/>
          <w14:ligatures w14:val="none"/>
        </w:rPr>
        <w:t>执行禁止采购处理</w:t>
      </w:r>
      <w:r>
        <w:rPr>
          <w:rFonts w:ascii="宋体" w:hAnsi="宋体" w:eastAsia="宋体" w:cs="宋体"/>
          <w:color w:val="auto"/>
          <w:szCs w:val="21"/>
          <w:highlight w:val="none"/>
          <w:lang w:bidi="ar"/>
          <w14:ligatures w14:val="none"/>
        </w:rPr>
        <w:t>措施的</w:t>
      </w:r>
      <w:r>
        <w:rPr>
          <w:rFonts w:hint="eastAsia" w:ascii="宋体" w:hAnsi="宋体" w:eastAsia="宋体" w:cs="宋体"/>
          <w:color w:val="auto"/>
          <w:szCs w:val="21"/>
          <w:highlight w:val="none"/>
          <w:lang w:bidi="ar"/>
          <w14:ligatures w14:val="none"/>
        </w:rPr>
        <w:t>；</w:t>
      </w:r>
    </w:p>
    <w:p w14:paraId="13AC7819">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20</w:t>
      </w:r>
      <w:r>
        <w:rPr>
          <w:rFonts w:hint="eastAsia" w:ascii="宋体" w:hAnsi="宋体" w:eastAsia="宋体" w:cs="宋体"/>
          <w:color w:val="auto"/>
          <w:szCs w:val="21"/>
          <w:highlight w:val="none"/>
          <w:lang w:bidi="ar"/>
          <w14:ligatures w14:val="none"/>
        </w:rPr>
        <w:t>）被列入司法拍卖尚未被移出的（以通过“中国电信MSS智慧法务子系统-合同管理”模块中“信用管理”查询数据为准）；</w:t>
      </w:r>
    </w:p>
    <w:p w14:paraId="32CFD2D5">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21</w:t>
      </w:r>
      <w:r>
        <w:rPr>
          <w:rFonts w:hint="eastAsia" w:ascii="宋体" w:hAnsi="宋体" w:eastAsia="宋体" w:cs="宋体"/>
          <w:color w:val="auto"/>
          <w:szCs w:val="21"/>
          <w:highlight w:val="none"/>
          <w:lang w:bidi="ar"/>
          <w14:ligatures w14:val="none"/>
        </w:rPr>
        <w:t>）被列入严重违法尚未被移出的，且严重违法行为符合上述</w:t>
      </w:r>
      <w:r>
        <w:rPr>
          <w:rFonts w:hint="eastAsia" w:ascii="宋体" w:hAnsi="宋体" w:eastAsia="宋体" w:cs="宋体"/>
          <w:color w:val="auto"/>
          <w:szCs w:val="21"/>
          <w:highlight w:val="none"/>
          <w:lang w:val="en-US" w:eastAsia="zh-CN" w:bidi="ar"/>
          <w14:ligatures w14:val="none"/>
        </w:rPr>
        <w:t>20</w:t>
      </w:r>
      <w:r>
        <w:rPr>
          <w:rFonts w:hint="eastAsia" w:ascii="宋体" w:hAnsi="宋体" w:eastAsia="宋体" w:cs="宋体"/>
          <w:color w:val="auto"/>
          <w:szCs w:val="21"/>
          <w:highlight w:val="none"/>
          <w:lang w:bidi="ar"/>
          <w14:ligatures w14:val="none"/>
        </w:rPr>
        <w:t>条情形的（以通过“中国电信MSS智慧法务子系统-合同管理”模块中“信用管理”查询数据为准）。</w:t>
      </w:r>
    </w:p>
    <w:p w14:paraId="55F430D8">
      <w:pPr>
        <w:wordWrap w:val="0"/>
        <w:adjustRightInd w:val="0"/>
        <w:snapToGrid w:val="0"/>
        <w:spacing w:line="360" w:lineRule="auto"/>
        <w:ind w:firstLine="420" w:firstLineChars="200"/>
        <w:jc w:val="left"/>
        <w:rPr>
          <w:rFonts w:hint="eastAsia" w:ascii="宋体" w:hAnsi="宋体" w:eastAsia="宋体" w:cs="宋体"/>
          <w:color w:val="auto"/>
          <w:szCs w:val="24"/>
          <w:highlight w:val="none"/>
          <w14:ligatures w14:val="none"/>
        </w:rPr>
      </w:pPr>
      <w:r>
        <w:rPr>
          <w:rFonts w:hint="eastAsia" w:ascii="宋体" w:hAnsi="宋体" w:eastAsia="宋体" w:cs="宋体"/>
          <w:color w:val="auto"/>
          <w:szCs w:val="21"/>
          <w:highlight w:val="none"/>
          <w:lang w:bidi="ar"/>
          <w14:ligatures w14:val="none"/>
        </w:rPr>
        <w:t>（</w:t>
      </w:r>
      <w:r>
        <w:rPr>
          <w:rFonts w:hint="eastAsia" w:ascii="宋体" w:hAnsi="宋体" w:cs="宋体"/>
          <w:color w:val="auto"/>
          <w:szCs w:val="21"/>
          <w:highlight w:val="none"/>
          <w:lang w:val="en-US" w:eastAsia="zh-CN" w:bidi="ar"/>
          <w14:ligatures w14:val="none"/>
        </w:rPr>
        <w:t>22</w:t>
      </w:r>
      <w:r>
        <w:rPr>
          <w:rFonts w:hint="eastAsia" w:ascii="宋体" w:hAnsi="宋体" w:eastAsia="宋体" w:cs="宋体"/>
          <w:color w:val="auto"/>
          <w:szCs w:val="21"/>
          <w:highlight w:val="none"/>
          <w:lang w:bidi="ar"/>
          <w14:ligatures w14:val="none"/>
        </w:rPr>
        <w:t>）法律法规、询比文件限定的其他情形。</w:t>
      </w:r>
    </w:p>
    <w:p w14:paraId="5E5C987D">
      <w:pPr>
        <w:wordWrap w:val="0"/>
        <w:adjustRightInd w:val="0"/>
        <w:snapToGrid w:val="0"/>
        <w:spacing w:line="360" w:lineRule="auto"/>
        <w:ind w:firstLine="420" w:firstLineChars="200"/>
        <w:jc w:val="left"/>
        <w:rPr>
          <w:rFonts w:hint="eastAsia"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供应商是代理商的，本条所指的供应商也包括其所代理的制造商。</w:t>
      </w:r>
    </w:p>
    <w:p w14:paraId="478D616C">
      <w:pPr>
        <w:adjustRightInd w:val="0"/>
        <w:snapToGrid w:val="0"/>
        <w:spacing w:line="360" w:lineRule="auto"/>
        <w:rPr>
          <w:rFonts w:hint="eastAsia" w:ascii="宋体" w:hAnsi="宋体" w:cs="宋体"/>
          <w:szCs w:val="21"/>
          <w:highlight w:val="none"/>
          <w:lang w:bidi="ar"/>
        </w:rPr>
      </w:pPr>
      <w:r>
        <w:rPr>
          <w:rFonts w:hint="eastAsia" w:ascii="宋体" w:hAnsi="宋体" w:cs="宋体"/>
          <w:b/>
          <w:bCs/>
          <w:szCs w:val="21"/>
          <w:highlight w:val="none"/>
          <w:lang w:bidi="ar"/>
        </w:rPr>
        <w:t>2.3 产品资格要求</w:t>
      </w:r>
      <w:r>
        <w:rPr>
          <w:rFonts w:hint="eastAsia" w:ascii="宋体" w:hAnsi="宋体" w:cs="宋体"/>
          <w:b/>
          <w:bCs/>
          <w:szCs w:val="21"/>
          <w:highlight w:val="none"/>
          <w:lang w:eastAsia="zh-CN" w:bidi="ar"/>
        </w:rPr>
        <w:t>：【</w:t>
      </w:r>
      <w:r>
        <w:rPr>
          <w:rFonts w:hint="eastAsia" w:ascii="宋体" w:hAnsi="宋体" w:cs="宋体"/>
          <w:b/>
          <w:bCs/>
          <w:szCs w:val="21"/>
          <w:highlight w:val="none"/>
          <w:lang w:val="en-US" w:eastAsia="zh-CN" w:bidi="ar"/>
        </w:rPr>
        <w:t>本项目不涉及</w:t>
      </w:r>
      <w:r>
        <w:rPr>
          <w:rFonts w:hint="eastAsia" w:ascii="宋体" w:hAnsi="宋体" w:cs="宋体"/>
          <w:b/>
          <w:bCs/>
          <w:szCs w:val="21"/>
          <w:highlight w:val="none"/>
          <w:lang w:eastAsia="zh-CN" w:bidi="ar"/>
        </w:rPr>
        <w:t>】</w:t>
      </w:r>
    </w:p>
    <w:p w14:paraId="6F0FA90F">
      <w:pPr>
        <w:adjustRightInd w:val="0"/>
        <w:snapToGrid w:val="0"/>
        <w:spacing w:line="360" w:lineRule="auto"/>
        <w:rPr>
          <w:rFonts w:hint="eastAsia" w:ascii="宋体" w:hAnsi="宋体" w:cs="宋体"/>
          <w:szCs w:val="21"/>
          <w:highlight w:val="none"/>
          <w:lang w:bidi="ar"/>
        </w:rPr>
      </w:pPr>
      <w:r>
        <w:rPr>
          <w:rFonts w:hint="eastAsia" w:ascii="宋体" w:hAnsi="宋体" w:cs="宋体"/>
          <w:b/>
          <w:bCs/>
          <w:szCs w:val="21"/>
          <w:highlight w:val="none"/>
          <w:lang w:bidi="ar"/>
        </w:rPr>
        <w:t>2.4产品制造商资格要求</w:t>
      </w:r>
      <w:r>
        <w:rPr>
          <w:rFonts w:hint="eastAsia" w:ascii="宋体" w:hAnsi="宋体" w:cs="宋体"/>
          <w:b/>
          <w:bCs/>
          <w:szCs w:val="21"/>
          <w:highlight w:val="none"/>
          <w:lang w:eastAsia="zh-CN" w:bidi="ar"/>
        </w:rPr>
        <w:t>：【</w:t>
      </w:r>
      <w:r>
        <w:rPr>
          <w:rFonts w:hint="eastAsia" w:ascii="宋体" w:hAnsi="宋体" w:cs="宋体"/>
          <w:b/>
          <w:bCs/>
          <w:szCs w:val="21"/>
          <w:highlight w:val="none"/>
          <w:lang w:val="en-US" w:eastAsia="zh-CN" w:bidi="ar"/>
        </w:rPr>
        <w:t>本项目不涉及</w:t>
      </w:r>
      <w:r>
        <w:rPr>
          <w:rFonts w:hint="eastAsia" w:ascii="宋体" w:hAnsi="宋体" w:cs="宋体"/>
          <w:b/>
          <w:bCs/>
          <w:szCs w:val="21"/>
          <w:highlight w:val="none"/>
          <w:lang w:eastAsia="zh-CN" w:bidi="ar"/>
        </w:rPr>
        <w:t>】</w:t>
      </w:r>
    </w:p>
    <w:p w14:paraId="2BBCA326">
      <w:pPr>
        <w:adjustRightInd w:val="0"/>
        <w:snapToGrid w:val="0"/>
        <w:spacing w:line="360" w:lineRule="auto"/>
        <w:rPr>
          <w:rFonts w:hint="eastAsia" w:ascii="宋体" w:hAnsi="宋体"/>
          <w:szCs w:val="21"/>
          <w:highlight w:val="none"/>
        </w:rPr>
      </w:pPr>
      <w:r>
        <w:rPr>
          <w:rFonts w:hint="eastAsia" w:ascii="宋体" w:hAnsi="宋体" w:cs="宋体"/>
          <w:b/>
          <w:bCs/>
          <w:szCs w:val="21"/>
          <w:highlight w:val="none"/>
          <w:lang w:bidi="ar"/>
        </w:rPr>
        <w:t>2.</w:t>
      </w:r>
      <w:r>
        <w:rPr>
          <w:rFonts w:hint="eastAsia" w:ascii="宋体" w:hAnsi="宋体" w:cs="宋体"/>
          <w:b/>
          <w:bCs/>
          <w:szCs w:val="21"/>
          <w:highlight w:val="none"/>
          <w:lang w:val="en-US" w:eastAsia="zh-CN" w:bidi="ar"/>
        </w:rPr>
        <w:t>5</w:t>
      </w:r>
      <w:r>
        <w:rPr>
          <w:rFonts w:hint="eastAsia" w:ascii="宋体" w:hAnsi="宋体" w:cs="宋体"/>
          <w:b/>
          <w:bCs/>
          <w:szCs w:val="21"/>
          <w:highlight w:val="none"/>
          <w:lang w:bidi="ar"/>
        </w:rPr>
        <w:t xml:space="preserve"> 法律法规规定的其他要求。</w:t>
      </w:r>
    </w:p>
    <w:p w14:paraId="04446B30">
      <w:pPr>
        <w:pStyle w:val="53"/>
        <w:adjustRightInd w:val="0"/>
        <w:snapToGrid w:val="0"/>
        <w:spacing w:line="440" w:lineRule="exact"/>
        <w:ind w:firstLine="0" w:firstLineChars="0"/>
        <w:rPr>
          <w:rFonts w:ascii="宋体" w:hAnsi="宋体"/>
          <w:b/>
          <w:color w:val="auto"/>
          <w:szCs w:val="21"/>
          <w:highlight w:val="none"/>
        </w:rPr>
      </w:pPr>
      <w:r>
        <w:rPr>
          <w:rFonts w:hint="eastAsia" w:ascii="宋体" w:hAnsi="宋体"/>
          <w:b/>
          <w:color w:val="auto"/>
          <w:szCs w:val="21"/>
          <w:highlight w:val="none"/>
        </w:rPr>
        <w:t>3.资格审查方法</w:t>
      </w:r>
      <w:bookmarkEnd w:id="31"/>
      <w:bookmarkEnd w:id="32"/>
      <w:bookmarkEnd w:id="33"/>
    </w:p>
    <w:p w14:paraId="3B995BE8">
      <w:pPr>
        <w:pStyle w:val="53"/>
        <w:adjustRightInd w:val="0"/>
        <w:snapToGrid w:val="0"/>
        <w:spacing w:line="440" w:lineRule="exact"/>
        <w:rPr>
          <w:rFonts w:ascii="宋体" w:hAnsi="宋体"/>
          <w:color w:val="auto"/>
          <w:szCs w:val="21"/>
          <w:highlight w:val="none"/>
        </w:rPr>
      </w:pPr>
      <w:r>
        <w:rPr>
          <w:rFonts w:hint="eastAsia" w:ascii="宋体" w:hAnsi="宋体"/>
          <w:color w:val="auto"/>
          <w:szCs w:val="21"/>
          <w:highlight w:val="none"/>
        </w:rPr>
        <w:t>本项目将进行资格后审，资格审查标准和内容见</w:t>
      </w:r>
      <w:r>
        <w:rPr>
          <w:rFonts w:hint="eastAsia" w:ascii="宋体" w:hAnsi="宋体"/>
          <w:color w:val="auto"/>
          <w:szCs w:val="21"/>
          <w:highlight w:val="none"/>
          <w:lang w:eastAsia="zh-CN"/>
        </w:rPr>
        <w:t>询比</w:t>
      </w:r>
      <w:r>
        <w:rPr>
          <w:rFonts w:hint="eastAsia" w:ascii="宋体" w:hAnsi="宋体"/>
          <w:color w:val="auto"/>
          <w:szCs w:val="21"/>
          <w:highlight w:val="none"/>
        </w:rPr>
        <w:t>文件第三章“</w:t>
      </w:r>
      <w:r>
        <w:rPr>
          <w:rFonts w:hint="eastAsia" w:ascii="宋体" w:hAnsi="宋体"/>
          <w:color w:val="auto"/>
          <w:szCs w:val="21"/>
          <w:highlight w:val="none"/>
          <w:lang w:eastAsia="zh-CN"/>
        </w:rPr>
        <w:t>评审</w:t>
      </w:r>
      <w:r>
        <w:rPr>
          <w:rFonts w:hint="eastAsia" w:ascii="宋体" w:hAnsi="宋体"/>
          <w:color w:val="auto"/>
          <w:szCs w:val="21"/>
          <w:highlight w:val="none"/>
        </w:rPr>
        <w:t>办法”，凡未通过资格后审的</w:t>
      </w:r>
      <w:r>
        <w:rPr>
          <w:rFonts w:hint="eastAsia" w:ascii="宋体" w:hAnsi="宋体"/>
          <w:color w:val="auto"/>
          <w:szCs w:val="21"/>
          <w:highlight w:val="none"/>
          <w:lang w:eastAsia="zh-CN"/>
        </w:rPr>
        <w:t>供应商</w:t>
      </w:r>
      <w:r>
        <w:rPr>
          <w:rFonts w:hint="eastAsia" w:ascii="宋体" w:hAnsi="宋体"/>
          <w:color w:val="auto"/>
          <w:szCs w:val="21"/>
          <w:highlight w:val="none"/>
        </w:rPr>
        <w:t>，其</w:t>
      </w:r>
      <w:r>
        <w:rPr>
          <w:rFonts w:hint="eastAsia" w:ascii="宋体" w:hAnsi="宋体"/>
          <w:color w:val="auto"/>
          <w:szCs w:val="21"/>
          <w:highlight w:val="none"/>
          <w:lang w:eastAsia="zh-CN"/>
        </w:rPr>
        <w:t>响应</w:t>
      </w:r>
      <w:r>
        <w:rPr>
          <w:rFonts w:hint="eastAsia" w:ascii="宋体" w:hAnsi="宋体"/>
          <w:color w:val="auto"/>
          <w:szCs w:val="21"/>
          <w:highlight w:val="none"/>
        </w:rPr>
        <w:t>将被否决。</w:t>
      </w:r>
    </w:p>
    <w:p w14:paraId="60E29BE9">
      <w:pPr>
        <w:pStyle w:val="53"/>
        <w:adjustRightInd w:val="0"/>
        <w:snapToGrid w:val="0"/>
        <w:spacing w:line="440" w:lineRule="exact"/>
        <w:ind w:firstLine="0" w:firstLineChars="0"/>
        <w:rPr>
          <w:rFonts w:ascii="宋体" w:hAnsi="宋体"/>
          <w:b/>
          <w:color w:val="auto"/>
          <w:szCs w:val="21"/>
          <w:highlight w:val="none"/>
        </w:rPr>
      </w:pPr>
      <w:r>
        <w:rPr>
          <w:rFonts w:hint="eastAsia" w:ascii="宋体" w:hAnsi="宋体"/>
          <w:b/>
          <w:color w:val="auto"/>
          <w:szCs w:val="21"/>
          <w:highlight w:val="none"/>
        </w:rPr>
        <w:t>4.</w:t>
      </w:r>
      <w:r>
        <w:rPr>
          <w:rFonts w:hint="eastAsia" w:ascii="宋体" w:hAnsi="宋体"/>
          <w:b/>
          <w:color w:val="auto"/>
          <w:szCs w:val="21"/>
          <w:highlight w:val="none"/>
          <w:lang w:eastAsia="zh-CN"/>
        </w:rPr>
        <w:t>询比</w:t>
      </w:r>
      <w:r>
        <w:rPr>
          <w:rFonts w:hint="eastAsia" w:ascii="宋体" w:hAnsi="宋体"/>
          <w:b/>
          <w:color w:val="auto"/>
          <w:szCs w:val="21"/>
          <w:highlight w:val="none"/>
        </w:rPr>
        <w:t>文件获取</w:t>
      </w:r>
    </w:p>
    <w:p w14:paraId="14A3385C">
      <w:pPr>
        <w:pStyle w:val="53"/>
        <w:adjustRightInd w:val="0"/>
        <w:snapToGrid w:val="0"/>
        <w:spacing w:line="440" w:lineRule="exact"/>
        <w:ind w:firstLine="428"/>
        <w:rPr>
          <w:rFonts w:ascii="宋体" w:hAnsi="宋体"/>
          <w:color w:val="auto"/>
          <w:spacing w:val="2"/>
          <w:szCs w:val="21"/>
          <w:highlight w:val="none"/>
        </w:rPr>
      </w:pPr>
      <w:r>
        <w:rPr>
          <w:rFonts w:hint="eastAsia" w:ascii="宋体" w:hAnsi="宋体"/>
          <w:color w:val="auto"/>
          <w:spacing w:val="2"/>
          <w:szCs w:val="21"/>
          <w:highlight w:val="none"/>
        </w:rPr>
        <w:t>4.1</w:t>
      </w:r>
      <w:r>
        <w:rPr>
          <w:rFonts w:hint="eastAsia" w:ascii="宋体" w:hAnsi="宋体"/>
          <w:color w:val="auto"/>
          <w:spacing w:val="2"/>
          <w:szCs w:val="21"/>
          <w:highlight w:val="none"/>
          <w:lang w:eastAsia="zh-CN"/>
        </w:rPr>
        <w:t>询比</w:t>
      </w:r>
      <w:r>
        <w:rPr>
          <w:rFonts w:hint="eastAsia" w:ascii="宋体" w:hAnsi="宋体"/>
          <w:color w:val="auto"/>
          <w:spacing w:val="2"/>
          <w:szCs w:val="21"/>
          <w:highlight w:val="none"/>
        </w:rPr>
        <w:t>文件获取时间：</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eastAsia="zh-CN"/>
        </w:rPr>
        <w:t>2025</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27</w:t>
      </w:r>
      <w:r>
        <w:rPr>
          <w:rFonts w:hint="eastAsia" w:asciiTheme="minorEastAsia" w:hAnsiTheme="minorEastAsia" w:eastAsiaTheme="minorEastAsia"/>
          <w:color w:val="auto"/>
          <w:szCs w:val="21"/>
          <w:highlight w:val="none"/>
        </w:rPr>
        <w:t>日</w:t>
      </w:r>
      <w:r>
        <w:rPr>
          <w:rFonts w:hint="eastAsia" w:asciiTheme="minorEastAsia" w:hAnsiTheme="minorEastAsia" w:eastAsiaTheme="minorEastAsia"/>
          <w:color w:val="auto"/>
          <w:szCs w:val="21"/>
          <w:highlight w:val="none"/>
          <w:lang w:val="en-US" w:eastAsia="zh-CN"/>
        </w:rPr>
        <w:t>17</w:t>
      </w:r>
      <w:r>
        <w:rPr>
          <w:rFonts w:hint="eastAsia" w:asciiTheme="minorEastAsia" w:hAnsiTheme="minorEastAsia" w:eastAsiaTheme="minorEastAsia"/>
          <w:color w:val="auto"/>
          <w:szCs w:val="21"/>
          <w:highlight w:val="none"/>
        </w:rPr>
        <w:t>时</w:t>
      </w:r>
      <w:r>
        <w:rPr>
          <w:rFonts w:hint="eastAsia" w:asciiTheme="minorEastAsia" w:hAnsiTheme="minorEastAsia" w:eastAsiaTheme="minorEastAsia"/>
          <w:color w:val="auto"/>
          <w:szCs w:val="21"/>
          <w:highlight w:val="none"/>
          <w:lang w:val="en-US" w:eastAsia="zh-CN"/>
        </w:rPr>
        <w:t>00</w:t>
      </w:r>
      <w:r>
        <w:rPr>
          <w:rFonts w:hint="eastAsia" w:asciiTheme="minorEastAsia" w:hAnsiTheme="minorEastAsia" w:eastAsiaTheme="minorEastAsia"/>
          <w:color w:val="auto"/>
          <w:szCs w:val="21"/>
          <w:highlight w:val="none"/>
        </w:rPr>
        <w:t>分至</w:t>
      </w:r>
      <w:r>
        <w:rPr>
          <w:rFonts w:hint="eastAsia" w:asciiTheme="minorEastAsia" w:hAnsiTheme="minorEastAsia" w:eastAsiaTheme="minorEastAsia"/>
          <w:color w:val="auto"/>
          <w:szCs w:val="21"/>
          <w:highlight w:val="none"/>
          <w:lang w:eastAsia="zh-CN"/>
        </w:rPr>
        <w:t>2025</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31</w:t>
      </w:r>
      <w:r>
        <w:rPr>
          <w:rFonts w:hint="eastAsia" w:asciiTheme="minorEastAsia" w:hAnsiTheme="minorEastAsia" w:eastAsiaTheme="minorEastAsia"/>
          <w:color w:val="auto"/>
          <w:szCs w:val="21"/>
          <w:highlight w:val="none"/>
        </w:rPr>
        <w:t>日</w:t>
      </w:r>
      <w:r>
        <w:rPr>
          <w:rFonts w:hint="eastAsia" w:asciiTheme="minorEastAsia" w:hAnsiTheme="minorEastAsia" w:eastAsiaTheme="minorEastAsia"/>
          <w:color w:val="auto"/>
          <w:szCs w:val="21"/>
          <w:highlight w:val="none"/>
          <w:lang w:val="en-US" w:eastAsia="zh-CN"/>
        </w:rPr>
        <w:t>17</w:t>
      </w:r>
      <w:r>
        <w:rPr>
          <w:rFonts w:hint="eastAsia" w:asciiTheme="minorEastAsia" w:hAnsiTheme="minorEastAsia" w:eastAsiaTheme="minorEastAsia"/>
          <w:color w:val="auto"/>
          <w:szCs w:val="21"/>
          <w:highlight w:val="none"/>
        </w:rPr>
        <w:t>时</w:t>
      </w:r>
      <w:r>
        <w:rPr>
          <w:rFonts w:hint="eastAsia" w:asciiTheme="minorEastAsia" w:hAnsiTheme="minorEastAsia" w:eastAsiaTheme="minorEastAsia"/>
          <w:color w:val="auto"/>
          <w:szCs w:val="21"/>
          <w:highlight w:val="none"/>
          <w:lang w:val="en-US" w:eastAsia="zh-CN"/>
        </w:rPr>
        <w:t>00</w:t>
      </w:r>
      <w:r>
        <w:rPr>
          <w:rFonts w:hint="eastAsia" w:asciiTheme="minorEastAsia" w:hAnsiTheme="minorEastAsia" w:eastAsiaTheme="minorEastAsia"/>
          <w:color w:val="auto"/>
          <w:szCs w:val="21"/>
          <w:highlight w:val="none"/>
        </w:rPr>
        <w:t>分】</w:t>
      </w:r>
      <w:r>
        <w:rPr>
          <w:rFonts w:hint="eastAsia" w:ascii="宋体" w:hAnsi="宋体"/>
          <w:color w:val="auto"/>
          <w:szCs w:val="21"/>
          <w:highlight w:val="none"/>
        </w:rPr>
        <w:t>。</w:t>
      </w:r>
    </w:p>
    <w:p w14:paraId="0AB00AE7">
      <w:pPr>
        <w:pStyle w:val="53"/>
        <w:wordWrap w:val="0"/>
        <w:adjustRightInd w:val="0"/>
        <w:snapToGrid w:val="0"/>
        <w:spacing w:line="440" w:lineRule="exact"/>
        <w:ind w:firstLine="428"/>
        <w:rPr>
          <w:rFonts w:ascii="宋体" w:hAnsi="宋体"/>
          <w:color w:val="auto"/>
          <w:szCs w:val="21"/>
          <w:highlight w:val="none"/>
        </w:rPr>
      </w:pPr>
      <w:r>
        <w:rPr>
          <w:rFonts w:hint="eastAsia" w:ascii="宋体" w:hAnsi="宋体"/>
          <w:color w:val="auto"/>
          <w:spacing w:val="2"/>
          <w:szCs w:val="21"/>
          <w:highlight w:val="none"/>
        </w:rPr>
        <w:t>4.2</w:t>
      </w:r>
      <w:r>
        <w:rPr>
          <w:rFonts w:hint="eastAsia" w:ascii="宋体" w:hAnsi="宋体"/>
          <w:color w:val="auto"/>
          <w:spacing w:val="2"/>
          <w:szCs w:val="21"/>
          <w:highlight w:val="none"/>
          <w:lang w:eastAsia="zh-CN"/>
        </w:rPr>
        <w:t>询比</w:t>
      </w:r>
      <w:r>
        <w:rPr>
          <w:rFonts w:hint="eastAsia" w:ascii="宋体" w:hAnsi="宋体"/>
          <w:color w:val="auto"/>
          <w:spacing w:val="2"/>
          <w:szCs w:val="21"/>
          <w:highlight w:val="none"/>
        </w:rPr>
        <w:t>文件获取方式：</w:t>
      </w:r>
      <w:r>
        <w:rPr>
          <w:rFonts w:hint="eastAsia" w:asciiTheme="minorEastAsia" w:hAnsiTheme="minorEastAsia" w:eastAsiaTheme="minorEastAsia"/>
          <w:color w:val="auto"/>
          <w:highlight w:val="none"/>
        </w:rPr>
        <w:t>登录“</w:t>
      </w:r>
      <w:r>
        <w:rPr>
          <w:color w:val="auto"/>
          <w:highlight w:val="none"/>
        </w:rPr>
        <w:t>中国电信阳光采购网</w:t>
      </w:r>
      <w:r>
        <w:rPr>
          <w:rFonts w:hint="eastAsia"/>
          <w:color w:val="auto"/>
          <w:highlight w:val="none"/>
        </w:rPr>
        <w:t>（</w:t>
      </w:r>
      <w:r>
        <w:rPr>
          <w:rFonts w:hint="eastAsia" w:asciiTheme="minorEastAsia" w:hAnsiTheme="minorEastAsia" w:eastAsiaTheme="minorEastAsia"/>
          <w:color w:val="auto"/>
          <w:highlight w:val="none"/>
        </w:rPr>
        <w:t>https://caigou.chinatelecom.com.cn</w:t>
      </w:r>
      <w:r>
        <w:rPr>
          <w:rFonts w:hint="eastAsia"/>
          <w:color w:val="auto"/>
          <w:highlight w:val="none"/>
        </w:rPr>
        <w:t>）</w:t>
      </w:r>
      <w:r>
        <w:rPr>
          <w:rFonts w:hint="eastAsia" w:asciiTheme="minorEastAsia" w:hAnsiTheme="minorEastAsia" w:eastAsiaTheme="minorEastAsia"/>
          <w:color w:val="auto"/>
          <w:highlight w:val="none"/>
        </w:rPr>
        <w:t>”</w:t>
      </w:r>
      <w:r>
        <w:rPr>
          <w:rFonts w:hint="eastAsia"/>
          <w:color w:val="auto"/>
          <w:highlight w:val="none"/>
        </w:rPr>
        <w:t>后，通过“招投标-采购文件领取”模块或通过“电子采购入口”跳转中国电信电子采购系统，进入本项目进行</w:t>
      </w:r>
      <w:r>
        <w:rPr>
          <w:rFonts w:hint="eastAsia"/>
          <w:color w:val="auto"/>
          <w:highlight w:val="none"/>
          <w:lang w:eastAsia="zh-CN"/>
        </w:rPr>
        <w:t>询比</w:t>
      </w:r>
      <w:r>
        <w:rPr>
          <w:rFonts w:hint="eastAsia"/>
          <w:color w:val="auto"/>
          <w:highlight w:val="none"/>
        </w:rPr>
        <w:t>文件登记申领</w:t>
      </w:r>
      <w:r>
        <w:rPr>
          <w:rFonts w:hint="eastAsia" w:asciiTheme="minorEastAsia" w:hAnsiTheme="minorEastAsia" w:eastAsiaTheme="minorEastAsia"/>
          <w:color w:val="auto"/>
          <w:highlight w:val="none"/>
        </w:rPr>
        <w:t>，未在系统注册的</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须先进行注册，注册方法详见本公告“7</w:t>
      </w:r>
      <w:r>
        <w:rPr>
          <w:rFonts w:hint="eastAsia" w:asciiTheme="minorEastAsia" w:hAnsiTheme="minorEastAsia" w:eastAsiaTheme="minorEastAsia"/>
          <w:color w:val="auto"/>
          <w:highlight w:val="none"/>
          <w:lang w:eastAsia="zh-CN"/>
        </w:rPr>
        <w:t>供应商</w:t>
      </w:r>
      <w:r>
        <w:rPr>
          <w:rFonts w:hint="eastAsia" w:asciiTheme="minorEastAsia" w:hAnsiTheme="minorEastAsia" w:eastAsiaTheme="minorEastAsia"/>
          <w:color w:val="auto"/>
          <w:highlight w:val="none"/>
        </w:rPr>
        <w:t>注册”。</w:t>
      </w:r>
    </w:p>
    <w:p w14:paraId="5D3F93EE">
      <w:pPr>
        <w:spacing w:line="440" w:lineRule="exact"/>
        <w:ind w:firstLine="422" w:firstLineChars="200"/>
        <w:rPr>
          <w:rFonts w:ascii="宋体" w:hAnsi="宋体"/>
          <w:color w:val="auto"/>
          <w:szCs w:val="21"/>
          <w:highlight w:val="none"/>
        </w:rPr>
      </w:pPr>
      <w:r>
        <w:rPr>
          <w:rFonts w:hint="eastAsia" w:ascii="宋体" w:hAnsi="宋体" w:cs="宋体"/>
          <w:b/>
          <w:bCs/>
          <w:color w:val="auto"/>
          <w:kern w:val="0"/>
          <w:szCs w:val="21"/>
          <w:highlight w:val="none"/>
        </w:rPr>
        <w:t>注意：</w:t>
      </w:r>
      <w:r>
        <w:rPr>
          <w:rFonts w:hint="eastAsia" w:ascii="宋体" w:hAnsi="宋体" w:cs="宋体"/>
          <w:b/>
          <w:bCs/>
          <w:color w:val="auto"/>
          <w:kern w:val="0"/>
          <w:szCs w:val="21"/>
          <w:highlight w:val="none"/>
          <w:lang w:eastAsia="zh-CN"/>
        </w:rPr>
        <w:t>询比</w:t>
      </w:r>
      <w:r>
        <w:rPr>
          <w:rFonts w:hint="eastAsia" w:ascii="宋体" w:hAnsi="宋体" w:cs="宋体"/>
          <w:b/>
          <w:bCs/>
          <w:color w:val="auto"/>
          <w:kern w:val="0"/>
          <w:szCs w:val="21"/>
          <w:highlight w:val="none"/>
        </w:rPr>
        <w:t>文件以“中国电信电子采购系统”登记申领下载的为准，如无法登记申领的，请及时与</w:t>
      </w:r>
      <w:r>
        <w:rPr>
          <w:rFonts w:hint="eastAsia" w:ascii="宋体" w:hAnsi="宋体" w:cs="宋体"/>
          <w:b/>
          <w:bCs/>
          <w:color w:val="auto"/>
          <w:kern w:val="0"/>
          <w:szCs w:val="21"/>
          <w:highlight w:val="none"/>
          <w:lang w:eastAsia="zh-CN"/>
        </w:rPr>
        <w:t>采购代理机构</w:t>
      </w:r>
      <w:r>
        <w:rPr>
          <w:rFonts w:hint="eastAsia" w:ascii="宋体" w:hAnsi="宋体" w:cs="宋体"/>
          <w:b/>
          <w:bCs/>
          <w:color w:val="auto"/>
          <w:kern w:val="0"/>
          <w:szCs w:val="21"/>
          <w:highlight w:val="none"/>
        </w:rPr>
        <w:t>的项目联系人联系。</w:t>
      </w:r>
    </w:p>
    <w:p w14:paraId="727E378A">
      <w:pPr>
        <w:spacing w:line="440" w:lineRule="exact"/>
        <w:ind w:firstLine="428" w:firstLineChars="200"/>
        <w:rPr>
          <w:rFonts w:ascii="宋体" w:hAnsi="宋体"/>
          <w:color w:val="auto"/>
          <w:spacing w:val="2"/>
          <w:szCs w:val="21"/>
          <w:highlight w:val="none"/>
        </w:rPr>
      </w:pPr>
      <w:r>
        <w:rPr>
          <w:rFonts w:hint="eastAsia" w:ascii="宋体" w:hAnsi="宋体"/>
          <w:color w:val="auto"/>
          <w:spacing w:val="2"/>
          <w:szCs w:val="21"/>
          <w:highlight w:val="none"/>
        </w:rPr>
        <w:t>4.</w:t>
      </w:r>
      <w:r>
        <w:rPr>
          <w:rFonts w:hint="eastAsia" w:ascii="宋体" w:hAnsi="宋体"/>
          <w:color w:val="auto"/>
          <w:spacing w:val="2"/>
          <w:szCs w:val="21"/>
          <w:highlight w:val="none"/>
          <w:lang w:val="en-US" w:eastAsia="zh-CN"/>
        </w:rPr>
        <w:t>3</w:t>
      </w:r>
      <w:r>
        <w:rPr>
          <w:rFonts w:hint="eastAsia" w:asciiTheme="minorEastAsia" w:hAnsiTheme="minorEastAsia" w:eastAsiaTheme="minorEastAsia"/>
          <w:color w:val="auto"/>
          <w:spacing w:val="2"/>
          <w:szCs w:val="21"/>
          <w:highlight w:val="none"/>
          <w:lang w:val="en-US" w:eastAsia="zh-CN"/>
        </w:rPr>
        <w:t>获取本</w:t>
      </w:r>
      <w:r>
        <w:rPr>
          <w:rFonts w:hint="eastAsia" w:asciiTheme="minorEastAsia" w:hAnsiTheme="minorEastAsia" w:eastAsiaTheme="minorEastAsia"/>
          <w:color w:val="auto"/>
          <w:spacing w:val="2"/>
          <w:szCs w:val="21"/>
          <w:highlight w:val="none"/>
          <w:lang w:eastAsia="zh-CN"/>
        </w:rPr>
        <w:t>询比文件</w:t>
      </w:r>
      <w:r>
        <w:rPr>
          <w:rFonts w:hint="eastAsia" w:asciiTheme="minorEastAsia" w:hAnsiTheme="minorEastAsia" w:eastAsiaTheme="minorEastAsia"/>
          <w:color w:val="auto"/>
          <w:spacing w:val="2"/>
          <w:szCs w:val="21"/>
          <w:highlight w:val="none"/>
          <w:lang w:val="en-US" w:eastAsia="zh-CN"/>
        </w:rPr>
        <w:t>不收取费用</w:t>
      </w:r>
      <w:r>
        <w:rPr>
          <w:rFonts w:hint="eastAsia" w:ascii="宋体" w:hAnsi="宋体"/>
          <w:color w:val="auto"/>
          <w:spacing w:val="2"/>
          <w:szCs w:val="21"/>
          <w:highlight w:val="none"/>
        </w:rPr>
        <w:t>。</w:t>
      </w:r>
    </w:p>
    <w:p w14:paraId="1B895484">
      <w:pPr>
        <w:pStyle w:val="53"/>
        <w:adjustRightInd w:val="0"/>
        <w:snapToGrid w:val="0"/>
        <w:spacing w:line="440" w:lineRule="exact"/>
        <w:ind w:firstLine="0" w:firstLineChars="0"/>
        <w:rPr>
          <w:rFonts w:hint="eastAsia" w:ascii="宋体" w:hAnsi="宋体" w:eastAsia="宋体"/>
          <w:b/>
          <w:color w:val="auto"/>
          <w:szCs w:val="21"/>
          <w:highlight w:val="none"/>
          <w:lang w:eastAsia="zh-CN"/>
        </w:rPr>
      </w:pPr>
      <w:r>
        <w:rPr>
          <w:rFonts w:hint="eastAsia" w:ascii="宋体" w:hAnsi="宋体"/>
          <w:b/>
          <w:color w:val="auto"/>
          <w:szCs w:val="21"/>
          <w:highlight w:val="none"/>
        </w:rPr>
        <w:t>5.</w:t>
      </w:r>
      <w:r>
        <w:rPr>
          <w:rFonts w:hint="eastAsia" w:ascii="宋体" w:hAnsi="宋体"/>
          <w:b/>
          <w:color w:val="auto"/>
          <w:szCs w:val="21"/>
          <w:highlight w:val="none"/>
          <w:lang w:eastAsia="zh-CN"/>
        </w:rPr>
        <w:t>响应</w:t>
      </w:r>
      <w:r>
        <w:rPr>
          <w:rFonts w:hint="eastAsia" w:ascii="宋体" w:hAnsi="宋体"/>
          <w:b/>
          <w:color w:val="auto"/>
          <w:szCs w:val="21"/>
          <w:highlight w:val="none"/>
        </w:rPr>
        <w:t>文件的</w:t>
      </w:r>
      <w:r>
        <w:rPr>
          <w:rFonts w:hint="eastAsia" w:ascii="宋体" w:hAnsi="宋体"/>
          <w:b/>
          <w:color w:val="auto"/>
          <w:szCs w:val="21"/>
          <w:highlight w:val="none"/>
          <w:lang w:val="en-US" w:eastAsia="zh-CN"/>
        </w:rPr>
        <w:t>提交</w:t>
      </w:r>
    </w:p>
    <w:p w14:paraId="6253419E">
      <w:pPr>
        <w:pStyle w:val="53"/>
        <w:adjustRightInd w:val="0"/>
        <w:snapToGrid w:val="0"/>
        <w:spacing w:line="440" w:lineRule="exact"/>
        <w:rPr>
          <w:rFonts w:asciiTheme="minorEastAsia" w:hAnsiTheme="minorEastAsia" w:eastAsiaTheme="minorEastAsia"/>
          <w:color w:val="auto"/>
          <w:szCs w:val="21"/>
          <w:highlight w:val="none"/>
        </w:rPr>
      </w:pPr>
      <w:r>
        <w:rPr>
          <w:rFonts w:hint="eastAsia" w:ascii="宋体" w:hAnsi="宋体"/>
          <w:color w:val="auto"/>
          <w:szCs w:val="21"/>
          <w:highlight w:val="none"/>
        </w:rPr>
        <w:t>5.1</w:t>
      </w:r>
      <w:r>
        <w:rPr>
          <w:rFonts w:hint="eastAsia" w:ascii="宋体" w:hAnsi="宋体"/>
          <w:color w:val="auto"/>
          <w:szCs w:val="21"/>
          <w:highlight w:val="none"/>
          <w:lang w:eastAsia="zh-CN"/>
        </w:rPr>
        <w:t>响应文件提交截止时间</w:t>
      </w:r>
      <w:r>
        <w:rPr>
          <w:rFonts w:hint="eastAsia" w:ascii="宋体" w:hAnsi="宋体"/>
          <w:color w:val="auto"/>
          <w:szCs w:val="21"/>
          <w:highlight w:val="none"/>
        </w:rPr>
        <w:t>（即</w:t>
      </w:r>
      <w:r>
        <w:rPr>
          <w:rFonts w:hint="eastAsia" w:ascii="宋体" w:hAnsi="宋体"/>
          <w:color w:val="auto"/>
          <w:szCs w:val="21"/>
          <w:highlight w:val="none"/>
          <w:lang w:eastAsia="zh-CN"/>
        </w:rPr>
        <w:t>响应</w:t>
      </w:r>
      <w:r>
        <w:rPr>
          <w:rFonts w:hint="eastAsia" w:ascii="宋体" w:hAnsi="宋体"/>
          <w:color w:val="auto"/>
          <w:szCs w:val="21"/>
          <w:highlight w:val="none"/>
        </w:rPr>
        <w:t>截止时间）：【</w:t>
      </w:r>
      <w:r>
        <w:rPr>
          <w:rFonts w:hint="eastAsia" w:ascii="宋体" w:hAnsi="宋体"/>
          <w:color w:val="auto"/>
          <w:szCs w:val="21"/>
          <w:highlight w:val="none"/>
          <w:lang w:val="en-US" w:eastAsia="zh-CN"/>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05</w:t>
      </w:r>
      <w:r>
        <w:rPr>
          <w:rFonts w:hint="eastAsia" w:ascii="宋体" w:hAnsi="宋体"/>
          <w:color w:val="auto"/>
          <w:szCs w:val="21"/>
          <w:highlight w:val="none"/>
        </w:rPr>
        <w:t>日</w:t>
      </w:r>
      <w:r>
        <w:rPr>
          <w:rFonts w:hint="eastAsia" w:ascii="宋体" w:hAnsi="宋体"/>
          <w:color w:val="auto"/>
          <w:szCs w:val="21"/>
          <w:highlight w:val="none"/>
          <w:lang w:val="en-US" w:eastAsia="zh-CN"/>
        </w:rPr>
        <w:t>09</w:t>
      </w:r>
      <w:r>
        <w:rPr>
          <w:rFonts w:hint="eastAsia" w:ascii="宋体" w:hAnsi="宋体"/>
          <w:color w:val="auto"/>
          <w:szCs w:val="21"/>
          <w:highlight w:val="none"/>
        </w:rPr>
        <w:t>时</w:t>
      </w:r>
      <w:r>
        <w:rPr>
          <w:rFonts w:hint="eastAsia" w:ascii="宋体" w:hAnsi="宋体"/>
          <w:color w:val="auto"/>
          <w:szCs w:val="21"/>
          <w:highlight w:val="none"/>
          <w:lang w:val="en-US" w:eastAsia="zh-CN"/>
        </w:rPr>
        <w:t>00</w:t>
      </w:r>
      <w:r>
        <w:rPr>
          <w:rFonts w:hint="eastAsia" w:ascii="宋体" w:hAnsi="宋体"/>
          <w:color w:val="auto"/>
          <w:szCs w:val="21"/>
          <w:highlight w:val="none"/>
        </w:rPr>
        <w:t>分】。</w:t>
      </w:r>
    </w:p>
    <w:p w14:paraId="2BDD56C6">
      <w:pPr>
        <w:pStyle w:val="53"/>
        <w:wordWrap w:val="0"/>
        <w:adjustRightInd w:val="0"/>
        <w:snapToGrid w:val="0"/>
        <w:spacing w:line="440" w:lineRule="exact"/>
        <w:rPr>
          <w:rFonts w:ascii="宋体" w:hAnsi="宋体"/>
          <w:color w:val="auto"/>
          <w:szCs w:val="21"/>
          <w:highlight w:val="none"/>
        </w:rPr>
      </w:pPr>
      <w:r>
        <w:rPr>
          <w:rFonts w:hint="eastAsia" w:ascii="宋体" w:hAnsi="宋体"/>
          <w:color w:val="auto"/>
          <w:szCs w:val="21"/>
          <w:highlight w:val="none"/>
        </w:rPr>
        <w:t>5.2电子</w:t>
      </w:r>
      <w:r>
        <w:rPr>
          <w:rFonts w:hint="eastAsia" w:ascii="宋体" w:hAnsi="宋体"/>
          <w:color w:val="auto"/>
          <w:szCs w:val="21"/>
          <w:highlight w:val="none"/>
          <w:lang w:eastAsia="zh-CN"/>
        </w:rPr>
        <w:t>响应</w:t>
      </w:r>
      <w:r>
        <w:rPr>
          <w:rFonts w:hint="eastAsia" w:ascii="宋体" w:hAnsi="宋体"/>
          <w:color w:val="auto"/>
          <w:szCs w:val="21"/>
          <w:highlight w:val="none"/>
        </w:rPr>
        <w:t>文件的</w:t>
      </w:r>
      <w:r>
        <w:rPr>
          <w:rFonts w:hint="eastAsia" w:ascii="宋体" w:hAnsi="宋体"/>
          <w:color w:val="auto"/>
          <w:szCs w:val="21"/>
          <w:highlight w:val="none"/>
          <w:lang w:val="en-US" w:eastAsia="zh-CN"/>
        </w:rPr>
        <w:t>提交方式</w:t>
      </w:r>
      <w:r>
        <w:rPr>
          <w:rFonts w:hint="eastAsia" w:ascii="宋体" w:hAnsi="宋体"/>
          <w:color w:val="auto"/>
          <w:szCs w:val="21"/>
          <w:highlight w:val="none"/>
        </w:rPr>
        <w:t>：【登录</w:t>
      </w:r>
      <w:r>
        <w:rPr>
          <w:rFonts w:hint="eastAsia" w:ascii="宋体" w:hAnsi="宋体"/>
          <w:color w:val="auto"/>
          <w:szCs w:val="21"/>
          <w:highlight w:val="none"/>
          <w:lang w:eastAsia="zh-CN"/>
        </w:rPr>
        <w:t>“</w:t>
      </w:r>
      <w:r>
        <w:rPr>
          <w:rFonts w:hint="eastAsia" w:ascii="宋体" w:hAnsi="宋体"/>
          <w:color w:val="auto"/>
          <w:szCs w:val="21"/>
          <w:highlight w:val="none"/>
        </w:rPr>
        <w:t>中国电信阳光采购网（https://caigou.chinatelecom.com.cn）</w:t>
      </w:r>
      <w:r>
        <w:rPr>
          <w:rFonts w:hint="eastAsia" w:ascii="宋体" w:hAnsi="宋体"/>
          <w:color w:val="auto"/>
          <w:szCs w:val="21"/>
          <w:highlight w:val="none"/>
          <w:lang w:eastAsia="zh-CN"/>
        </w:rPr>
        <w:t>”</w:t>
      </w:r>
      <w:r>
        <w:rPr>
          <w:rFonts w:hint="eastAsia" w:ascii="宋体" w:hAnsi="宋体"/>
          <w:color w:val="auto"/>
          <w:szCs w:val="21"/>
          <w:highlight w:val="none"/>
        </w:rPr>
        <w:t>】后，通过“招投标-我的项目”模块或通过“电子采购入口”跳转中国电信电子采购系统，选择本项目进行</w:t>
      </w:r>
      <w:r>
        <w:rPr>
          <w:rFonts w:hint="eastAsia" w:ascii="宋体" w:hAnsi="宋体"/>
          <w:color w:val="auto"/>
          <w:szCs w:val="21"/>
          <w:highlight w:val="none"/>
          <w:lang w:eastAsia="zh-CN"/>
        </w:rPr>
        <w:t>响应</w:t>
      </w:r>
      <w:r>
        <w:rPr>
          <w:rFonts w:hint="eastAsia" w:ascii="宋体" w:hAnsi="宋体"/>
          <w:color w:val="auto"/>
          <w:szCs w:val="21"/>
          <w:highlight w:val="none"/>
        </w:rPr>
        <w:t>文件</w:t>
      </w:r>
      <w:r>
        <w:rPr>
          <w:rFonts w:hint="eastAsia" w:ascii="宋体" w:hAnsi="宋体"/>
          <w:color w:val="auto"/>
          <w:szCs w:val="21"/>
          <w:highlight w:val="none"/>
          <w:lang w:val="en-US" w:eastAsia="zh-CN"/>
        </w:rPr>
        <w:t>提交</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应在</w:t>
      </w:r>
      <w:r>
        <w:rPr>
          <w:rFonts w:hint="eastAsia" w:ascii="宋体" w:hAnsi="宋体"/>
          <w:color w:val="auto"/>
          <w:szCs w:val="21"/>
          <w:highlight w:val="none"/>
          <w:lang w:eastAsia="zh-CN"/>
        </w:rPr>
        <w:t>响应文件提交截止时间</w:t>
      </w:r>
      <w:r>
        <w:rPr>
          <w:rFonts w:hint="eastAsia" w:ascii="宋体" w:hAnsi="宋体"/>
          <w:color w:val="auto"/>
          <w:szCs w:val="21"/>
          <w:highlight w:val="none"/>
        </w:rPr>
        <w:t>之前通过电子采购系统完成加密电子</w:t>
      </w:r>
      <w:r>
        <w:rPr>
          <w:rFonts w:hint="eastAsia" w:ascii="宋体" w:hAnsi="宋体"/>
          <w:color w:val="auto"/>
          <w:szCs w:val="21"/>
          <w:highlight w:val="none"/>
          <w:lang w:eastAsia="zh-CN"/>
        </w:rPr>
        <w:t>响应</w:t>
      </w:r>
      <w:r>
        <w:rPr>
          <w:rFonts w:hint="eastAsia" w:ascii="宋体" w:hAnsi="宋体"/>
          <w:color w:val="auto"/>
          <w:szCs w:val="21"/>
          <w:highlight w:val="none"/>
        </w:rPr>
        <w:t>文件的上传。</w:t>
      </w:r>
      <w:r>
        <w:rPr>
          <w:rFonts w:hint="eastAsia" w:ascii="宋体" w:hAnsi="宋体"/>
          <w:color w:val="auto"/>
          <w:szCs w:val="21"/>
          <w:highlight w:val="none"/>
          <w:lang w:eastAsia="zh-CN"/>
        </w:rPr>
        <w:t>供应商</w:t>
      </w:r>
      <w:r>
        <w:rPr>
          <w:rFonts w:hint="eastAsia" w:ascii="宋体" w:hAnsi="宋体"/>
          <w:color w:val="auto"/>
          <w:szCs w:val="21"/>
          <w:highlight w:val="none"/>
        </w:rPr>
        <w:t>未在电子采购系统进行</w:t>
      </w:r>
      <w:r>
        <w:rPr>
          <w:rFonts w:hint="eastAsia" w:ascii="宋体" w:hAnsi="宋体"/>
          <w:color w:val="auto"/>
          <w:szCs w:val="21"/>
          <w:highlight w:val="none"/>
          <w:lang w:eastAsia="zh-CN"/>
        </w:rPr>
        <w:t>询比</w:t>
      </w:r>
      <w:r>
        <w:rPr>
          <w:rFonts w:hint="eastAsia" w:ascii="宋体" w:hAnsi="宋体"/>
          <w:color w:val="auto"/>
          <w:szCs w:val="21"/>
          <w:highlight w:val="none"/>
        </w:rPr>
        <w:t>文件申领登记或电子</w:t>
      </w:r>
      <w:r>
        <w:rPr>
          <w:rFonts w:hint="eastAsia" w:ascii="宋体" w:hAnsi="宋体"/>
          <w:color w:val="auto"/>
          <w:szCs w:val="21"/>
          <w:highlight w:val="none"/>
          <w:lang w:eastAsia="zh-CN"/>
        </w:rPr>
        <w:t>响应</w:t>
      </w:r>
      <w:r>
        <w:rPr>
          <w:rFonts w:hint="eastAsia" w:ascii="宋体" w:hAnsi="宋体"/>
          <w:color w:val="auto"/>
          <w:szCs w:val="21"/>
          <w:highlight w:val="none"/>
        </w:rPr>
        <w:t>文件未按照要求加密的，将无法通过电子采购系统提交电子</w:t>
      </w:r>
      <w:r>
        <w:rPr>
          <w:rFonts w:hint="eastAsia" w:ascii="宋体" w:hAnsi="宋体"/>
          <w:color w:val="auto"/>
          <w:szCs w:val="21"/>
          <w:highlight w:val="none"/>
          <w:lang w:eastAsia="zh-CN"/>
        </w:rPr>
        <w:t>响应</w:t>
      </w:r>
      <w:r>
        <w:rPr>
          <w:rFonts w:hint="eastAsia" w:ascii="宋体" w:hAnsi="宋体"/>
          <w:color w:val="auto"/>
          <w:szCs w:val="21"/>
          <w:highlight w:val="none"/>
        </w:rPr>
        <w:t>文件。</w:t>
      </w:r>
    </w:p>
    <w:p w14:paraId="1DBC6CE2">
      <w:pPr>
        <w:pStyle w:val="53"/>
        <w:wordWrap w:val="0"/>
        <w:adjustRightInd w:val="0"/>
        <w:snapToGrid w:val="0"/>
        <w:spacing w:line="440" w:lineRule="exact"/>
        <w:rPr>
          <w:rFonts w:ascii="宋体" w:hAnsi="宋体"/>
          <w:color w:val="auto"/>
          <w:szCs w:val="21"/>
          <w:highlight w:val="none"/>
        </w:rPr>
      </w:pPr>
      <w:r>
        <w:rPr>
          <w:rFonts w:hint="eastAsia" w:ascii="宋体" w:hAnsi="宋体"/>
          <w:color w:val="auto"/>
          <w:szCs w:val="21"/>
          <w:highlight w:val="none"/>
        </w:rPr>
        <w:t>5.3本项目将于</w:t>
      </w:r>
      <w:r>
        <w:rPr>
          <w:rFonts w:hint="eastAsia" w:ascii="宋体" w:hAnsi="宋体"/>
          <w:color w:val="auto"/>
          <w:szCs w:val="21"/>
          <w:highlight w:val="none"/>
          <w:lang w:eastAsia="zh-CN"/>
        </w:rPr>
        <w:t>响应</w:t>
      </w:r>
      <w:r>
        <w:rPr>
          <w:rFonts w:hint="eastAsia" w:ascii="宋体" w:hAnsi="宋体"/>
          <w:color w:val="auto"/>
          <w:szCs w:val="21"/>
          <w:highlight w:val="none"/>
        </w:rPr>
        <w:t>文件</w:t>
      </w:r>
      <w:r>
        <w:rPr>
          <w:rFonts w:hint="eastAsia" w:ascii="宋体" w:hAnsi="宋体"/>
          <w:color w:val="auto"/>
          <w:szCs w:val="21"/>
          <w:highlight w:val="none"/>
          <w:lang w:val="en-US" w:eastAsia="zh-CN"/>
        </w:rPr>
        <w:t>提交</w:t>
      </w:r>
      <w:r>
        <w:rPr>
          <w:rFonts w:hint="eastAsia" w:ascii="宋体" w:hAnsi="宋体"/>
          <w:color w:val="auto"/>
          <w:szCs w:val="21"/>
          <w:highlight w:val="none"/>
        </w:rPr>
        <w:t>截止同一时间通过中国电信电子采购系统</w:t>
      </w:r>
      <w:r>
        <w:rPr>
          <w:rFonts w:hint="eastAsia" w:ascii="宋体" w:hAnsi="宋体"/>
          <w:color w:val="auto"/>
          <w:szCs w:val="21"/>
          <w:highlight w:val="none"/>
          <w:lang w:val="en-US" w:eastAsia="zh-CN"/>
        </w:rPr>
        <w:t>开启响应文件</w:t>
      </w:r>
      <w:r>
        <w:rPr>
          <w:rFonts w:hint="eastAsia" w:ascii="宋体" w:hAnsi="宋体"/>
          <w:color w:val="auto"/>
          <w:szCs w:val="21"/>
          <w:highlight w:val="none"/>
        </w:rPr>
        <w:t>，【</w:t>
      </w:r>
      <w:r>
        <w:rPr>
          <w:rFonts w:hint="eastAsia" w:ascii="宋体" w:hAnsi="宋体"/>
          <w:color w:val="auto"/>
          <w:szCs w:val="21"/>
          <w:highlight w:val="none"/>
          <w:lang w:eastAsia="zh-CN"/>
        </w:rPr>
        <w:t>采购人</w:t>
      </w:r>
      <w:r>
        <w:rPr>
          <w:rFonts w:hint="eastAsia" w:ascii="宋体" w:hAnsi="宋体"/>
          <w:color w:val="auto"/>
          <w:szCs w:val="21"/>
          <w:highlight w:val="none"/>
        </w:rPr>
        <w:t>/</w:t>
      </w:r>
      <w:r>
        <w:rPr>
          <w:rFonts w:hint="eastAsia" w:ascii="宋体" w:hAnsi="宋体"/>
          <w:color w:val="auto"/>
          <w:szCs w:val="21"/>
          <w:highlight w:val="none"/>
          <w:lang w:eastAsia="zh-CN"/>
        </w:rPr>
        <w:t>采购代理机构</w:t>
      </w:r>
      <w:r>
        <w:rPr>
          <w:rFonts w:hint="eastAsia" w:ascii="宋体" w:hAnsi="宋体"/>
          <w:color w:val="auto"/>
          <w:szCs w:val="21"/>
          <w:highlight w:val="none"/>
        </w:rPr>
        <w:t>】邀请</w:t>
      </w:r>
      <w:r>
        <w:rPr>
          <w:rFonts w:hint="eastAsia" w:ascii="宋体" w:hAnsi="宋体"/>
          <w:color w:val="auto"/>
          <w:szCs w:val="21"/>
          <w:highlight w:val="none"/>
          <w:lang w:val="en-US" w:eastAsia="zh-CN"/>
        </w:rPr>
        <w:t>响应</w:t>
      </w:r>
      <w:r>
        <w:rPr>
          <w:rFonts w:hint="eastAsia" w:ascii="宋体" w:hAnsi="宋体"/>
          <w:color w:val="auto"/>
          <w:szCs w:val="21"/>
          <w:highlight w:val="none"/>
          <w:lang w:eastAsia="zh-CN"/>
        </w:rPr>
        <w:t>供应商</w:t>
      </w:r>
      <w:r>
        <w:rPr>
          <w:rFonts w:hint="eastAsia" w:ascii="宋体" w:hAnsi="宋体"/>
          <w:color w:val="auto"/>
          <w:szCs w:val="21"/>
          <w:highlight w:val="none"/>
        </w:rPr>
        <w:t>的法定代表人/负责人或者其委托代理人准时参加。</w:t>
      </w:r>
    </w:p>
    <w:p w14:paraId="7642572B">
      <w:pPr>
        <w:pStyle w:val="53"/>
        <w:adjustRightInd w:val="0"/>
        <w:snapToGrid w:val="0"/>
        <w:spacing w:line="440" w:lineRule="exact"/>
        <w:ind w:firstLine="0" w:firstLineChars="0"/>
        <w:rPr>
          <w:rFonts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w:t>
      </w:r>
      <w:r>
        <w:rPr>
          <w:rFonts w:hint="eastAsia" w:ascii="宋体" w:hAnsi="宋体"/>
          <w:b/>
          <w:color w:val="auto"/>
          <w:szCs w:val="21"/>
          <w:highlight w:val="none"/>
          <w:lang w:eastAsia="zh-CN"/>
        </w:rPr>
        <w:t>供应商</w:t>
      </w:r>
      <w:r>
        <w:rPr>
          <w:rFonts w:hint="eastAsia" w:ascii="宋体" w:hAnsi="宋体"/>
          <w:b/>
          <w:color w:val="auto"/>
          <w:szCs w:val="21"/>
          <w:highlight w:val="none"/>
        </w:rPr>
        <w:t>注册</w:t>
      </w:r>
    </w:p>
    <w:p w14:paraId="42C38270">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lang w:eastAsia="zh-CN"/>
        </w:rPr>
        <w:t>供应商</w:t>
      </w:r>
      <w:r>
        <w:rPr>
          <w:rFonts w:hint="eastAsia" w:ascii="宋体" w:hAnsi="宋体"/>
          <w:b/>
          <w:szCs w:val="21"/>
          <w:highlight w:val="none"/>
        </w:rPr>
        <w:t>注册</w:t>
      </w:r>
    </w:p>
    <w:p w14:paraId="186DFF1E">
      <w:pPr>
        <w:pStyle w:val="53"/>
        <w:adjustRightInd w:val="0"/>
        <w:snapToGrid w:val="0"/>
        <w:spacing w:line="440" w:lineRule="exact"/>
        <w:ind w:left="425" w:firstLine="0" w:firstLineChars="0"/>
        <w:rPr>
          <w:rFonts w:ascii="宋体" w:hAnsi="宋体"/>
          <w:szCs w:val="21"/>
          <w:highlight w:val="none"/>
        </w:rPr>
      </w:pP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.1</w:t>
      </w:r>
      <w:r>
        <w:rPr>
          <w:highlight w:val="none"/>
        </w:rPr>
        <w:t>中国电信阳光采购网</w:t>
      </w:r>
      <w:r>
        <w:rPr>
          <w:rFonts w:hint="eastAsia" w:asciiTheme="minorEastAsia" w:hAnsiTheme="minorEastAsia" w:eastAsiaTheme="minorEastAsia"/>
          <w:highlight w:val="none"/>
        </w:rPr>
        <w:t>注册</w:t>
      </w:r>
      <w:r>
        <w:rPr>
          <w:rFonts w:hint="eastAsia" w:ascii="宋体" w:hAnsi="宋体"/>
          <w:szCs w:val="21"/>
          <w:highlight w:val="none"/>
        </w:rPr>
        <w:t>。</w:t>
      </w:r>
    </w:p>
    <w:p w14:paraId="24490BCD">
      <w:pPr>
        <w:wordWrap w:val="0"/>
        <w:adjustRightInd w:val="0"/>
        <w:snapToGrid w:val="0"/>
        <w:spacing w:line="440" w:lineRule="exact"/>
        <w:ind w:firstLine="420" w:firstLineChars="200"/>
        <w:rPr>
          <w:rFonts w:ascii="宋体" w:hAnsi="宋体"/>
          <w:szCs w:val="21"/>
          <w:highlight w:val="none"/>
        </w:rPr>
      </w:pPr>
      <w:r>
        <w:rPr>
          <w:rFonts w:hint="eastAsia" w:asciiTheme="minorEastAsia" w:hAnsiTheme="minorEastAsia" w:eastAsiaTheme="minorEastAsia"/>
          <w:highlight w:val="none"/>
        </w:rPr>
        <w:t>未注册过的潜在</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w:t>
      </w:r>
      <w:r>
        <w:rPr>
          <w:rFonts w:hint="eastAsia" w:ascii="宋体" w:hAnsi="宋体"/>
          <w:highlight w:val="none"/>
        </w:rPr>
        <w:t>须</w:t>
      </w:r>
      <w:r>
        <w:rPr>
          <w:rFonts w:hint="eastAsia" w:asciiTheme="minorEastAsia" w:hAnsiTheme="minorEastAsia" w:eastAsiaTheme="minorEastAsia"/>
          <w:highlight w:val="none"/>
        </w:rPr>
        <w:t>通过</w:t>
      </w:r>
      <w:r>
        <w:rPr>
          <w:rFonts w:hint="eastAsia" w:asciiTheme="minorEastAsia" w:hAnsiTheme="minorEastAsia" w:eastAsiaTheme="minorEastAsia"/>
          <w:highlight w:val="none"/>
          <w:lang w:eastAsia="zh-CN"/>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highlight w:val="none"/>
          <w:lang w:eastAsia="zh-CN"/>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w:t>
      </w:r>
      <w:r>
        <w:rPr>
          <w:rFonts w:hint="eastAsia" w:asciiTheme="minorEastAsia" w:hAnsiTheme="minorEastAsia" w:eastAsiaTheme="minorEastAsia"/>
          <w:highlight w:val="none"/>
          <w:lang w:eastAsia="zh-CN"/>
        </w:rPr>
        <w:t>询比</w:t>
      </w:r>
      <w:r>
        <w:rPr>
          <w:rFonts w:hint="eastAsia" w:asciiTheme="minorEastAsia" w:hAnsiTheme="minorEastAsia" w:eastAsiaTheme="minorEastAsia"/>
          <w:highlight w:val="none"/>
        </w:rPr>
        <w:t>文件。</w:t>
      </w:r>
    </w:p>
    <w:p w14:paraId="0C9F3382">
      <w:pPr>
        <w:tabs>
          <w:tab w:val="left" w:pos="993"/>
        </w:tabs>
        <w:wordWrap w:val="0"/>
        <w:adjustRightInd w:val="0"/>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.2 CA证书办理</w:t>
      </w:r>
    </w:p>
    <w:p w14:paraId="0F8F8CB9">
      <w:pPr>
        <w:pStyle w:val="53"/>
        <w:wordWrap w:val="0"/>
        <w:adjustRightInd w:val="0"/>
        <w:snapToGrid w:val="0"/>
        <w:spacing w:line="440" w:lineRule="exact"/>
        <w:ind w:firstLine="432" w:firstLineChars="202"/>
        <w:rPr>
          <w:rFonts w:asciiTheme="minorEastAsia" w:hAnsiTheme="minorEastAsia" w:eastAsiaTheme="minorEastAsia"/>
          <w:highlight w:val="none"/>
        </w:rPr>
      </w:pPr>
      <w:r>
        <w:rPr>
          <w:rFonts w:hint="eastAsia" w:asciiTheme="minorEastAsia" w:hAnsiTheme="minorEastAsia" w:eastAsiaTheme="minorEastAsia"/>
          <w:spacing w:val="2"/>
          <w:szCs w:val="21"/>
          <w:highlight w:val="none"/>
        </w:rPr>
        <w:t>参与</w:t>
      </w:r>
      <w:r>
        <w:rPr>
          <w:rFonts w:hint="eastAsia" w:asciiTheme="minorEastAsia" w:hAnsiTheme="minorEastAsia" w:eastAsiaTheme="minorEastAsia"/>
          <w:spacing w:val="2"/>
          <w:szCs w:val="21"/>
          <w:highlight w:val="none"/>
          <w:lang w:val="en-US" w:eastAsia="zh-CN"/>
        </w:rPr>
        <w:t>询比响应</w:t>
      </w:r>
      <w:r>
        <w:rPr>
          <w:rFonts w:hint="eastAsia" w:asciiTheme="minorEastAsia" w:hAnsiTheme="minorEastAsia" w:eastAsiaTheme="minorEastAsia"/>
          <w:spacing w:val="2"/>
          <w:szCs w:val="21"/>
          <w:highlight w:val="none"/>
        </w:rPr>
        <w:t>的潜在</w:t>
      </w:r>
      <w:r>
        <w:rPr>
          <w:rFonts w:hint="eastAsia" w:asciiTheme="minorEastAsia" w:hAnsiTheme="minorEastAsia" w:eastAsiaTheme="minorEastAsia"/>
          <w:spacing w:val="2"/>
          <w:szCs w:val="21"/>
          <w:highlight w:val="none"/>
          <w:lang w:eastAsia="zh-CN"/>
        </w:rPr>
        <w:t>供应商</w:t>
      </w:r>
      <w:r>
        <w:rPr>
          <w:rFonts w:hint="eastAsia" w:asciiTheme="minorEastAsia" w:hAnsiTheme="minorEastAsia" w:eastAsiaTheme="minorEastAsia"/>
          <w:spacing w:val="2"/>
          <w:szCs w:val="21"/>
          <w:highlight w:val="none"/>
        </w:rPr>
        <w:t>须提前办理CA证书，并确保CA证书在使用时有效。CA证书办理流程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highlight w:val="none"/>
          <w:lang w:val="en-US" w:eastAsia="zh-CN"/>
        </w:rPr>
        <w:t>首页</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p>
    <w:p w14:paraId="0E1D9F87">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lang w:val="en-US" w:eastAsia="zh-CN"/>
        </w:rPr>
        <w:t>6</w:t>
      </w:r>
      <w:r>
        <w:rPr>
          <w:rFonts w:hint="eastAsia" w:cs="宋体" w:asciiTheme="minorEastAsia" w:hAnsiTheme="minorEastAsia" w:eastAsiaTheme="minorEastAsia"/>
          <w:kern w:val="0"/>
          <w:szCs w:val="21"/>
          <w:highlight w:val="none"/>
        </w:rPr>
        <w:t>.3</w:t>
      </w:r>
      <w:r>
        <w:rPr>
          <w:rFonts w:cs="宋体" w:asciiTheme="minorEastAsia" w:hAnsiTheme="minorEastAsia" w:eastAsiaTheme="minorEastAsia"/>
          <w:kern w:val="0"/>
          <w:szCs w:val="21"/>
          <w:highlight w:val="none"/>
        </w:rPr>
        <w:t>技术支撑联系方式</w:t>
      </w:r>
    </w:p>
    <w:p w14:paraId="54284CF7">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01E883EF">
      <w:pPr>
        <w:pStyle w:val="53"/>
        <w:adjustRightInd w:val="0"/>
        <w:snapToGrid w:val="0"/>
        <w:spacing w:line="440" w:lineRule="exact"/>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48278614">
      <w:pPr>
        <w:pStyle w:val="53"/>
        <w:wordWrap w:val="0"/>
        <w:adjustRightInd w:val="0"/>
        <w:snapToGrid w:val="0"/>
        <w:spacing w:line="440" w:lineRule="exact"/>
        <w:ind w:firstLine="1470" w:firstLineChars="70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0783370E">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lang w:val="en-US" w:eastAsia="zh-CN"/>
        </w:rPr>
        <w:t>7</w:t>
      </w:r>
      <w:r>
        <w:rPr>
          <w:rFonts w:hint="eastAsia" w:ascii="宋体" w:hAnsi="宋体"/>
          <w:b/>
          <w:szCs w:val="21"/>
          <w:highlight w:val="none"/>
        </w:rPr>
        <w:t>.发布公告的媒介</w:t>
      </w:r>
    </w:p>
    <w:p w14:paraId="65759ADF">
      <w:pPr>
        <w:pStyle w:val="53"/>
        <w:wordWrap w:val="0"/>
        <w:adjustRightInd w:val="0"/>
        <w:snapToGrid w:val="0"/>
        <w:spacing w:line="360" w:lineRule="auto"/>
        <w:ind w:left="2" w:firstLine="424" w:firstLineChars="202"/>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eastAsiaTheme="minorEastAsia"/>
          <w:kern w:val="0"/>
          <w:szCs w:val="21"/>
          <w:highlight w:val="none"/>
        </w:rPr>
        <w:t>本</w:t>
      </w:r>
      <w:r>
        <w:rPr>
          <w:rFonts w:hint="eastAsia" w:cs="宋体" w:asciiTheme="minorEastAsia" w:hAnsiTheme="minorEastAsia" w:eastAsiaTheme="minorEastAsia"/>
          <w:kern w:val="0"/>
          <w:szCs w:val="21"/>
          <w:highlight w:val="none"/>
          <w:lang w:eastAsia="zh-CN"/>
        </w:rPr>
        <w:t>询比</w:t>
      </w:r>
      <w:r>
        <w:rPr>
          <w:rFonts w:hint="eastAsia" w:cs="宋体" w:asciiTheme="minorEastAsia" w:hAnsiTheme="minorEastAsia" w:eastAsiaTheme="minorEastAsia"/>
          <w:kern w:val="0"/>
          <w:szCs w:val="21"/>
          <w:highlight w:val="none"/>
        </w:rPr>
        <w:t>公告在中国电信阳光采购网（https://caigou.chinatelecom.com.cn）、中国招标投标公共服务平台（http://www.cebpubservice.com/）上发布，其他媒介转载无效</w:t>
      </w:r>
      <w:r>
        <w:rPr>
          <w:rFonts w:hint="eastAsia" w:cs="宋体" w:asciiTheme="minorEastAsia" w:hAnsiTheme="minorEastAsia" w:eastAsiaTheme="minorEastAsia"/>
          <w:kern w:val="0"/>
          <w:szCs w:val="21"/>
          <w:highlight w:val="none"/>
          <w:lang w:eastAsia="zh-CN"/>
        </w:rPr>
        <w:t>。</w:t>
      </w:r>
    </w:p>
    <w:p w14:paraId="6FEBA5CA">
      <w:pPr>
        <w:pStyle w:val="53"/>
        <w:adjustRightInd w:val="0"/>
        <w:snapToGrid w:val="0"/>
        <w:spacing w:line="440" w:lineRule="exact"/>
        <w:ind w:firstLine="0" w:firstLineChars="0"/>
        <w:rPr>
          <w:rFonts w:ascii="宋体" w:hAnsi="宋体"/>
          <w:b/>
          <w:color w:val="auto"/>
          <w:szCs w:val="21"/>
          <w:highlight w:val="none"/>
        </w:rPr>
      </w:pPr>
      <w:r>
        <w:rPr>
          <w:rFonts w:hint="eastAsia" w:ascii="宋体" w:hAnsi="宋体"/>
          <w:b/>
          <w:color w:val="auto"/>
          <w:szCs w:val="21"/>
          <w:highlight w:val="none"/>
          <w:lang w:val="en-US" w:eastAsia="zh-CN"/>
        </w:rPr>
        <w:t>8</w:t>
      </w:r>
      <w:r>
        <w:rPr>
          <w:rFonts w:hint="eastAsia" w:ascii="宋体" w:hAnsi="宋体"/>
          <w:b/>
          <w:color w:val="auto"/>
          <w:szCs w:val="21"/>
          <w:highlight w:val="none"/>
        </w:rPr>
        <w:t>.联系及异议接收方式</w:t>
      </w:r>
    </w:p>
    <w:p w14:paraId="6653965B">
      <w:pPr>
        <w:spacing w:line="360" w:lineRule="auto"/>
        <w:rPr>
          <w:rFonts w:ascii="宋体" w:hAnsi="宋体"/>
          <w:color w:val="auto"/>
          <w:highlight w:val="none"/>
        </w:rPr>
      </w:pPr>
      <w:r>
        <w:rPr>
          <w:rFonts w:hint="eastAsia" w:asciiTheme="minorEastAsia" w:hAnsiTheme="minorEastAsia" w:eastAsiaTheme="minorEastAsia"/>
          <w:color w:val="auto"/>
          <w:highlight w:val="none"/>
          <w:lang w:val="en-US" w:eastAsia="zh-CN"/>
        </w:rPr>
        <w:t>8</w:t>
      </w: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联系方式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593"/>
        <w:gridCol w:w="1517"/>
        <w:gridCol w:w="2631"/>
      </w:tblGrid>
      <w:tr w14:paraId="1CE0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965E1E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采 购 人</w:t>
            </w:r>
            <w:r>
              <w:rPr>
                <w:rFonts w:hint="eastAsia" w:ascii="宋体" w:hAnsi="宋体" w:eastAsia="宋体" w:cs="宋体"/>
                <w:sz w:val="21"/>
                <w:szCs w:val="21"/>
                <w:highlight w:val="none"/>
                <w:lang w:eastAsia="zh-CN"/>
              </w:rPr>
              <w:t>:</w:t>
            </w:r>
          </w:p>
        </w:tc>
        <w:tc>
          <w:tcPr>
            <w:tcW w:w="2593" w:type="dxa"/>
          </w:tcPr>
          <w:p w14:paraId="1C1F60C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中国电信股份有限公司泉州分公司</w:t>
            </w:r>
          </w:p>
        </w:tc>
        <w:tc>
          <w:tcPr>
            <w:tcW w:w="1517" w:type="dxa"/>
          </w:tcPr>
          <w:p w14:paraId="0339AE8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eastAsia="zh-CN"/>
              </w:rPr>
              <w:t>代理机构:</w:t>
            </w:r>
          </w:p>
        </w:tc>
        <w:tc>
          <w:tcPr>
            <w:tcW w:w="2631" w:type="dxa"/>
          </w:tcPr>
          <w:p w14:paraId="48C8F81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福建省中通通信有限公司</w:t>
            </w:r>
          </w:p>
        </w:tc>
      </w:tr>
      <w:tr w14:paraId="6987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499DF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593" w:type="dxa"/>
          </w:tcPr>
          <w:p w14:paraId="51216A7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【福建省泉州市丰泽区刺桐南路西侧电信大楼】</w:t>
            </w:r>
          </w:p>
        </w:tc>
        <w:tc>
          <w:tcPr>
            <w:tcW w:w="1517" w:type="dxa"/>
          </w:tcPr>
          <w:p w14:paraId="2287ADA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631" w:type="dxa"/>
          </w:tcPr>
          <w:p w14:paraId="4AE4F30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福建省福州市仓山区临江街道信平路10号</w:t>
            </w:r>
          </w:p>
        </w:tc>
      </w:tr>
      <w:tr w14:paraId="5FB9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D9A137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593" w:type="dxa"/>
          </w:tcPr>
          <w:p w14:paraId="53AC955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362000</w:t>
            </w:r>
            <w:r>
              <w:rPr>
                <w:rFonts w:hint="eastAsia" w:ascii="宋体" w:hAnsi="宋体" w:cs="宋体"/>
                <w:color w:val="000000" w:themeColor="text1"/>
                <w:highlight w:val="none"/>
                <w14:textFill>
                  <w14:solidFill>
                    <w14:schemeClr w14:val="tx1"/>
                  </w14:solidFill>
                </w14:textFill>
              </w:rPr>
              <w:t>】</w:t>
            </w:r>
          </w:p>
        </w:tc>
        <w:tc>
          <w:tcPr>
            <w:tcW w:w="1517" w:type="dxa"/>
          </w:tcPr>
          <w:p w14:paraId="3951249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631" w:type="dxa"/>
          </w:tcPr>
          <w:p w14:paraId="482F9FD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350007</w:t>
            </w:r>
          </w:p>
        </w:tc>
      </w:tr>
      <w:tr w14:paraId="5053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1A54FF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593" w:type="dxa"/>
          </w:tcPr>
          <w:p w14:paraId="24F91AF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hint="eastAsia" w:ascii="宋体" w:hAnsi="宋体"/>
              </w:rPr>
              <w:t>杨川源</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中国电信阳光采购网供应商审核加急（仅适用于福建区域注册登记的供应商）：0591-83320889</w:t>
            </w:r>
            <w:r>
              <w:rPr>
                <w:rFonts w:hint="eastAsia" w:ascii="宋体" w:hAnsi="宋体" w:cs="宋体"/>
                <w:color w:val="000000" w:themeColor="text1"/>
                <w:highlight w:val="none"/>
                <w:lang w:eastAsia="zh-CN"/>
                <w14:textFill>
                  <w14:solidFill>
                    <w14:schemeClr w14:val="tx1"/>
                  </w14:solidFill>
                </w14:textFill>
              </w:rPr>
              <w:t>】</w:t>
            </w:r>
          </w:p>
        </w:tc>
        <w:tc>
          <w:tcPr>
            <w:tcW w:w="1517" w:type="dxa"/>
          </w:tcPr>
          <w:p w14:paraId="27E4345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631" w:type="dxa"/>
          </w:tcPr>
          <w:p w14:paraId="60DBBEB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default" w:ascii="宋体" w:hAnsi="宋体" w:eastAsia="宋体" w:cs="宋体"/>
                <w:sz w:val="21"/>
                <w:szCs w:val="21"/>
                <w:highlight w:val="none"/>
                <w:lang w:val="en-US" w:eastAsia="zh-CN"/>
              </w:rPr>
            </w:pPr>
            <w:r>
              <w:rPr>
                <w:rFonts w:hint="eastAsia" w:ascii="宋体" w:hAnsi="宋体"/>
                <w:color w:val="000000"/>
                <w:kern w:val="0"/>
                <w:szCs w:val="21"/>
                <w:highlight w:val="none"/>
                <w:lang w:val="zh-CN"/>
              </w:rPr>
              <w:t>蒋恭楷</w:t>
            </w:r>
          </w:p>
        </w:tc>
      </w:tr>
      <w:tr w14:paraId="2879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875F4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593" w:type="dxa"/>
          </w:tcPr>
          <w:p w14:paraId="21854AAF">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lang w:bidi="ar"/>
                <w14:textFill>
                  <w14:solidFill>
                    <w14:schemeClr w14:val="tx1"/>
                  </w14:solidFill>
                </w14:textFill>
              </w:rPr>
              <w:t>18960227663</w:t>
            </w:r>
            <w:r>
              <w:rPr>
                <w:rFonts w:hint="eastAsia" w:ascii="宋体" w:hAnsi="宋体" w:cs="宋体"/>
                <w:color w:val="000000" w:themeColor="text1"/>
                <w:highlight w:val="none"/>
                <w14:textFill>
                  <w14:solidFill>
                    <w14:schemeClr w14:val="tx1"/>
                  </w14:solidFill>
                </w14:textFill>
              </w:rPr>
              <w:t>】</w:t>
            </w:r>
          </w:p>
        </w:tc>
        <w:tc>
          <w:tcPr>
            <w:tcW w:w="1517" w:type="dxa"/>
          </w:tcPr>
          <w:p w14:paraId="36EC2D3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631" w:type="dxa"/>
          </w:tcPr>
          <w:p w14:paraId="55E3FB4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19905958001</w:t>
            </w:r>
            <w:r>
              <w:rPr>
                <w:rFonts w:hint="eastAsia" w:ascii="宋体" w:hAnsi="宋体" w:cs="宋体"/>
                <w:color w:val="000000" w:themeColor="text1"/>
                <w:highlight w:val="none"/>
                <w14:textFill>
                  <w14:solidFill>
                    <w14:schemeClr w14:val="tx1"/>
                  </w14:solidFill>
                </w14:textFill>
              </w:rPr>
              <w:t>】</w:t>
            </w:r>
          </w:p>
        </w:tc>
      </w:tr>
      <w:tr w14:paraId="36FC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AEE125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593" w:type="dxa"/>
          </w:tcPr>
          <w:p w14:paraId="3B9E8E4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04FE4C30">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631" w:type="dxa"/>
          </w:tcPr>
          <w:p w14:paraId="6E43460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themeColor="text1"/>
                <w:highlight w:val="none"/>
                <w14:textFill>
                  <w14:solidFill>
                    <w14:schemeClr w14:val="tx1"/>
                  </w14:solidFill>
                </w14:textFill>
              </w:rPr>
              <w:t>【</w:t>
            </w:r>
            <w:r>
              <w:rPr>
                <w:rFonts w:ascii="宋体" w:hAnsi="宋体"/>
                <w:color w:val="000000"/>
                <w:kern w:val="0"/>
                <w:szCs w:val="21"/>
                <w:highlight w:val="none"/>
                <w:lang w:val="zh-CN"/>
              </w:rPr>
              <w:t>jianggongkai@chinaccs.cn</w:t>
            </w:r>
            <w:r>
              <w:rPr>
                <w:rFonts w:hint="eastAsia" w:ascii="宋体" w:hAnsi="宋体" w:cs="宋体"/>
                <w:color w:val="000000" w:themeColor="text1"/>
                <w:highlight w:val="none"/>
                <w14:textFill>
                  <w14:solidFill>
                    <w14:schemeClr w14:val="tx1"/>
                  </w14:solidFill>
                </w14:textFill>
              </w:rPr>
              <w:t>】</w:t>
            </w:r>
          </w:p>
        </w:tc>
      </w:tr>
      <w:tr w14:paraId="5949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1348C3">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593" w:type="dxa"/>
          </w:tcPr>
          <w:p w14:paraId="3402213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6CF2328D">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631" w:type="dxa"/>
          </w:tcPr>
          <w:p w14:paraId="6F4662D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r>
      <w:tr w14:paraId="2A42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DB68A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2593" w:type="dxa"/>
          </w:tcPr>
          <w:p w14:paraId="078E6BE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1517" w:type="dxa"/>
          </w:tcPr>
          <w:p w14:paraId="722B118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开户银行：</w:t>
            </w:r>
          </w:p>
        </w:tc>
        <w:tc>
          <w:tcPr>
            <w:tcW w:w="2631" w:type="dxa"/>
          </w:tcPr>
          <w:p w14:paraId="36EDA941">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中信银行福州榕城支行</w:t>
            </w:r>
          </w:p>
        </w:tc>
      </w:tr>
      <w:tr w14:paraId="6BCE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F465CB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2593" w:type="dxa"/>
          </w:tcPr>
          <w:p w14:paraId="15D149B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1517" w:type="dxa"/>
          </w:tcPr>
          <w:p w14:paraId="25B45E0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账    号：</w:t>
            </w:r>
          </w:p>
        </w:tc>
        <w:tc>
          <w:tcPr>
            <w:tcW w:w="2631" w:type="dxa"/>
          </w:tcPr>
          <w:p w14:paraId="0F8B4F0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3111330075520002780</w:t>
            </w:r>
          </w:p>
        </w:tc>
      </w:tr>
    </w:tbl>
    <w:p w14:paraId="2AAE479C">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8</w:t>
      </w:r>
      <w:r>
        <w:rPr>
          <w:rFonts w:hint="eastAsia" w:asciiTheme="minorEastAsia" w:hAnsiTheme="minorEastAsia" w:eastAsiaTheme="minorEastAsia"/>
          <w:highlight w:val="none"/>
        </w:rPr>
        <w:t>.2异议接收方式</w:t>
      </w:r>
    </w:p>
    <w:p w14:paraId="68D96B17">
      <w:pPr>
        <w:pStyle w:val="87"/>
        <w:wordWrap w:val="0"/>
        <w:spacing w:line="360" w:lineRule="auto"/>
        <w:rPr>
          <w:rFonts w:ascii="宋体" w:hAnsi="宋体" w:cs="宋体"/>
          <w:color w:val="auto"/>
          <w:szCs w:val="21"/>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r>
        <w:rPr>
          <w:rFonts w:hint="eastAsia" w:ascii="宋体" w:hAnsi="宋体" w:cs="宋体"/>
          <w:color w:val="auto"/>
          <w:szCs w:val="21"/>
          <w:highlight w:val="none"/>
        </w:rPr>
        <w:t>。</w:t>
      </w:r>
    </w:p>
    <w:p w14:paraId="001E506E">
      <w:pPr>
        <w:spacing w:line="360" w:lineRule="auto"/>
        <w:ind w:right="489"/>
        <w:jc w:val="righ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采购代理机构</w:t>
      </w:r>
      <w:r>
        <w:rPr>
          <w:rFonts w:hint="eastAsia" w:ascii="宋体" w:hAnsi="宋体"/>
          <w:color w:val="auto"/>
          <w:szCs w:val="21"/>
          <w:highlight w:val="none"/>
        </w:rPr>
        <w:t>：</w:t>
      </w:r>
      <w:r>
        <w:rPr>
          <w:rFonts w:hint="eastAsia" w:ascii="宋体" w:hAnsi="宋体"/>
          <w:color w:val="auto"/>
          <w:szCs w:val="21"/>
          <w:highlight w:val="none"/>
          <w:lang w:eastAsia="zh-CN"/>
        </w:rPr>
        <w:t>福建省中通通信有限公司</w:t>
      </w:r>
    </w:p>
    <w:p w14:paraId="02A2FB3E">
      <w:pPr>
        <w:pStyle w:val="87"/>
        <w:spacing w:line="360" w:lineRule="auto"/>
        <w:ind w:left="425" w:firstLine="0" w:firstLineChars="0"/>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27</w:t>
      </w:r>
      <w:r>
        <w:rPr>
          <w:rFonts w:hint="eastAsia" w:ascii="宋体" w:hAnsi="宋体"/>
          <w:color w:val="auto"/>
          <w:szCs w:val="21"/>
          <w:highlight w:val="none"/>
        </w:rPr>
        <w:t>日</w:t>
      </w:r>
    </w:p>
    <w:p w14:paraId="0030630C">
      <w:pPr>
        <w:pStyle w:val="87"/>
        <w:spacing w:line="360" w:lineRule="auto"/>
        <w:ind w:left="425" w:firstLine="0" w:firstLineChars="0"/>
        <w:jc w:val="cente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0D80BD9"/>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7BB6ADF"/>
    <w:rsid w:val="41D56D7E"/>
    <w:rsid w:val="469B6C08"/>
    <w:rsid w:val="49C259A4"/>
    <w:rsid w:val="4D1572CC"/>
    <w:rsid w:val="5111696F"/>
    <w:rsid w:val="545700BE"/>
    <w:rsid w:val="56332705"/>
    <w:rsid w:val="57697197"/>
    <w:rsid w:val="58471CC0"/>
    <w:rsid w:val="592A7413"/>
    <w:rsid w:val="5A9721A8"/>
    <w:rsid w:val="5C5B2BF7"/>
    <w:rsid w:val="5D3B5446"/>
    <w:rsid w:val="616856F6"/>
    <w:rsid w:val="66A96147"/>
    <w:rsid w:val="6B9D0D31"/>
    <w:rsid w:val="6BDB3A77"/>
    <w:rsid w:val="6D162E36"/>
    <w:rsid w:val="6FF75861"/>
    <w:rsid w:val="71770A5A"/>
    <w:rsid w:val="74656964"/>
    <w:rsid w:val="7C4F5213"/>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2"/>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3"/>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3"/>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4"/>
    <w:autoRedefine/>
    <w:qFormat/>
    <w:uiPriority w:val="9"/>
    <w:rPr>
      <w:rFonts w:ascii="Arial" w:hAnsi="Arial" w:eastAsia="黑体" w:cs="Times New Roman"/>
      <w:b/>
      <w:bCs/>
      <w:kern w:val="2"/>
      <w:sz w:val="32"/>
      <w:szCs w:val="32"/>
    </w:rPr>
  </w:style>
  <w:style w:type="character" w:customStyle="1" w:styleId="59">
    <w:name w:val="标题 3 Char"/>
    <w:basedOn w:val="44"/>
    <w:link w:val="5"/>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4"/>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5"/>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2"/>
    <w:autoRedefine/>
    <w:qFormat/>
    <w:uiPriority w:val="0"/>
    <w:rPr>
      <w:rFonts w:ascii="楷体_GB2312" w:hAnsi="Times New Roman" w:eastAsia="楷体_GB2312" w:cs="Times New Roman"/>
      <w:sz w:val="28"/>
    </w:rPr>
  </w:style>
  <w:style w:type="paragraph" w:customStyle="1" w:styleId="100">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3"/>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3"/>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3224</Words>
  <Characters>3804</Characters>
  <Lines>82</Lines>
  <Paragraphs>92</Paragraphs>
  <TotalTime>0</TotalTime>
  <ScaleCrop>false</ScaleCrop>
  <LinksUpToDate>false</LinksUpToDate>
  <CharactersWithSpaces>3865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2025-10-27T06:35:21Z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C6CDDC2A42914A7EB01A8968CB3357E7</vt:lpwstr>
  </property>
  <property fmtid="{D5CDD505-2E9C-101B-9397-08002B2CF9AE}" pid="4" name="KSOTemplateDocerSaveRecord">
    <vt:lpwstr>eyJoZGlkIjoiZGE5MmVkYzA5NWUxZGNiY2FjZDViYjg4MDQwZjY0ZjkiLCJ1c2VySWQiOiIxNTEwNTczNjUxIn0=</vt:lpwstr>
  </property>
</Properties>
</file>