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E6F0F">
      <w:pPr>
        <w:spacing w:line="440" w:lineRule="exact"/>
        <w:rPr>
          <w:rFonts w:asciiTheme="minorEastAsia" w:hAnsiTheme="minorEastAsia" w:eastAsiaTheme="minorEastAsia"/>
          <w:b/>
          <w:sz w:val="28"/>
          <w:szCs w:val="30"/>
          <w:highlight w:val="none"/>
        </w:rPr>
      </w:pPr>
    </w:p>
    <w:p w14:paraId="0C2D6174">
      <w:pPr>
        <w:spacing w:line="440" w:lineRule="exact"/>
        <w:rPr>
          <w:rFonts w:asciiTheme="minorEastAsia" w:hAnsiTheme="minorEastAsia" w:eastAsiaTheme="minorEastAsia"/>
          <w:b/>
          <w:sz w:val="28"/>
          <w:szCs w:val="30"/>
          <w:highlight w:val="none"/>
        </w:rPr>
      </w:pPr>
    </w:p>
    <w:p w14:paraId="5B26702D">
      <w:pPr>
        <w:spacing w:line="360" w:lineRule="auto"/>
        <w:ind w:firstLine="560"/>
        <w:rPr>
          <w:rFonts w:cs="宋体" w:asciiTheme="minorEastAsia" w:hAnsiTheme="minorEastAsia" w:eastAsiaTheme="minorEastAsia"/>
          <w:sz w:val="28"/>
          <w:szCs w:val="28"/>
          <w:highlight w:val="none"/>
        </w:rPr>
      </w:pPr>
      <w:r>
        <w:rPr>
          <w:rFonts w:hint="eastAsia" w:asciiTheme="minorEastAsia" w:hAnsiTheme="minorEastAsia" w:eastAsiaTheme="minorEastAsia"/>
          <w:b/>
          <w:sz w:val="28"/>
          <w:szCs w:val="30"/>
          <w:highlight w:val="none"/>
        </w:rPr>
        <w:t>招标编号</w:t>
      </w:r>
      <w:r>
        <w:rPr>
          <w:rFonts w:asciiTheme="minorEastAsia" w:hAnsiTheme="minorEastAsia" w:eastAsiaTheme="minorEastAsia"/>
          <w:b/>
          <w:sz w:val="28"/>
          <w:szCs w:val="30"/>
          <w:highlight w:val="none"/>
        </w:rPr>
        <w:t>：</w:t>
      </w:r>
      <w:r>
        <w:rPr>
          <w:rFonts w:hint="eastAsia" w:asciiTheme="minorEastAsia" w:hAnsiTheme="minorEastAsia" w:eastAsiaTheme="minorEastAsia"/>
          <w:b/>
          <w:sz w:val="28"/>
          <w:szCs w:val="30"/>
          <w:highlight w:val="none"/>
          <w:lang w:val="en-US" w:eastAsia="zh-CN"/>
        </w:rPr>
        <w:t>GZBBFA202510200004</w:t>
      </w:r>
    </w:p>
    <w:p w14:paraId="2288AC6B">
      <w:pPr>
        <w:spacing w:line="360" w:lineRule="auto"/>
        <w:ind w:firstLine="560"/>
        <w:rPr>
          <w:rFonts w:cs="宋体" w:asciiTheme="minorEastAsia" w:hAnsiTheme="minorEastAsia" w:eastAsiaTheme="minorEastAsia"/>
          <w:sz w:val="28"/>
          <w:szCs w:val="28"/>
          <w:highlight w:val="none"/>
        </w:rPr>
      </w:pPr>
    </w:p>
    <w:p w14:paraId="62E639E1">
      <w:pPr>
        <w:spacing w:line="360" w:lineRule="auto"/>
        <w:ind w:firstLine="560"/>
        <w:rPr>
          <w:rFonts w:cs="宋体" w:asciiTheme="minorEastAsia" w:hAnsiTheme="minorEastAsia" w:eastAsiaTheme="minorEastAsia"/>
          <w:sz w:val="28"/>
          <w:szCs w:val="28"/>
          <w:highlight w:val="none"/>
        </w:rPr>
      </w:pPr>
    </w:p>
    <w:p w14:paraId="16C02B75">
      <w:pPr>
        <w:spacing w:line="360" w:lineRule="auto"/>
        <w:ind w:firstLine="560"/>
        <w:rPr>
          <w:rFonts w:cs="宋体" w:asciiTheme="minorEastAsia" w:hAnsiTheme="minorEastAsia" w:eastAsiaTheme="minorEastAsia"/>
          <w:sz w:val="28"/>
          <w:szCs w:val="28"/>
          <w:highlight w:val="none"/>
        </w:rPr>
      </w:pPr>
    </w:p>
    <w:p w14:paraId="23E558C8">
      <w:pPr>
        <w:spacing w:line="360" w:lineRule="auto"/>
        <w:ind w:firstLine="560"/>
        <w:rPr>
          <w:rFonts w:cs="宋体" w:asciiTheme="minorEastAsia" w:hAnsiTheme="minorEastAsia" w:eastAsiaTheme="minorEastAsia"/>
          <w:sz w:val="28"/>
          <w:szCs w:val="28"/>
          <w:highlight w:val="none"/>
        </w:rPr>
      </w:pPr>
    </w:p>
    <w:p w14:paraId="5347CFF1">
      <w:pPr>
        <w:spacing w:line="360" w:lineRule="auto"/>
        <w:ind w:firstLine="560"/>
        <w:rPr>
          <w:rFonts w:cs="宋体" w:asciiTheme="minorEastAsia" w:hAnsiTheme="minorEastAsia" w:eastAsiaTheme="minorEastAsia"/>
          <w:b/>
          <w:szCs w:val="21"/>
          <w:highlight w:val="none"/>
          <w:u w:val="single"/>
        </w:rPr>
      </w:pPr>
    </w:p>
    <w:p w14:paraId="4E1564DE">
      <w:pPr>
        <w:spacing w:after="120" w:line="360" w:lineRule="atLeast"/>
        <w:jc w:val="center"/>
        <w:rPr>
          <w:rFonts w:hint="default" w:cs="宋体" w:asciiTheme="minorEastAsia" w:hAnsiTheme="minorEastAsia" w:eastAsiaTheme="minorEastAsia"/>
          <w:b/>
          <w:sz w:val="36"/>
          <w:szCs w:val="36"/>
          <w:highlight w:val="none"/>
          <w:lang w:val="en-US" w:eastAsia="zh-CN"/>
        </w:rPr>
      </w:pPr>
      <w:r>
        <w:rPr>
          <w:rFonts w:hint="eastAsia" w:cs="宋体" w:asciiTheme="minorEastAsia" w:hAnsiTheme="minorEastAsia" w:eastAsiaTheme="minorEastAsia"/>
          <w:b/>
          <w:sz w:val="36"/>
          <w:szCs w:val="36"/>
          <w:highlight w:val="none"/>
          <w:lang w:eastAsia="zh-CN"/>
        </w:rPr>
        <w:t>2025年中国电信遵义分公司数据库框架物资采购（</w:t>
      </w:r>
      <w:r>
        <w:rPr>
          <w:rFonts w:hint="eastAsia" w:cs="宋体" w:asciiTheme="minorEastAsia" w:hAnsiTheme="minorEastAsia" w:eastAsiaTheme="minorEastAsia"/>
          <w:b/>
          <w:sz w:val="36"/>
          <w:szCs w:val="36"/>
          <w:highlight w:val="none"/>
          <w:lang w:val="en-US" w:eastAsia="zh-CN"/>
        </w:rPr>
        <w:t>标包2）</w:t>
      </w:r>
      <w:r>
        <w:rPr>
          <w:rFonts w:hint="eastAsia" w:cs="宋体" w:asciiTheme="minorEastAsia" w:hAnsiTheme="minorEastAsia" w:eastAsiaTheme="minorEastAsia"/>
          <w:b/>
          <w:sz w:val="36"/>
          <w:szCs w:val="36"/>
          <w:highlight w:val="none"/>
        </w:rPr>
        <w:t>招标文件</w:t>
      </w:r>
    </w:p>
    <w:p w14:paraId="57A73AF5">
      <w:pPr>
        <w:spacing w:after="120" w:line="360" w:lineRule="atLeast"/>
        <w:jc w:val="center"/>
        <w:rPr>
          <w:rFonts w:cs="宋体" w:asciiTheme="minorEastAsia" w:hAnsiTheme="minorEastAsia" w:eastAsiaTheme="minorEastAsia"/>
          <w:b/>
          <w:sz w:val="32"/>
          <w:szCs w:val="32"/>
          <w:highlight w:val="none"/>
        </w:rPr>
      </w:pPr>
    </w:p>
    <w:p w14:paraId="61DFF59C">
      <w:pPr>
        <w:spacing w:after="120" w:line="360" w:lineRule="atLeast"/>
        <w:rPr>
          <w:rFonts w:cs="宋体" w:asciiTheme="minorEastAsia" w:hAnsiTheme="minorEastAsia" w:eastAsiaTheme="minorEastAsia"/>
          <w:b/>
          <w:sz w:val="32"/>
          <w:szCs w:val="32"/>
          <w:highlight w:val="none"/>
        </w:rPr>
      </w:pPr>
    </w:p>
    <w:p w14:paraId="0A96766F">
      <w:pPr>
        <w:spacing w:after="120" w:line="360" w:lineRule="atLeast"/>
        <w:jc w:val="center"/>
        <w:rPr>
          <w:rFonts w:cs="宋体" w:asciiTheme="minorEastAsia" w:hAnsiTheme="minorEastAsia" w:eastAsiaTheme="minorEastAsia"/>
          <w:b/>
          <w:sz w:val="32"/>
          <w:szCs w:val="32"/>
          <w:highlight w:val="none"/>
        </w:rPr>
      </w:pPr>
    </w:p>
    <w:p w14:paraId="2191F1BD">
      <w:pPr>
        <w:spacing w:line="600" w:lineRule="exact"/>
        <w:jc w:val="center"/>
        <w:rPr>
          <w:rFonts w:hint="eastAsia" w:asciiTheme="minorEastAsia" w:hAnsiTheme="minorEastAsia" w:eastAsiaTheme="minorEastAsia"/>
          <w:b/>
          <w:sz w:val="24"/>
          <w:highlight w:val="none"/>
          <w:lang w:eastAsia="zh-CN"/>
        </w:rPr>
      </w:pPr>
      <w:r>
        <w:rPr>
          <w:rFonts w:asciiTheme="minorEastAsia" w:hAnsiTheme="minorEastAsia" w:eastAsiaTheme="minorEastAsia"/>
          <w:b/>
          <w:sz w:val="24"/>
          <w:highlight w:val="none"/>
        </w:rPr>
        <w:t>招标人：</w:t>
      </w:r>
      <w:r>
        <w:rPr>
          <w:rFonts w:hint="eastAsia" w:ascii="宋体" w:hAnsi="宋体" w:eastAsiaTheme="minorEastAsia"/>
          <w:b/>
          <w:color w:val="000000" w:themeColor="text1"/>
          <w:sz w:val="24"/>
          <w:highlight w:val="none"/>
          <w:u w:val="single"/>
          <w:lang w:eastAsia="zh-CN"/>
          <w14:textFill>
            <w14:solidFill>
              <w14:schemeClr w14:val="tx1"/>
            </w14:solidFill>
          </w14:textFill>
        </w:rPr>
        <w:t>中国电信股份有限公司遵义分公司</w:t>
      </w:r>
    </w:p>
    <w:p w14:paraId="2A23399D">
      <w:pPr>
        <w:spacing w:line="480" w:lineRule="auto"/>
        <w:jc w:val="center"/>
        <w:rPr>
          <w:rFonts w:ascii="宋体" w:hAnsi="宋体"/>
          <w:b/>
          <w:color w:val="000000" w:themeColor="text1"/>
          <w:sz w:val="24"/>
          <w:highlight w:val="none"/>
          <w14:textFill>
            <w14:solidFill>
              <w14:schemeClr w14:val="tx1"/>
            </w14:solidFill>
          </w14:textFill>
        </w:rPr>
      </w:pPr>
      <w:r>
        <w:rPr>
          <w:rFonts w:asciiTheme="minorEastAsia" w:hAnsiTheme="minorEastAsia" w:eastAsiaTheme="minorEastAsia"/>
          <w:b/>
          <w:sz w:val="24"/>
          <w:highlight w:val="none"/>
        </w:rPr>
        <w:t>招标</w:t>
      </w:r>
      <w:r>
        <w:rPr>
          <w:rFonts w:hint="eastAsia" w:asciiTheme="minorEastAsia" w:hAnsiTheme="minorEastAsia" w:eastAsiaTheme="minorEastAsia"/>
          <w:b/>
          <w:sz w:val="24"/>
          <w:highlight w:val="none"/>
        </w:rPr>
        <w:t>代理机构</w:t>
      </w:r>
      <w:r>
        <w:rPr>
          <w:rFonts w:asciiTheme="minorEastAsia" w:hAnsiTheme="minorEastAsia" w:eastAsiaTheme="minorEastAsia"/>
          <w:b/>
          <w:sz w:val="24"/>
          <w:highlight w:val="none"/>
        </w:rPr>
        <w:t>：</w:t>
      </w:r>
      <w:r>
        <w:rPr>
          <w:rFonts w:hint="eastAsia" w:ascii="宋体" w:hAnsi="宋体"/>
          <w:b/>
          <w:color w:val="000000" w:themeColor="text1"/>
          <w:sz w:val="24"/>
          <w:highlight w:val="none"/>
          <w:u w:val="single"/>
          <w14:textFill>
            <w14:solidFill>
              <w14:schemeClr w14:val="tx1"/>
            </w14:solidFill>
          </w14:textFill>
        </w:rPr>
        <w:t>中通服供应链股份有限公司贵州分公司</w:t>
      </w:r>
    </w:p>
    <w:p w14:paraId="093675AB">
      <w:pPr>
        <w:spacing w:line="600" w:lineRule="exact"/>
        <w:ind w:firstLine="2640" w:firstLineChars="110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u w:val="single"/>
        </w:rPr>
        <w:t>202</w:t>
      </w:r>
      <w:r>
        <w:rPr>
          <w:rFonts w:hint="eastAsia" w:asciiTheme="minorEastAsia" w:hAnsiTheme="minorEastAsia" w:eastAsiaTheme="minorEastAsia"/>
          <w:b/>
          <w:sz w:val="24"/>
          <w:highlight w:val="none"/>
          <w:u w:val="single"/>
          <w:lang w:val="en-US" w:eastAsia="zh-CN"/>
        </w:rPr>
        <w:t>5</w:t>
      </w:r>
      <w:r>
        <w:rPr>
          <w:rFonts w:asciiTheme="minorEastAsia" w:hAnsiTheme="minorEastAsia" w:eastAsiaTheme="minorEastAsia"/>
          <w:b/>
          <w:sz w:val="24"/>
          <w:highlight w:val="none"/>
        </w:rPr>
        <w:t>年</w:t>
      </w:r>
      <w:r>
        <w:rPr>
          <w:rFonts w:hint="eastAsia" w:asciiTheme="minorEastAsia" w:hAnsiTheme="minorEastAsia" w:eastAsiaTheme="minorEastAsia"/>
          <w:b/>
          <w:sz w:val="24"/>
          <w:highlight w:val="none"/>
          <w:u w:val="single"/>
          <w:lang w:val="en-US" w:eastAsia="zh-CN"/>
        </w:rPr>
        <w:t>10</w:t>
      </w:r>
      <w:r>
        <w:rPr>
          <w:rFonts w:asciiTheme="minorEastAsia" w:hAnsiTheme="minorEastAsia" w:eastAsiaTheme="minorEastAsia"/>
          <w:b/>
          <w:sz w:val="24"/>
          <w:highlight w:val="none"/>
        </w:rPr>
        <w:t>月</w:t>
      </w:r>
      <w:r>
        <w:rPr>
          <w:rFonts w:hint="eastAsia" w:asciiTheme="minorEastAsia" w:hAnsiTheme="minorEastAsia" w:eastAsiaTheme="minorEastAsia"/>
          <w:b/>
          <w:sz w:val="24"/>
          <w:highlight w:val="none"/>
          <w:u w:val="single"/>
          <w:lang w:val="en-US" w:eastAsia="zh-CN"/>
        </w:rPr>
        <w:t>29</w:t>
      </w:r>
      <w:r>
        <w:rPr>
          <w:rFonts w:asciiTheme="minorEastAsia" w:hAnsiTheme="minorEastAsia" w:eastAsiaTheme="minorEastAsia"/>
          <w:b/>
          <w:sz w:val="24"/>
          <w:highlight w:val="none"/>
        </w:rPr>
        <w:t>日</w:t>
      </w:r>
    </w:p>
    <w:p w14:paraId="46BCE0D0">
      <w:pPr>
        <w:spacing w:after="120" w:line="360" w:lineRule="atLeast"/>
        <w:jc w:val="center"/>
        <w:rPr>
          <w:rFonts w:cs="宋体" w:asciiTheme="minorEastAsia" w:hAnsiTheme="minorEastAsia" w:eastAsiaTheme="minorEastAsia"/>
          <w:sz w:val="24"/>
          <w:highlight w:val="none"/>
        </w:rPr>
        <w:sectPr>
          <w:headerReference r:id="rId4" w:type="first"/>
          <w:headerReference r:id="rId3" w:type="default"/>
          <w:footerReference r:id="rId5" w:type="default"/>
          <w:pgSz w:w="11906" w:h="16838"/>
          <w:pgMar w:top="1440" w:right="1701" w:bottom="1440" w:left="1701" w:header="851" w:footer="992" w:gutter="0"/>
          <w:pgNumType w:fmt="decimal" w:start="1"/>
          <w:cols w:space="720" w:num="1"/>
          <w:docGrid w:type="linesAndChars" w:linePitch="380" w:charSpace="0"/>
        </w:sectPr>
      </w:pPr>
    </w:p>
    <w:p w14:paraId="79C7A091">
      <w:pPr>
        <w:spacing w:after="120" w:line="360" w:lineRule="atLeast"/>
        <w:jc w:val="center"/>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目  录</w:t>
      </w:r>
    </w:p>
    <w:p w14:paraId="347BFB06">
      <w:pPr>
        <w:pStyle w:val="58"/>
        <w:tabs>
          <w:tab w:val="right" w:leader="dot" w:pos="8504"/>
          <w:tab w:val="clear" w:pos="567"/>
          <w:tab w:val="clear" w:pos="709"/>
          <w:tab w:val="clear" w:pos="8505"/>
        </w:tabs>
      </w:pPr>
      <w:r>
        <w:rPr>
          <w:rFonts w:hint="default" w:cs="宋体" w:asciiTheme="minorEastAsia" w:hAnsiTheme="minorEastAsia" w:eastAsiaTheme="minorEastAsia"/>
          <w:sz w:val="24"/>
          <w:highlight w:val="none"/>
          <w:lang w:val="en-US"/>
        </w:rPr>
        <w:fldChar w:fldCharType="begin"/>
      </w:r>
      <w:r>
        <w:rPr>
          <w:rFonts w:hint="default" w:cs="宋体" w:asciiTheme="minorEastAsia" w:hAnsiTheme="minorEastAsia" w:eastAsiaTheme="minorEastAsia"/>
          <w:sz w:val="24"/>
          <w:highlight w:val="none"/>
          <w:lang w:val="en-US"/>
        </w:rPr>
        <w:instrText xml:space="preserve"> TOC \o "1-3" \h \z \u \* MERGEFORMAT </w:instrText>
      </w:r>
      <w:r>
        <w:rPr>
          <w:rFonts w:hint="default" w:cs="宋体" w:asciiTheme="minorEastAsia" w:hAnsiTheme="minorEastAsia" w:eastAsiaTheme="minorEastAsia"/>
          <w:sz w:val="24"/>
          <w:highlight w:val="none"/>
          <w:lang w:val="en-US"/>
        </w:rPr>
        <w:fldChar w:fldCharType="separate"/>
      </w: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_Toc2389 </w:instrText>
      </w:r>
      <w:r>
        <w:rPr>
          <w:rFonts w:hint="default" w:cs="宋体" w:asciiTheme="minorEastAsia" w:hAnsiTheme="minorEastAsia" w:eastAsiaTheme="minorEastAsia"/>
          <w:highlight w:val="none"/>
          <w:lang w:val="en-US"/>
        </w:rPr>
        <w:fldChar w:fldCharType="separate"/>
      </w:r>
      <w:r>
        <w:rPr>
          <w:rFonts w:hint="eastAsia" w:cs="宋体" w:asciiTheme="minorEastAsia" w:hAnsiTheme="minorEastAsia" w:eastAsiaTheme="minorEastAsia"/>
          <w:bCs w:val="0"/>
          <w:kern w:val="0"/>
          <w:szCs w:val="28"/>
          <w:highlight w:val="none"/>
        </w:rPr>
        <w:t>第一章  招标公告</w:t>
      </w:r>
      <w:r>
        <w:tab/>
      </w:r>
      <w:r>
        <w:fldChar w:fldCharType="begin"/>
      </w:r>
      <w:r>
        <w:instrText xml:space="preserve"> PAGEREF _Toc2389 \h </w:instrText>
      </w:r>
      <w:r>
        <w:fldChar w:fldCharType="separate"/>
      </w:r>
      <w:r>
        <w:t>4</w:t>
      </w:r>
      <w:r>
        <w:fldChar w:fldCharType="end"/>
      </w:r>
      <w:r>
        <w:rPr>
          <w:rFonts w:hint="default" w:cs="宋体" w:asciiTheme="minorEastAsia" w:hAnsiTheme="minorEastAsia" w:eastAsiaTheme="minorEastAsia"/>
          <w:highlight w:val="none"/>
          <w:lang w:val="en-US"/>
        </w:rPr>
        <w:fldChar w:fldCharType="end"/>
      </w:r>
    </w:p>
    <w:p w14:paraId="6461D26A">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_Toc28391 </w:instrText>
      </w:r>
      <w:r>
        <w:rPr>
          <w:rFonts w:hint="default" w:cs="宋体" w:asciiTheme="minorEastAsia" w:hAnsiTheme="minorEastAsia" w:eastAsiaTheme="minorEastAsia"/>
          <w:highlight w:val="none"/>
          <w:lang w:val="en-US"/>
        </w:rPr>
        <w:fldChar w:fldCharType="separate"/>
      </w:r>
      <w:r>
        <w:rPr>
          <w:rFonts w:hint="eastAsia" w:cs="宋体" w:asciiTheme="minorEastAsia" w:hAnsiTheme="minorEastAsia" w:eastAsiaTheme="minorEastAsia"/>
          <w:bCs w:val="0"/>
          <w:kern w:val="0"/>
          <w:szCs w:val="28"/>
          <w:highlight w:val="none"/>
        </w:rPr>
        <w:t>第二章 投标人须知</w:t>
      </w:r>
      <w:r>
        <w:tab/>
      </w:r>
      <w:r>
        <w:fldChar w:fldCharType="begin"/>
      </w:r>
      <w:r>
        <w:instrText xml:space="preserve"> PAGEREF _Toc28391 \h </w:instrText>
      </w:r>
      <w:r>
        <w:fldChar w:fldCharType="separate"/>
      </w:r>
      <w:r>
        <w:t>9</w:t>
      </w:r>
      <w:r>
        <w:fldChar w:fldCharType="end"/>
      </w:r>
      <w:r>
        <w:rPr>
          <w:rFonts w:hint="default" w:cs="宋体" w:asciiTheme="minorEastAsia" w:hAnsiTheme="minorEastAsia" w:eastAsiaTheme="minorEastAsia"/>
          <w:highlight w:val="none"/>
          <w:lang w:val="en-US"/>
        </w:rPr>
        <w:fldChar w:fldCharType="end"/>
      </w:r>
    </w:p>
    <w:p w14:paraId="785B08F6">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_Toc23745 </w:instrText>
      </w:r>
      <w:r>
        <w:rPr>
          <w:rFonts w:hint="default" w:cs="宋体" w:asciiTheme="minorEastAsia" w:hAnsiTheme="minorEastAsia" w:eastAsiaTheme="minorEastAsia"/>
          <w:highlight w:val="none"/>
          <w:lang w:val="en-US"/>
        </w:rPr>
        <w:fldChar w:fldCharType="separate"/>
      </w:r>
      <w:r>
        <w:rPr>
          <w:rFonts w:hint="eastAsia" w:cs="宋体" w:asciiTheme="minorEastAsia" w:hAnsiTheme="minorEastAsia" w:eastAsiaTheme="minorEastAsia"/>
          <w:bCs w:val="0"/>
          <w:kern w:val="0"/>
          <w:szCs w:val="28"/>
          <w:highlight w:val="none"/>
        </w:rPr>
        <w:t>第三章 评标办法（综合评估法）</w:t>
      </w:r>
      <w:r>
        <w:tab/>
      </w:r>
      <w:r>
        <w:fldChar w:fldCharType="begin"/>
      </w:r>
      <w:r>
        <w:instrText xml:space="preserve"> PAGEREF _Toc23745 \h </w:instrText>
      </w:r>
      <w:r>
        <w:fldChar w:fldCharType="separate"/>
      </w:r>
      <w:r>
        <w:t>32</w:t>
      </w:r>
      <w:r>
        <w:fldChar w:fldCharType="end"/>
      </w:r>
      <w:r>
        <w:rPr>
          <w:rFonts w:hint="default" w:cs="宋体" w:asciiTheme="minorEastAsia" w:hAnsiTheme="minorEastAsia" w:eastAsiaTheme="minorEastAsia"/>
          <w:highlight w:val="none"/>
          <w:lang w:val="en-US"/>
        </w:rPr>
        <w:fldChar w:fldCharType="end"/>
      </w:r>
    </w:p>
    <w:p w14:paraId="29EB5284">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_Toc27591 </w:instrText>
      </w:r>
      <w:r>
        <w:rPr>
          <w:rFonts w:hint="default" w:cs="宋体" w:asciiTheme="minorEastAsia" w:hAnsiTheme="minorEastAsia" w:eastAsiaTheme="minorEastAsia"/>
          <w:highlight w:val="none"/>
          <w:lang w:val="en-US"/>
        </w:rPr>
        <w:fldChar w:fldCharType="separate"/>
      </w:r>
      <w:r>
        <w:rPr>
          <w:rFonts w:hint="eastAsia"/>
          <w:szCs w:val="32"/>
        </w:rPr>
        <w:t xml:space="preserve">第四章 </w:t>
      </w:r>
      <w:r>
        <w:rPr>
          <w:rFonts w:hint="eastAsia"/>
          <w:szCs w:val="32"/>
          <w:lang w:val="en-US" w:eastAsia="zh-CN"/>
        </w:rPr>
        <w:t>商务规范书</w:t>
      </w:r>
      <w:r>
        <w:tab/>
      </w:r>
      <w:r>
        <w:fldChar w:fldCharType="begin"/>
      </w:r>
      <w:r>
        <w:instrText xml:space="preserve"> PAGEREF _Toc27591 \h </w:instrText>
      </w:r>
      <w:r>
        <w:fldChar w:fldCharType="separate"/>
      </w:r>
      <w:r>
        <w:t>43</w:t>
      </w:r>
      <w:r>
        <w:fldChar w:fldCharType="end"/>
      </w:r>
      <w:r>
        <w:rPr>
          <w:rFonts w:hint="default" w:cs="宋体" w:asciiTheme="minorEastAsia" w:hAnsiTheme="minorEastAsia" w:eastAsiaTheme="minorEastAsia"/>
          <w:highlight w:val="none"/>
          <w:lang w:val="en-US"/>
        </w:rPr>
        <w:fldChar w:fldCharType="end"/>
      </w:r>
    </w:p>
    <w:p w14:paraId="664DF6C9">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_Toc26809 </w:instrText>
      </w:r>
      <w:r>
        <w:rPr>
          <w:rFonts w:hint="default" w:cs="宋体" w:asciiTheme="minorEastAsia" w:hAnsiTheme="minorEastAsia" w:eastAsiaTheme="minorEastAsia"/>
          <w:highlight w:val="none"/>
          <w:lang w:val="en-US"/>
        </w:rPr>
        <w:fldChar w:fldCharType="separate"/>
      </w:r>
      <w:r>
        <w:rPr>
          <w:rFonts w:hint="eastAsia"/>
          <w:szCs w:val="28"/>
        </w:rPr>
        <w:t>第五章 技术规范书</w:t>
      </w:r>
      <w:r>
        <w:tab/>
      </w:r>
      <w:r>
        <w:fldChar w:fldCharType="begin"/>
      </w:r>
      <w:r>
        <w:instrText xml:space="preserve"> PAGEREF _Toc26809 \h </w:instrText>
      </w:r>
      <w:r>
        <w:fldChar w:fldCharType="separate"/>
      </w:r>
      <w:r>
        <w:t>79</w:t>
      </w:r>
      <w:r>
        <w:fldChar w:fldCharType="end"/>
      </w:r>
      <w:r>
        <w:rPr>
          <w:rFonts w:hint="default" w:cs="宋体" w:asciiTheme="minorEastAsia" w:hAnsiTheme="minorEastAsia" w:eastAsiaTheme="minorEastAsia"/>
          <w:highlight w:val="none"/>
          <w:lang w:val="en-US"/>
        </w:rPr>
        <w:fldChar w:fldCharType="end"/>
      </w:r>
    </w:p>
    <w:p w14:paraId="1472CF67">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_Toc20300 </w:instrText>
      </w:r>
      <w:r>
        <w:rPr>
          <w:rFonts w:hint="default" w:cs="宋体" w:asciiTheme="minorEastAsia" w:hAnsiTheme="minorEastAsia" w:eastAsiaTheme="minorEastAsia"/>
          <w:highlight w:val="none"/>
          <w:lang w:val="en-US"/>
        </w:rPr>
        <w:fldChar w:fldCharType="separate"/>
      </w:r>
      <w:r>
        <w:rPr>
          <w:rFonts w:hint="eastAsia" w:cs="宋体" w:asciiTheme="minorEastAsia" w:hAnsiTheme="minorEastAsia" w:eastAsiaTheme="minorEastAsia"/>
          <w:bCs w:val="0"/>
          <w:kern w:val="0"/>
          <w:szCs w:val="28"/>
        </w:rPr>
        <w:t xml:space="preserve">第六章 </w:t>
      </w:r>
      <w:r>
        <w:rPr>
          <w:rFonts w:hint="eastAsia" w:cs="宋体" w:asciiTheme="minorEastAsia" w:hAnsiTheme="minorEastAsia" w:eastAsiaTheme="minorEastAsia"/>
          <w:bCs w:val="0"/>
          <w:kern w:val="0"/>
          <w:szCs w:val="28"/>
          <w:highlight w:val="none"/>
        </w:rPr>
        <w:t>投标文件格式</w:t>
      </w:r>
      <w:r>
        <w:tab/>
      </w:r>
      <w:r>
        <w:fldChar w:fldCharType="begin"/>
      </w:r>
      <w:r>
        <w:instrText xml:space="preserve"> PAGEREF _Toc20300 \h </w:instrText>
      </w:r>
      <w:r>
        <w:fldChar w:fldCharType="separate"/>
      </w:r>
      <w:r>
        <w:t>89</w:t>
      </w:r>
      <w:r>
        <w:fldChar w:fldCharType="end"/>
      </w:r>
      <w:r>
        <w:rPr>
          <w:rFonts w:hint="default" w:cs="宋体" w:asciiTheme="minorEastAsia" w:hAnsiTheme="minorEastAsia" w:eastAsiaTheme="minorEastAsia"/>
          <w:highlight w:val="none"/>
          <w:lang w:val="en-US"/>
        </w:rPr>
        <w:fldChar w:fldCharType="end"/>
      </w:r>
    </w:p>
    <w:p w14:paraId="72823AE3">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_Toc9220 </w:instrText>
      </w:r>
      <w:r>
        <w:rPr>
          <w:rFonts w:hint="default" w:cs="宋体" w:asciiTheme="minorEastAsia" w:hAnsiTheme="minorEastAsia" w:eastAsiaTheme="minorEastAsia"/>
          <w:highlight w:val="none"/>
          <w:lang w:val="en-US"/>
        </w:rPr>
        <w:fldChar w:fldCharType="separate"/>
      </w:r>
      <w:r>
        <w:rPr>
          <w:rFonts w:hint="eastAsia" w:asciiTheme="minorEastAsia" w:hAnsiTheme="minorEastAsia" w:eastAsiaTheme="minorEastAsia"/>
          <w:szCs w:val="24"/>
          <w:highlight w:val="none"/>
        </w:rPr>
        <w:t>第一分册 商务投标文件</w:t>
      </w:r>
      <w:r>
        <w:tab/>
      </w:r>
      <w:r>
        <w:fldChar w:fldCharType="begin"/>
      </w:r>
      <w:r>
        <w:instrText xml:space="preserve"> PAGEREF _Toc9220 \h </w:instrText>
      </w:r>
      <w:r>
        <w:fldChar w:fldCharType="separate"/>
      </w:r>
      <w:r>
        <w:t>92</w:t>
      </w:r>
      <w:r>
        <w:fldChar w:fldCharType="end"/>
      </w:r>
      <w:r>
        <w:rPr>
          <w:rFonts w:hint="default" w:cs="宋体" w:asciiTheme="minorEastAsia" w:hAnsiTheme="minorEastAsia" w:eastAsiaTheme="minorEastAsia"/>
          <w:highlight w:val="none"/>
          <w:lang w:val="en-US"/>
        </w:rPr>
        <w:fldChar w:fldCharType="end"/>
      </w:r>
    </w:p>
    <w:p w14:paraId="10EF1871">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_Toc25443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1.</w:t>
      </w:r>
      <w:r>
        <w:rPr>
          <w:rFonts w:hint="eastAsia" w:asciiTheme="minorEastAsia" w:hAnsiTheme="minorEastAsia" w:eastAsiaTheme="minorEastAsia"/>
          <w:szCs w:val="24"/>
        </w:rPr>
        <w:t>商务投标文件封面</w:t>
      </w:r>
      <w:r>
        <w:tab/>
      </w:r>
      <w:r>
        <w:fldChar w:fldCharType="begin"/>
      </w:r>
      <w:r>
        <w:instrText xml:space="preserve"> PAGEREF _Toc25443 \h </w:instrText>
      </w:r>
      <w:r>
        <w:fldChar w:fldCharType="separate"/>
      </w:r>
      <w:r>
        <w:t>92</w:t>
      </w:r>
      <w:r>
        <w:fldChar w:fldCharType="end"/>
      </w:r>
      <w:r>
        <w:rPr>
          <w:rFonts w:hint="default" w:cs="宋体" w:asciiTheme="minorEastAsia" w:hAnsiTheme="minorEastAsia" w:eastAsiaTheme="minorEastAsia"/>
          <w:highlight w:val="none"/>
          <w:lang w:val="en-US"/>
        </w:rPr>
        <w:fldChar w:fldCharType="end"/>
      </w:r>
    </w:p>
    <w:p w14:paraId="68B24290">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_Toc15964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2.</w:t>
      </w:r>
      <w:r>
        <w:rPr>
          <w:rFonts w:hint="eastAsia" w:asciiTheme="minorEastAsia" w:hAnsiTheme="minorEastAsia" w:eastAsiaTheme="minorEastAsia"/>
          <w:szCs w:val="24"/>
          <w:highlight w:val="none"/>
        </w:rPr>
        <w:t>初步评审索引表</w:t>
      </w:r>
      <w:r>
        <w:tab/>
      </w:r>
      <w:r>
        <w:fldChar w:fldCharType="begin"/>
      </w:r>
      <w:r>
        <w:instrText xml:space="preserve"> PAGEREF _Toc15964 \h </w:instrText>
      </w:r>
      <w:r>
        <w:fldChar w:fldCharType="separate"/>
      </w:r>
      <w:r>
        <w:t>93</w:t>
      </w:r>
      <w:r>
        <w:fldChar w:fldCharType="end"/>
      </w:r>
      <w:r>
        <w:rPr>
          <w:rFonts w:hint="default" w:cs="宋体" w:asciiTheme="minorEastAsia" w:hAnsiTheme="minorEastAsia" w:eastAsiaTheme="minorEastAsia"/>
          <w:highlight w:val="none"/>
          <w:lang w:val="en-US"/>
        </w:rPr>
        <w:fldChar w:fldCharType="end"/>
      </w:r>
    </w:p>
    <w:p w14:paraId="1E22B21D">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_Toc11551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3.</w:t>
      </w:r>
      <w:r>
        <w:rPr>
          <w:rFonts w:hint="eastAsia" w:asciiTheme="minorEastAsia" w:hAnsiTheme="minorEastAsia" w:eastAsiaTheme="minorEastAsia"/>
          <w:szCs w:val="24"/>
          <w:highlight w:val="none"/>
        </w:rPr>
        <w:t>商务</w:t>
      </w:r>
      <w:r>
        <w:rPr>
          <w:rFonts w:hint="eastAsia" w:asciiTheme="minorEastAsia" w:hAnsiTheme="minorEastAsia" w:eastAsiaTheme="minorEastAsia"/>
          <w:szCs w:val="24"/>
          <w:highlight w:val="none"/>
          <w:lang w:val="en-US" w:eastAsia="zh-CN"/>
        </w:rPr>
        <w:t>及服务</w:t>
      </w:r>
      <w:r>
        <w:rPr>
          <w:rFonts w:hint="eastAsia" w:asciiTheme="minorEastAsia" w:hAnsiTheme="minorEastAsia" w:eastAsiaTheme="minorEastAsia"/>
          <w:szCs w:val="24"/>
          <w:highlight w:val="none"/>
        </w:rPr>
        <w:t>评审索引表</w:t>
      </w:r>
      <w:r>
        <w:tab/>
      </w:r>
      <w:r>
        <w:fldChar w:fldCharType="begin"/>
      </w:r>
      <w:r>
        <w:instrText xml:space="preserve"> PAGEREF _Toc11551 \h </w:instrText>
      </w:r>
      <w:r>
        <w:fldChar w:fldCharType="separate"/>
      </w:r>
      <w:r>
        <w:t>94</w:t>
      </w:r>
      <w:r>
        <w:fldChar w:fldCharType="end"/>
      </w:r>
      <w:r>
        <w:rPr>
          <w:rFonts w:hint="default" w:cs="宋体" w:asciiTheme="minorEastAsia" w:hAnsiTheme="minorEastAsia" w:eastAsiaTheme="minorEastAsia"/>
          <w:highlight w:val="none"/>
          <w:lang w:val="en-US"/>
        </w:rPr>
        <w:fldChar w:fldCharType="end"/>
      </w:r>
    </w:p>
    <w:p w14:paraId="10695844">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_Toc16637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4.</w:t>
      </w:r>
      <w:r>
        <w:rPr>
          <w:rFonts w:hint="eastAsia" w:asciiTheme="minorEastAsia" w:hAnsiTheme="minorEastAsia" w:eastAsiaTheme="minorEastAsia"/>
          <w:szCs w:val="24"/>
          <w:highlight w:val="none"/>
        </w:rPr>
        <w:t>投标专用印章授权函（如有）</w:t>
      </w:r>
      <w:r>
        <w:tab/>
      </w:r>
      <w:r>
        <w:fldChar w:fldCharType="begin"/>
      </w:r>
      <w:r>
        <w:instrText xml:space="preserve"> PAGEREF _Toc16637 \h </w:instrText>
      </w:r>
      <w:r>
        <w:fldChar w:fldCharType="separate"/>
      </w:r>
      <w:r>
        <w:t>95</w:t>
      </w:r>
      <w:r>
        <w:fldChar w:fldCharType="end"/>
      </w:r>
      <w:r>
        <w:rPr>
          <w:rFonts w:hint="default" w:cs="宋体" w:asciiTheme="minorEastAsia" w:hAnsiTheme="minorEastAsia" w:eastAsiaTheme="minorEastAsia"/>
          <w:highlight w:val="none"/>
          <w:lang w:val="en-US"/>
        </w:rPr>
        <w:fldChar w:fldCharType="end"/>
      </w:r>
    </w:p>
    <w:p w14:paraId="377F9499">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_Toc1890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5.</w:t>
      </w:r>
      <w:r>
        <w:rPr>
          <w:rFonts w:hint="eastAsia" w:asciiTheme="minorEastAsia" w:hAnsiTheme="minorEastAsia" w:eastAsiaTheme="minorEastAsia"/>
          <w:szCs w:val="24"/>
          <w:highlight w:val="none"/>
        </w:rPr>
        <w:t>投标函</w:t>
      </w:r>
      <w:r>
        <w:tab/>
      </w:r>
      <w:r>
        <w:fldChar w:fldCharType="begin"/>
      </w:r>
      <w:r>
        <w:instrText xml:space="preserve"> PAGEREF _Toc1890 \h </w:instrText>
      </w:r>
      <w:r>
        <w:fldChar w:fldCharType="separate"/>
      </w:r>
      <w:r>
        <w:t>96</w:t>
      </w:r>
      <w:r>
        <w:fldChar w:fldCharType="end"/>
      </w:r>
      <w:r>
        <w:rPr>
          <w:rFonts w:hint="default" w:cs="宋体" w:asciiTheme="minorEastAsia" w:hAnsiTheme="minorEastAsia" w:eastAsiaTheme="minorEastAsia"/>
          <w:highlight w:val="none"/>
          <w:lang w:val="en-US"/>
        </w:rPr>
        <w:fldChar w:fldCharType="end"/>
      </w:r>
    </w:p>
    <w:p w14:paraId="47EB490C">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_Toc1767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6.</w:t>
      </w:r>
      <w:r>
        <w:rPr>
          <w:rFonts w:asciiTheme="minorEastAsia" w:hAnsiTheme="minorEastAsia" w:eastAsiaTheme="minorEastAsia"/>
          <w:szCs w:val="24"/>
          <w:highlight w:val="none"/>
        </w:rPr>
        <w:t>法定代表人/负责人身份证明</w:t>
      </w:r>
      <w:r>
        <w:tab/>
      </w:r>
      <w:r>
        <w:fldChar w:fldCharType="begin"/>
      </w:r>
      <w:r>
        <w:instrText xml:space="preserve"> PAGEREF _Toc1767 \h </w:instrText>
      </w:r>
      <w:r>
        <w:fldChar w:fldCharType="separate"/>
      </w:r>
      <w:r>
        <w:t>98</w:t>
      </w:r>
      <w:r>
        <w:fldChar w:fldCharType="end"/>
      </w:r>
      <w:r>
        <w:rPr>
          <w:rFonts w:hint="default" w:cs="宋体" w:asciiTheme="minorEastAsia" w:hAnsiTheme="minorEastAsia" w:eastAsiaTheme="minorEastAsia"/>
          <w:highlight w:val="none"/>
          <w:lang w:val="en-US"/>
        </w:rPr>
        <w:fldChar w:fldCharType="end"/>
      </w:r>
    </w:p>
    <w:p w14:paraId="0AC3BDE4">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_Toc17962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7.</w:t>
      </w:r>
      <w:r>
        <w:rPr>
          <w:rFonts w:hint="eastAsia" w:asciiTheme="minorEastAsia" w:hAnsiTheme="minorEastAsia" w:eastAsiaTheme="minorEastAsia"/>
          <w:szCs w:val="24"/>
        </w:rPr>
        <w:t>法定代表人/负责人授权委托书</w:t>
      </w:r>
      <w:r>
        <w:tab/>
      </w:r>
      <w:r>
        <w:fldChar w:fldCharType="begin"/>
      </w:r>
      <w:r>
        <w:instrText xml:space="preserve"> PAGEREF _Toc17962 \h </w:instrText>
      </w:r>
      <w:r>
        <w:fldChar w:fldCharType="separate"/>
      </w:r>
      <w:r>
        <w:t>99</w:t>
      </w:r>
      <w:r>
        <w:fldChar w:fldCharType="end"/>
      </w:r>
      <w:r>
        <w:rPr>
          <w:rFonts w:hint="default" w:cs="宋体" w:asciiTheme="minorEastAsia" w:hAnsiTheme="minorEastAsia" w:eastAsiaTheme="minorEastAsia"/>
          <w:highlight w:val="none"/>
          <w:lang w:val="en-US"/>
        </w:rPr>
        <w:fldChar w:fldCharType="end"/>
      </w:r>
    </w:p>
    <w:p w14:paraId="0CA197C0">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_Toc27931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8.</w:t>
      </w:r>
      <w:r>
        <w:rPr>
          <w:rFonts w:hint="eastAsia" w:asciiTheme="minorEastAsia" w:hAnsiTheme="minorEastAsia" w:eastAsiaTheme="minorEastAsia"/>
          <w:szCs w:val="24"/>
        </w:rPr>
        <w:t>廉洁投标承诺书</w:t>
      </w:r>
      <w:r>
        <w:tab/>
      </w:r>
      <w:r>
        <w:fldChar w:fldCharType="begin"/>
      </w:r>
      <w:r>
        <w:instrText xml:space="preserve"> PAGEREF _Toc27931 \h </w:instrText>
      </w:r>
      <w:r>
        <w:fldChar w:fldCharType="separate"/>
      </w:r>
      <w:r>
        <w:t>100</w:t>
      </w:r>
      <w:r>
        <w:fldChar w:fldCharType="end"/>
      </w:r>
      <w:r>
        <w:rPr>
          <w:rFonts w:hint="default" w:cs="宋体" w:asciiTheme="minorEastAsia" w:hAnsiTheme="minorEastAsia" w:eastAsiaTheme="minorEastAsia"/>
          <w:highlight w:val="none"/>
          <w:lang w:val="en-US"/>
        </w:rPr>
        <w:fldChar w:fldCharType="end"/>
      </w:r>
    </w:p>
    <w:p w14:paraId="4DDD1F43">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_Toc12169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9.</w:t>
      </w:r>
      <w:r>
        <w:rPr>
          <w:rFonts w:hint="eastAsia" w:asciiTheme="minorEastAsia" w:hAnsiTheme="minorEastAsia" w:eastAsiaTheme="minorEastAsia"/>
          <w:szCs w:val="24"/>
        </w:rPr>
        <w:t>近【五】年发生的诉讼及仲裁情况</w:t>
      </w:r>
      <w:r>
        <w:tab/>
      </w:r>
      <w:r>
        <w:fldChar w:fldCharType="begin"/>
      </w:r>
      <w:r>
        <w:instrText xml:space="preserve"> PAGEREF _Toc12169 \h </w:instrText>
      </w:r>
      <w:r>
        <w:fldChar w:fldCharType="separate"/>
      </w:r>
      <w:r>
        <w:t>101</w:t>
      </w:r>
      <w:r>
        <w:fldChar w:fldCharType="end"/>
      </w:r>
      <w:r>
        <w:rPr>
          <w:rFonts w:hint="default" w:cs="宋体" w:asciiTheme="minorEastAsia" w:hAnsiTheme="minorEastAsia" w:eastAsiaTheme="minorEastAsia"/>
          <w:highlight w:val="none"/>
          <w:lang w:val="en-US"/>
        </w:rPr>
        <w:fldChar w:fldCharType="end"/>
      </w:r>
    </w:p>
    <w:p w14:paraId="5046D0A5">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_Toc21038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10.</w:t>
      </w:r>
      <w:r>
        <w:rPr>
          <w:rFonts w:hint="eastAsia" w:asciiTheme="minorEastAsia" w:hAnsiTheme="minorEastAsia" w:eastAsiaTheme="minorEastAsia"/>
          <w:szCs w:val="24"/>
        </w:rPr>
        <w:t>招标代理服务费支付承诺函</w:t>
      </w:r>
      <w:r>
        <w:tab/>
      </w:r>
      <w:r>
        <w:fldChar w:fldCharType="begin"/>
      </w:r>
      <w:r>
        <w:instrText xml:space="preserve"> PAGEREF _Toc21038 \h </w:instrText>
      </w:r>
      <w:r>
        <w:fldChar w:fldCharType="separate"/>
      </w:r>
      <w:r>
        <w:t>102</w:t>
      </w:r>
      <w:r>
        <w:fldChar w:fldCharType="end"/>
      </w:r>
      <w:r>
        <w:rPr>
          <w:rFonts w:hint="default" w:cs="宋体" w:asciiTheme="minorEastAsia" w:hAnsiTheme="minorEastAsia" w:eastAsiaTheme="minorEastAsia"/>
          <w:highlight w:val="none"/>
          <w:lang w:val="en-US"/>
        </w:rPr>
        <w:fldChar w:fldCharType="end"/>
      </w:r>
    </w:p>
    <w:p w14:paraId="1478952C">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_Toc15714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11.</w:t>
      </w:r>
      <w:r>
        <w:rPr>
          <w:rFonts w:hint="eastAsia" w:asciiTheme="minorEastAsia" w:hAnsiTheme="minorEastAsia" w:eastAsiaTheme="minorEastAsia"/>
          <w:szCs w:val="24"/>
        </w:rPr>
        <w:t>不得存在情形承诺</w:t>
      </w:r>
      <w:r>
        <w:tab/>
      </w:r>
      <w:r>
        <w:fldChar w:fldCharType="begin"/>
      </w:r>
      <w:r>
        <w:instrText xml:space="preserve"> PAGEREF _Toc15714 \h </w:instrText>
      </w:r>
      <w:r>
        <w:fldChar w:fldCharType="separate"/>
      </w:r>
      <w:r>
        <w:t>103</w:t>
      </w:r>
      <w:r>
        <w:fldChar w:fldCharType="end"/>
      </w:r>
      <w:r>
        <w:rPr>
          <w:rFonts w:hint="default" w:cs="宋体" w:asciiTheme="minorEastAsia" w:hAnsiTheme="minorEastAsia" w:eastAsiaTheme="minorEastAsia"/>
          <w:highlight w:val="none"/>
          <w:lang w:val="en-US"/>
        </w:rPr>
        <w:fldChar w:fldCharType="end"/>
      </w:r>
    </w:p>
    <w:p w14:paraId="3808A6C3">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_Toc3984 </w:instrText>
      </w:r>
      <w:r>
        <w:rPr>
          <w:rFonts w:hint="default" w:cs="宋体" w:asciiTheme="minorEastAsia" w:hAnsiTheme="minorEastAsia" w:eastAsiaTheme="minorEastAsia"/>
          <w:highlight w:val="none"/>
          <w:lang w:val="en-US"/>
        </w:rPr>
        <w:fldChar w:fldCharType="separate"/>
      </w:r>
      <w:r>
        <w:rPr>
          <w:rFonts w:hint="eastAsia" w:ascii="宋体" w:hAnsi="宋体" w:cs="宋体"/>
          <w:szCs w:val="24"/>
          <w:lang w:val="en-US" w:eastAsia="zh-CN"/>
        </w:rPr>
        <w:t>12.</w:t>
      </w:r>
      <w:r>
        <w:rPr>
          <w:rFonts w:hint="eastAsia" w:ascii="宋体" w:hAnsi="宋体" w:cs="宋体"/>
          <w:szCs w:val="24"/>
        </w:rPr>
        <w:t>开</w:t>
      </w:r>
      <w:r>
        <w:rPr>
          <w:rFonts w:hint="eastAsia" w:asciiTheme="minorEastAsia" w:hAnsiTheme="minorEastAsia" w:eastAsiaTheme="minorEastAsia"/>
          <w:szCs w:val="24"/>
        </w:rPr>
        <w:t>具增值税专用发票承诺</w:t>
      </w:r>
      <w:r>
        <w:tab/>
      </w:r>
      <w:r>
        <w:fldChar w:fldCharType="begin"/>
      </w:r>
      <w:r>
        <w:instrText xml:space="preserve"> PAGEREF _Toc3984 \h </w:instrText>
      </w:r>
      <w:r>
        <w:fldChar w:fldCharType="separate"/>
      </w:r>
      <w:r>
        <w:t>105</w:t>
      </w:r>
      <w:r>
        <w:fldChar w:fldCharType="end"/>
      </w:r>
      <w:r>
        <w:rPr>
          <w:rFonts w:hint="default" w:cs="宋体" w:asciiTheme="minorEastAsia" w:hAnsiTheme="minorEastAsia" w:eastAsiaTheme="minorEastAsia"/>
          <w:highlight w:val="none"/>
          <w:lang w:val="en-US"/>
        </w:rPr>
        <w:fldChar w:fldCharType="end"/>
      </w:r>
    </w:p>
    <w:p w14:paraId="3856E80A">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_Toc30228 </w:instrText>
      </w:r>
      <w:r>
        <w:rPr>
          <w:rFonts w:hint="default" w:cs="宋体" w:asciiTheme="minorEastAsia" w:hAnsiTheme="minorEastAsia" w:eastAsiaTheme="minorEastAsia"/>
          <w:highlight w:val="none"/>
          <w:lang w:val="en-US"/>
        </w:rPr>
        <w:fldChar w:fldCharType="separate"/>
      </w:r>
      <w:r>
        <w:rPr>
          <w:rFonts w:hint="eastAsia" w:ascii="宋体" w:hAnsi="宋体" w:eastAsia="宋体" w:cs="宋体"/>
          <w:szCs w:val="24"/>
          <w:lang w:val="en-US" w:eastAsia="zh-CN"/>
        </w:rPr>
        <w:t>13.特定关系信息收集表</w:t>
      </w:r>
      <w:r>
        <w:tab/>
      </w:r>
      <w:r>
        <w:fldChar w:fldCharType="begin"/>
      </w:r>
      <w:r>
        <w:instrText xml:space="preserve"> PAGEREF _Toc30228 \h </w:instrText>
      </w:r>
      <w:r>
        <w:fldChar w:fldCharType="separate"/>
      </w:r>
      <w:r>
        <w:t>106</w:t>
      </w:r>
      <w:r>
        <w:fldChar w:fldCharType="end"/>
      </w:r>
      <w:r>
        <w:rPr>
          <w:rFonts w:hint="default" w:cs="宋体" w:asciiTheme="minorEastAsia" w:hAnsiTheme="minorEastAsia" w:eastAsiaTheme="minorEastAsia"/>
          <w:highlight w:val="none"/>
          <w:lang w:val="en-US"/>
        </w:rPr>
        <w:fldChar w:fldCharType="end"/>
      </w:r>
    </w:p>
    <w:p w14:paraId="3977E955">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_Toc8720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14.</w:t>
      </w:r>
      <w:r>
        <w:rPr>
          <w:rFonts w:hint="eastAsia" w:asciiTheme="minorEastAsia" w:hAnsiTheme="minorEastAsia" w:eastAsiaTheme="minorEastAsia"/>
          <w:szCs w:val="24"/>
        </w:rPr>
        <w:t>资格审查资料</w:t>
      </w:r>
      <w:r>
        <w:tab/>
      </w:r>
      <w:r>
        <w:fldChar w:fldCharType="begin"/>
      </w:r>
      <w:r>
        <w:instrText xml:space="preserve"> PAGEREF _Toc8720 \h </w:instrText>
      </w:r>
      <w:r>
        <w:fldChar w:fldCharType="separate"/>
      </w:r>
      <w:r>
        <w:t>108</w:t>
      </w:r>
      <w:r>
        <w:fldChar w:fldCharType="end"/>
      </w:r>
      <w:r>
        <w:rPr>
          <w:rFonts w:hint="default" w:cs="宋体" w:asciiTheme="minorEastAsia" w:hAnsiTheme="minorEastAsia" w:eastAsiaTheme="minorEastAsia"/>
          <w:highlight w:val="none"/>
          <w:lang w:val="en-US"/>
        </w:rPr>
        <w:fldChar w:fldCharType="end"/>
      </w:r>
    </w:p>
    <w:p w14:paraId="0E472418">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_Toc23416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15.</w:t>
      </w:r>
      <w:r>
        <w:rPr>
          <w:rFonts w:hint="eastAsia" w:asciiTheme="minorEastAsia" w:hAnsiTheme="minorEastAsia" w:eastAsiaTheme="minorEastAsia"/>
          <w:szCs w:val="24"/>
        </w:rPr>
        <w:t>投标人控股及管理关系情况申报表</w:t>
      </w:r>
      <w:r>
        <w:tab/>
      </w:r>
      <w:r>
        <w:fldChar w:fldCharType="begin"/>
      </w:r>
      <w:r>
        <w:instrText xml:space="preserve"> PAGEREF _Toc23416 \h </w:instrText>
      </w:r>
      <w:r>
        <w:fldChar w:fldCharType="separate"/>
      </w:r>
      <w:r>
        <w:t>109</w:t>
      </w:r>
      <w:r>
        <w:fldChar w:fldCharType="end"/>
      </w:r>
      <w:r>
        <w:rPr>
          <w:rFonts w:hint="default" w:cs="宋体" w:asciiTheme="minorEastAsia" w:hAnsiTheme="minorEastAsia" w:eastAsiaTheme="minorEastAsia"/>
          <w:highlight w:val="none"/>
          <w:lang w:val="en-US"/>
        </w:rPr>
        <w:fldChar w:fldCharType="end"/>
      </w:r>
    </w:p>
    <w:p w14:paraId="0B967B89">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_Toc9047 </w:instrText>
      </w:r>
      <w:r>
        <w:rPr>
          <w:rFonts w:hint="default" w:cs="宋体" w:asciiTheme="minorEastAsia" w:hAnsiTheme="minorEastAsia" w:eastAsiaTheme="minorEastAsia"/>
          <w:highlight w:val="none"/>
          <w:lang w:val="en-US"/>
        </w:rPr>
        <w:fldChar w:fldCharType="separate"/>
      </w:r>
      <w:r>
        <w:rPr>
          <w:rFonts w:hint="eastAsia" w:ascii="宋体" w:hAnsi="宋体" w:cs="Times New Roman"/>
          <w:bCs/>
          <w:kern w:val="2"/>
          <w:szCs w:val="24"/>
          <w:lang w:val="en-US" w:eastAsia="zh-CN" w:bidi="ar-SA"/>
        </w:rPr>
        <w:t>16.</w:t>
      </w:r>
      <w:r>
        <w:rPr>
          <w:rFonts w:hint="eastAsia" w:ascii="宋体" w:hAnsi="宋体" w:eastAsia="宋体" w:cs="Times New Roman"/>
          <w:bCs/>
          <w:kern w:val="2"/>
          <w:szCs w:val="24"/>
          <w:lang w:val="en-US" w:eastAsia="zh-CN" w:bidi="ar-SA"/>
        </w:rPr>
        <w:t>商务条款偏离表</w:t>
      </w:r>
      <w:r>
        <w:tab/>
      </w:r>
      <w:r>
        <w:fldChar w:fldCharType="begin"/>
      </w:r>
      <w:r>
        <w:instrText xml:space="preserve"> PAGEREF _Toc9047 \h </w:instrText>
      </w:r>
      <w:r>
        <w:fldChar w:fldCharType="separate"/>
      </w:r>
      <w:r>
        <w:t>111</w:t>
      </w:r>
      <w:r>
        <w:fldChar w:fldCharType="end"/>
      </w:r>
      <w:r>
        <w:rPr>
          <w:rFonts w:hint="default" w:cs="宋体" w:asciiTheme="minorEastAsia" w:hAnsiTheme="minorEastAsia" w:eastAsiaTheme="minorEastAsia"/>
          <w:highlight w:val="none"/>
          <w:lang w:val="en-US"/>
        </w:rPr>
        <w:fldChar w:fldCharType="end"/>
      </w:r>
    </w:p>
    <w:p w14:paraId="501B7072">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_Toc10979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17.</w:t>
      </w:r>
      <w:r>
        <w:rPr>
          <w:rFonts w:hint="eastAsia" w:asciiTheme="minorEastAsia" w:hAnsiTheme="minorEastAsia" w:eastAsiaTheme="minorEastAsia"/>
          <w:szCs w:val="24"/>
        </w:rPr>
        <w:t>合同条款偏离表</w:t>
      </w:r>
      <w:r>
        <w:tab/>
      </w:r>
      <w:r>
        <w:fldChar w:fldCharType="begin"/>
      </w:r>
      <w:r>
        <w:instrText xml:space="preserve"> PAGEREF _Toc10979 \h </w:instrText>
      </w:r>
      <w:r>
        <w:fldChar w:fldCharType="separate"/>
      </w:r>
      <w:r>
        <w:t>113</w:t>
      </w:r>
      <w:r>
        <w:fldChar w:fldCharType="end"/>
      </w:r>
      <w:r>
        <w:rPr>
          <w:rFonts w:hint="default" w:cs="宋体" w:asciiTheme="minorEastAsia" w:hAnsiTheme="minorEastAsia" w:eastAsiaTheme="minorEastAsia"/>
          <w:highlight w:val="none"/>
          <w:lang w:val="en-US"/>
        </w:rPr>
        <w:fldChar w:fldCharType="end"/>
      </w:r>
    </w:p>
    <w:p w14:paraId="3A904B0C">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_Toc1143 </w:instrText>
      </w:r>
      <w:r>
        <w:rPr>
          <w:rFonts w:hint="default" w:cs="宋体" w:asciiTheme="minorEastAsia" w:hAnsiTheme="minorEastAsia" w:eastAsiaTheme="minorEastAsia"/>
          <w:highlight w:val="none"/>
          <w:lang w:val="en-US"/>
        </w:rPr>
        <w:fldChar w:fldCharType="separate"/>
      </w:r>
      <w:r>
        <w:rPr>
          <w:rFonts w:hint="eastAsia" w:ascii="宋体" w:hAnsi="宋体"/>
          <w:szCs w:val="24"/>
          <w:lang w:val="en-US" w:eastAsia="zh-CN"/>
        </w:rPr>
        <w:t>18</w:t>
      </w:r>
      <w:r>
        <w:rPr>
          <w:rFonts w:hint="eastAsia" w:ascii="宋体" w:hAnsi="宋体" w:eastAsia="宋体"/>
          <w:szCs w:val="24"/>
          <w:lang w:val="en-US" w:eastAsia="zh-CN"/>
        </w:rPr>
        <w:t>.投标</w:t>
      </w:r>
      <w:r>
        <w:rPr>
          <w:rFonts w:hint="eastAsia" w:ascii="宋体" w:hAnsi="宋体" w:eastAsia="宋体"/>
          <w:szCs w:val="24"/>
        </w:rPr>
        <w:t>人须知前附表偏离表</w:t>
      </w:r>
      <w:r>
        <w:tab/>
      </w:r>
      <w:r>
        <w:fldChar w:fldCharType="begin"/>
      </w:r>
      <w:r>
        <w:instrText xml:space="preserve"> PAGEREF _Toc1143 \h </w:instrText>
      </w:r>
      <w:r>
        <w:fldChar w:fldCharType="separate"/>
      </w:r>
      <w:r>
        <w:t>114</w:t>
      </w:r>
      <w:r>
        <w:fldChar w:fldCharType="end"/>
      </w:r>
      <w:r>
        <w:rPr>
          <w:rFonts w:hint="default" w:cs="宋体" w:asciiTheme="minorEastAsia" w:hAnsiTheme="minorEastAsia" w:eastAsiaTheme="minorEastAsia"/>
          <w:highlight w:val="none"/>
          <w:lang w:val="en-US"/>
        </w:rPr>
        <w:fldChar w:fldCharType="end"/>
      </w:r>
    </w:p>
    <w:p w14:paraId="2E6EA0D8">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_Toc15873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19.</w:t>
      </w:r>
      <w:r>
        <w:rPr>
          <w:rFonts w:hint="eastAsia" w:asciiTheme="minorEastAsia" w:hAnsiTheme="minorEastAsia" w:eastAsiaTheme="minorEastAsia"/>
          <w:szCs w:val="24"/>
          <w:lang w:val="en-US" w:eastAsia="zh-CN"/>
        </w:rPr>
        <w:t>网络及</w:t>
      </w:r>
      <w:r>
        <w:rPr>
          <w:rFonts w:hint="eastAsia" w:asciiTheme="minorEastAsia" w:hAnsiTheme="minorEastAsia" w:eastAsiaTheme="minorEastAsia"/>
          <w:szCs w:val="24"/>
        </w:rPr>
        <w:t>信息安全承诺书</w:t>
      </w:r>
      <w:r>
        <w:tab/>
      </w:r>
      <w:r>
        <w:fldChar w:fldCharType="begin"/>
      </w:r>
      <w:r>
        <w:instrText xml:space="preserve"> PAGEREF _Toc15873 \h </w:instrText>
      </w:r>
      <w:r>
        <w:fldChar w:fldCharType="separate"/>
      </w:r>
      <w:r>
        <w:t>115</w:t>
      </w:r>
      <w:r>
        <w:fldChar w:fldCharType="end"/>
      </w:r>
      <w:r>
        <w:rPr>
          <w:rFonts w:hint="default" w:cs="宋体" w:asciiTheme="minorEastAsia" w:hAnsiTheme="minorEastAsia" w:eastAsiaTheme="minorEastAsia"/>
          <w:highlight w:val="none"/>
          <w:lang w:val="en-US"/>
        </w:rPr>
        <w:fldChar w:fldCharType="end"/>
      </w:r>
    </w:p>
    <w:p w14:paraId="48F62676">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_Toc14789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20.</w:t>
      </w:r>
      <w:r>
        <w:rPr>
          <w:rFonts w:hint="eastAsia" w:asciiTheme="minorEastAsia" w:hAnsiTheme="minorEastAsia" w:eastAsiaTheme="minorEastAsia"/>
          <w:szCs w:val="24"/>
        </w:rPr>
        <w:t>开源软件、第三方软件清单及合法获取开源软件、第三方软件使用权的证明[与《</w:t>
      </w:r>
      <w:r>
        <w:rPr>
          <w:rFonts w:hint="eastAsia" w:asciiTheme="minorEastAsia" w:hAnsiTheme="minorEastAsia" w:eastAsiaTheme="minorEastAsia"/>
          <w:szCs w:val="24"/>
          <w:lang w:val="en-US" w:eastAsia="zh-CN"/>
        </w:rPr>
        <w:t>网络及</w:t>
      </w:r>
      <w:r>
        <w:rPr>
          <w:rFonts w:hint="eastAsia" w:asciiTheme="minorEastAsia" w:hAnsiTheme="minorEastAsia" w:eastAsiaTheme="minorEastAsia"/>
          <w:szCs w:val="24"/>
        </w:rPr>
        <w:t>信息安全承诺书》同步使用，软件类采购应当使用，使用本文件的应作为采购合同的附件]</w:t>
      </w:r>
      <w:r>
        <w:tab/>
      </w:r>
      <w:r>
        <w:fldChar w:fldCharType="begin"/>
      </w:r>
      <w:r>
        <w:instrText xml:space="preserve"> PAGEREF _Toc14789 \h </w:instrText>
      </w:r>
      <w:r>
        <w:fldChar w:fldCharType="separate"/>
      </w:r>
      <w:r>
        <w:t>120</w:t>
      </w:r>
      <w:r>
        <w:fldChar w:fldCharType="end"/>
      </w:r>
      <w:r>
        <w:rPr>
          <w:rFonts w:hint="default" w:cs="宋体" w:asciiTheme="minorEastAsia" w:hAnsiTheme="minorEastAsia" w:eastAsiaTheme="minorEastAsia"/>
          <w:highlight w:val="none"/>
          <w:lang w:val="en-US"/>
        </w:rPr>
        <w:fldChar w:fldCharType="end"/>
      </w:r>
    </w:p>
    <w:p w14:paraId="78206622">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_Toc7110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21.</w:t>
      </w:r>
      <w:r>
        <w:rPr>
          <w:rFonts w:hint="eastAsia" w:asciiTheme="minorEastAsia" w:hAnsiTheme="minorEastAsia" w:eastAsiaTheme="minorEastAsia"/>
          <w:szCs w:val="24"/>
        </w:rPr>
        <w:t>销售/转许可同意函</w:t>
      </w:r>
      <w:r>
        <w:tab/>
      </w:r>
      <w:r>
        <w:fldChar w:fldCharType="begin"/>
      </w:r>
      <w:r>
        <w:instrText xml:space="preserve"> PAGEREF _Toc7110 \h </w:instrText>
      </w:r>
      <w:r>
        <w:fldChar w:fldCharType="separate"/>
      </w:r>
      <w:r>
        <w:t>121</w:t>
      </w:r>
      <w:r>
        <w:fldChar w:fldCharType="end"/>
      </w:r>
      <w:r>
        <w:rPr>
          <w:rFonts w:hint="default" w:cs="宋体" w:asciiTheme="minorEastAsia" w:hAnsiTheme="minorEastAsia" w:eastAsiaTheme="minorEastAsia"/>
          <w:highlight w:val="none"/>
          <w:lang w:val="en-US"/>
        </w:rPr>
        <w:fldChar w:fldCharType="end"/>
      </w:r>
    </w:p>
    <w:p w14:paraId="073727DA">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_Toc19083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22.</w:t>
      </w:r>
      <w:r>
        <w:rPr>
          <w:rFonts w:hint="eastAsia" w:asciiTheme="minorEastAsia" w:hAnsiTheme="minorEastAsia" w:eastAsiaTheme="minorEastAsia"/>
          <w:szCs w:val="24"/>
        </w:rPr>
        <w:t>投标保函</w:t>
      </w:r>
      <w:r>
        <w:tab/>
      </w:r>
      <w:r>
        <w:fldChar w:fldCharType="begin"/>
      </w:r>
      <w:r>
        <w:instrText xml:space="preserve"> PAGEREF _Toc19083 \h </w:instrText>
      </w:r>
      <w:r>
        <w:fldChar w:fldCharType="separate"/>
      </w:r>
      <w:r>
        <w:t>122</w:t>
      </w:r>
      <w:r>
        <w:fldChar w:fldCharType="end"/>
      </w:r>
      <w:r>
        <w:rPr>
          <w:rFonts w:hint="default" w:cs="宋体" w:asciiTheme="minorEastAsia" w:hAnsiTheme="minorEastAsia" w:eastAsiaTheme="minorEastAsia"/>
          <w:highlight w:val="none"/>
          <w:lang w:val="en-US"/>
        </w:rPr>
        <w:fldChar w:fldCharType="end"/>
      </w:r>
    </w:p>
    <w:p w14:paraId="26491655">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_Toc467 </w:instrText>
      </w:r>
      <w:r>
        <w:rPr>
          <w:rFonts w:hint="default" w:cs="宋体" w:asciiTheme="minorEastAsia" w:hAnsiTheme="minorEastAsia" w:eastAsiaTheme="minorEastAsia"/>
          <w:highlight w:val="none"/>
          <w:lang w:val="en-US"/>
        </w:rPr>
        <w:fldChar w:fldCharType="separate"/>
      </w:r>
      <w:r>
        <w:rPr>
          <w:rFonts w:hint="eastAsia"/>
          <w:szCs w:val="28"/>
          <w:lang w:val="en-US" w:eastAsia="zh-CN"/>
        </w:rPr>
        <w:t>23.</w:t>
      </w:r>
      <w:r>
        <w:rPr>
          <w:rFonts w:hint="eastAsia"/>
          <w:szCs w:val="28"/>
        </w:rPr>
        <w:t>基本开户银行情况</w:t>
      </w:r>
      <w:r>
        <w:tab/>
      </w:r>
      <w:r>
        <w:fldChar w:fldCharType="begin"/>
      </w:r>
      <w:r>
        <w:instrText xml:space="preserve"> PAGEREF _Toc467 \h </w:instrText>
      </w:r>
      <w:r>
        <w:fldChar w:fldCharType="separate"/>
      </w:r>
      <w:r>
        <w:t>125</w:t>
      </w:r>
      <w:r>
        <w:fldChar w:fldCharType="end"/>
      </w:r>
      <w:r>
        <w:rPr>
          <w:rFonts w:hint="default" w:cs="宋体" w:asciiTheme="minorEastAsia" w:hAnsiTheme="minorEastAsia" w:eastAsiaTheme="minorEastAsia"/>
          <w:highlight w:val="none"/>
          <w:lang w:val="en-US"/>
        </w:rPr>
        <w:fldChar w:fldCharType="end"/>
      </w:r>
    </w:p>
    <w:p w14:paraId="6485AB3B">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_Toc2913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24.</w:t>
      </w:r>
      <w:r>
        <w:rPr>
          <w:rFonts w:hint="eastAsia" w:asciiTheme="minorEastAsia" w:hAnsiTheme="minorEastAsia" w:eastAsiaTheme="minorEastAsia"/>
          <w:szCs w:val="24"/>
        </w:rPr>
        <w:t>业绩情况表</w:t>
      </w:r>
      <w:r>
        <w:tab/>
      </w:r>
      <w:r>
        <w:fldChar w:fldCharType="begin"/>
      </w:r>
      <w:r>
        <w:instrText xml:space="preserve"> PAGEREF _Toc2913 \h </w:instrText>
      </w:r>
      <w:r>
        <w:fldChar w:fldCharType="separate"/>
      </w:r>
      <w:r>
        <w:t>126</w:t>
      </w:r>
      <w:r>
        <w:fldChar w:fldCharType="end"/>
      </w:r>
      <w:r>
        <w:rPr>
          <w:rFonts w:hint="default" w:cs="宋体" w:asciiTheme="minorEastAsia" w:hAnsiTheme="minorEastAsia" w:eastAsiaTheme="minorEastAsia"/>
          <w:highlight w:val="none"/>
          <w:lang w:val="en-US"/>
        </w:rPr>
        <w:fldChar w:fldCharType="end"/>
      </w:r>
    </w:p>
    <w:p w14:paraId="66633D8C">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_Toc12791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25.</w:t>
      </w:r>
      <w:r>
        <w:rPr>
          <w:rFonts w:hint="eastAsia" w:asciiTheme="minorEastAsia" w:hAnsiTheme="minorEastAsia" w:eastAsiaTheme="minorEastAsia"/>
          <w:szCs w:val="24"/>
        </w:rPr>
        <w:t>社会保险经办机构出具的投标人为职工缴纳社会保险的单位缴费信息记录</w:t>
      </w:r>
      <w:r>
        <w:tab/>
      </w:r>
      <w:r>
        <w:fldChar w:fldCharType="begin"/>
      </w:r>
      <w:r>
        <w:instrText xml:space="preserve"> PAGEREF _Toc12791 \h </w:instrText>
      </w:r>
      <w:r>
        <w:fldChar w:fldCharType="separate"/>
      </w:r>
      <w:r>
        <w:t>127</w:t>
      </w:r>
      <w:r>
        <w:fldChar w:fldCharType="end"/>
      </w:r>
      <w:r>
        <w:rPr>
          <w:rFonts w:hint="default" w:cs="宋体" w:asciiTheme="minorEastAsia" w:hAnsiTheme="minorEastAsia" w:eastAsiaTheme="minorEastAsia"/>
          <w:highlight w:val="none"/>
          <w:lang w:val="en-US"/>
        </w:rPr>
        <w:fldChar w:fldCharType="end"/>
      </w:r>
    </w:p>
    <w:p w14:paraId="7E70E625">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_Toc16422 </w:instrText>
      </w:r>
      <w:r>
        <w:rPr>
          <w:rFonts w:hint="default" w:cs="宋体" w:asciiTheme="minorEastAsia" w:hAnsiTheme="minorEastAsia" w:eastAsiaTheme="minorEastAsia"/>
          <w:highlight w:val="none"/>
          <w:lang w:val="en-US"/>
        </w:rPr>
        <w:fldChar w:fldCharType="separate"/>
      </w:r>
      <w:r>
        <w:rPr>
          <w:rFonts w:hint="eastAsia"/>
          <w:szCs w:val="24"/>
          <w:lang w:val="en-US" w:eastAsia="zh-CN"/>
        </w:rPr>
        <w:t>26.</w:t>
      </w:r>
      <w:r>
        <w:rPr>
          <w:rFonts w:hint="eastAsia"/>
          <w:szCs w:val="24"/>
        </w:rPr>
        <w:t>知识产权不侵权承诺函</w:t>
      </w:r>
      <w:r>
        <w:tab/>
      </w:r>
      <w:r>
        <w:fldChar w:fldCharType="begin"/>
      </w:r>
      <w:r>
        <w:instrText xml:space="preserve"> PAGEREF _Toc16422 \h </w:instrText>
      </w:r>
      <w:r>
        <w:fldChar w:fldCharType="separate"/>
      </w:r>
      <w:r>
        <w:t>128</w:t>
      </w:r>
      <w:r>
        <w:fldChar w:fldCharType="end"/>
      </w:r>
      <w:r>
        <w:rPr>
          <w:rFonts w:hint="default" w:cs="宋体" w:asciiTheme="minorEastAsia" w:hAnsiTheme="minorEastAsia" w:eastAsiaTheme="minorEastAsia"/>
          <w:highlight w:val="none"/>
          <w:lang w:val="en-US"/>
        </w:rPr>
        <w:fldChar w:fldCharType="end"/>
      </w:r>
    </w:p>
    <w:p w14:paraId="7A46F8A5">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_Toc27826 </w:instrText>
      </w:r>
      <w:r>
        <w:rPr>
          <w:rFonts w:hint="default" w:cs="宋体" w:asciiTheme="minorEastAsia" w:hAnsiTheme="minorEastAsia" w:eastAsiaTheme="minorEastAsia"/>
          <w:highlight w:val="none"/>
          <w:lang w:val="en-US"/>
        </w:rPr>
        <w:fldChar w:fldCharType="separate"/>
      </w:r>
      <w:r>
        <w:rPr>
          <w:rFonts w:hint="eastAsia" w:ascii="宋体" w:hAnsi="宋体" w:cs="Times New Roman"/>
          <w:bCs/>
          <w:kern w:val="2"/>
          <w:szCs w:val="24"/>
          <w:lang w:val="en-US" w:eastAsia="zh-CN" w:bidi="ar-SA"/>
        </w:rPr>
        <w:t>27</w:t>
      </w:r>
      <w:r>
        <w:rPr>
          <w:rFonts w:hint="eastAsia" w:ascii="宋体" w:hAnsi="宋体" w:eastAsia="宋体" w:cs="Times New Roman"/>
          <w:bCs/>
          <w:kern w:val="2"/>
          <w:szCs w:val="24"/>
          <w:lang w:val="en-US" w:eastAsia="zh-CN" w:bidi="ar-SA"/>
        </w:rPr>
        <w:t>.</w:t>
      </w:r>
      <w:r>
        <w:rPr>
          <w:rFonts w:hint="eastAsia" w:ascii="宋体" w:hAnsi="宋体" w:cs="Times New Roman"/>
          <w:szCs w:val="24"/>
        </w:rPr>
        <w:t>供应链数字化配合说明</w:t>
      </w:r>
      <w:r>
        <w:tab/>
      </w:r>
      <w:r>
        <w:fldChar w:fldCharType="begin"/>
      </w:r>
      <w:r>
        <w:instrText xml:space="preserve"> PAGEREF _Toc27826 \h </w:instrText>
      </w:r>
      <w:r>
        <w:fldChar w:fldCharType="separate"/>
      </w:r>
      <w:r>
        <w:t>130</w:t>
      </w:r>
      <w:r>
        <w:fldChar w:fldCharType="end"/>
      </w:r>
      <w:r>
        <w:rPr>
          <w:rFonts w:hint="default" w:cs="宋体" w:asciiTheme="minorEastAsia" w:hAnsiTheme="minorEastAsia" w:eastAsiaTheme="minorEastAsia"/>
          <w:highlight w:val="none"/>
          <w:lang w:val="en-US"/>
        </w:rPr>
        <w:fldChar w:fldCharType="end"/>
      </w:r>
    </w:p>
    <w:p w14:paraId="49C62D6A">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_Toc2805 </w:instrText>
      </w:r>
      <w:r>
        <w:rPr>
          <w:rFonts w:hint="default" w:cs="宋体" w:asciiTheme="minorEastAsia" w:hAnsiTheme="minorEastAsia" w:eastAsiaTheme="minorEastAsia"/>
          <w:highlight w:val="none"/>
          <w:lang w:val="en-US"/>
        </w:rPr>
        <w:fldChar w:fldCharType="separate"/>
      </w:r>
      <w:r>
        <w:rPr>
          <w:rFonts w:hint="eastAsia" w:asciiTheme="minorEastAsia" w:hAnsiTheme="minorEastAsia" w:eastAsiaTheme="minorEastAsia"/>
          <w:szCs w:val="24"/>
          <w:highlight w:val="none"/>
        </w:rPr>
        <w:t>第二分册 技术投标文件</w:t>
      </w:r>
      <w:r>
        <w:tab/>
      </w:r>
      <w:r>
        <w:fldChar w:fldCharType="begin"/>
      </w:r>
      <w:r>
        <w:instrText xml:space="preserve"> PAGEREF _Toc2805 \h </w:instrText>
      </w:r>
      <w:r>
        <w:fldChar w:fldCharType="separate"/>
      </w:r>
      <w:r>
        <w:t>131</w:t>
      </w:r>
      <w:r>
        <w:fldChar w:fldCharType="end"/>
      </w:r>
      <w:r>
        <w:rPr>
          <w:rFonts w:hint="default" w:cs="宋体" w:asciiTheme="minorEastAsia" w:hAnsiTheme="minorEastAsia" w:eastAsiaTheme="minorEastAsia"/>
          <w:highlight w:val="none"/>
          <w:lang w:val="en-US"/>
        </w:rPr>
        <w:fldChar w:fldCharType="end"/>
      </w:r>
    </w:p>
    <w:p w14:paraId="48B1D295">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_Toc2280 </w:instrText>
      </w:r>
      <w:r>
        <w:rPr>
          <w:rFonts w:hint="default" w:cs="宋体" w:asciiTheme="minorEastAsia" w:hAnsiTheme="minorEastAsia" w:eastAsiaTheme="minorEastAsia"/>
          <w:highlight w:val="none"/>
          <w:lang w:val="en-US"/>
        </w:rPr>
        <w:fldChar w:fldCharType="separate"/>
      </w:r>
      <w:r>
        <w:rPr>
          <w:rFonts w:hint="eastAsia"/>
          <w:szCs w:val="24"/>
          <w:lang w:val="en-US" w:eastAsia="zh-CN"/>
        </w:rPr>
        <w:t>28.技术投标文件封面</w:t>
      </w:r>
      <w:r>
        <w:tab/>
      </w:r>
      <w:r>
        <w:fldChar w:fldCharType="begin"/>
      </w:r>
      <w:r>
        <w:instrText xml:space="preserve"> PAGEREF _Toc2280 \h </w:instrText>
      </w:r>
      <w:r>
        <w:fldChar w:fldCharType="separate"/>
      </w:r>
      <w:r>
        <w:t>131</w:t>
      </w:r>
      <w:r>
        <w:fldChar w:fldCharType="end"/>
      </w:r>
      <w:r>
        <w:rPr>
          <w:rFonts w:hint="default" w:cs="宋体" w:asciiTheme="minorEastAsia" w:hAnsiTheme="minorEastAsia" w:eastAsiaTheme="minorEastAsia"/>
          <w:highlight w:val="none"/>
          <w:lang w:val="en-US"/>
        </w:rPr>
        <w:fldChar w:fldCharType="end"/>
      </w:r>
    </w:p>
    <w:p w14:paraId="08C3957A">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_Toc30600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29.</w:t>
      </w:r>
      <w:r>
        <w:rPr>
          <w:rFonts w:hint="eastAsia" w:asciiTheme="minorEastAsia" w:hAnsiTheme="minorEastAsia" w:eastAsiaTheme="minorEastAsia"/>
          <w:szCs w:val="24"/>
        </w:rPr>
        <w:t>技术服务评审索引表</w:t>
      </w:r>
      <w:r>
        <w:tab/>
      </w:r>
      <w:r>
        <w:fldChar w:fldCharType="begin"/>
      </w:r>
      <w:r>
        <w:instrText xml:space="preserve"> PAGEREF _Toc30600 \h </w:instrText>
      </w:r>
      <w:r>
        <w:fldChar w:fldCharType="separate"/>
      </w:r>
      <w:r>
        <w:t>132</w:t>
      </w:r>
      <w:r>
        <w:fldChar w:fldCharType="end"/>
      </w:r>
      <w:r>
        <w:rPr>
          <w:rFonts w:hint="default" w:cs="宋体" w:asciiTheme="minorEastAsia" w:hAnsiTheme="minorEastAsia" w:eastAsiaTheme="minorEastAsia"/>
          <w:highlight w:val="none"/>
          <w:lang w:val="en-US"/>
        </w:rPr>
        <w:fldChar w:fldCharType="end"/>
      </w:r>
    </w:p>
    <w:p w14:paraId="59A59F81">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_Toc23084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30.</w:t>
      </w:r>
      <w:r>
        <w:rPr>
          <w:rFonts w:hint="eastAsia" w:asciiTheme="minorEastAsia" w:hAnsiTheme="minorEastAsia" w:eastAsiaTheme="minorEastAsia"/>
          <w:szCs w:val="24"/>
        </w:rPr>
        <w:t>技术规范书偏离表</w:t>
      </w:r>
      <w:r>
        <w:tab/>
      </w:r>
      <w:r>
        <w:fldChar w:fldCharType="begin"/>
      </w:r>
      <w:r>
        <w:instrText xml:space="preserve"> PAGEREF _Toc23084 \h </w:instrText>
      </w:r>
      <w:r>
        <w:fldChar w:fldCharType="separate"/>
      </w:r>
      <w:r>
        <w:t>133</w:t>
      </w:r>
      <w:r>
        <w:fldChar w:fldCharType="end"/>
      </w:r>
      <w:r>
        <w:rPr>
          <w:rFonts w:hint="default" w:cs="宋体" w:asciiTheme="minorEastAsia" w:hAnsiTheme="minorEastAsia" w:eastAsiaTheme="minorEastAsia"/>
          <w:highlight w:val="none"/>
          <w:lang w:val="en-US"/>
        </w:rPr>
        <w:fldChar w:fldCharType="end"/>
      </w:r>
    </w:p>
    <w:p w14:paraId="2041BCFA">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_Toc12005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31.</w:t>
      </w:r>
      <w:r>
        <w:rPr>
          <w:rFonts w:hint="eastAsia" w:cs="Times New Roman" w:asciiTheme="minorEastAsia" w:hAnsiTheme="minorEastAsia" w:eastAsiaTheme="minorEastAsia"/>
          <w:szCs w:val="24"/>
        </w:rPr>
        <w:t>技术规范书点对点应答</w:t>
      </w:r>
      <w:r>
        <w:tab/>
      </w:r>
      <w:r>
        <w:fldChar w:fldCharType="begin"/>
      </w:r>
      <w:r>
        <w:instrText xml:space="preserve"> PAGEREF _Toc12005 \h </w:instrText>
      </w:r>
      <w:r>
        <w:fldChar w:fldCharType="separate"/>
      </w:r>
      <w:r>
        <w:t>134</w:t>
      </w:r>
      <w:r>
        <w:fldChar w:fldCharType="end"/>
      </w:r>
      <w:r>
        <w:rPr>
          <w:rFonts w:hint="default" w:cs="宋体" w:asciiTheme="minorEastAsia" w:hAnsiTheme="minorEastAsia" w:eastAsiaTheme="minorEastAsia"/>
          <w:highlight w:val="none"/>
          <w:lang w:val="en-US"/>
        </w:rPr>
        <w:fldChar w:fldCharType="end"/>
      </w:r>
    </w:p>
    <w:p w14:paraId="2AC6BFDB">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_Toc25151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32.</w:t>
      </w:r>
      <w:r>
        <w:rPr>
          <w:rFonts w:hint="eastAsia" w:cs="Times New Roman" w:asciiTheme="minorEastAsia" w:hAnsiTheme="minorEastAsia" w:eastAsiaTheme="minorEastAsia"/>
          <w:szCs w:val="24"/>
        </w:rPr>
        <w:t>技术建议书</w:t>
      </w:r>
      <w:r>
        <w:tab/>
      </w:r>
      <w:r>
        <w:fldChar w:fldCharType="begin"/>
      </w:r>
      <w:r>
        <w:instrText xml:space="preserve"> PAGEREF _Toc25151 \h </w:instrText>
      </w:r>
      <w:r>
        <w:fldChar w:fldCharType="separate"/>
      </w:r>
      <w:r>
        <w:t>135</w:t>
      </w:r>
      <w:r>
        <w:fldChar w:fldCharType="end"/>
      </w:r>
      <w:r>
        <w:rPr>
          <w:rFonts w:hint="default" w:cs="宋体" w:asciiTheme="minorEastAsia" w:hAnsiTheme="minorEastAsia" w:eastAsiaTheme="minorEastAsia"/>
          <w:highlight w:val="none"/>
          <w:lang w:val="en-US"/>
        </w:rPr>
        <w:fldChar w:fldCharType="end"/>
      </w:r>
    </w:p>
    <w:p w14:paraId="6727809D">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_Toc32077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33.</w:t>
      </w:r>
      <w:r>
        <w:rPr>
          <w:rFonts w:hint="eastAsia" w:cs="Times New Roman" w:asciiTheme="minorEastAsia" w:hAnsiTheme="minorEastAsia" w:eastAsiaTheme="minorEastAsia"/>
          <w:szCs w:val="24"/>
        </w:rPr>
        <w:t>技术规范书中明确要求投标人提供的其他相关文件</w:t>
      </w:r>
      <w:r>
        <w:tab/>
      </w:r>
      <w:r>
        <w:fldChar w:fldCharType="begin"/>
      </w:r>
      <w:r>
        <w:instrText xml:space="preserve"> PAGEREF _Toc32077 \h </w:instrText>
      </w:r>
      <w:r>
        <w:fldChar w:fldCharType="separate"/>
      </w:r>
      <w:r>
        <w:t>137</w:t>
      </w:r>
      <w:r>
        <w:fldChar w:fldCharType="end"/>
      </w:r>
      <w:r>
        <w:rPr>
          <w:rFonts w:hint="default" w:cs="宋体" w:asciiTheme="minorEastAsia" w:hAnsiTheme="minorEastAsia" w:eastAsiaTheme="minorEastAsia"/>
          <w:highlight w:val="none"/>
          <w:lang w:val="en-US"/>
        </w:rPr>
        <w:fldChar w:fldCharType="end"/>
      </w:r>
    </w:p>
    <w:p w14:paraId="38CAE470">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_Toc28609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34.外部组件软件成分信息清单模版</w:t>
      </w:r>
      <w:r>
        <w:tab/>
      </w:r>
      <w:r>
        <w:fldChar w:fldCharType="begin"/>
      </w:r>
      <w:r>
        <w:instrText xml:space="preserve"> PAGEREF _Toc28609 \h </w:instrText>
      </w:r>
      <w:r>
        <w:fldChar w:fldCharType="separate"/>
      </w:r>
      <w:r>
        <w:t>138</w:t>
      </w:r>
      <w:r>
        <w:fldChar w:fldCharType="end"/>
      </w:r>
      <w:r>
        <w:rPr>
          <w:rFonts w:hint="default" w:cs="宋体" w:asciiTheme="minorEastAsia" w:hAnsiTheme="minorEastAsia" w:eastAsiaTheme="minorEastAsia"/>
          <w:highlight w:val="none"/>
          <w:lang w:val="en-US"/>
        </w:rPr>
        <w:fldChar w:fldCharType="end"/>
      </w:r>
    </w:p>
    <w:p w14:paraId="5B91AA10">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_Toc31648 </w:instrText>
      </w:r>
      <w:r>
        <w:rPr>
          <w:rFonts w:hint="default" w:cs="宋体" w:asciiTheme="minorEastAsia" w:hAnsiTheme="minorEastAsia" w:eastAsiaTheme="minorEastAsia"/>
          <w:highlight w:val="none"/>
          <w:lang w:val="en-US"/>
        </w:rPr>
        <w:fldChar w:fldCharType="separate"/>
      </w:r>
      <w:r>
        <w:rPr>
          <w:rFonts w:hint="eastAsia" w:asciiTheme="minorEastAsia" w:hAnsiTheme="minorEastAsia" w:eastAsiaTheme="minorEastAsia"/>
          <w:szCs w:val="24"/>
          <w:highlight w:val="none"/>
        </w:rPr>
        <w:t>第三分册 报价文件</w:t>
      </w:r>
      <w:r>
        <w:tab/>
      </w:r>
      <w:r>
        <w:fldChar w:fldCharType="begin"/>
      </w:r>
      <w:r>
        <w:instrText xml:space="preserve"> PAGEREF _Toc31648 \h </w:instrText>
      </w:r>
      <w:r>
        <w:fldChar w:fldCharType="separate"/>
      </w:r>
      <w:r>
        <w:t>142</w:t>
      </w:r>
      <w:r>
        <w:fldChar w:fldCharType="end"/>
      </w:r>
      <w:r>
        <w:rPr>
          <w:rFonts w:hint="default" w:cs="宋体" w:asciiTheme="minorEastAsia" w:hAnsiTheme="minorEastAsia" w:eastAsiaTheme="minorEastAsia"/>
          <w:highlight w:val="none"/>
          <w:lang w:val="en-US"/>
        </w:rPr>
        <w:fldChar w:fldCharType="end"/>
      </w:r>
    </w:p>
    <w:p w14:paraId="0783CB3F">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_Toc9869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35.</w:t>
      </w:r>
      <w:r>
        <w:rPr>
          <w:rFonts w:hint="eastAsia" w:cs="Times New Roman" w:asciiTheme="minorEastAsia" w:hAnsiTheme="minorEastAsia" w:eastAsiaTheme="minorEastAsia"/>
          <w:szCs w:val="24"/>
        </w:rPr>
        <w:t>报价文件封面</w:t>
      </w:r>
      <w:r>
        <w:tab/>
      </w:r>
      <w:r>
        <w:fldChar w:fldCharType="begin"/>
      </w:r>
      <w:r>
        <w:instrText xml:space="preserve"> PAGEREF _Toc9869 \h </w:instrText>
      </w:r>
      <w:r>
        <w:fldChar w:fldCharType="separate"/>
      </w:r>
      <w:r>
        <w:t>142</w:t>
      </w:r>
      <w:r>
        <w:fldChar w:fldCharType="end"/>
      </w:r>
      <w:r>
        <w:rPr>
          <w:rFonts w:hint="default" w:cs="宋体" w:asciiTheme="minorEastAsia" w:hAnsiTheme="minorEastAsia" w:eastAsiaTheme="minorEastAsia"/>
          <w:highlight w:val="none"/>
          <w:lang w:val="en-US"/>
        </w:rPr>
        <w:fldChar w:fldCharType="end"/>
      </w:r>
    </w:p>
    <w:p w14:paraId="52DD7408">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_Toc19848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36.</w:t>
      </w:r>
      <w:r>
        <w:rPr>
          <w:rFonts w:hint="eastAsia" w:cs="Times New Roman" w:asciiTheme="minorEastAsia" w:hAnsiTheme="minorEastAsia" w:eastAsiaTheme="minorEastAsia"/>
          <w:szCs w:val="24"/>
        </w:rPr>
        <w:t>投标一览表</w:t>
      </w:r>
      <w:r>
        <w:tab/>
      </w:r>
      <w:r>
        <w:fldChar w:fldCharType="begin"/>
      </w:r>
      <w:r>
        <w:instrText xml:space="preserve"> PAGEREF _Toc19848 \h </w:instrText>
      </w:r>
      <w:r>
        <w:fldChar w:fldCharType="separate"/>
      </w:r>
      <w:r>
        <w:t>143</w:t>
      </w:r>
      <w:r>
        <w:fldChar w:fldCharType="end"/>
      </w:r>
      <w:r>
        <w:rPr>
          <w:rFonts w:hint="default" w:cs="宋体" w:asciiTheme="minorEastAsia" w:hAnsiTheme="minorEastAsia" w:eastAsiaTheme="minorEastAsia"/>
          <w:highlight w:val="none"/>
          <w:lang w:val="en-US"/>
        </w:rPr>
        <w:fldChar w:fldCharType="end"/>
      </w:r>
    </w:p>
    <w:p w14:paraId="1FB77834">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_Toc20932 </w:instrText>
      </w:r>
      <w:r>
        <w:rPr>
          <w:rFonts w:hint="default" w:cs="宋体" w:asciiTheme="minorEastAsia" w:hAnsiTheme="minorEastAsia" w:eastAsiaTheme="minorEastAsia"/>
          <w:highlight w:val="none"/>
          <w:lang w:val="en-US"/>
        </w:rPr>
        <w:fldChar w:fldCharType="separate"/>
      </w:r>
      <w:r>
        <w:rPr>
          <w:rFonts w:hint="eastAsia" w:cs="宋体" w:asciiTheme="minorEastAsia" w:hAnsiTheme="minorEastAsia" w:eastAsiaTheme="minorEastAsia"/>
          <w:bCs w:val="0"/>
          <w:kern w:val="0"/>
          <w:szCs w:val="28"/>
          <w:highlight w:val="none"/>
        </w:rPr>
        <w:t>第七章  其他</w:t>
      </w:r>
      <w:r>
        <w:tab/>
      </w:r>
      <w:r>
        <w:fldChar w:fldCharType="begin"/>
      </w:r>
      <w:r>
        <w:instrText xml:space="preserve"> PAGEREF _Toc20932 \h </w:instrText>
      </w:r>
      <w:r>
        <w:fldChar w:fldCharType="separate"/>
      </w:r>
      <w:r>
        <w:t>145</w:t>
      </w:r>
      <w:r>
        <w:fldChar w:fldCharType="end"/>
      </w:r>
      <w:r>
        <w:rPr>
          <w:rFonts w:hint="default" w:cs="宋体" w:asciiTheme="minorEastAsia" w:hAnsiTheme="minorEastAsia" w:eastAsiaTheme="minorEastAsia"/>
          <w:highlight w:val="none"/>
          <w:lang w:val="en-US"/>
        </w:rPr>
        <w:fldChar w:fldCharType="end"/>
      </w:r>
    </w:p>
    <w:p w14:paraId="7D7BD971">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_Toc18492 </w:instrText>
      </w:r>
      <w:r>
        <w:rPr>
          <w:rFonts w:hint="default" w:cs="宋体" w:asciiTheme="minorEastAsia" w:hAnsiTheme="minorEastAsia" w:eastAsiaTheme="minorEastAsia"/>
          <w:highlight w:val="none"/>
          <w:lang w:val="en-US"/>
        </w:rPr>
        <w:fldChar w:fldCharType="separate"/>
      </w:r>
      <w:r>
        <w:rPr>
          <w:rFonts w:hint="eastAsia" w:asciiTheme="minorEastAsia" w:hAnsiTheme="minorEastAsia" w:eastAsiaTheme="minorEastAsia"/>
          <w:szCs w:val="28"/>
          <w:highlight w:val="none"/>
        </w:rPr>
        <w:t>中国电信供应商不良行为管理规则</w:t>
      </w:r>
      <w:r>
        <w:tab/>
      </w:r>
      <w:r>
        <w:fldChar w:fldCharType="begin"/>
      </w:r>
      <w:r>
        <w:instrText xml:space="preserve"> PAGEREF _Toc18492 \h </w:instrText>
      </w:r>
      <w:r>
        <w:fldChar w:fldCharType="separate"/>
      </w:r>
      <w:r>
        <w:t>145</w:t>
      </w:r>
      <w:r>
        <w:fldChar w:fldCharType="end"/>
      </w:r>
      <w:r>
        <w:rPr>
          <w:rFonts w:hint="default" w:cs="宋体" w:asciiTheme="minorEastAsia" w:hAnsiTheme="minorEastAsia" w:eastAsiaTheme="minorEastAsia"/>
          <w:highlight w:val="none"/>
          <w:lang w:val="en-US"/>
        </w:rPr>
        <w:fldChar w:fldCharType="end"/>
      </w:r>
    </w:p>
    <w:p w14:paraId="44F1A287">
      <w:pPr>
        <w:pStyle w:val="58"/>
        <w:tabs>
          <w:tab w:val="clear" w:pos="567"/>
          <w:tab w:val="clear" w:pos="709"/>
        </w:tabs>
        <w:rPr>
          <w:rFonts w:hint="default" w:cs="宋体" w:asciiTheme="minorEastAsia" w:hAnsiTheme="minorEastAsia" w:eastAsiaTheme="minorEastAsia"/>
          <w:sz w:val="24"/>
          <w:highlight w:val="none"/>
          <w:lang w:val="en-US"/>
        </w:rPr>
        <w:sectPr>
          <w:footerReference r:id="rId6" w:type="default"/>
          <w:pgSz w:w="11906" w:h="16838"/>
          <w:pgMar w:top="1440" w:right="1701" w:bottom="1440" w:left="1701" w:header="851" w:footer="992" w:gutter="0"/>
          <w:pgNumType w:fmt="decimal"/>
          <w:cols w:space="720" w:num="1"/>
          <w:docGrid w:type="linesAndChars" w:linePitch="380" w:charSpace="0"/>
        </w:sectPr>
      </w:pPr>
      <w:r>
        <w:rPr>
          <w:rFonts w:hint="default" w:cs="宋体" w:asciiTheme="minorEastAsia" w:hAnsiTheme="minorEastAsia" w:eastAsiaTheme="minorEastAsia"/>
          <w:highlight w:val="none"/>
          <w:lang w:val="en-US"/>
        </w:rPr>
        <w:fldChar w:fldCharType="end"/>
      </w:r>
    </w:p>
    <w:p w14:paraId="2BB1702F">
      <w:pPr>
        <w:pStyle w:val="100"/>
        <w:spacing w:before="240" w:after="120"/>
        <w:rPr>
          <w:rFonts w:cs="宋体" w:asciiTheme="minorEastAsia" w:hAnsiTheme="minorEastAsia" w:eastAsiaTheme="minorEastAsia"/>
          <w:b/>
          <w:bCs w:val="0"/>
          <w:kern w:val="0"/>
          <w:sz w:val="28"/>
          <w:szCs w:val="28"/>
          <w:highlight w:val="none"/>
        </w:rPr>
      </w:pPr>
      <w:bookmarkStart w:id="0" w:name="_Toc28449"/>
      <w:bookmarkStart w:id="1" w:name="_Toc5918"/>
      <w:bookmarkStart w:id="2" w:name="_Toc8361"/>
      <w:bookmarkStart w:id="3" w:name="_Toc2389"/>
      <w:bookmarkStart w:id="4" w:name="_Toc11944"/>
      <w:bookmarkStart w:id="5" w:name="_Toc447188662"/>
      <w:bookmarkStart w:id="6" w:name="_Toc26007"/>
      <w:bookmarkStart w:id="7" w:name="_Toc3736"/>
      <w:bookmarkStart w:id="8" w:name="_Toc447265797"/>
      <w:bookmarkStart w:id="9" w:name="_Toc447265211"/>
      <w:bookmarkStart w:id="10" w:name="_Toc447265497"/>
      <w:bookmarkStart w:id="11" w:name="_Toc12221"/>
      <w:bookmarkStart w:id="12" w:name="_Toc24184"/>
      <w:bookmarkStart w:id="13" w:name="_Toc38007946"/>
      <w:bookmarkStart w:id="14" w:name="_Toc22643"/>
      <w:bookmarkStart w:id="15" w:name="_Toc31473"/>
      <w:r>
        <w:rPr>
          <w:rFonts w:hint="eastAsia" w:cs="宋体" w:asciiTheme="minorEastAsia" w:hAnsiTheme="minorEastAsia" w:eastAsiaTheme="minorEastAsia"/>
          <w:b/>
          <w:bCs w:val="0"/>
          <w:kern w:val="0"/>
          <w:sz w:val="28"/>
          <w:szCs w:val="28"/>
          <w:highlight w:val="none"/>
        </w:rPr>
        <w:t xml:space="preserve">第一章  </w:t>
      </w:r>
      <w:bookmarkStart w:id="16" w:name="OLE_LINK3"/>
      <w:r>
        <w:rPr>
          <w:rFonts w:hint="eastAsia" w:cs="宋体" w:asciiTheme="minorEastAsia" w:hAnsiTheme="minorEastAsia" w:eastAsiaTheme="minorEastAsia"/>
          <w:b/>
          <w:bCs w:val="0"/>
          <w:kern w:val="0"/>
          <w:sz w:val="28"/>
          <w:szCs w:val="28"/>
          <w:highlight w:val="none"/>
        </w:rPr>
        <w:t>招标公告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600E2679">
      <w:pPr>
        <w:adjustRightInd w:val="0"/>
        <w:snapToGrid w:val="0"/>
        <w:spacing w:line="44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本招标项目为</w:t>
      </w:r>
      <w:r>
        <w:rPr>
          <w:rFonts w:hint="eastAsia" w:asciiTheme="minorEastAsia" w:hAnsiTheme="minorEastAsia" w:eastAsiaTheme="minorEastAsia"/>
          <w:highlight w:val="none"/>
          <w:u w:val="single"/>
          <w:lang w:eastAsia="zh-CN"/>
        </w:rPr>
        <w:t>2025年中国电信遵义分公司数据库框架物资采购</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（招标编号：</w:t>
      </w:r>
      <w:bookmarkStart w:id="1323" w:name="_GoBack"/>
      <w:bookmarkEnd w:id="1323"/>
      <w:r>
        <w:rPr>
          <w:rFonts w:hint="eastAsia" w:asciiTheme="minorEastAsia" w:hAnsiTheme="minorEastAsia" w:eastAsiaTheme="minorEastAsia"/>
          <w:highlight w:val="none"/>
          <w:u w:val="single"/>
          <w:lang w:val="en-US" w:eastAsia="zh-CN"/>
        </w:rPr>
        <w:t>GZBBFA202510200004</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rPr>
        <w:t>，招标人为</w:t>
      </w:r>
      <w:r>
        <w:rPr>
          <w:rFonts w:hint="eastAsia" w:asciiTheme="minorEastAsia" w:hAnsiTheme="minorEastAsia" w:eastAsiaTheme="minorEastAsia"/>
          <w:highlight w:val="none"/>
          <w:u w:val="single"/>
        </w:rPr>
        <w:t>中国电信股份有限公司</w:t>
      </w:r>
      <w:r>
        <w:rPr>
          <w:rFonts w:hint="eastAsia" w:asciiTheme="minorEastAsia" w:hAnsiTheme="minorEastAsia" w:eastAsiaTheme="minorEastAsia"/>
          <w:highlight w:val="none"/>
          <w:u w:val="single"/>
          <w:lang w:val="en-US" w:eastAsia="zh-CN"/>
        </w:rPr>
        <w:t>遵义</w:t>
      </w:r>
      <w:r>
        <w:rPr>
          <w:rFonts w:hint="eastAsia" w:asciiTheme="minorEastAsia" w:hAnsiTheme="minorEastAsia" w:eastAsiaTheme="minorEastAsia"/>
          <w:highlight w:val="none"/>
          <w:u w:val="single"/>
        </w:rPr>
        <w:t>分公司</w:t>
      </w:r>
      <w:r>
        <w:rPr>
          <w:rFonts w:hint="eastAsia" w:asciiTheme="minorEastAsia" w:hAnsiTheme="minorEastAsia" w:eastAsiaTheme="minorEastAsia"/>
          <w:szCs w:val="21"/>
          <w:highlight w:val="none"/>
        </w:rPr>
        <w:t>，招标代理机构为</w:t>
      </w:r>
      <w:r>
        <w:rPr>
          <w:rFonts w:hint="eastAsia" w:asciiTheme="minorEastAsia" w:hAnsiTheme="minorEastAsia" w:eastAsiaTheme="minorEastAsia"/>
          <w:highlight w:val="none"/>
          <w:u w:val="single"/>
        </w:rPr>
        <w:t>中通服供应链股份有限公司贵州分公司</w:t>
      </w:r>
      <w:r>
        <w:rPr>
          <w:rFonts w:hint="eastAsia" w:asciiTheme="minorEastAsia" w:hAnsiTheme="minorEastAsia" w:eastAsiaTheme="minorEastAsia"/>
          <w:szCs w:val="21"/>
          <w:highlight w:val="none"/>
        </w:rPr>
        <w:t>。项目资金由</w:t>
      </w:r>
      <w:r>
        <w:rPr>
          <w:rFonts w:hint="eastAsia" w:asciiTheme="minorEastAsia" w:hAnsiTheme="minorEastAsia" w:eastAsiaTheme="minorEastAsia"/>
          <w:szCs w:val="21"/>
          <w:highlight w:val="none"/>
          <w:u w:val="single"/>
        </w:rPr>
        <w:t>招标人自筹</w:t>
      </w:r>
      <w:r>
        <w:rPr>
          <w:rFonts w:hint="eastAsia" w:asciiTheme="minorEastAsia" w:hAnsiTheme="minorEastAsia" w:eastAsiaTheme="minorEastAsia"/>
          <w:szCs w:val="21"/>
          <w:highlight w:val="none"/>
        </w:rPr>
        <w:t>，资金已落实。项目已具备招标条件，现进行公开招标，特邀请有意向的且具有提供标的物能力的潜在投标人（以下简称投标人）参加投标。</w:t>
      </w:r>
    </w:p>
    <w:p w14:paraId="15267F36">
      <w:pPr>
        <w:pStyle w:val="101"/>
        <w:adjustRightInd w:val="0"/>
        <w:snapToGrid w:val="0"/>
        <w:spacing w:line="440" w:lineRule="exact"/>
        <w:ind w:left="424" w:firstLine="0" w:firstLineChars="0"/>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1.项目概况与招标内容</w:t>
      </w:r>
    </w:p>
    <w:p w14:paraId="06411016">
      <w:pPr>
        <w:pStyle w:val="101"/>
        <w:spacing w:line="440" w:lineRule="exact"/>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rPr>
        <w:t>1.1</w:t>
      </w:r>
      <w:r>
        <w:rPr>
          <w:rFonts w:hint="eastAsia" w:asciiTheme="minorEastAsia" w:hAnsiTheme="minorEastAsia" w:eastAsiaTheme="minorEastAsia"/>
          <w:szCs w:val="21"/>
        </w:rPr>
        <w:t>招标内容</w:t>
      </w:r>
      <w:r>
        <w:rPr>
          <w:rFonts w:hint="eastAsia" w:asciiTheme="minorEastAsia" w:hAnsiTheme="minorEastAsia" w:eastAsiaTheme="minorEastAsia"/>
          <w:szCs w:val="21"/>
          <w:highlight w:val="none"/>
          <w:lang w:eastAsia="zh-CN"/>
        </w:rPr>
        <w:t>：本项目为集中招标项目</w:t>
      </w:r>
      <w:r>
        <w:rPr>
          <w:rFonts w:hint="eastAsia" w:asciiTheme="minorEastAsia" w:hAnsiTheme="minorEastAsia" w:eastAsiaTheme="minorEastAsia"/>
          <w:szCs w:val="21"/>
          <w:highlight w:val="none"/>
          <w:lang w:val="en-US" w:eastAsia="zh-CN"/>
        </w:rPr>
        <w:t>。</w:t>
      </w:r>
    </w:p>
    <w:p w14:paraId="03FB76BE">
      <w:pPr>
        <w:pStyle w:val="101"/>
        <w:spacing w:line="440" w:lineRule="exact"/>
        <w:ind w:left="0" w:leftChars="0" w:firstLine="420" w:firstLineChars="200"/>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本次集中招标合同有效期为：合同签订之日起12个月。</w:t>
      </w:r>
    </w:p>
    <w:p w14:paraId="6A55030F">
      <w:pPr>
        <w:pStyle w:val="101"/>
        <w:adjustRightInd w:val="0"/>
        <w:snapToGrid w:val="0"/>
        <w:spacing w:line="440" w:lineRule="exact"/>
        <w:ind w:left="425" w:firstLine="0" w:firstLineChars="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highlight w:val="none"/>
        </w:rPr>
        <w:t>1.2</w:t>
      </w:r>
      <w:r>
        <w:rPr>
          <w:rFonts w:hint="eastAsia" w:asciiTheme="minorEastAsia" w:hAnsiTheme="minorEastAsia" w:eastAsiaTheme="minorEastAsia"/>
          <w:szCs w:val="21"/>
          <w:highlight w:val="none"/>
          <w:lang w:val="en-US" w:eastAsia="zh-CN"/>
        </w:rPr>
        <w:t>采购</w:t>
      </w:r>
      <w:r>
        <w:rPr>
          <w:rFonts w:hint="eastAsia" w:asciiTheme="minorEastAsia" w:hAnsiTheme="minorEastAsia" w:eastAsiaTheme="minorEastAsia"/>
          <w:szCs w:val="21"/>
          <w:highlight w:val="none"/>
        </w:rPr>
        <w:t>内容</w:t>
      </w:r>
      <w:r>
        <w:rPr>
          <w:rFonts w:hint="eastAsia" w:asciiTheme="minorEastAsia" w:hAnsiTheme="minorEastAsia" w:eastAsiaTheme="minorEastAsia"/>
          <w:szCs w:val="21"/>
          <w:highlight w:val="none"/>
          <w:lang w:eastAsia="zh-CN"/>
        </w:rPr>
        <w:t>：采购市场主流数据库授权，使云平台具备提供正版数据库的能力</w:t>
      </w:r>
      <w:r>
        <w:rPr>
          <w:rFonts w:hint="eastAsia" w:asciiTheme="minorEastAsia" w:hAnsiTheme="minorEastAsia" w:eastAsiaTheme="minorEastAsia"/>
          <w:szCs w:val="21"/>
          <w:highlight w:val="none"/>
          <w:lang w:val="en-US" w:eastAsia="zh-CN"/>
        </w:rPr>
        <w:t>。</w:t>
      </w:r>
      <w:r>
        <w:rPr>
          <w:rFonts w:hint="eastAsia" w:asciiTheme="minorEastAsia" w:hAnsiTheme="minorEastAsia" w:eastAsiaTheme="minorEastAsia"/>
          <w:szCs w:val="21"/>
          <w:lang w:val="en-US" w:eastAsia="zh-CN"/>
        </w:rPr>
        <w:t>本次采购采用框架+订单合同形式，预估金额4712040.11元人民币（含税）。最终采购数量以实际结算为准，框架合同预估金额按中标金额签订。</w:t>
      </w:r>
    </w:p>
    <w:p w14:paraId="00489558">
      <w:pPr>
        <w:pStyle w:val="101"/>
        <w:adjustRightInd w:val="0"/>
        <w:snapToGrid w:val="0"/>
        <w:spacing w:line="440" w:lineRule="exact"/>
        <w:ind w:left="425" w:firstLine="0" w:firstLineChars="0"/>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1.3本项目不划分份额，划分2个标包，具体划分如下：</w:t>
      </w:r>
    </w:p>
    <w:p w14:paraId="43D229D0">
      <w:pPr>
        <w:pStyle w:val="101"/>
        <w:adjustRightInd w:val="0"/>
        <w:snapToGrid w:val="0"/>
        <w:spacing w:line="440" w:lineRule="exact"/>
        <w:ind w:left="425" w:firstLine="0" w:firstLineChars="0"/>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标包1:预估金额3672038.96元(含税)。</w:t>
      </w:r>
    </w:p>
    <w:p w14:paraId="4C1DAE6B">
      <w:pPr>
        <w:pStyle w:val="101"/>
        <w:adjustRightInd w:val="0"/>
        <w:snapToGrid w:val="0"/>
        <w:spacing w:line="440" w:lineRule="exact"/>
        <w:ind w:left="425" w:firstLine="0" w:firstLineChars="0"/>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标包2:预估金额1040001.15元(含税)。</w:t>
      </w:r>
    </w:p>
    <w:p w14:paraId="1E2E6240">
      <w:pPr>
        <w:pStyle w:val="101"/>
        <w:adjustRightInd w:val="0"/>
        <w:snapToGrid w:val="0"/>
        <w:spacing w:line="440" w:lineRule="exact"/>
        <w:ind w:left="425" w:firstLine="0" w:firstLineChars="0"/>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rPr>
        <w:t>注：本项目允许供应商同时成交的最多标包数为【2】个</w:t>
      </w:r>
      <w:r>
        <w:rPr>
          <w:rFonts w:hint="eastAsia" w:cs="宋体" w:asciiTheme="minorEastAsia" w:hAnsiTheme="minorEastAsia" w:eastAsiaTheme="minorEastAsia"/>
          <w:kern w:val="0"/>
          <w:szCs w:val="21"/>
          <w:highlight w:val="none"/>
          <w:lang w:val="en-US" w:eastAsia="zh-CN"/>
        </w:rPr>
        <w:t>。</w:t>
      </w:r>
    </w:p>
    <w:p w14:paraId="416B3C26">
      <w:pPr>
        <w:pStyle w:val="101"/>
        <w:adjustRightInd w:val="0"/>
        <w:snapToGrid w:val="0"/>
        <w:spacing w:line="440" w:lineRule="exact"/>
        <w:ind w:left="425" w:firstLine="0" w:firstLineChars="0"/>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1.4保修期：软件保修期为12个月，质保期自项目正式验收合格之日起计算。</w:t>
      </w:r>
    </w:p>
    <w:p w14:paraId="031C6B4D">
      <w:pPr>
        <w:pStyle w:val="101"/>
        <w:adjustRightInd w:val="0"/>
        <w:snapToGrid w:val="0"/>
        <w:spacing w:line="440" w:lineRule="exact"/>
        <w:ind w:left="425" w:firstLine="0" w:firstLineChars="0"/>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1.5项目工期：合同签订之日起，乙方接收到甲方订单后30个工作日内完成软件的部署交付。</w:t>
      </w:r>
    </w:p>
    <w:p w14:paraId="53021B46">
      <w:pPr>
        <w:pStyle w:val="101"/>
        <w:adjustRightInd w:val="0"/>
        <w:snapToGrid w:val="0"/>
        <w:spacing w:line="440" w:lineRule="exact"/>
        <w:ind w:left="425" w:firstLine="0" w:firstLineChars="0"/>
        <w:rPr>
          <w:rFonts w:hint="default"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1.6服务地点：贵州省遵义市红花岗区。</w:t>
      </w:r>
    </w:p>
    <w:p w14:paraId="5F783B2B">
      <w:pPr>
        <w:pStyle w:val="101"/>
        <w:adjustRightInd w:val="0"/>
        <w:snapToGrid w:val="0"/>
        <w:spacing w:line="440" w:lineRule="exact"/>
        <w:ind w:left="425" w:firstLine="0" w:firstLineChars="0"/>
        <w:rPr>
          <w:rFonts w:hint="eastAsia" w:asciiTheme="minorEastAsia" w:hAnsiTheme="minorEastAsia" w:eastAsiaTheme="minorEastAsia"/>
          <w:szCs w:val="21"/>
          <w:highlight w:val="none"/>
        </w:rPr>
      </w:pPr>
      <w:bookmarkStart w:id="17" w:name="_Toc319769473"/>
      <w:bookmarkStart w:id="18" w:name="_Toc319394714"/>
      <w:bookmarkStart w:id="19" w:name="_Toc184704555"/>
      <w:r>
        <w:rPr>
          <w:rFonts w:hint="eastAsia" w:asciiTheme="minorEastAsia" w:hAnsiTheme="minorEastAsia" w:eastAsiaTheme="minorEastAsia"/>
          <w:szCs w:val="21"/>
          <w:highlight w:val="none"/>
        </w:rPr>
        <w:t>1.</w:t>
      </w:r>
      <w:r>
        <w:rPr>
          <w:rFonts w:hint="eastAsia" w:asciiTheme="minorEastAsia" w:hAnsiTheme="minorEastAsia" w:eastAsiaTheme="minorEastAsia"/>
          <w:szCs w:val="21"/>
          <w:highlight w:val="none"/>
          <w:lang w:val="en-US" w:eastAsia="zh-CN"/>
        </w:rPr>
        <w:t>7</w:t>
      </w:r>
      <w:r>
        <w:rPr>
          <w:rFonts w:hint="eastAsia" w:asciiTheme="minorEastAsia" w:hAnsiTheme="minorEastAsia" w:eastAsiaTheme="minorEastAsia"/>
          <w:szCs w:val="21"/>
          <w:highlight w:val="none"/>
        </w:rPr>
        <w:t>本项目设置不含税</w:t>
      </w:r>
      <w:r>
        <w:rPr>
          <w:rFonts w:hint="eastAsia" w:asciiTheme="minorEastAsia" w:hAnsiTheme="minorEastAsia" w:eastAsiaTheme="minorEastAsia"/>
          <w:szCs w:val="21"/>
          <w:highlight w:val="none"/>
          <w:lang w:val="en-US" w:eastAsia="zh-CN"/>
        </w:rPr>
        <w:t>单</w:t>
      </w:r>
      <w:r>
        <w:rPr>
          <w:rFonts w:hint="eastAsia" w:asciiTheme="minorEastAsia" w:hAnsiTheme="minorEastAsia" w:eastAsiaTheme="minorEastAsia"/>
          <w:szCs w:val="21"/>
          <w:highlight w:val="none"/>
        </w:rPr>
        <w:t>价最高限价，不含税</w:t>
      </w:r>
      <w:r>
        <w:rPr>
          <w:rFonts w:hint="eastAsia" w:asciiTheme="minorEastAsia" w:hAnsiTheme="minorEastAsia" w:eastAsiaTheme="minorEastAsia"/>
          <w:szCs w:val="21"/>
          <w:highlight w:val="none"/>
          <w:lang w:val="en-US" w:eastAsia="zh-CN"/>
        </w:rPr>
        <w:t>单</w:t>
      </w:r>
      <w:r>
        <w:rPr>
          <w:rFonts w:hint="eastAsia" w:asciiTheme="minorEastAsia" w:hAnsiTheme="minorEastAsia" w:eastAsiaTheme="minorEastAsia"/>
          <w:szCs w:val="21"/>
          <w:highlight w:val="none"/>
        </w:rPr>
        <w:t>价最高限价</w:t>
      </w:r>
      <w:r>
        <w:rPr>
          <w:rFonts w:hint="eastAsia" w:asciiTheme="minorEastAsia" w:hAnsiTheme="minorEastAsia" w:eastAsiaTheme="minorEastAsia"/>
          <w:szCs w:val="21"/>
          <w:highlight w:val="none"/>
          <w:lang w:val="en-US" w:eastAsia="zh-CN"/>
        </w:rPr>
        <w:t>详见下表</w:t>
      </w:r>
      <w:r>
        <w:rPr>
          <w:rFonts w:hint="eastAsia" w:asciiTheme="minorEastAsia" w:hAnsiTheme="minorEastAsia" w:eastAsiaTheme="minorEastAsia"/>
          <w:szCs w:val="21"/>
          <w:highlight w:val="none"/>
        </w:rPr>
        <w:t>，投标人报价高于最高限价的，其投标将被否决。</w:t>
      </w:r>
    </w:p>
    <w:p w14:paraId="38102629">
      <w:pPr>
        <w:pStyle w:val="101"/>
        <w:adjustRightInd w:val="0"/>
        <w:snapToGrid w:val="0"/>
        <w:spacing w:line="440" w:lineRule="exact"/>
        <w:ind w:left="425" w:firstLine="0" w:firstLineChars="0"/>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b/>
          <w:bCs/>
          <w:szCs w:val="21"/>
          <w:highlight w:val="none"/>
          <w:lang w:val="en-US" w:eastAsia="zh-CN"/>
        </w:rPr>
        <w:t>标包1：</w:t>
      </w:r>
    </w:p>
    <w:tbl>
      <w:tblPr>
        <w:tblStyle w:val="85"/>
        <w:tblW w:w="8031" w:type="dxa"/>
        <w:tblInd w:w="4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5"/>
        <w:gridCol w:w="1929"/>
        <w:gridCol w:w="2287"/>
        <w:gridCol w:w="1600"/>
        <w:gridCol w:w="1600"/>
      </w:tblGrid>
      <w:tr w14:paraId="0CECC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3534">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序号</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A704">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采购内容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82A6">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不含税单价最高限价（元/套/年）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4960">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预估数量（套）</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722E">
            <w:pPr>
              <w:keepNext w:val="0"/>
              <w:keepLines w:val="0"/>
              <w:widowControl/>
              <w:suppressLineNumbers w:val="0"/>
              <w:jc w:val="center"/>
              <w:textAlignment w:val="center"/>
              <w:rPr>
                <w:rFonts w:hint="default"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备注</w:t>
            </w:r>
          </w:p>
        </w:tc>
      </w:tr>
      <w:tr w14:paraId="35D0C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4C18">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1</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72E5">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数据库1（</w:t>
            </w:r>
            <w:r>
              <w:rPr>
                <w:rFonts w:hint="eastAsia" w:ascii="宋体" w:hAnsi="宋体" w:cs="宋体"/>
                <w:i w:val="0"/>
                <w:iCs w:val="0"/>
                <w:color w:val="000000"/>
                <w:kern w:val="0"/>
                <w:sz w:val="21"/>
                <w:szCs w:val="21"/>
                <w:u w:val="none"/>
                <w:lang w:val="en-US" w:eastAsia="zh-CN" w:bidi="ar"/>
              </w:rPr>
              <w:t>企业版</w:t>
            </w:r>
            <w:r>
              <w:rPr>
                <w:rFonts w:hint="eastAsia" w:ascii="宋体" w:hAnsi="宋体" w:eastAsia="宋体" w:cs="宋体"/>
                <w:i w:val="0"/>
                <w:iCs w:val="0"/>
                <w:color w:val="000000"/>
                <w:kern w:val="0"/>
                <w:sz w:val="21"/>
                <w:szCs w:val="21"/>
                <w:u w:val="none"/>
                <w:lang w:val="en-US" w:eastAsia="zh-CN" w:bidi="ar"/>
              </w:rPr>
              <w:t>）</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C15C">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51328</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2130">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60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24C6">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p>
        </w:tc>
      </w:tr>
      <w:tr w14:paraId="0952E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EADD">
            <w:pPr>
              <w:keepNext w:val="0"/>
              <w:keepLines w:val="0"/>
              <w:widowControl/>
              <w:suppressLineNumbers w:val="0"/>
              <w:ind w:firstLine="210" w:firstLineChars="100"/>
              <w:jc w:val="left"/>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2</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5CF9">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数据库1（集群版）</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F3D9">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21239</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01E3">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1FAF">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p>
        </w:tc>
      </w:tr>
    </w:tbl>
    <w:p w14:paraId="7F4DAD4C">
      <w:pPr>
        <w:pStyle w:val="101"/>
        <w:adjustRightInd w:val="0"/>
        <w:snapToGrid w:val="0"/>
        <w:spacing w:line="440" w:lineRule="exact"/>
        <w:ind w:left="425" w:firstLine="0" w:firstLineChars="0"/>
        <w:rPr>
          <w:rFonts w:hint="eastAsia" w:asciiTheme="minorEastAsia" w:hAnsiTheme="minorEastAsia" w:eastAsiaTheme="minorEastAsia"/>
          <w:b/>
          <w:bCs/>
          <w:szCs w:val="21"/>
          <w:lang w:val="en-US" w:eastAsia="zh-CN"/>
        </w:rPr>
      </w:pPr>
      <w:r>
        <w:rPr>
          <w:rFonts w:hint="eastAsia" w:asciiTheme="minorEastAsia" w:hAnsiTheme="minorEastAsia" w:eastAsiaTheme="minorEastAsia"/>
          <w:b/>
          <w:bCs/>
          <w:szCs w:val="21"/>
          <w:lang w:val="en-US" w:eastAsia="zh-CN"/>
        </w:rPr>
        <w:t>标包2：</w:t>
      </w:r>
    </w:p>
    <w:tbl>
      <w:tblPr>
        <w:tblStyle w:val="85"/>
        <w:tblW w:w="8150" w:type="dxa"/>
        <w:tblInd w:w="3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5"/>
        <w:gridCol w:w="2650"/>
        <w:gridCol w:w="2275"/>
        <w:gridCol w:w="1325"/>
        <w:gridCol w:w="1175"/>
      </w:tblGrid>
      <w:tr w14:paraId="25956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93"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BC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7F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采购内容</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85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不含税单价最高限价（元/套/年）</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EE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预估数量（套）</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4CC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tc>
      </w:tr>
      <w:tr w14:paraId="3BEE7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6E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45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数据库2（</w:t>
            </w:r>
            <w:r>
              <w:rPr>
                <w:rFonts w:hint="eastAsia" w:ascii="宋体" w:hAnsi="宋体" w:cs="宋体"/>
                <w:i w:val="0"/>
                <w:iCs w:val="0"/>
                <w:color w:val="000000"/>
                <w:kern w:val="0"/>
                <w:sz w:val="21"/>
                <w:szCs w:val="21"/>
                <w:u w:val="none"/>
                <w:lang w:val="en-US" w:eastAsia="zh-CN" w:bidi="ar"/>
              </w:rPr>
              <w:t>企业版</w:t>
            </w:r>
            <w:r>
              <w:rPr>
                <w:rFonts w:hint="eastAsia" w:ascii="宋体" w:hAnsi="宋体" w:eastAsia="宋体" w:cs="宋体"/>
                <w:i w:val="0"/>
                <w:iCs w:val="0"/>
                <w:color w:val="000000"/>
                <w:kern w:val="0"/>
                <w:sz w:val="21"/>
                <w:szCs w:val="21"/>
                <w:u w:val="none"/>
                <w:lang w:val="en-US" w:eastAsia="zh-CN" w:bidi="ar"/>
              </w:rPr>
              <w:t>）</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61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39823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5D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0F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0DCC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EB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B7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数据库2（集群版）</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DD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24779</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D5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19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792E7176">
      <w:pPr>
        <w:pStyle w:val="101"/>
        <w:adjustRightInd w:val="0"/>
        <w:snapToGrid w:val="0"/>
        <w:spacing w:line="440" w:lineRule="exact"/>
        <w:ind w:left="425" w:firstLine="0" w:firstLineChars="0"/>
        <w:rPr>
          <w:rFonts w:asciiTheme="minorEastAsia" w:hAnsiTheme="minorEastAsia" w:eastAsiaTheme="minorEastAsia"/>
          <w:szCs w:val="21"/>
          <w:highlight w:val="none"/>
        </w:rPr>
      </w:pPr>
      <w:r>
        <w:rPr>
          <w:rFonts w:hint="eastAsia" w:asciiTheme="minorEastAsia" w:hAnsiTheme="minorEastAsia" w:eastAsiaTheme="minorEastAsia"/>
          <w:szCs w:val="21"/>
        </w:rPr>
        <w:t>本项目将按照最新的《中国电信供应商不良行为管理规则》执行供应商不良行为处理结果，请重点关注处理结果适用的供应商主体、被处理产品、处理范围、禁限期、处理措施等关键内容，请务必登录</w:t>
      </w:r>
      <w:r>
        <w:t>中国电信</w:t>
      </w:r>
      <w:r>
        <w:rPr>
          <w:rFonts w:hint="eastAsia"/>
        </w:rPr>
        <w:t>阳光采购网</w:t>
      </w:r>
      <w:r>
        <w:rPr>
          <w:rFonts w:hint="eastAsia" w:asciiTheme="minorEastAsia" w:hAnsiTheme="minorEastAsia" w:eastAsiaTheme="minorEastAsia" w:cstheme="minorEastAsia"/>
        </w:rPr>
        <w:t>（https://caigou.chinatelecom.com.cn）</w:t>
      </w:r>
      <w:r>
        <w:rPr>
          <w:rFonts w:hint="eastAsia" w:asciiTheme="minorEastAsia" w:hAnsiTheme="minorEastAsia" w:eastAsiaTheme="minorEastAsia"/>
          <w:szCs w:val="21"/>
        </w:rPr>
        <w:t>查阅《中国电信供应商不良行为管理规则》</w:t>
      </w:r>
      <w:r>
        <w:rPr>
          <w:rFonts w:hint="eastAsia" w:asciiTheme="minorEastAsia" w:hAnsiTheme="minorEastAsia" w:eastAsiaTheme="minorEastAsia"/>
          <w:szCs w:val="21"/>
          <w:highlight w:val="none"/>
        </w:rPr>
        <w:t>。</w:t>
      </w:r>
    </w:p>
    <w:p w14:paraId="3EA48478">
      <w:pPr>
        <w:pStyle w:val="101"/>
        <w:adjustRightInd w:val="0"/>
        <w:snapToGrid w:val="0"/>
        <w:spacing w:line="440" w:lineRule="exact"/>
        <w:ind w:left="424" w:firstLine="0" w:firstLineChars="0"/>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2.投标人资格要求</w:t>
      </w:r>
      <w:bookmarkEnd w:id="17"/>
      <w:bookmarkEnd w:id="18"/>
      <w:bookmarkEnd w:id="19"/>
    </w:p>
    <w:p w14:paraId="083F852E">
      <w:pPr>
        <w:pStyle w:val="101"/>
        <w:adjustRightInd w:val="0"/>
        <w:snapToGrid w:val="0"/>
        <w:spacing w:line="440" w:lineRule="exac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2.1.投标人基本资格要求</w:t>
      </w:r>
    </w:p>
    <w:p w14:paraId="0A0F86B4">
      <w:pPr>
        <w:pStyle w:val="101"/>
        <w:adjustRightInd w:val="0"/>
        <w:snapToGrid w:val="0"/>
        <w:spacing w:line="440" w:lineRule="exact"/>
        <w:jc w:val="left"/>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（1）投标人应为中华人民共和国境内法律上和财务上独立的法人或依法登记注册的其他组织，合法运作并独立于招标人和招标代理机构。</w:t>
      </w:r>
    </w:p>
    <w:p w14:paraId="5C3F17C0">
      <w:pPr>
        <w:pStyle w:val="101"/>
        <w:adjustRightInd w:val="0"/>
        <w:snapToGrid w:val="0"/>
        <w:spacing w:line="440" w:lineRule="exact"/>
        <w:jc w:val="left"/>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（2）单位负责人为同一人或者存在控股、管理关系的不同单位，不得参加同一标包投标或者未划分标包的同一招标项目投标。</w:t>
      </w:r>
    </w:p>
    <w:p w14:paraId="47DD2E3E">
      <w:pPr>
        <w:pStyle w:val="101"/>
        <w:adjustRightInd w:val="0"/>
        <w:snapToGrid w:val="0"/>
        <w:spacing w:line="440" w:lineRule="exact"/>
        <w:jc w:val="left"/>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（3）须承诺为本项目开具增值税专用发票。（提供承诺）</w:t>
      </w:r>
    </w:p>
    <w:p w14:paraId="4BCC867A">
      <w:pPr>
        <w:pStyle w:val="101"/>
        <w:adjustRightInd w:val="0"/>
        <w:snapToGrid w:val="0"/>
        <w:spacing w:line="440" w:lineRule="exact"/>
        <w:jc w:val="left"/>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（4）本项目不接受联合体投标。</w:t>
      </w:r>
    </w:p>
    <w:p w14:paraId="287C07A4">
      <w:pPr>
        <w:pStyle w:val="101"/>
        <w:adjustRightInd w:val="0"/>
        <w:snapToGrid w:val="0"/>
        <w:spacing w:line="440" w:lineRule="exact"/>
        <w:jc w:val="left"/>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（5）本项目接受代理商投标。代理商投标的须提供制造商针对本项目采购的</w:t>
      </w:r>
      <w:r>
        <w:rPr>
          <w:rFonts w:hint="eastAsia" w:asciiTheme="minorEastAsia" w:hAnsiTheme="minorEastAsia" w:eastAsiaTheme="minorEastAsia"/>
          <w:bCs/>
          <w:szCs w:val="21"/>
          <w:highlight w:val="none"/>
          <w:lang w:val="en-US" w:eastAsia="zh-CN"/>
        </w:rPr>
        <w:t>数据库</w:t>
      </w:r>
      <w:r>
        <w:rPr>
          <w:rFonts w:hint="eastAsia" w:asciiTheme="minorEastAsia" w:hAnsiTheme="minorEastAsia" w:eastAsiaTheme="minorEastAsia"/>
          <w:bCs/>
          <w:szCs w:val="21"/>
          <w:highlight w:val="none"/>
        </w:rPr>
        <w:t>出具</w:t>
      </w:r>
      <w:r>
        <w:rPr>
          <w:rFonts w:hint="eastAsia" w:asciiTheme="minorEastAsia" w:hAnsiTheme="minorEastAsia" w:eastAsiaTheme="minorEastAsia"/>
          <w:bCs/>
          <w:szCs w:val="21"/>
          <w:highlight w:val="none"/>
          <w:lang w:val="en-US" w:eastAsia="zh-CN"/>
        </w:rPr>
        <w:t>的</w:t>
      </w:r>
      <w:r>
        <w:rPr>
          <w:rFonts w:hint="eastAsia" w:asciiTheme="minorEastAsia" w:hAnsiTheme="minorEastAsia" w:eastAsiaTheme="minorEastAsia"/>
          <w:bCs/>
          <w:szCs w:val="21"/>
          <w:highlight w:val="none"/>
        </w:rPr>
        <w:t>授权函，制造商与其代理商不得同时参与本项目的投标 。</w:t>
      </w:r>
    </w:p>
    <w:p w14:paraId="3D9A5637">
      <w:pPr>
        <w:pStyle w:val="101"/>
        <w:adjustRightInd w:val="0"/>
        <w:snapToGrid w:val="0"/>
        <w:spacing w:line="440" w:lineRule="exact"/>
        <w:ind w:left="424"/>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2.2.投标人不得存在下列情形之一</w:t>
      </w:r>
    </w:p>
    <w:p w14:paraId="6D27E61B">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bookmarkStart w:id="20" w:name="_Toc319394715"/>
      <w:bookmarkStart w:id="21" w:name="_Toc319769474"/>
      <w:bookmarkStart w:id="22" w:name="_Toc184704556"/>
      <w:r>
        <w:rPr>
          <w:rFonts w:hint="eastAsia" w:asciiTheme="minorEastAsia" w:hAnsiTheme="minorEastAsia" w:eastAsiaTheme="minorEastAsia"/>
          <w:bCs/>
          <w:szCs w:val="21"/>
          <w:highlight w:val="none"/>
        </w:rPr>
        <w:t>（1）为采购人不具有独立法人资格的附属机构（单位）；</w:t>
      </w:r>
    </w:p>
    <w:p w14:paraId="1736F062">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（2）被依法暂停或取消投标/响应资格的；</w:t>
      </w:r>
    </w:p>
    <w:p w14:paraId="687046CB">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 xml:space="preserve">（3）被责令停产停业、暂扣或者吊销许可证、暂扣或者吊销执照； </w:t>
      </w:r>
    </w:p>
    <w:p w14:paraId="28A700FD">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 xml:space="preserve">（4）进入清算程序，或被宣告破产，或其他丧失履约能力的情形； </w:t>
      </w:r>
    </w:p>
    <w:p w14:paraId="6C9A378F">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（5）在最近三年内[</w:t>
      </w:r>
      <w:r>
        <w:rPr>
          <w:rFonts w:hint="eastAsia" w:asciiTheme="minorEastAsia" w:hAnsiTheme="minorEastAsia" w:eastAsiaTheme="minorEastAsia"/>
          <w:bCs/>
          <w:szCs w:val="21"/>
          <w:highlight w:val="none"/>
          <w:lang w:val="en-US" w:eastAsia="zh-CN"/>
        </w:rPr>
        <w:t>投标</w:t>
      </w:r>
      <w:r>
        <w:rPr>
          <w:rFonts w:hint="eastAsia" w:asciiTheme="minorEastAsia" w:hAnsiTheme="minorEastAsia" w:eastAsiaTheme="minorEastAsia"/>
          <w:bCs/>
          <w:szCs w:val="21"/>
          <w:highlight w:val="none"/>
        </w:rPr>
        <w:t>截止时间前36个月]被相关行业主管部门或司法机关认定骗取中标/成交、严重违约、重大工程质量或者安全问题的；</w:t>
      </w:r>
    </w:p>
    <w:p w14:paraId="6AD5C2B6">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（6）在最近五年内[</w:t>
      </w:r>
      <w:r>
        <w:rPr>
          <w:rFonts w:hint="eastAsia" w:asciiTheme="minorEastAsia" w:hAnsiTheme="minorEastAsia" w:eastAsiaTheme="minorEastAsia"/>
          <w:bCs/>
          <w:szCs w:val="21"/>
          <w:highlight w:val="none"/>
          <w:lang w:val="en-US" w:eastAsia="zh-CN"/>
        </w:rPr>
        <w:t>投标</w:t>
      </w:r>
      <w:r>
        <w:rPr>
          <w:rFonts w:hint="eastAsia" w:asciiTheme="minorEastAsia" w:hAnsiTheme="minorEastAsia" w:eastAsiaTheme="minorEastAsia"/>
          <w:bCs/>
          <w:szCs w:val="21"/>
          <w:highlight w:val="none"/>
        </w:rPr>
        <w:t>截止时间前60个月]被判处单位行贿罪，且行贿行为与采购活动相关的（以“中国裁判文书网”的生效判决为准）；</w:t>
      </w:r>
    </w:p>
    <w:p w14:paraId="55ECDAFF">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（7）在最近五年内[</w:t>
      </w:r>
      <w:r>
        <w:rPr>
          <w:rFonts w:hint="eastAsia" w:asciiTheme="minorEastAsia" w:hAnsiTheme="minorEastAsia" w:eastAsiaTheme="minorEastAsia"/>
          <w:bCs/>
          <w:szCs w:val="21"/>
          <w:highlight w:val="none"/>
          <w:lang w:val="en-US" w:eastAsia="zh-CN"/>
        </w:rPr>
        <w:t>投标</w:t>
      </w:r>
      <w:r>
        <w:rPr>
          <w:rFonts w:hint="eastAsia" w:asciiTheme="minorEastAsia" w:hAnsiTheme="minorEastAsia" w:eastAsiaTheme="minorEastAsia"/>
          <w:bCs/>
          <w:szCs w:val="21"/>
          <w:highlight w:val="none"/>
        </w:rPr>
        <w:t>截止时间前60个月]被判处合同诈骗罪的（以“中国裁判文书网”的生效判决为准）；</w:t>
      </w:r>
    </w:p>
    <w:p w14:paraId="5B9EEC98">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（8）被最高人民法院在“信用中国”网站（www.creditchina.gov.cn）或各级信用信息共享平台中列入失信被执行人名单，已执行完毕或不再执行的除外；</w:t>
      </w:r>
    </w:p>
    <w:p w14:paraId="753DC83D">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（9）为本招标项目提供过设计、编制技术规范和其他文件的咨询服务；</w:t>
      </w:r>
    </w:p>
    <w:p w14:paraId="61162240">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（10）为本工程项目的相关监理人，或者与本工程项目的相关监理人存在隶属关系或者其他利害关系；</w:t>
      </w:r>
    </w:p>
    <w:p w14:paraId="1E58A6FA">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（11）为本招标项目的代建人；</w:t>
      </w:r>
    </w:p>
    <w:p w14:paraId="5A4AF51C">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（12）为本招标项目的采购代理机构；</w:t>
      </w:r>
    </w:p>
    <w:p w14:paraId="2C6D4045">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（13）与本招标项目的监理人或代建人或采购代理机构同为一个法定代表人；</w:t>
      </w:r>
    </w:p>
    <w:p w14:paraId="6D832422">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（14）与本招标项目的监理人或代建人或采购代理机构存在控股或参股关系；</w:t>
      </w:r>
    </w:p>
    <w:p w14:paraId="2BAC70FB">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（15）被工商行政管理机关在国家企业信用信息公示系统中列入严重违法失信企业名单的；</w:t>
      </w:r>
    </w:p>
    <w:p w14:paraId="37EDBDDE">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（16）中国电信在职员工违规担任供应商法定代表人并参与采购活动的；</w:t>
      </w:r>
    </w:p>
    <w:p w14:paraId="33FAEF60">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（17）中国电信集团有限公司/中国电信股份有限公司中层及以上管理人员违反有关领导人员配偶、子女及其配偶经商办企业行为管理规定，其配偶、子女及其配偶经商办企业参与采购活动的；</w:t>
      </w:r>
    </w:p>
    <w:p w14:paraId="6F7C8D68">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（18）中国电信领导人员离职或退休后三年内违反《国有企业领导人员廉洁从业若干规定》等相关规定任职、投资入股的私营企业、外资企业和中介机构，参与其原任职单位采购活动的；</w:t>
      </w:r>
    </w:p>
    <w:p w14:paraId="4556E708">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19）【其他按照中国电信供应商不良行为处理结果及《中国电信供应商不良行为管理规则》的结果执行规则，应对供应商及其响应产品在本项目中执行禁止采购处理措施的；[如涉及联合采购，请同时明确其他联合采购方的不良行为处理结果及相关规则]】</w:t>
      </w:r>
    </w:p>
    <w:p w14:paraId="15BB21B9">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（20）法律法规、招标文件限定的其他情形。</w:t>
      </w:r>
    </w:p>
    <w:p w14:paraId="3DF25866">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供应商是代理商的，本条所指的供应商也包括其所代理的制造商；联合体响应的，联合体成员均不得存在上述任一情形。</w:t>
      </w:r>
    </w:p>
    <w:p w14:paraId="4C6AD57F">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2.3 投标产品资格要求：无。</w:t>
      </w:r>
    </w:p>
    <w:p w14:paraId="34896547">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2.4 投标产品制造商（集成商、软件开发商、软件著作权人等）资格要求：无</w:t>
      </w:r>
    </w:p>
    <w:p w14:paraId="367C1EA9">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2.5 评价检测:无。</w:t>
      </w:r>
    </w:p>
    <w:p w14:paraId="4CCB962E">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2.6法律法规规定的其他要求。</w:t>
      </w:r>
    </w:p>
    <w:p w14:paraId="7FE63C96">
      <w:pPr>
        <w:pStyle w:val="101"/>
        <w:adjustRightInd w:val="0"/>
        <w:snapToGrid w:val="0"/>
        <w:spacing w:line="440" w:lineRule="exact"/>
        <w:ind w:left="424" w:firstLine="0" w:firstLineChars="0"/>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3.资格审查方法</w:t>
      </w:r>
      <w:bookmarkEnd w:id="20"/>
      <w:bookmarkEnd w:id="21"/>
      <w:bookmarkEnd w:id="22"/>
    </w:p>
    <w:p w14:paraId="39E05BFE">
      <w:pPr>
        <w:pStyle w:val="101"/>
        <w:adjustRightInd w:val="0"/>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本项目将进行资格后审，资格审查标准和内容见招标文件第三章“评标办法”，凡未通过资格后审的投标人，其投标将被否决。</w:t>
      </w:r>
    </w:p>
    <w:p w14:paraId="44CDB87D">
      <w:pPr>
        <w:pStyle w:val="101"/>
        <w:adjustRightInd w:val="0"/>
        <w:snapToGrid w:val="0"/>
        <w:spacing w:line="440" w:lineRule="exact"/>
        <w:ind w:left="426" w:firstLine="0" w:firstLineChars="0"/>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4.招标文件的获取</w:t>
      </w:r>
    </w:p>
    <w:p w14:paraId="758F338B">
      <w:pPr>
        <w:pStyle w:val="101"/>
        <w:adjustRightInd w:val="0"/>
        <w:snapToGrid w:val="0"/>
        <w:spacing w:line="440" w:lineRule="exact"/>
        <w:ind w:left="426" w:firstLine="0" w:firstLineChars="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招标文件获取时间:</w:t>
      </w:r>
      <w:r>
        <w:rPr>
          <w:rFonts w:hint="eastAsia" w:ascii="宋体" w:hAnsi="宋体"/>
          <w:b/>
          <w:bCs/>
          <w:color w:val="000000" w:themeColor="text1"/>
          <w:szCs w:val="21"/>
          <w:highlight w:val="none"/>
          <w14:textFill>
            <w14:solidFill>
              <w14:schemeClr w14:val="tx1"/>
            </w14:solidFill>
          </w14:textFill>
        </w:rPr>
        <w:t>2</w:t>
      </w:r>
      <w:r>
        <w:rPr>
          <w:rFonts w:ascii="宋体" w:hAnsi="宋体"/>
          <w:b/>
          <w:bCs/>
          <w:color w:val="000000" w:themeColor="text1"/>
          <w:szCs w:val="21"/>
          <w:highlight w:val="none"/>
          <w14:textFill>
            <w14:solidFill>
              <w14:schemeClr w14:val="tx1"/>
            </w14:solidFill>
          </w14:textFill>
        </w:rPr>
        <w:t>02</w:t>
      </w:r>
      <w:r>
        <w:rPr>
          <w:rFonts w:hint="eastAsia" w:ascii="宋体" w:hAnsi="宋体"/>
          <w:b/>
          <w:bCs/>
          <w:color w:val="000000" w:themeColor="text1"/>
          <w:szCs w:val="21"/>
          <w:highlight w:val="none"/>
          <w:lang w:val="en-US" w:eastAsia="zh-CN"/>
          <w14:textFill>
            <w14:solidFill>
              <w14:schemeClr w14:val="tx1"/>
            </w14:solidFill>
          </w14:textFill>
        </w:rPr>
        <w:t>5</w:t>
      </w:r>
      <w:r>
        <w:rPr>
          <w:rFonts w:hint="eastAsia" w:ascii="宋体" w:hAnsi="宋体"/>
          <w:b/>
          <w:bCs/>
          <w:color w:val="000000" w:themeColor="text1"/>
          <w:szCs w:val="21"/>
          <w:highlight w:val="none"/>
          <w14:textFill>
            <w14:solidFill>
              <w14:schemeClr w14:val="tx1"/>
            </w14:solidFill>
          </w14:textFill>
        </w:rPr>
        <w:t>年</w:t>
      </w:r>
      <w:r>
        <w:rPr>
          <w:rFonts w:hint="eastAsia" w:ascii="宋体" w:hAnsi="宋体"/>
          <w:b/>
          <w:bCs/>
          <w:color w:val="000000" w:themeColor="text1"/>
          <w:szCs w:val="21"/>
          <w:highlight w:val="none"/>
          <w:lang w:val="en-US" w:eastAsia="zh-CN"/>
          <w14:textFill>
            <w14:solidFill>
              <w14:schemeClr w14:val="tx1"/>
            </w14:solidFill>
          </w14:textFill>
        </w:rPr>
        <w:t>10</w:t>
      </w:r>
      <w:r>
        <w:rPr>
          <w:rFonts w:hint="eastAsia" w:ascii="宋体" w:hAnsi="宋体"/>
          <w:b/>
          <w:bCs/>
          <w:color w:val="000000" w:themeColor="text1"/>
          <w:szCs w:val="21"/>
          <w:highlight w:val="none"/>
          <w14:textFill>
            <w14:solidFill>
              <w14:schemeClr w14:val="tx1"/>
            </w14:solidFill>
          </w14:textFill>
        </w:rPr>
        <w:t>月</w:t>
      </w:r>
      <w:r>
        <w:rPr>
          <w:rFonts w:hint="eastAsia" w:ascii="宋体" w:hAnsi="宋体"/>
          <w:b/>
          <w:bCs/>
          <w:color w:val="000000" w:themeColor="text1"/>
          <w:szCs w:val="21"/>
          <w:highlight w:val="none"/>
          <w:lang w:val="en-US" w:eastAsia="zh-CN"/>
          <w14:textFill>
            <w14:solidFill>
              <w14:schemeClr w14:val="tx1"/>
            </w14:solidFill>
          </w14:textFill>
        </w:rPr>
        <w:t>30</w:t>
      </w:r>
      <w:r>
        <w:rPr>
          <w:rFonts w:hint="eastAsia" w:ascii="宋体" w:hAnsi="宋体"/>
          <w:b/>
          <w:bCs/>
          <w:color w:val="000000" w:themeColor="text1"/>
          <w:szCs w:val="21"/>
          <w:highlight w:val="none"/>
          <w14:textFill>
            <w14:solidFill>
              <w14:schemeClr w14:val="tx1"/>
            </w14:solidFill>
          </w14:textFill>
        </w:rPr>
        <w:t>日</w:t>
      </w:r>
      <w:r>
        <w:rPr>
          <w:rFonts w:hint="eastAsia" w:ascii="宋体" w:hAnsi="宋体"/>
          <w:b/>
          <w:bCs/>
          <w:color w:val="000000" w:themeColor="text1"/>
          <w:szCs w:val="21"/>
          <w:highlight w:val="none"/>
          <w:lang w:val="en-US" w:eastAsia="zh-CN"/>
          <w14:textFill>
            <w14:solidFill>
              <w14:schemeClr w14:val="tx1"/>
            </w14:solidFill>
          </w14:textFill>
        </w:rPr>
        <w:t>09</w:t>
      </w:r>
      <w:r>
        <w:rPr>
          <w:rFonts w:hint="eastAsia" w:ascii="宋体" w:hAnsi="宋体"/>
          <w:b/>
          <w:bCs/>
          <w:color w:val="000000" w:themeColor="text1"/>
          <w:szCs w:val="21"/>
          <w:highlight w:val="none"/>
          <w14:textFill>
            <w14:solidFill>
              <w14:schemeClr w14:val="tx1"/>
            </w14:solidFill>
          </w14:textFill>
        </w:rPr>
        <w:t>时</w:t>
      </w:r>
      <w:r>
        <w:rPr>
          <w:rFonts w:ascii="宋体" w:hAnsi="宋体"/>
          <w:b/>
          <w:bCs/>
          <w:color w:val="000000" w:themeColor="text1"/>
          <w:szCs w:val="21"/>
          <w:highlight w:val="none"/>
          <w14:textFill>
            <w14:solidFill>
              <w14:schemeClr w14:val="tx1"/>
            </w14:solidFill>
          </w14:textFill>
        </w:rPr>
        <w:t>00</w:t>
      </w:r>
      <w:r>
        <w:rPr>
          <w:rFonts w:hint="eastAsia" w:ascii="宋体" w:hAnsi="宋体"/>
          <w:b/>
          <w:bCs/>
          <w:color w:val="000000" w:themeColor="text1"/>
          <w:szCs w:val="21"/>
          <w:highlight w:val="none"/>
          <w14:textFill>
            <w14:solidFill>
              <w14:schemeClr w14:val="tx1"/>
            </w14:solidFill>
          </w14:textFill>
        </w:rPr>
        <w:t>分至</w:t>
      </w:r>
      <w:r>
        <w:rPr>
          <w:rFonts w:ascii="宋体" w:hAnsi="宋体"/>
          <w:b/>
          <w:bCs/>
          <w:color w:val="000000" w:themeColor="text1"/>
          <w:szCs w:val="21"/>
          <w:highlight w:val="none"/>
          <w14:textFill>
            <w14:solidFill>
              <w14:schemeClr w14:val="tx1"/>
            </w14:solidFill>
          </w14:textFill>
        </w:rPr>
        <w:t>202</w:t>
      </w:r>
      <w:r>
        <w:rPr>
          <w:rFonts w:hint="eastAsia" w:ascii="宋体" w:hAnsi="宋体"/>
          <w:b/>
          <w:bCs/>
          <w:color w:val="000000" w:themeColor="text1"/>
          <w:szCs w:val="21"/>
          <w:highlight w:val="none"/>
          <w:lang w:val="en-US" w:eastAsia="zh-CN"/>
          <w14:textFill>
            <w14:solidFill>
              <w14:schemeClr w14:val="tx1"/>
            </w14:solidFill>
          </w14:textFill>
        </w:rPr>
        <w:t>5</w:t>
      </w:r>
      <w:r>
        <w:rPr>
          <w:rFonts w:hint="eastAsia" w:ascii="宋体" w:hAnsi="宋体"/>
          <w:b/>
          <w:bCs/>
          <w:color w:val="000000" w:themeColor="text1"/>
          <w:szCs w:val="21"/>
          <w:highlight w:val="none"/>
          <w14:textFill>
            <w14:solidFill>
              <w14:schemeClr w14:val="tx1"/>
            </w14:solidFill>
          </w14:textFill>
        </w:rPr>
        <w:t>年</w:t>
      </w:r>
      <w:r>
        <w:rPr>
          <w:rFonts w:hint="eastAsia" w:ascii="宋体" w:hAnsi="宋体"/>
          <w:b/>
          <w:bCs/>
          <w:color w:val="000000" w:themeColor="text1"/>
          <w:szCs w:val="21"/>
          <w:highlight w:val="none"/>
          <w:lang w:val="en-US" w:eastAsia="zh-CN"/>
          <w14:textFill>
            <w14:solidFill>
              <w14:schemeClr w14:val="tx1"/>
            </w14:solidFill>
          </w14:textFill>
        </w:rPr>
        <w:t>11</w:t>
      </w:r>
      <w:r>
        <w:rPr>
          <w:rFonts w:hint="eastAsia" w:ascii="宋体" w:hAnsi="宋体"/>
          <w:b/>
          <w:bCs/>
          <w:color w:val="000000" w:themeColor="text1"/>
          <w:szCs w:val="21"/>
          <w:highlight w:val="none"/>
          <w14:textFill>
            <w14:solidFill>
              <w14:schemeClr w14:val="tx1"/>
            </w14:solidFill>
          </w14:textFill>
        </w:rPr>
        <w:t>月</w:t>
      </w:r>
      <w:r>
        <w:rPr>
          <w:rFonts w:hint="eastAsia" w:ascii="宋体" w:hAnsi="宋体"/>
          <w:b/>
          <w:bCs/>
          <w:color w:val="000000" w:themeColor="text1"/>
          <w:szCs w:val="21"/>
          <w:highlight w:val="none"/>
          <w:lang w:val="en-US" w:eastAsia="zh-CN"/>
          <w14:textFill>
            <w14:solidFill>
              <w14:schemeClr w14:val="tx1"/>
            </w14:solidFill>
          </w14:textFill>
        </w:rPr>
        <w:t>4</w:t>
      </w:r>
      <w:r>
        <w:rPr>
          <w:rFonts w:hint="eastAsia" w:ascii="宋体" w:hAnsi="宋体"/>
          <w:b/>
          <w:bCs/>
          <w:color w:val="000000" w:themeColor="text1"/>
          <w:szCs w:val="21"/>
          <w:highlight w:val="none"/>
          <w14:textFill>
            <w14:solidFill>
              <w14:schemeClr w14:val="tx1"/>
            </w14:solidFill>
          </w14:textFill>
        </w:rPr>
        <w:t>日</w:t>
      </w:r>
      <w:r>
        <w:rPr>
          <w:rFonts w:hint="eastAsia" w:ascii="宋体" w:hAnsi="宋体"/>
          <w:b/>
          <w:bCs/>
          <w:color w:val="000000" w:themeColor="text1"/>
          <w:szCs w:val="21"/>
          <w:highlight w:val="none"/>
          <w:lang w:val="en-US" w:eastAsia="zh-CN"/>
          <w14:textFill>
            <w14:solidFill>
              <w14:schemeClr w14:val="tx1"/>
            </w14:solidFill>
          </w14:textFill>
        </w:rPr>
        <w:t>17</w:t>
      </w:r>
      <w:r>
        <w:rPr>
          <w:rFonts w:hint="eastAsia" w:ascii="宋体" w:hAnsi="宋体"/>
          <w:b/>
          <w:bCs/>
          <w:color w:val="000000" w:themeColor="text1"/>
          <w:szCs w:val="21"/>
          <w:highlight w:val="none"/>
          <w14:textFill>
            <w14:solidFill>
              <w14:schemeClr w14:val="tx1"/>
            </w14:solidFill>
          </w14:textFill>
        </w:rPr>
        <w:t>时</w:t>
      </w:r>
      <w:r>
        <w:rPr>
          <w:rFonts w:ascii="宋体" w:hAnsi="宋体"/>
          <w:b/>
          <w:bCs/>
          <w:color w:val="000000" w:themeColor="text1"/>
          <w:szCs w:val="21"/>
          <w:highlight w:val="none"/>
          <w14:textFill>
            <w14:solidFill>
              <w14:schemeClr w14:val="tx1"/>
            </w14:solidFill>
          </w14:textFill>
        </w:rPr>
        <w:t>00</w:t>
      </w:r>
      <w:r>
        <w:rPr>
          <w:rFonts w:hint="eastAsia" w:ascii="宋体" w:hAnsi="宋体"/>
          <w:b/>
          <w:bCs/>
          <w:color w:val="000000" w:themeColor="text1"/>
          <w:szCs w:val="21"/>
          <w:highlight w:val="none"/>
          <w14:textFill>
            <w14:solidFill>
              <w14:schemeClr w14:val="tx1"/>
            </w14:solidFill>
          </w14:textFill>
        </w:rPr>
        <w:t>分（北京时间，下同）。</w:t>
      </w:r>
    </w:p>
    <w:p w14:paraId="2625B6EB">
      <w:pPr>
        <w:adjustRightInd w:val="0"/>
        <w:snapToGrid w:val="0"/>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招标文件获取方式：凡有意参与投标的潜在投标人，请按以下步骤顺序进行操作，获取招标文件：</w:t>
      </w:r>
    </w:p>
    <w:p w14:paraId="285DFF66">
      <w:pPr>
        <w:pStyle w:val="101"/>
        <w:tabs>
          <w:tab w:val="left" w:pos="993"/>
        </w:tabs>
        <w:wordWrap w:val="0"/>
        <w:adjustRightInd w:val="0"/>
        <w:snapToGrid w:val="0"/>
        <w:spacing w:line="440" w:lineRule="exact"/>
        <w:ind w:firstLine="424" w:firstLineChars="202"/>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4.2.1登录“</w:t>
      </w:r>
      <w:r>
        <w:rPr>
          <w:rFonts w:ascii="宋体" w:hAnsi="宋体"/>
          <w:color w:val="000000" w:themeColor="text1"/>
          <w:highlight w:val="none"/>
          <w14:textFill>
            <w14:solidFill>
              <w14:schemeClr w14:val="tx1"/>
            </w14:solidFill>
          </w14:textFill>
        </w:rPr>
        <w:t>中国电信阳光采购网</w:t>
      </w:r>
      <w:r>
        <w:rPr>
          <w:rFonts w:hint="eastAsia" w:ascii="宋体" w:hAnsi="宋体"/>
          <w:color w:val="000000" w:themeColor="text1"/>
          <w:highlight w:val="none"/>
          <w14:textFill>
            <w14:solidFill>
              <w14:schemeClr w14:val="tx1"/>
            </w14:solidFill>
          </w14:textFill>
        </w:rPr>
        <w:t>（</w:t>
      </w:r>
      <w:r>
        <w:rPr>
          <w:rFonts w:hint="eastAsia" w:asciiTheme="minorEastAsia" w:hAnsiTheme="minorEastAsia" w:eastAsiaTheme="minorEastAsia" w:cstheme="minorEastAsia"/>
          <w:highlight w:val="none"/>
        </w:rPr>
        <w:t>https://caigou.chinatelecom.com.cn</w:t>
      </w:r>
      <w:r>
        <w:rPr>
          <w:rFonts w:hint="eastAsia" w:ascii="宋体" w:hAnsi="宋体"/>
          <w:color w:val="000000" w:themeColor="text1"/>
          <w:highlight w:val="none"/>
          <w14:textFill>
            <w14:solidFill>
              <w14:schemeClr w14:val="tx1"/>
            </w14:solidFill>
          </w14:textFill>
        </w:rPr>
        <w:t>）” 后，通过“招投标-采购文件领取”模块或通过“电子采购入口”跳转中国电信电子采购系统，进入本项目进行招标文件登记申领 。未在系统注册的投标人须先进行注册，注册方法详见本公告“7投标人注册”。</w:t>
      </w:r>
    </w:p>
    <w:p w14:paraId="6F391920">
      <w:pPr>
        <w:pStyle w:val="101"/>
        <w:wordWrap w:val="0"/>
        <w:adjustRightInd w:val="0"/>
        <w:snapToGrid w:val="0"/>
        <w:spacing w:line="440" w:lineRule="exact"/>
        <w:ind w:left="424" w:leftChars="202" w:firstLine="0" w:firstLineChars="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4.3招标文件费用：获取本集中招标文件不收取费用</w:t>
      </w:r>
      <w:r>
        <w:rPr>
          <w:rFonts w:ascii="宋体" w:hAnsi="宋体"/>
          <w:color w:val="000000" w:themeColor="text1"/>
          <w:szCs w:val="21"/>
          <w:highlight w:val="none"/>
          <w14:textFill>
            <w14:solidFill>
              <w14:schemeClr w14:val="tx1"/>
            </w14:solidFill>
          </w14:textFill>
        </w:rPr>
        <w:t>。</w:t>
      </w:r>
    </w:p>
    <w:p w14:paraId="4CC68704">
      <w:pPr>
        <w:wordWrap w:val="0"/>
        <w:adjustRightInd w:val="0"/>
        <w:snapToGrid w:val="0"/>
        <w:spacing w:line="44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5</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投标文件的递交</w:t>
      </w:r>
    </w:p>
    <w:p w14:paraId="17E166CB">
      <w:pPr>
        <w:wordWrap w:val="0"/>
        <w:adjustRightInd w:val="0"/>
        <w:snapToGrid w:val="0"/>
        <w:spacing w:line="440" w:lineRule="exact"/>
        <w:ind w:firstLine="420" w:firstLineChars="200"/>
        <w:rPr>
          <w:rFonts w:ascii="宋体" w:hAnsi="宋体"/>
          <w:b/>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5.1</w:t>
      </w:r>
      <w:r>
        <w:rPr>
          <w:rFonts w:hint="eastAsia" w:ascii="宋体" w:hAnsi="宋体"/>
          <w:color w:val="000000" w:themeColor="text1"/>
          <w:szCs w:val="21"/>
          <w:highlight w:val="none"/>
          <w14:textFill>
            <w14:solidFill>
              <w14:schemeClr w14:val="tx1"/>
            </w14:solidFill>
          </w14:textFill>
        </w:rPr>
        <w:t>投标文件递交截止时间（即投标截止时间）为：</w:t>
      </w:r>
      <w:r>
        <w:rPr>
          <w:rFonts w:hint="eastAsia" w:ascii="宋体" w:hAnsi="宋体"/>
          <w:b/>
          <w:bCs/>
          <w:color w:val="000000" w:themeColor="text1"/>
          <w:szCs w:val="21"/>
          <w:highlight w:val="none"/>
          <w14:textFill>
            <w14:solidFill>
              <w14:schemeClr w14:val="tx1"/>
            </w14:solidFill>
          </w14:textFill>
        </w:rPr>
        <w:t>2</w:t>
      </w:r>
      <w:r>
        <w:rPr>
          <w:rFonts w:ascii="宋体" w:hAnsi="宋体"/>
          <w:b/>
          <w:bCs/>
          <w:color w:val="000000" w:themeColor="text1"/>
          <w:szCs w:val="21"/>
          <w:highlight w:val="none"/>
          <w14:textFill>
            <w14:solidFill>
              <w14:schemeClr w14:val="tx1"/>
            </w14:solidFill>
          </w14:textFill>
        </w:rPr>
        <w:t>02</w:t>
      </w:r>
      <w:r>
        <w:rPr>
          <w:rFonts w:hint="eastAsia" w:ascii="宋体" w:hAnsi="宋体"/>
          <w:b/>
          <w:bCs/>
          <w:color w:val="000000" w:themeColor="text1"/>
          <w:szCs w:val="21"/>
          <w:highlight w:val="none"/>
          <w:lang w:val="en-US" w:eastAsia="zh-CN"/>
          <w14:textFill>
            <w14:solidFill>
              <w14:schemeClr w14:val="tx1"/>
            </w14:solidFill>
          </w14:textFill>
        </w:rPr>
        <w:t>5</w:t>
      </w:r>
      <w:r>
        <w:rPr>
          <w:rFonts w:hint="eastAsia" w:ascii="宋体" w:hAnsi="宋体"/>
          <w:b/>
          <w:bCs/>
          <w:color w:val="000000" w:themeColor="text1"/>
          <w:szCs w:val="21"/>
          <w:highlight w:val="none"/>
          <w14:textFill>
            <w14:solidFill>
              <w14:schemeClr w14:val="tx1"/>
            </w14:solidFill>
          </w14:textFill>
        </w:rPr>
        <w:t>年</w:t>
      </w:r>
      <w:r>
        <w:rPr>
          <w:rFonts w:hint="eastAsia" w:ascii="宋体" w:hAnsi="宋体"/>
          <w:b/>
          <w:bCs/>
          <w:color w:val="000000" w:themeColor="text1"/>
          <w:szCs w:val="21"/>
          <w:highlight w:val="none"/>
          <w:lang w:val="en-US" w:eastAsia="zh-CN"/>
          <w14:textFill>
            <w14:solidFill>
              <w14:schemeClr w14:val="tx1"/>
            </w14:solidFill>
          </w14:textFill>
        </w:rPr>
        <w:t>11</w:t>
      </w:r>
      <w:r>
        <w:rPr>
          <w:rFonts w:hint="eastAsia" w:ascii="宋体" w:hAnsi="宋体"/>
          <w:b/>
          <w:bCs/>
          <w:color w:val="000000" w:themeColor="text1"/>
          <w:szCs w:val="21"/>
          <w:highlight w:val="none"/>
          <w14:textFill>
            <w14:solidFill>
              <w14:schemeClr w14:val="tx1"/>
            </w14:solidFill>
          </w14:textFill>
        </w:rPr>
        <w:t>月</w:t>
      </w:r>
      <w:r>
        <w:rPr>
          <w:rFonts w:hint="eastAsia" w:ascii="宋体" w:hAnsi="宋体"/>
          <w:b/>
          <w:bCs/>
          <w:color w:val="000000" w:themeColor="text1"/>
          <w:szCs w:val="21"/>
          <w:highlight w:val="none"/>
          <w:lang w:val="en-US" w:eastAsia="zh-CN"/>
          <w14:textFill>
            <w14:solidFill>
              <w14:schemeClr w14:val="tx1"/>
            </w14:solidFill>
          </w14:textFill>
        </w:rPr>
        <w:t>14</w:t>
      </w:r>
      <w:r>
        <w:rPr>
          <w:rFonts w:hint="eastAsia" w:ascii="宋体" w:hAnsi="宋体"/>
          <w:b/>
          <w:bCs/>
          <w:color w:val="000000" w:themeColor="text1"/>
          <w:szCs w:val="21"/>
          <w:highlight w:val="none"/>
          <w14:textFill>
            <w14:solidFill>
              <w14:schemeClr w14:val="tx1"/>
            </w14:solidFill>
          </w14:textFill>
        </w:rPr>
        <w:t>日</w:t>
      </w:r>
      <w:r>
        <w:rPr>
          <w:rFonts w:hint="eastAsia" w:ascii="宋体" w:hAnsi="宋体"/>
          <w:b/>
          <w:bCs/>
          <w:color w:val="000000" w:themeColor="text1"/>
          <w:szCs w:val="21"/>
          <w:highlight w:val="none"/>
          <w:lang w:val="en-US" w:eastAsia="zh-CN"/>
          <w14:textFill>
            <w14:solidFill>
              <w14:schemeClr w14:val="tx1"/>
            </w14:solidFill>
          </w14:textFill>
        </w:rPr>
        <w:t>9</w:t>
      </w:r>
      <w:r>
        <w:rPr>
          <w:rFonts w:hint="eastAsia" w:ascii="宋体" w:hAnsi="宋体"/>
          <w:b/>
          <w:bCs/>
          <w:color w:val="000000" w:themeColor="text1"/>
          <w:szCs w:val="21"/>
          <w:highlight w:val="none"/>
          <w14:textFill>
            <w14:solidFill>
              <w14:schemeClr w14:val="tx1"/>
            </w14:solidFill>
          </w14:textFill>
        </w:rPr>
        <w:t>时</w:t>
      </w:r>
      <w:r>
        <w:rPr>
          <w:rFonts w:hint="eastAsia" w:ascii="宋体" w:hAnsi="宋体"/>
          <w:b/>
          <w:bCs/>
          <w:color w:val="000000" w:themeColor="text1"/>
          <w:szCs w:val="21"/>
          <w:highlight w:val="none"/>
          <w:lang w:val="en-US" w:eastAsia="zh-CN"/>
          <w14:textFill>
            <w14:solidFill>
              <w14:schemeClr w14:val="tx1"/>
            </w14:solidFill>
          </w14:textFill>
        </w:rPr>
        <w:t>3</w:t>
      </w:r>
      <w:r>
        <w:rPr>
          <w:rFonts w:ascii="宋体" w:hAnsi="宋体"/>
          <w:b/>
          <w:bCs/>
          <w:color w:val="000000" w:themeColor="text1"/>
          <w:szCs w:val="21"/>
          <w:highlight w:val="none"/>
          <w14:textFill>
            <w14:solidFill>
              <w14:schemeClr w14:val="tx1"/>
            </w14:solidFill>
          </w14:textFill>
        </w:rPr>
        <w:t>0</w:t>
      </w:r>
      <w:r>
        <w:rPr>
          <w:rFonts w:hint="eastAsia" w:ascii="宋体" w:hAnsi="宋体"/>
          <w:b/>
          <w:bCs/>
          <w:color w:val="000000" w:themeColor="text1"/>
          <w:szCs w:val="21"/>
          <w:highlight w:val="none"/>
          <w14:textFill>
            <w14:solidFill>
              <w14:schemeClr w14:val="tx1"/>
            </w14:solidFill>
          </w14:textFill>
        </w:rPr>
        <w:t>分</w:t>
      </w:r>
    </w:p>
    <w:p w14:paraId="60FB40A3">
      <w:pPr>
        <w:wordWrap w:val="0"/>
        <w:adjustRightInd w:val="0"/>
        <w:snapToGrid w:val="0"/>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电子投标文件的递交：登录</w:t>
      </w:r>
      <w:r>
        <w:rPr>
          <w:rFonts w:ascii="宋体" w:hAnsi="宋体"/>
          <w:color w:val="000000" w:themeColor="text1"/>
          <w:highlight w:val="none"/>
          <w14:textFill>
            <w14:solidFill>
              <w14:schemeClr w14:val="tx1"/>
            </w14:solidFill>
          </w14:textFill>
        </w:rPr>
        <w:t>中国电信阳光采购网</w:t>
      </w:r>
      <w:r>
        <w:rPr>
          <w:rFonts w:hint="eastAsia" w:ascii="宋体" w:hAnsi="宋体"/>
          <w:color w:val="000000" w:themeColor="text1"/>
          <w:highlight w:val="none"/>
          <w14:textFill>
            <w14:solidFill>
              <w14:schemeClr w14:val="tx1"/>
            </w14:solidFill>
          </w14:textFill>
        </w:rPr>
        <w:t>（</w:t>
      </w:r>
      <w:r>
        <w:rPr>
          <w:rFonts w:hint="eastAsia" w:asciiTheme="minorEastAsia" w:hAnsiTheme="minorEastAsia" w:eastAsiaTheme="minorEastAsia" w:cstheme="minorEastAsia"/>
          <w:highlight w:val="none"/>
        </w:rPr>
        <w:t>https://caigou.chinatelecom.com.cn</w:t>
      </w:r>
      <w:r>
        <w:rPr>
          <w:rFonts w:hint="eastAsia" w:ascii="宋体" w:hAnsi="宋体"/>
          <w:color w:val="000000" w:themeColor="text1"/>
          <w:highlight w:val="none"/>
          <w14:textFill>
            <w14:solidFill>
              <w14:schemeClr w14:val="tx1"/>
            </w14:solidFill>
          </w14:textFill>
        </w:rPr>
        <w:t>）后，通过“招投标-我的项目”模块或通过“电子采购入口”跳转中国电信电子采购系统，选择本项目进行投标文件递交</w:t>
      </w:r>
      <w:r>
        <w:rPr>
          <w:rFonts w:hint="eastAsia" w:ascii="宋体" w:hAnsi="宋体"/>
          <w:color w:val="000000" w:themeColor="text1"/>
          <w:szCs w:val="21"/>
          <w:highlight w:val="none"/>
          <w14:textFill>
            <w14:solidFill>
              <w14:schemeClr w14:val="tx1"/>
            </w14:solidFill>
          </w14:textFill>
        </w:rPr>
        <w:t>，投标人应在投标文件递交截止时间之前通过电子采购系统完成加密电子投标文件的上传。投标人未在电子采购系统进行招标文件申领登记或电子投标文件未按照要求加密的，将无法通过电子采购系统提交电子投标文件。</w:t>
      </w:r>
    </w:p>
    <w:p w14:paraId="25ACD3E2">
      <w:pPr>
        <w:wordWrap w:val="0"/>
        <w:adjustRightInd w:val="0"/>
        <w:snapToGrid w:val="0"/>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本项目将于投标文件递交截止同一时间通过中国电信电子采购系统开标，【招标人/招标代理机构】邀请投标人的法定代表人/负责人或者其委托代理人准时参加。</w:t>
      </w:r>
    </w:p>
    <w:p w14:paraId="5CC836D0">
      <w:pPr>
        <w:adjustRightInd w:val="0"/>
        <w:snapToGrid w:val="0"/>
        <w:spacing w:line="44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6．样品的递交</w:t>
      </w:r>
    </w:p>
    <w:p w14:paraId="59D7FB34">
      <w:pPr>
        <w:pStyle w:val="101"/>
        <w:numPr>
          <w:ilvl w:val="1"/>
          <w:numId w:val="76"/>
        </w:numPr>
        <w:adjustRightInd w:val="0"/>
        <w:snapToGrid w:val="0"/>
        <w:spacing w:line="440" w:lineRule="exact"/>
        <w:ind w:left="0" w:firstLine="426" w:firstLineChars="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样品递交的时间、地点：不涉及</w:t>
      </w:r>
    </w:p>
    <w:p w14:paraId="6F14139B">
      <w:pPr>
        <w:pStyle w:val="101"/>
        <w:numPr>
          <w:ilvl w:val="1"/>
          <w:numId w:val="76"/>
        </w:numPr>
        <w:adjustRightInd w:val="0"/>
        <w:snapToGrid w:val="0"/>
        <w:spacing w:line="440" w:lineRule="exact"/>
        <w:ind w:left="0" w:firstLine="425" w:firstLineChars="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检测相关费用：不涉及</w:t>
      </w:r>
    </w:p>
    <w:p w14:paraId="483B10A5">
      <w:pPr>
        <w:pStyle w:val="101"/>
        <w:adjustRightInd w:val="0"/>
        <w:snapToGrid w:val="0"/>
        <w:spacing w:line="440" w:lineRule="exact"/>
        <w:ind w:left="424" w:firstLine="0" w:firstLineChars="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7</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投标人注册</w:t>
      </w:r>
    </w:p>
    <w:p w14:paraId="64D73C9F">
      <w:pPr>
        <w:wordWrap w:val="0"/>
        <w:adjustRightInd w:val="0"/>
        <w:snapToGrid w:val="0"/>
        <w:spacing w:line="440" w:lineRule="exact"/>
        <w:ind w:firstLine="417" w:firstLineChars="19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7.1</w:t>
      </w:r>
      <w:r>
        <w:rPr>
          <w:rFonts w:hint="eastAsia" w:ascii="宋体" w:hAnsi="宋体"/>
          <w:color w:val="000000" w:themeColor="text1"/>
          <w:highlight w:val="none"/>
          <w14:textFill>
            <w14:solidFill>
              <w14:schemeClr w14:val="tx1"/>
            </w14:solidFill>
          </w14:textFill>
        </w:rPr>
        <w:tab/>
      </w:r>
      <w:r>
        <w:rPr>
          <w:rFonts w:ascii="宋体" w:hAnsi="宋体"/>
          <w:color w:val="000000" w:themeColor="text1"/>
          <w:highlight w:val="none"/>
          <w14:textFill>
            <w14:solidFill>
              <w14:schemeClr w14:val="tx1"/>
            </w14:solidFill>
          </w14:textFill>
        </w:rPr>
        <w:t>中国电信阳光采购网</w:t>
      </w:r>
      <w:r>
        <w:rPr>
          <w:rFonts w:hint="eastAsia" w:ascii="宋体" w:hAnsi="宋体"/>
          <w:color w:val="000000" w:themeColor="text1"/>
          <w:highlight w:val="none"/>
          <w14:textFill>
            <w14:solidFill>
              <w14:schemeClr w14:val="tx1"/>
            </w14:solidFill>
          </w14:textFill>
        </w:rPr>
        <w:t>注册</w:t>
      </w:r>
    </w:p>
    <w:p w14:paraId="6389D5E1">
      <w:pPr>
        <w:wordWrap w:val="0"/>
        <w:adjustRightInd w:val="0"/>
        <w:snapToGrid w:val="0"/>
        <w:spacing w:line="440" w:lineRule="exact"/>
        <w:ind w:firstLine="417" w:firstLineChars="19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未注册过的潜在投标人，须通过</w:t>
      </w:r>
      <w:r>
        <w:rPr>
          <w:rFonts w:ascii="宋体" w:hAnsi="宋体"/>
          <w:color w:val="000000" w:themeColor="text1"/>
          <w:highlight w:val="none"/>
          <w14:textFill>
            <w14:solidFill>
              <w14:schemeClr w14:val="tx1"/>
            </w14:solidFill>
          </w14:textFill>
        </w:rPr>
        <w:t>中国电信阳光采购网</w:t>
      </w:r>
      <w:r>
        <w:rPr>
          <w:rFonts w:hint="eastAsia" w:ascii="宋体" w:hAnsi="宋体"/>
          <w:color w:val="000000" w:themeColor="text1"/>
          <w:highlight w:val="none"/>
          <w14:textFill>
            <w14:solidFill>
              <w14:schemeClr w14:val="tx1"/>
            </w14:solidFill>
          </w14:textFill>
        </w:rPr>
        <w:t>（</w:t>
      </w:r>
      <w:r>
        <w:rPr>
          <w:rFonts w:hint="eastAsia" w:asciiTheme="minorEastAsia" w:hAnsiTheme="minorEastAsia" w:eastAsiaTheme="minorEastAsia" w:cstheme="minorEastAsia"/>
          <w:highlight w:val="none"/>
        </w:rPr>
        <w:t>https://caigou.chinatelecom.com.cn</w:t>
      </w:r>
      <w:r>
        <w:rPr>
          <w:rFonts w:hint="eastAsia" w:ascii="宋体" w:hAnsi="宋体"/>
          <w:color w:val="000000" w:themeColor="text1"/>
          <w:highlight w:val="none"/>
          <w14:textFill>
            <w14:solidFill>
              <w14:schemeClr w14:val="tx1"/>
            </w14:solidFill>
          </w14:textFill>
        </w:rPr>
        <w:t>）首页“立即注册”模块完成注册后，方可申领本项目招标文件。</w:t>
      </w:r>
    </w:p>
    <w:p w14:paraId="763BA2F1">
      <w:pPr>
        <w:wordWrap w:val="0"/>
        <w:adjustRightInd w:val="0"/>
        <w:snapToGrid w:val="0"/>
        <w:spacing w:line="440" w:lineRule="exact"/>
        <w:ind w:firstLine="417" w:firstLineChars="19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7.2 CA证书办理</w:t>
      </w:r>
    </w:p>
    <w:p w14:paraId="15119BA1">
      <w:pPr>
        <w:pStyle w:val="101"/>
        <w:tabs>
          <w:tab w:val="left" w:pos="1134"/>
        </w:tabs>
        <w:wordWrap w:val="0"/>
        <w:adjustRightInd w:val="0"/>
        <w:snapToGrid w:val="0"/>
        <w:spacing w:line="440" w:lineRule="exact"/>
        <w:ind w:firstLine="428"/>
        <w:rPr>
          <w:rFonts w:ascii="宋体" w:hAnsi="宋体"/>
          <w:color w:val="000000" w:themeColor="text1"/>
          <w:spacing w:val="2"/>
          <w:szCs w:val="21"/>
          <w:highlight w:val="none"/>
          <w14:textFill>
            <w14:solidFill>
              <w14:schemeClr w14:val="tx1"/>
            </w14:solidFill>
          </w14:textFill>
        </w:rPr>
      </w:pPr>
      <w:r>
        <w:rPr>
          <w:rFonts w:hint="eastAsia" w:ascii="宋体" w:hAnsi="宋体"/>
          <w:color w:val="000000" w:themeColor="text1"/>
          <w:spacing w:val="2"/>
          <w:szCs w:val="21"/>
          <w:highlight w:val="none"/>
          <w14:textFill>
            <w14:solidFill>
              <w14:schemeClr w14:val="tx1"/>
            </w14:solidFill>
          </w14:textFill>
        </w:rPr>
        <w:t>参与电子采购的潜在投标人须提前办理CA证书进行电子投</w:t>
      </w:r>
      <w:bookmarkStart w:id="23" w:name="OLE_LINK31"/>
      <w:r>
        <w:rPr>
          <w:rFonts w:hint="eastAsia" w:ascii="宋体" w:hAnsi="宋体"/>
          <w:color w:val="000000" w:themeColor="text1"/>
          <w:spacing w:val="2"/>
          <w:szCs w:val="21"/>
          <w:highlight w:val="none"/>
          <w14:textFill>
            <w14:solidFill>
              <w14:schemeClr w14:val="tx1"/>
            </w14:solidFill>
          </w14:textFill>
        </w:rPr>
        <w:t>标文件编制和投标，并确保CA证书在使用时有效。CA证书办理流程</w:t>
      </w:r>
      <w:r>
        <w:rPr>
          <w:rFonts w:hint="eastAsia" w:ascii="宋体" w:hAnsi="宋体"/>
          <w:color w:val="000000" w:themeColor="text1"/>
          <w:szCs w:val="21"/>
          <w:highlight w:val="none"/>
          <w14:textFill>
            <w14:solidFill>
              <w14:schemeClr w14:val="tx1"/>
            </w14:solidFill>
          </w14:textFill>
        </w:rPr>
        <w:t>详见</w:t>
      </w:r>
      <w:r>
        <w:rPr>
          <w:rFonts w:hint="eastAsia" w:ascii="宋体" w:hAnsi="宋体"/>
          <w:color w:val="000000" w:themeColor="text1"/>
          <w:highlight w:val="none"/>
          <w14:textFill>
            <w14:solidFill>
              <w14:schemeClr w14:val="tx1"/>
            </w14:solidFill>
          </w14:textFill>
        </w:rPr>
        <w:t>中国电信阳光采</w:t>
      </w:r>
      <w:bookmarkEnd w:id="23"/>
      <w:r>
        <w:rPr>
          <w:rFonts w:hint="eastAsia" w:ascii="宋体" w:hAnsi="宋体"/>
          <w:color w:val="000000" w:themeColor="text1"/>
          <w:highlight w:val="none"/>
          <w14:textFill>
            <w14:solidFill>
              <w14:schemeClr w14:val="tx1"/>
            </w14:solidFill>
          </w14:textFill>
        </w:rPr>
        <w:t>购网首页“操作指引</w:t>
      </w:r>
      <w:r>
        <w:rPr>
          <w:rFonts w:ascii="宋体" w:hAnsi="宋体"/>
          <w:color w:val="000000" w:themeColor="text1"/>
          <w:highlight w:val="none"/>
          <w14:textFill>
            <w14:solidFill>
              <w14:schemeClr w14:val="tx1"/>
            </w14:solidFill>
          </w14:textFill>
        </w:rPr>
        <w:t>-CA办理</w:t>
      </w:r>
      <w:r>
        <w:rPr>
          <w:rFonts w:hint="eastAsia" w:ascii="宋体" w:hAnsi="宋体"/>
          <w:color w:val="000000" w:themeColor="text1"/>
          <w:highlight w:val="none"/>
          <w14:textFill>
            <w14:solidFill>
              <w14:schemeClr w14:val="tx1"/>
            </w14:solidFill>
          </w14:textFill>
        </w:rPr>
        <w:t>”。</w:t>
      </w:r>
    </w:p>
    <w:p w14:paraId="0EDB47A7">
      <w:pPr>
        <w:pStyle w:val="101"/>
        <w:tabs>
          <w:tab w:val="left" w:pos="993"/>
        </w:tabs>
        <w:wordWrap w:val="0"/>
        <w:adjustRightInd w:val="0"/>
        <w:snapToGrid w:val="0"/>
        <w:spacing w:line="440" w:lineRule="exact"/>
        <w:ind w:left="426" w:firstLine="0" w:firstLineChars="0"/>
        <w:rPr>
          <w:rFonts w:ascii="宋体" w:hAnsi="宋体"/>
          <w:color w:val="000000" w:themeColor="text1"/>
          <w:spacing w:val="2"/>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7.3</w:t>
      </w:r>
      <w:r>
        <w:rPr>
          <w:rFonts w:ascii="宋体" w:hAnsi="宋体" w:cs="宋体"/>
          <w:color w:val="000000" w:themeColor="text1"/>
          <w:kern w:val="0"/>
          <w:szCs w:val="21"/>
          <w:highlight w:val="none"/>
          <w14:textFill>
            <w14:solidFill>
              <w14:schemeClr w14:val="tx1"/>
            </w14:solidFill>
          </w14:textFill>
        </w:rPr>
        <w:t>技术支撑联系方式</w:t>
      </w:r>
    </w:p>
    <w:p w14:paraId="22974576">
      <w:pPr>
        <w:pStyle w:val="101"/>
        <w:wordWrap w:val="0"/>
        <w:adjustRightInd w:val="0"/>
        <w:snapToGrid w:val="0"/>
        <w:spacing w:line="440" w:lineRule="exact"/>
        <w:ind w:left="2" w:firstLine="432" w:firstLineChars="202"/>
        <w:rPr>
          <w:rFonts w:asciiTheme="minorEastAsia" w:hAnsiTheme="minorEastAsia" w:eastAsiaTheme="minorEastAsia"/>
          <w:color w:val="000000" w:themeColor="text1"/>
          <w:spacing w:val="2"/>
          <w:szCs w:val="21"/>
          <w:highlight w:val="none"/>
          <w14:textFill>
            <w14:solidFill>
              <w14:schemeClr w14:val="tx1"/>
            </w14:solidFill>
          </w14:textFill>
        </w:rPr>
      </w:pPr>
      <w:r>
        <w:rPr>
          <w:rFonts w:hint="eastAsia" w:asciiTheme="minorEastAsia" w:hAnsiTheme="minorEastAsia" w:eastAsiaTheme="minorEastAsia"/>
          <w:color w:val="000000" w:themeColor="text1"/>
          <w:spacing w:val="2"/>
          <w:szCs w:val="21"/>
          <w:highlight w:val="none"/>
          <w14:textFill>
            <w14:solidFill>
              <w14:schemeClr w14:val="tx1"/>
            </w14:solidFill>
          </w14:textFill>
        </w:rPr>
        <w:t>服务热线：010-56107929 /010-56107880</w:t>
      </w:r>
    </w:p>
    <w:p w14:paraId="480E7520">
      <w:pPr>
        <w:pStyle w:val="101"/>
        <w:wordWrap w:val="0"/>
        <w:adjustRightInd w:val="0"/>
        <w:snapToGrid w:val="0"/>
        <w:spacing w:line="440" w:lineRule="exact"/>
        <w:ind w:left="2" w:firstLine="432" w:firstLineChars="202"/>
        <w:rPr>
          <w:rFonts w:asciiTheme="minorEastAsia" w:hAnsiTheme="minorEastAsia" w:eastAsiaTheme="minorEastAsia"/>
          <w:color w:val="000000" w:themeColor="text1"/>
          <w:spacing w:val="2"/>
          <w:szCs w:val="21"/>
          <w:highlight w:val="none"/>
          <w14:textFill>
            <w14:solidFill>
              <w14:schemeClr w14:val="tx1"/>
            </w14:solidFill>
          </w14:textFill>
        </w:rPr>
      </w:pPr>
      <w:r>
        <w:rPr>
          <w:rFonts w:hint="eastAsia" w:asciiTheme="minorEastAsia" w:hAnsiTheme="minorEastAsia" w:eastAsiaTheme="minorEastAsia"/>
          <w:color w:val="000000" w:themeColor="text1"/>
          <w:spacing w:val="2"/>
          <w:szCs w:val="21"/>
          <w:highlight w:val="none"/>
          <w14:textFill>
            <w14:solidFill>
              <w14:schemeClr w14:val="tx1"/>
            </w14:solidFill>
          </w14:textFill>
        </w:rPr>
        <w:t>服务邮箱：zb_support@chinatelecom.cn（电子采购系统技术支撑）</w:t>
      </w:r>
    </w:p>
    <w:p w14:paraId="6E37A7E1">
      <w:pPr>
        <w:pStyle w:val="101"/>
        <w:wordWrap w:val="0"/>
        <w:adjustRightInd w:val="0"/>
        <w:snapToGrid w:val="0"/>
        <w:spacing w:line="440" w:lineRule="exact"/>
        <w:ind w:left="2" w:firstLine="1502" w:firstLineChars="702"/>
        <w:rPr>
          <w:rFonts w:asciiTheme="minorEastAsia" w:hAnsiTheme="minorEastAsia" w:eastAsiaTheme="minorEastAsia"/>
          <w:color w:val="000000" w:themeColor="text1"/>
          <w:spacing w:val="2"/>
          <w:szCs w:val="21"/>
          <w:highlight w:val="none"/>
          <w14:textFill>
            <w14:solidFill>
              <w14:schemeClr w14:val="tx1"/>
            </w14:solidFill>
          </w14:textFill>
        </w:rPr>
      </w:pPr>
      <w:r>
        <w:rPr>
          <w:rFonts w:hint="eastAsia" w:asciiTheme="minorEastAsia" w:hAnsiTheme="minorEastAsia" w:eastAsiaTheme="minorEastAsia"/>
          <w:color w:val="000000" w:themeColor="text1"/>
          <w:spacing w:val="2"/>
          <w:szCs w:val="21"/>
          <w:highlight w:val="none"/>
          <w14:textFill>
            <w14:solidFill>
              <w14:schemeClr w14:val="tx1"/>
            </w14:solidFill>
          </w14:textFill>
        </w:rPr>
        <w:t>ctsc@chinatelecom.cn（CA证书办理技术支撑）</w:t>
      </w:r>
      <w:r>
        <w:rPr>
          <w:rFonts w:asciiTheme="minorEastAsia" w:hAnsiTheme="minorEastAsia" w:eastAsiaTheme="minorEastAsia"/>
          <w:color w:val="000000" w:themeColor="text1"/>
          <w:spacing w:val="2"/>
          <w:szCs w:val="21"/>
          <w:highlight w:val="none"/>
          <w14:textFill>
            <w14:solidFill>
              <w14:schemeClr w14:val="tx1"/>
            </w14:solidFill>
          </w14:textFill>
        </w:rPr>
        <w:t xml:space="preserve">。 </w:t>
      </w:r>
    </w:p>
    <w:p w14:paraId="5B007606">
      <w:pPr>
        <w:pStyle w:val="101"/>
        <w:wordWrap w:val="0"/>
        <w:adjustRightInd w:val="0"/>
        <w:snapToGrid w:val="0"/>
        <w:spacing w:line="440" w:lineRule="exact"/>
        <w:ind w:left="2" w:firstLine="426" w:firstLineChars="202"/>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8</w:t>
      </w:r>
      <w:r>
        <w:rPr>
          <w:rFonts w:ascii="宋体" w:hAnsi="宋体" w:cs="宋体"/>
          <w:b/>
          <w:bCs/>
          <w:color w:val="000000" w:themeColor="text1"/>
          <w:kern w:val="0"/>
          <w:szCs w:val="21"/>
          <w:highlight w:val="none"/>
          <w14:textFill>
            <w14:solidFill>
              <w14:schemeClr w14:val="tx1"/>
            </w14:solidFill>
          </w14:textFill>
        </w:rPr>
        <w:t>.</w:t>
      </w:r>
      <w:r>
        <w:rPr>
          <w:rFonts w:hint="eastAsia" w:ascii="宋体" w:hAnsi="宋体" w:cs="宋体"/>
          <w:b/>
          <w:bCs/>
          <w:color w:val="000000" w:themeColor="text1"/>
          <w:kern w:val="0"/>
          <w:szCs w:val="21"/>
          <w:highlight w:val="none"/>
          <w14:textFill>
            <w14:solidFill>
              <w14:schemeClr w14:val="tx1"/>
            </w14:solidFill>
          </w14:textFill>
        </w:rPr>
        <w:t>发布公告的媒介</w:t>
      </w:r>
    </w:p>
    <w:p w14:paraId="13A7FB07">
      <w:pPr>
        <w:pStyle w:val="101"/>
        <w:wordWrap w:val="0"/>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本招标公告</w:t>
      </w:r>
      <w:r>
        <w:rPr>
          <w:rFonts w:hint="eastAsia" w:ascii="宋体" w:hAnsi="宋体"/>
          <w:color w:val="000000" w:themeColor="text1"/>
          <w:highlight w:val="none"/>
          <w14:textFill>
            <w14:solidFill>
              <w14:schemeClr w14:val="tx1"/>
            </w14:solidFill>
          </w14:textFill>
        </w:rPr>
        <w:t>仅在</w:t>
      </w:r>
      <w:r>
        <w:rPr>
          <w:rFonts w:ascii="宋体" w:hAnsi="宋体"/>
          <w:color w:val="000000" w:themeColor="text1"/>
          <w:highlight w:val="none"/>
          <w14:textFill>
            <w14:solidFill>
              <w14:schemeClr w14:val="tx1"/>
            </w14:solidFill>
          </w14:textFill>
        </w:rPr>
        <w:t>中国电信阳光采购网</w:t>
      </w:r>
      <w:r>
        <w:rPr>
          <w:rFonts w:hint="eastAsia" w:ascii="宋体" w:hAnsi="宋体"/>
          <w:color w:val="000000" w:themeColor="text1"/>
          <w:highlight w:val="none"/>
          <w14:textFill>
            <w14:solidFill>
              <w14:schemeClr w14:val="tx1"/>
            </w14:solidFill>
          </w14:textFill>
        </w:rPr>
        <w:t>（</w:t>
      </w:r>
      <w:r>
        <w:rPr>
          <w:highlight w:val="none"/>
        </w:rPr>
        <w:fldChar w:fldCharType="begin"/>
      </w:r>
      <w:r>
        <w:rPr>
          <w:highlight w:val="none"/>
        </w:rPr>
        <w:instrText xml:space="preserve"> HYPERLINK "https://caigou.chinatelecom.com.cn/ctsc-portal/ctscPortal）、（http://bulletin.cebpubservice.com/" </w:instrText>
      </w:r>
      <w:r>
        <w:rPr>
          <w:highlight w:val="none"/>
        </w:rPr>
        <w:fldChar w:fldCharType="separate"/>
      </w:r>
      <w:r>
        <w:rPr>
          <w:rFonts w:hint="eastAsia" w:asciiTheme="minorEastAsia" w:hAnsiTheme="minorEastAsia" w:eastAsiaTheme="minorEastAsia" w:cstheme="minorEastAsia"/>
          <w:highlight w:val="none"/>
        </w:rPr>
        <w:t>https://caigou.chinatelecom.com.cn）、中国招标投标公共服务平台（</w:t>
      </w:r>
      <w:r>
        <w:rPr>
          <w:rFonts w:asciiTheme="minorEastAsia" w:hAnsiTheme="minorEastAsia" w:eastAsiaTheme="minorEastAsia" w:cstheme="minorEastAsia"/>
          <w:highlight w:val="none"/>
        </w:rPr>
        <w:t>http://bulletin.cebpubservice.com/</w:t>
      </w:r>
      <w:r>
        <w:rPr>
          <w:rFonts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t>）</w:t>
      </w:r>
      <w:r>
        <w:rPr>
          <w:rFonts w:hint="eastAsia" w:ascii="宋体" w:hAnsi="宋体"/>
          <w:color w:val="000000" w:themeColor="text1"/>
          <w:szCs w:val="21"/>
          <w:highlight w:val="none"/>
          <w14:textFill>
            <w14:solidFill>
              <w14:schemeClr w14:val="tx1"/>
            </w14:solidFill>
          </w14:textFill>
        </w:rPr>
        <w:t>上发布，其他媒介转载无效。</w:t>
      </w:r>
    </w:p>
    <w:p w14:paraId="4A0EDC65">
      <w:pPr>
        <w:adjustRightInd w:val="0"/>
        <w:snapToGrid w:val="0"/>
        <w:spacing w:line="44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9</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联系及异议接收方式</w:t>
      </w:r>
    </w:p>
    <w:p w14:paraId="7C03201C">
      <w:pPr>
        <w:pStyle w:val="101"/>
        <w:spacing w:line="400" w:lineRule="exact"/>
        <w:ind w:firstLine="422" w:firstLineChars="0"/>
        <w:rPr>
          <w:rFonts w:asciiTheme="minorEastAsia" w:hAnsiTheme="minorEastAsia" w:eastAsiaTheme="minorEastAsia"/>
        </w:rPr>
      </w:pPr>
      <w:r>
        <w:rPr>
          <w:rFonts w:asciiTheme="minorEastAsia" w:hAnsiTheme="minorEastAsia" w:eastAsiaTheme="minorEastAsia"/>
        </w:rPr>
        <w:t>9.1</w:t>
      </w:r>
      <w:r>
        <w:rPr>
          <w:rFonts w:hint="eastAsia" w:asciiTheme="minorEastAsia" w:hAnsiTheme="minorEastAsia" w:eastAsiaTheme="minorEastAsia"/>
        </w:rPr>
        <w:t>联系方式</w:t>
      </w:r>
    </w:p>
    <w:p w14:paraId="0969E4CA">
      <w:pPr>
        <w:spacing w:line="440" w:lineRule="exact"/>
        <w:ind w:firstLine="420" w:firstLineChars="200"/>
        <w:rPr>
          <w:rFonts w:ascii="宋体" w:hAnsi="宋体"/>
          <w:color w:val="000000"/>
          <w:szCs w:val="21"/>
        </w:rPr>
      </w:pPr>
      <w:r>
        <w:rPr>
          <w:rFonts w:hint="eastAsia" w:ascii="宋体" w:hAnsi="宋体"/>
          <w:color w:val="000000"/>
          <w:szCs w:val="21"/>
        </w:rPr>
        <w:t>招标人：中国电信股份有限公司</w:t>
      </w:r>
      <w:r>
        <w:rPr>
          <w:rFonts w:hint="eastAsia" w:ascii="宋体" w:hAnsi="宋体"/>
          <w:color w:val="000000"/>
          <w:szCs w:val="21"/>
          <w:lang w:eastAsia="zh-CN"/>
        </w:rPr>
        <w:t>遵义</w:t>
      </w:r>
      <w:r>
        <w:rPr>
          <w:rFonts w:hint="eastAsia" w:ascii="宋体" w:hAnsi="宋体"/>
          <w:color w:val="000000"/>
          <w:szCs w:val="21"/>
        </w:rPr>
        <w:t>分公司</w:t>
      </w:r>
    </w:p>
    <w:p w14:paraId="3222BDC6">
      <w:pPr>
        <w:spacing w:line="440" w:lineRule="exact"/>
        <w:ind w:firstLine="420" w:firstLineChars="200"/>
        <w:rPr>
          <w:rFonts w:ascii="宋体" w:hAnsi="宋体"/>
          <w:color w:val="000000"/>
          <w:szCs w:val="21"/>
        </w:rPr>
      </w:pPr>
      <w:r>
        <w:rPr>
          <w:rFonts w:hint="eastAsia" w:ascii="宋体" w:hAnsi="宋体"/>
          <w:color w:val="000000"/>
          <w:szCs w:val="21"/>
        </w:rPr>
        <w:t xml:space="preserve">地 </w:t>
      </w:r>
      <w:r>
        <w:rPr>
          <w:rFonts w:ascii="宋体" w:hAnsi="宋体"/>
          <w:color w:val="000000"/>
          <w:szCs w:val="21"/>
        </w:rPr>
        <w:t xml:space="preserve"> </w:t>
      </w:r>
      <w:r>
        <w:rPr>
          <w:rFonts w:hint="eastAsia" w:ascii="宋体" w:hAnsi="宋体"/>
          <w:color w:val="000000"/>
          <w:szCs w:val="21"/>
        </w:rPr>
        <w:t>址：遵义市红花岗区大兴路249号</w:t>
      </w:r>
    </w:p>
    <w:p w14:paraId="3EB8DB94">
      <w:pPr>
        <w:spacing w:line="440" w:lineRule="exact"/>
        <w:ind w:firstLine="420" w:firstLineChars="200"/>
        <w:rPr>
          <w:rFonts w:ascii="宋体" w:hAnsi="宋体" w:cs="宋体"/>
          <w:kern w:val="0"/>
          <w:szCs w:val="21"/>
        </w:rPr>
      </w:pPr>
      <w:r>
        <w:rPr>
          <w:rFonts w:hint="eastAsia" w:ascii="宋体" w:hAnsi="宋体"/>
          <w:color w:val="000000"/>
          <w:szCs w:val="21"/>
        </w:rPr>
        <w:t>邮  编：563000</w:t>
      </w:r>
    </w:p>
    <w:p w14:paraId="0A433F47">
      <w:pPr>
        <w:spacing w:line="440" w:lineRule="exact"/>
        <w:ind w:firstLine="420" w:firstLineChars="200"/>
        <w:rPr>
          <w:rFonts w:hint="eastAsia" w:ascii="宋体" w:hAnsi="宋体" w:cs="宋体"/>
          <w:kern w:val="0"/>
          <w:szCs w:val="21"/>
          <w:lang w:val="en-US" w:eastAsia="zh-CN"/>
        </w:rPr>
      </w:pPr>
      <w:r>
        <w:rPr>
          <w:rFonts w:hint="eastAsia" w:ascii="宋体" w:hAnsi="宋体" w:cs="宋体"/>
          <w:kern w:val="0"/>
          <w:szCs w:val="21"/>
        </w:rPr>
        <w:t>联系人：</w:t>
      </w:r>
      <w:r>
        <w:rPr>
          <w:rFonts w:hint="eastAsia" w:ascii="宋体" w:hAnsi="宋体" w:cs="宋体"/>
          <w:kern w:val="0"/>
          <w:szCs w:val="21"/>
          <w:lang w:val="en-US" w:eastAsia="zh-CN"/>
        </w:rPr>
        <w:t>张</w:t>
      </w:r>
      <w:r>
        <w:rPr>
          <w:rFonts w:hint="eastAsia" w:ascii="宋体" w:hAnsi="宋体" w:cs="宋体"/>
          <w:kern w:val="0"/>
          <w:szCs w:val="21"/>
        </w:rPr>
        <w:t>老师        电话：</w:t>
      </w:r>
      <w:r>
        <w:rPr>
          <w:rFonts w:hint="eastAsia" w:ascii="宋体" w:hAnsi="宋体" w:cs="宋体"/>
          <w:kern w:val="0"/>
          <w:szCs w:val="21"/>
          <w:lang w:val="en-US" w:eastAsia="zh-CN"/>
        </w:rPr>
        <w:t>18985206669</w:t>
      </w:r>
    </w:p>
    <w:p w14:paraId="2DA9019F">
      <w:pPr>
        <w:spacing w:line="440" w:lineRule="exact"/>
        <w:ind w:firstLine="420" w:firstLineChars="200"/>
        <w:rPr>
          <w:rFonts w:hint="eastAsia" w:ascii="宋体" w:hAnsi="宋体" w:eastAsia="宋体" w:cs="宋体"/>
          <w:kern w:val="0"/>
          <w:szCs w:val="21"/>
          <w:lang w:eastAsia="zh-CN"/>
        </w:rPr>
      </w:pPr>
      <w:r>
        <w:rPr>
          <w:rFonts w:hint="eastAsia" w:ascii="宋体" w:hAnsi="宋体" w:cs="宋体"/>
          <w:kern w:val="0"/>
          <w:szCs w:val="21"/>
        </w:rPr>
        <w:t>招标代理机构：</w:t>
      </w:r>
      <w:r>
        <w:rPr>
          <w:rFonts w:hint="eastAsia" w:ascii="宋体" w:hAnsi="宋体" w:cs="宋体"/>
          <w:kern w:val="0"/>
          <w:szCs w:val="21"/>
          <w:lang w:eastAsia="zh-CN"/>
        </w:rPr>
        <w:t>中通服供应链</w:t>
      </w:r>
      <w:r>
        <w:rPr>
          <w:rFonts w:hint="eastAsia" w:ascii="宋体" w:hAnsi="宋体" w:cs="宋体"/>
          <w:kern w:val="0"/>
          <w:szCs w:val="21"/>
          <w:lang w:val="en-US" w:eastAsia="zh-CN"/>
        </w:rPr>
        <w:t>股份</w:t>
      </w:r>
      <w:r>
        <w:rPr>
          <w:rFonts w:hint="eastAsia" w:ascii="宋体" w:hAnsi="宋体" w:cs="宋体"/>
          <w:kern w:val="0"/>
          <w:szCs w:val="21"/>
          <w:lang w:eastAsia="zh-CN"/>
        </w:rPr>
        <w:t>有限公司贵州分公司</w:t>
      </w:r>
    </w:p>
    <w:p w14:paraId="2F809790">
      <w:pPr>
        <w:spacing w:line="440" w:lineRule="exact"/>
        <w:ind w:firstLine="420" w:firstLineChars="200"/>
        <w:rPr>
          <w:rFonts w:ascii="宋体" w:hAnsi="宋体"/>
          <w:color w:val="000000"/>
          <w:szCs w:val="21"/>
        </w:rPr>
      </w:pPr>
      <w:r>
        <w:rPr>
          <w:rFonts w:hint="eastAsia" w:ascii="宋体" w:hAnsi="宋体"/>
          <w:color w:val="000000"/>
          <w:szCs w:val="21"/>
        </w:rPr>
        <w:t>地址：贵州省贵阳市金阳北路27号麒龙贵州塔16楼</w:t>
      </w:r>
    </w:p>
    <w:p w14:paraId="7155AFBF">
      <w:pPr>
        <w:spacing w:line="440" w:lineRule="exact"/>
        <w:ind w:firstLine="420" w:firstLineChars="200"/>
        <w:rPr>
          <w:rFonts w:ascii="宋体" w:hAnsi="宋体"/>
          <w:color w:val="000000"/>
          <w:szCs w:val="21"/>
        </w:rPr>
      </w:pPr>
      <w:r>
        <w:rPr>
          <w:rFonts w:hint="eastAsia" w:ascii="宋体" w:hAnsi="宋体"/>
          <w:color w:val="000000"/>
          <w:szCs w:val="21"/>
        </w:rPr>
        <w:t>邮编：550001</w:t>
      </w:r>
    </w:p>
    <w:p w14:paraId="1ACB5D23">
      <w:pPr>
        <w:spacing w:line="440" w:lineRule="exact"/>
        <w:ind w:firstLine="420" w:firstLineChars="200"/>
        <w:rPr>
          <w:rFonts w:hint="eastAsia" w:ascii="宋体" w:hAnsi="宋体"/>
          <w:color w:val="000000"/>
          <w:szCs w:val="21"/>
          <w:lang w:val="en-US" w:eastAsia="zh-CN"/>
        </w:rPr>
      </w:pPr>
      <w:r>
        <w:rPr>
          <w:rFonts w:hint="eastAsia" w:ascii="宋体" w:hAnsi="宋体"/>
          <w:color w:val="000000"/>
          <w:szCs w:val="21"/>
        </w:rPr>
        <w:t>项目总负责人：</w:t>
      </w:r>
      <w:r>
        <w:rPr>
          <w:rFonts w:hint="eastAsia" w:ascii="宋体" w:hAnsi="宋体"/>
          <w:color w:val="000000"/>
          <w:szCs w:val="21"/>
          <w:lang w:val="en-US" w:eastAsia="zh-CN"/>
        </w:rPr>
        <w:t>杨孟雨</w:t>
      </w:r>
    </w:p>
    <w:p w14:paraId="7540B819">
      <w:pPr>
        <w:spacing w:line="440" w:lineRule="exact"/>
        <w:ind w:firstLine="420" w:firstLineChars="200"/>
        <w:rPr>
          <w:rFonts w:hint="eastAsia" w:ascii="宋体" w:hAnsi="宋体"/>
          <w:color w:val="000000"/>
          <w:szCs w:val="21"/>
          <w:lang w:val="en-US" w:eastAsia="zh-CN"/>
        </w:rPr>
      </w:pPr>
      <w:r>
        <w:rPr>
          <w:rFonts w:hint="eastAsia" w:ascii="宋体" w:hAnsi="宋体"/>
          <w:color w:val="000000"/>
          <w:szCs w:val="21"/>
        </w:rPr>
        <w:t>项目负责人：</w:t>
      </w:r>
      <w:r>
        <w:rPr>
          <w:rFonts w:hint="eastAsia" w:ascii="宋体" w:hAnsi="宋体"/>
          <w:color w:val="000000"/>
          <w:szCs w:val="21"/>
          <w:lang w:val="en-US" w:eastAsia="zh-CN"/>
        </w:rPr>
        <w:t>张鹏</w:t>
      </w:r>
    </w:p>
    <w:p w14:paraId="43AD0131">
      <w:pPr>
        <w:spacing w:line="440" w:lineRule="exact"/>
        <w:ind w:firstLine="420" w:firstLineChars="200"/>
        <w:rPr>
          <w:rFonts w:hint="eastAsia" w:ascii="宋体" w:hAnsi="宋体"/>
          <w:lang w:val="en-US" w:eastAsia="zh-CN"/>
        </w:rPr>
      </w:pPr>
      <w:r>
        <w:rPr>
          <w:rFonts w:hint="eastAsia" w:ascii="宋体" w:hAnsi="宋体"/>
          <w:color w:val="000000"/>
          <w:szCs w:val="21"/>
          <w:lang w:val="en-US" w:eastAsia="zh-CN"/>
        </w:rPr>
        <w:t>项目</w:t>
      </w:r>
      <w:r>
        <w:rPr>
          <w:rFonts w:hint="eastAsia" w:ascii="宋体" w:hAnsi="宋体"/>
          <w:color w:val="000000"/>
          <w:szCs w:val="21"/>
        </w:rPr>
        <w:t>联系</w:t>
      </w:r>
      <w:r>
        <w:rPr>
          <w:rFonts w:hint="eastAsia" w:ascii="宋体" w:hAnsi="宋体"/>
          <w:color w:val="000000"/>
          <w:szCs w:val="21"/>
          <w:lang w:val="en-US" w:eastAsia="zh-CN"/>
        </w:rPr>
        <w:t>人</w:t>
      </w:r>
      <w:r>
        <w:rPr>
          <w:rFonts w:hint="eastAsia" w:ascii="宋体" w:hAnsi="宋体"/>
          <w:color w:val="000000"/>
          <w:szCs w:val="21"/>
        </w:rPr>
        <w:t>：</w:t>
      </w:r>
      <w:r>
        <w:rPr>
          <w:rFonts w:hint="eastAsia" w:ascii="宋体" w:hAnsi="宋体"/>
          <w:szCs w:val="20"/>
          <w:lang w:val="en-US" w:eastAsia="zh-CN"/>
        </w:rPr>
        <w:t>杨学琴</w:t>
      </w:r>
      <w:r>
        <w:rPr>
          <w:rFonts w:ascii="宋体" w:hAnsi="宋体"/>
          <w:szCs w:val="20"/>
        </w:rPr>
        <w:t xml:space="preserve">  </w:t>
      </w:r>
      <w:r>
        <w:rPr>
          <w:rFonts w:hint="eastAsia" w:ascii="宋体" w:hAnsi="宋体"/>
          <w:lang w:val="en-US" w:eastAsia="zh-CN"/>
        </w:rPr>
        <w:t xml:space="preserve">18984903330 </w:t>
      </w:r>
    </w:p>
    <w:p w14:paraId="645ED86A">
      <w:pPr>
        <w:spacing w:line="440" w:lineRule="exact"/>
        <w:ind w:firstLine="420" w:firstLineChars="200"/>
        <w:rPr>
          <w:rFonts w:ascii="宋体" w:hAnsi="宋体"/>
          <w:color w:val="000000"/>
          <w:szCs w:val="21"/>
        </w:rPr>
      </w:pPr>
      <w:r>
        <w:rPr>
          <w:rFonts w:hint="eastAsia" w:ascii="宋体" w:hAnsi="宋体"/>
          <w:lang w:val="en-US" w:eastAsia="zh-CN"/>
        </w:rPr>
        <w:t xml:space="preserve"> </w:t>
      </w:r>
      <w:r>
        <w:rPr>
          <w:rFonts w:hint="eastAsia" w:ascii="宋体" w:hAnsi="宋体"/>
          <w:color w:val="000000"/>
          <w:szCs w:val="21"/>
        </w:rPr>
        <w:t>联系邮箱：</w:t>
      </w:r>
      <w:r>
        <w:rPr>
          <w:rFonts w:hint="eastAsia" w:ascii="宋体" w:hAnsi="宋体"/>
          <w:szCs w:val="20"/>
          <w:lang w:val="en-US" w:eastAsia="zh-CN"/>
        </w:rPr>
        <w:t>2116573176</w:t>
      </w:r>
      <w:r>
        <w:rPr>
          <w:rFonts w:hint="eastAsia" w:ascii="宋体" w:hAnsi="宋体"/>
          <w:szCs w:val="20"/>
        </w:rPr>
        <w:t>@qq.com</w:t>
      </w:r>
      <w:r>
        <w:rPr>
          <w:rFonts w:hint="eastAsia" w:ascii="宋体" w:hAnsi="宋体"/>
          <w:color w:val="000000"/>
          <w:szCs w:val="21"/>
        </w:rPr>
        <w:t xml:space="preserve"> </w:t>
      </w:r>
    </w:p>
    <w:p w14:paraId="024C027F">
      <w:pPr>
        <w:spacing w:line="440" w:lineRule="exact"/>
        <w:ind w:firstLine="420" w:firstLineChars="200"/>
        <w:rPr>
          <w:rFonts w:hint="eastAsia" w:ascii="宋体" w:hAnsi="宋体" w:eastAsia="宋体"/>
          <w:color w:val="000000"/>
          <w:szCs w:val="21"/>
          <w:lang w:eastAsia="zh-CN"/>
        </w:rPr>
      </w:pPr>
      <w:r>
        <w:rPr>
          <w:rFonts w:hint="eastAsia" w:ascii="宋体" w:hAnsi="宋体" w:eastAsia="宋体"/>
          <w:color w:val="000000"/>
          <w:szCs w:val="21"/>
          <w:lang w:eastAsia="zh-CN"/>
        </w:rPr>
        <w:t xml:space="preserve">开户银行：中信银行股份有限公司贵阳林城西路支行  </w:t>
      </w:r>
    </w:p>
    <w:p w14:paraId="6B058A5C">
      <w:pPr>
        <w:spacing w:line="440" w:lineRule="exact"/>
        <w:ind w:firstLine="420" w:firstLineChars="200"/>
        <w:rPr>
          <w:rFonts w:hint="eastAsia" w:ascii="宋体" w:hAnsi="宋体" w:eastAsia="宋体"/>
          <w:color w:val="000000"/>
          <w:szCs w:val="21"/>
          <w:lang w:eastAsia="zh-CN"/>
        </w:rPr>
      </w:pPr>
      <w:r>
        <w:rPr>
          <w:rFonts w:hint="eastAsia" w:ascii="宋体" w:hAnsi="宋体" w:eastAsia="宋体"/>
          <w:color w:val="000000"/>
          <w:szCs w:val="21"/>
          <w:lang w:eastAsia="zh-CN"/>
        </w:rPr>
        <w:t>账    号：8113201012700144272</w:t>
      </w:r>
    </w:p>
    <w:p w14:paraId="4255FAA2">
      <w:pPr>
        <w:spacing w:line="440" w:lineRule="exact"/>
        <w:ind w:firstLine="420" w:firstLineChars="200"/>
        <w:rPr>
          <w:rFonts w:hint="eastAsia" w:ascii="宋体" w:hAnsi="宋体" w:eastAsia="宋体"/>
          <w:color w:val="000000"/>
          <w:szCs w:val="21"/>
          <w:lang w:eastAsia="zh-CN"/>
        </w:rPr>
      </w:pPr>
      <w:r>
        <w:rPr>
          <w:rFonts w:hint="eastAsia" w:ascii="宋体" w:hAnsi="宋体" w:eastAsia="宋体"/>
          <w:color w:val="000000"/>
          <w:szCs w:val="21"/>
          <w:lang w:eastAsia="zh-CN"/>
        </w:rPr>
        <w:t>开户名称：中通服供应链股份有限公司贵州分公司</w:t>
      </w:r>
    </w:p>
    <w:p w14:paraId="7D708A76">
      <w:pPr>
        <w:pStyle w:val="101"/>
        <w:spacing w:line="400" w:lineRule="exact"/>
        <w:ind w:firstLine="424" w:firstLineChars="202"/>
        <w:rPr>
          <w:rFonts w:asciiTheme="minorEastAsia" w:hAnsiTheme="minorEastAsia" w:eastAsiaTheme="minorEastAsia"/>
        </w:rPr>
      </w:pPr>
      <w:r>
        <w:rPr>
          <w:rFonts w:hint="eastAsia" w:asciiTheme="minorEastAsia" w:hAnsiTheme="minorEastAsia" w:eastAsiaTheme="minorEastAsia"/>
        </w:rPr>
        <w:t>9.2异议接收方式</w:t>
      </w:r>
    </w:p>
    <w:p w14:paraId="3FFAC7D2">
      <w:pPr>
        <w:pStyle w:val="101"/>
        <w:spacing w:line="400" w:lineRule="exact"/>
        <w:ind w:left="425" w:firstLine="0" w:firstLineChars="0"/>
        <w:rPr>
          <w:rFonts w:ascii="宋体" w:hAnsi="宋体"/>
          <w:color w:val="000000" w:themeColor="text1"/>
          <w:highlight w:val="none"/>
          <w14:textFill>
            <w14:solidFill>
              <w14:schemeClr w14:val="tx1"/>
            </w14:solidFill>
          </w14:textFill>
        </w:rPr>
      </w:pPr>
      <w:r>
        <w:rPr>
          <w:rFonts w:hint="eastAsia" w:asciiTheme="minorEastAsia" w:hAnsiTheme="minorEastAsia" w:eastAsiaTheme="minorEastAsia"/>
        </w:rPr>
        <w:t>【登录</w:t>
      </w:r>
      <w:r>
        <w:t>中国电信阳光采购网</w:t>
      </w:r>
      <w:r>
        <w:rPr>
          <w:rFonts w:hint="eastAsia"/>
        </w:rPr>
        <w:t>（</w:t>
      </w:r>
      <w:r>
        <w:rPr>
          <w:rFonts w:asciiTheme="minorEastAsia" w:hAnsiTheme="minorEastAsia" w:eastAsiaTheme="minorEastAsia"/>
        </w:rPr>
        <w:t>https://caigou.chinatelecom.com.cn/ctsc-portal/ctscPortal</w:t>
      </w:r>
      <w:r>
        <w:rPr>
          <w:rFonts w:hint="eastAsia"/>
        </w:rPr>
        <w:t>）</w:t>
      </w:r>
      <w:r>
        <w:rPr>
          <w:rFonts w:hint="eastAsia" w:asciiTheme="minorEastAsia" w:hAnsiTheme="minorEastAsia" w:eastAsiaTheme="minorEastAsia"/>
        </w:rPr>
        <w:t>后，通过“招投标-采购异议-提出异议”模块提出。】</w:t>
      </w:r>
    </w:p>
    <w:p w14:paraId="3C2B9329">
      <w:pPr>
        <w:spacing w:line="360" w:lineRule="auto"/>
        <w:ind w:right="69"/>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招标代理机构：</w:t>
      </w:r>
      <w:r>
        <w:rPr>
          <w:rFonts w:hint="eastAsia" w:ascii="宋体" w:hAnsi="宋体"/>
          <w:color w:val="000000" w:themeColor="text1"/>
          <w:szCs w:val="21"/>
          <w:highlight w:val="none"/>
          <w:u w:val="single"/>
          <w14:textFill>
            <w14:solidFill>
              <w14:schemeClr w14:val="tx1"/>
            </w14:solidFill>
          </w14:textFill>
        </w:rPr>
        <w:t xml:space="preserve">中通服供应链股份有限公司贵州分公司 </w:t>
      </w:r>
    </w:p>
    <w:p w14:paraId="3E2BD1F2">
      <w:pPr>
        <w:pStyle w:val="101"/>
        <w:wordWrap w:val="0"/>
        <w:adjustRightInd w:val="0"/>
        <w:snapToGrid w:val="0"/>
        <w:spacing w:line="440" w:lineRule="exact"/>
        <w:ind w:left="424" w:leftChars="202" w:firstLine="0" w:firstLineChars="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02</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lang w:val="en-US" w:eastAsia="zh-CN"/>
          <w14:textFill>
            <w14:solidFill>
              <w14:schemeClr w14:val="tx1"/>
            </w14:solidFill>
          </w14:textFill>
        </w:rPr>
        <w:t>29</w:t>
      </w:r>
      <w:r>
        <w:rPr>
          <w:rFonts w:hint="eastAsia" w:ascii="宋体" w:hAnsi="宋体"/>
          <w:color w:val="000000" w:themeColor="text1"/>
          <w:szCs w:val="21"/>
          <w:highlight w:val="none"/>
          <w14:textFill>
            <w14:solidFill>
              <w14:schemeClr w14:val="tx1"/>
            </w14:solidFill>
          </w14:textFill>
        </w:rPr>
        <w:t>日</w:t>
      </w:r>
    </w:p>
    <w:p w14:paraId="7A77D8C8">
      <w:pPr>
        <w:widowControl/>
        <w:jc w:val="right"/>
        <w:rPr>
          <w:rFonts w:asciiTheme="minorEastAsia" w:hAnsiTheme="minorEastAsia" w:eastAsiaTheme="minorEastAsia"/>
          <w:szCs w:val="21"/>
          <w:highlight w:val="none"/>
        </w:rPr>
        <w:sectPr>
          <w:footerReference r:id="rId7" w:type="default"/>
          <w:pgSz w:w="11906" w:h="16838"/>
          <w:pgMar w:top="1440" w:right="1800" w:bottom="1440" w:left="1800" w:header="851" w:footer="992" w:gutter="0"/>
          <w:pgNumType w:fmt="decimal"/>
          <w:cols w:space="425" w:num="1"/>
          <w:docGrid w:type="lines" w:linePitch="312" w:charSpace="0"/>
        </w:sectPr>
      </w:pPr>
    </w:p>
    <w:bookmarkEnd w:id="16"/>
    <w:p w14:paraId="366000C1">
      <w:pPr>
        <w:pStyle w:val="100"/>
        <w:spacing w:before="240" w:after="120"/>
        <w:rPr>
          <w:rFonts w:cs="宋体" w:asciiTheme="minorEastAsia" w:hAnsiTheme="minorEastAsia" w:eastAsiaTheme="minorEastAsia"/>
          <w:b/>
          <w:sz w:val="28"/>
          <w:szCs w:val="28"/>
          <w:highlight w:val="none"/>
        </w:rPr>
      </w:pPr>
      <w:bookmarkStart w:id="24" w:name="_Toc447188665"/>
      <w:bookmarkStart w:id="25" w:name="_Toc28015"/>
      <w:bookmarkStart w:id="26" w:name="_Toc28391"/>
      <w:bookmarkStart w:id="27" w:name="_Toc447265214"/>
      <w:bookmarkStart w:id="28" w:name="_Toc21874"/>
      <w:bookmarkStart w:id="29" w:name="_Toc447265500"/>
      <w:bookmarkStart w:id="30" w:name="_Toc23621"/>
      <w:bookmarkStart w:id="31" w:name="_Toc24623"/>
      <w:bookmarkStart w:id="32" w:name="_Toc5800"/>
      <w:bookmarkStart w:id="33" w:name="_Toc96"/>
      <w:bookmarkStart w:id="34" w:name="_Toc26022"/>
      <w:bookmarkStart w:id="35" w:name="_Toc38007949"/>
      <w:bookmarkStart w:id="36" w:name="_Toc2709"/>
      <w:bookmarkStart w:id="37" w:name="_Toc31555"/>
      <w:bookmarkStart w:id="38" w:name="_Toc9969"/>
      <w:r>
        <w:rPr>
          <w:rFonts w:hint="eastAsia" w:cs="宋体" w:asciiTheme="minorEastAsia" w:hAnsiTheme="minorEastAsia" w:eastAsiaTheme="minorEastAsia"/>
          <w:b/>
          <w:bCs w:val="0"/>
          <w:kern w:val="0"/>
          <w:sz w:val="28"/>
          <w:szCs w:val="28"/>
          <w:highlight w:val="none"/>
        </w:rPr>
        <w:t>第二章 投标人须知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327889E6">
      <w:pPr>
        <w:pStyle w:val="4"/>
        <w:snapToGrid w:val="0"/>
        <w:spacing w:before="240" w:after="120" w:line="240" w:lineRule="auto"/>
        <w:jc w:val="center"/>
        <w:rPr>
          <w:rFonts w:cs="宋体" w:asciiTheme="minorEastAsia" w:hAnsiTheme="minorEastAsia" w:eastAsiaTheme="minorEastAsia"/>
          <w:sz w:val="24"/>
          <w:szCs w:val="24"/>
          <w:highlight w:val="none"/>
        </w:rPr>
      </w:pPr>
      <w:bookmarkStart w:id="39" w:name="_Toc28826"/>
      <w:bookmarkStart w:id="40" w:name="_Toc10083"/>
      <w:bookmarkStart w:id="41" w:name="_Toc12735"/>
      <w:bookmarkStart w:id="42" w:name="_Toc26737"/>
      <w:bookmarkStart w:id="43" w:name="_Toc226969277"/>
      <w:bookmarkStart w:id="44" w:name="_Toc19927"/>
      <w:bookmarkStart w:id="45" w:name="_Toc273"/>
      <w:bookmarkStart w:id="46" w:name="_Toc227057884"/>
      <w:bookmarkStart w:id="47" w:name="_Toc447265501"/>
      <w:bookmarkStart w:id="48" w:name="_Toc5095"/>
      <w:bookmarkStart w:id="49" w:name="_Toc123"/>
      <w:bookmarkStart w:id="50" w:name="_Toc447265215"/>
      <w:bookmarkStart w:id="51" w:name="_Toc16096"/>
      <w:bookmarkStart w:id="52" w:name="_Toc38007950"/>
      <w:bookmarkStart w:id="53" w:name="_Toc22379"/>
      <w:bookmarkStart w:id="54" w:name="_Toc447188666"/>
      <w:bookmarkStart w:id="55" w:name="_Toc15344"/>
      <w:r>
        <w:rPr>
          <w:rFonts w:hint="eastAsia" w:cs="宋体" w:asciiTheme="minorEastAsia" w:hAnsiTheme="minorEastAsia" w:eastAsiaTheme="minorEastAsia"/>
          <w:b w:val="0"/>
          <w:bCs w:val="0"/>
          <w:sz w:val="24"/>
          <w:szCs w:val="24"/>
          <w:highlight w:val="none"/>
        </w:rPr>
        <w:t>投标人须知前附表</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188E81A0">
      <w:pPr>
        <w:autoSpaceDE w:val="0"/>
        <w:autoSpaceDN w:val="0"/>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本投标人须知前附表是对投标人须知正文的具体补充和修改，如有矛盾，以本前附表为准。</w:t>
      </w:r>
    </w:p>
    <w:tbl>
      <w:tblPr>
        <w:tblStyle w:val="85"/>
        <w:tblW w:w="8301" w:type="dxa"/>
        <w:tblInd w:w="2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840"/>
        <w:gridCol w:w="2082"/>
        <w:gridCol w:w="5379"/>
      </w:tblGrid>
      <w:tr w14:paraId="242F42F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27" w:hRule="atLeast"/>
          <w:tblHeader/>
        </w:trPr>
        <w:tc>
          <w:tcPr>
            <w:tcW w:w="840" w:type="dxa"/>
            <w:vAlign w:val="center"/>
          </w:tcPr>
          <w:p w14:paraId="4E3A7FC3">
            <w:pPr>
              <w:autoSpaceDE w:val="0"/>
              <w:autoSpaceDN w:val="0"/>
              <w:jc w:val="center"/>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条款号</w:t>
            </w:r>
          </w:p>
        </w:tc>
        <w:tc>
          <w:tcPr>
            <w:tcW w:w="2082" w:type="dxa"/>
            <w:vAlign w:val="center"/>
          </w:tcPr>
          <w:p w14:paraId="25415E0E">
            <w:pPr>
              <w:autoSpaceDE w:val="0"/>
              <w:autoSpaceDN w:val="0"/>
              <w:jc w:val="center"/>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条款名称</w:t>
            </w:r>
          </w:p>
        </w:tc>
        <w:tc>
          <w:tcPr>
            <w:tcW w:w="5379" w:type="dxa"/>
            <w:vAlign w:val="center"/>
          </w:tcPr>
          <w:p w14:paraId="7483CCE3">
            <w:pPr>
              <w:autoSpaceDE w:val="0"/>
              <w:autoSpaceDN w:val="0"/>
              <w:jc w:val="center"/>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编列内容</w:t>
            </w:r>
          </w:p>
        </w:tc>
      </w:tr>
      <w:tr w14:paraId="1E895A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C674C73">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w:t>
            </w:r>
            <w:r>
              <w:rPr>
                <w:rFonts w:cs="宋体" w:asciiTheme="minorEastAsia" w:hAnsiTheme="minorEastAsia" w:eastAsiaTheme="minorEastAsia"/>
                <w:szCs w:val="21"/>
                <w:highlight w:val="none"/>
              </w:rPr>
              <w:t>.1.</w:t>
            </w:r>
            <w:r>
              <w:rPr>
                <w:rFonts w:hint="eastAsia" w:cs="宋体" w:asciiTheme="minorEastAsia" w:hAnsiTheme="minorEastAsia" w:eastAsiaTheme="minorEastAsia"/>
                <w:szCs w:val="21"/>
                <w:highlight w:val="none"/>
              </w:rPr>
              <w:t>2</w:t>
            </w:r>
          </w:p>
        </w:tc>
        <w:tc>
          <w:tcPr>
            <w:tcW w:w="2082" w:type="dxa"/>
            <w:vAlign w:val="center"/>
          </w:tcPr>
          <w:p w14:paraId="2B45F1CB">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招标人</w:t>
            </w:r>
          </w:p>
        </w:tc>
        <w:tc>
          <w:tcPr>
            <w:tcW w:w="5379" w:type="dxa"/>
            <w:vAlign w:val="center"/>
          </w:tcPr>
          <w:p w14:paraId="00A944CF">
            <w:pPr>
              <w:autoSpaceDE w:val="0"/>
              <w:autoSpaceDN w:val="0"/>
              <w:rPr>
                <w:rFonts w:ascii="宋体" w:hAnsi="宋体"/>
                <w:color w:val="000000" w:themeColor="text1"/>
                <w:szCs w:val="21"/>
                <w:highlight w:val="none"/>
                <w14:textFill>
                  <w14:solidFill>
                    <w14:schemeClr w14:val="tx1"/>
                  </w14:solidFill>
                </w14:textFill>
              </w:rPr>
            </w:pPr>
            <w:r>
              <w:rPr>
                <w:rFonts w:hint="eastAsia" w:cs="宋体" w:asciiTheme="minorEastAsia" w:hAnsiTheme="minorEastAsia" w:eastAsiaTheme="minorEastAsia"/>
                <w:szCs w:val="21"/>
                <w:highlight w:val="none"/>
              </w:rPr>
              <w:t>招标人名称：</w:t>
            </w:r>
            <w:r>
              <w:rPr>
                <w:rFonts w:hint="eastAsia" w:ascii="宋体" w:hAnsi="宋体" w:eastAsiaTheme="minorEastAsia"/>
                <w:color w:val="000000" w:themeColor="text1"/>
                <w:szCs w:val="21"/>
                <w:highlight w:val="none"/>
                <w:lang w:eastAsia="zh-CN"/>
                <w14:textFill>
                  <w14:solidFill>
                    <w14:schemeClr w14:val="tx1"/>
                  </w14:solidFill>
                </w14:textFill>
              </w:rPr>
              <w:t>中国电信股份有限公司遵义分公司</w:t>
            </w:r>
            <w:r>
              <w:rPr>
                <w:rFonts w:cs="宋体" w:asciiTheme="minorEastAsia" w:hAnsiTheme="minorEastAsia" w:eastAsiaTheme="minorEastAsia"/>
                <w:szCs w:val="21"/>
                <w:highlight w:val="none"/>
              </w:rPr>
              <w:t xml:space="preserve"> </w:t>
            </w:r>
          </w:p>
          <w:p w14:paraId="5945D1F4">
            <w:pPr>
              <w:autoSpaceDE w:val="0"/>
              <w:autoSpaceDN w:val="0"/>
              <w:rPr>
                <w:rFonts w:hint="eastAsia" w:cs="宋体" w:asciiTheme="minorEastAsia" w:hAnsiTheme="minorEastAsia" w:eastAsiaTheme="minorEastAsia"/>
                <w:szCs w:val="21"/>
                <w:highlight w:val="none"/>
                <w:lang w:eastAsia="zh-CN"/>
              </w:rPr>
            </w:pPr>
            <w:r>
              <w:rPr>
                <w:rFonts w:hint="eastAsia" w:cs="宋体" w:asciiTheme="minorEastAsia" w:hAnsiTheme="minorEastAsia" w:eastAsiaTheme="minorEastAsia"/>
                <w:szCs w:val="21"/>
                <w:highlight w:val="none"/>
              </w:rPr>
              <w:t>招标人地址：</w:t>
            </w:r>
            <w:r>
              <w:rPr>
                <w:rFonts w:hint="eastAsia" w:ascii="宋体" w:hAnsi="宋体" w:eastAsiaTheme="minorEastAsia"/>
                <w:color w:val="000000" w:themeColor="text1"/>
                <w:szCs w:val="21"/>
                <w:highlight w:val="none"/>
                <w:lang w:eastAsia="zh-CN"/>
                <w14:textFill>
                  <w14:solidFill>
                    <w14:schemeClr w14:val="tx1"/>
                  </w14:solidFill>
                </w14:textFill>
              </w:rPr>
              <w:t>遵义市红花岗区大兴路249号</w:t>
            </w:r>
          </w:p>
          <w:p w14:paraId="63AE833F">
            <w:pPr>
              <w:rPr>
                <w:rFonts w:hint="default" w:asciiTheme="minorEastAsia" w:hAnsiTheme="minorEastAsia" w:eastAsiaTheme="minorEastAsia"/>
                <w:szCs w:val="21"/>
                <w:highlight w:val="none"/>
                <w:u w:val="single"/>
                <w:lang w:val="en-US"/>
              </w:rPr>
            </w:pPr>
            <w:r>
              <w:rPr>
                <w:rFonts w:hint="eastAsia" w:cs="宋体" w:asciiTheme="minorEastAsia" w:hAnsiTheme="minorEastAsia" w:eastAsiaTheme="minorEastAsia"/>
                <w:szCs w:val="21"/>
                <w:highlight w:val="none"/>
              </w:rPr>
              <w:t>招标人联系方式：</w:t>
            </w:r>
            <w:r>
              <w:rPr>
                <w:rFonts w:hint="eastAsia" w:cs="宋体" w:asciiTheme="minorEastAsia" w:hAnsiTheme="minorEastAsia" w:eastAsiaTheme="minorEastAsia"/>
                <w:szCs w:val="21"/>
                <w:highlight w:val="none"/>
                <w:lang w:val="en-US" w:eastAsia="zh-CN"/>
              </w:rPr>
              <w:t>张</w:t>
            </w:r>
            <w:r>
              <w:rPr>
                <w:rFonts w:hint="eastAsia" w:asciiTheme="minorEastAsia" w:hAnsiTheme="minorEastAsia" w:eastAsiaTheme="minorEastAsia"/>
                <w:szCs w:val="21"/>
                <w:highlight w:val="none"/>
                <w:lang w:val="en-US" w:eastAsia="zh-CN"/>
              </w:rPr>
              <w:t>老师</w:t>
            </w:r>
            <w:r>
              <w:rPr>
                <w:rFonts w:hint="eastAsia" w:asciiTheme="minorEastAsia" w:hAnsiTheme="minorEastAsia" w:eastAsiaTheme="minorEastAsia"/>
                <w:szCs w:val="21"/>
                <w:highlight w:val="none"/>
              </w:rPr>
              <w:t xml:space="preserve">   电话：</w:t>
            </w:r>
            <w:r>
              <w:rPr>
                <w:rFonts w:hint="eastAsia" w:asciiTheme="minorEastAsia" w:hAnsiTheme="minorEastAsia" w:eastAsiaTheme="minorEastAsia"/>
                <w:szCs w:val="21"/>
                <w:highlight w:val="none"/>
                <w:lang w:val="en-US" w:eastAsia="zh-CN"/>
              </w:rPr>
              <w:t>18985206669</w:t>
            </w:r>
          </w:p>
        </w:tc>
      </w:tr>
      <w:tr w14:paraId="3F88DD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51" w:hRule="atLeast"/>
        </w:trPr>
        <w:tc>
          <w:tcPr>
            <w:tcW w:w="840" w:type="dxa"/>
            <w:vAlign w:val="center"/>
          </w:tcPr>
          <w:p w14:paraId="54F18D86">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w:t>
            </w:r>
            <w:r>
              <w:rPr>
                <w:rFonts w:cs="宋体" w:asciiTheme="minorEastAsia" w:hAnsiTheme="minorEastAsia" w:eastAsiaTheme="minorEastAsia"/>
                <w:szCs w:val="21"/>
                <w:highlight w:val="none"/>
              </w:rPr>
              <w:t>.1.</w:t>
            </w:r>
            <w:r>
              <w:rPr>
                <w:rFonts w:hint="eastAsia" w:cs="宋体" w:asciiTheme="minorEastAsia" w:hAnsiTheme="minorEastAsia" w:eastAsiaTheme="minorEastAsia"/>
                <w:szCs w:val="21"/>
                <w:highlight w:val="none"/>
              </w:rPr>
              <w:t>3</w:t>
            </w:r>
          </w:p>
        </w:tc>
        <w:tc>
          <w:tcPr>
            <w:tcW w:w="2082" w:type="dxa"/>
            <w:vAlign w:val="center"/>
          </w:tcPr>
          <w:p w14:paraId="65059AB5">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lang w:val="en-US" w:eastAsia="zh-CN"/>
              </w:rPr>
              <w:t>集中</w:t>
            </w:r>
            <w:r>
              <w:rPr>
                <w:rFonts w:hint="eastAsia" w:cs="宋体" w:asciiTheme="minorEastAsia" w:hAnsiTheme="minorEastAsia" w:eastAsiaTheme="minorEastAsia"/>
                <w:szCs w:val="21"/>
                <w:highlight w:val="none"/>
              </w:rPr>
              <w:t>招标项目名称</w:t>
            </w:r>
          </w:p>
        </w:tc>
        <w:tc>
          <w:tcPr>
            <w:tcW w:w="5379" w:type="dxa"/>
            <w:vAlign w:val="center"/>
          </w:tcPr>
          <w:p w14:paraId="0F717BCF">
            <w:pPr>
              <w:autoSpaceDE w:val="0"/>
              <w:autoSpaceDN w:val="0"/>
              <w:rPr>
                <w:rFonts w:hint="default"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rPr>
              <w:t>项目名称：</w:t>
            </w:r>
            <w:r>
              <w:rPr>
                <w:rFonts w:hint="eastAsia" w:cs="宋体" w:asciiTheme="minorEastAsia" w:hAnsiTheme="minorEastAsia" w:eastAsiaTheme="minorEastAsia"/>
                <w:szCs w:val="21"/>
                <w:highlight w:val="none"/>
                <w:lang w:eastAsia="zh-CN"/>
              </w:rPr>
              <w:t>2025年中国电信遵义分公司数据库框架物资采购（</w:t>
            </w:r>
            <w:r>
              <w:rPr>
                <w:rFonts w:hint="eastAsia" w:cs="宋体" w:asciiTheme="minorEastAsia" w:hAnsiTheme="minorEastAsia" w:eastAsiaTheme="minorEastAsia"/>
                <w:szCs w:val="21"/>
                <w:highlight w:val="none"/>
                <w:lang w:val="en-US" w:eastAsia="zh-CN"/>
              </w:rPr>
              <w:t>标包2）</w:t>
            </w:r>
          </w:p>
          <w:p w14:paraId="1FDE7AC1">
            <w:pPr>
              <w:autoSpaceDE w:val="0"/>
              <w:autoSpaceDN w:val="0"/>
              <w:rPr>
                <w:rFonts w:hint="default"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rPr>
              <w:t>招标编号：</w:t>
            </w:r>
            <w:r>
              <w:rPr>
                <w:rFonts w:hint="eastAsia" w:asciiTheme="minorEastAsia" w:hAnsiTheme="minorEastAsia" w:eastAsiaTheme="minorEastAsia"/>
                <w:szCs w:val="21"/>
                <w:highlight w:val="none"/>
                <w:lang w:eastAsia="zh-CN"/>
              </w:rPr>
              <w:t>GZBBFA202510200004</w:t>
            </w:r>
          </w:p>
        </w:tc>
      </w:tr>
      <w:tr w14:paraId="2214B43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5E7A624A">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w:t>
            </w:r>
            <w:r>
              <w:rPr>
                <w:rFonts w:cs="宋体" w:asciiTheme="minorEastAsia" w:hAnsiTheme="minorEastAsia" w:eastAsiaTheme="minorEastAsia"/>
                <w:szCs w:val="21"/>
                <w:highlight w:val="none"/>
              </w:rPr>
              <w:t>.</w:t>
            </w:r>
            <w:r>
              <w:rPr>
                <w:rFonts w:hint="eastAsia" w:cs="宋体" w:asciiTheme="minorEastAsia" w:hAnsiTheme="minorEastAsia" w:eastAsiaTheme="minorEastAsia"/>
                <w:szCs w:val="21"/>
                <w:highlight w:val="none"/>
              </w:rPr>
              <w:t>2</w:t>
            </w:r>
          </w:p>
        </w:tc>
        <w:tc>
          <w:tcPr>
            <w:tcW w:w="2082" w:type="dxa"/>
            <w:vAlign w:val="center"/>
          </w:tcPr>
          <w:p w14:paraId="698B056E">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资金来源</w:t>
            </w:r>
          </w:p>
        </w:tc>
        <w:tc>
          <w:tcPr>
            <w:tcW w:w="5379" w:type="dxa"/>
            <w:vAlign w:val="center"/>
          </w:tcPr>
          <w:p w14:paraId="3C90E6C6">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sym w:font="Wingdings" w:char="F0FE"/>
            </w:r>
            <w:r>
              <w:rPr>
                <w:rFonts w:hint="eastAsia" w:cs="宋体" w:asciiTheme="minorEastAsia" w:hAnsiTheme="minorEastAsia" w:eastAsiaTheme="minorEastAsia"/>
                <w:szCs w:val="21"/>
                <w:highlight w:val="none"/>
              </w:rPr>
              <w:t>招标人自筹</w:t>
            </w:r>
          </w:p>
          <w:p w14:paraId="74655B82">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w:t>
            </w:r>
            <w:r>
              <w:rPr>
                <w:rFonts w:cs="宋体" w:asciiTheme="minorEastAsia" w:hAnsiTheme="minorEastAsia" w:eastAsiaTheme="minorEastAsia"/>
                <w:szCs w:val="21"/>
                <w:highlight w:val="none"/>
              </w:rPr>
              <w:t>使用财政资金</w:t>
            </w:r>
          </w:p>
          <w:p w14:paraId="7848FF2F">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w:t>
            </w:r>
            <w:r>
              <w:rPr>
                <w:rFonts w:cs="宋体" w:asciiTheme="minorEastAsia" w:hAnsiTheme="minorEastAsia" w:eastAsiaTheme="minorEastAsia"/>
                <w:szCs w:val="21"/>
                <w:highlight w:val="none"/>
              </w:rPr>
              <w:t>银行贷款</w:t>
            </w:r>
          </w:p>
          <w:p w14:paraId="685160D1">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w:t>
            </w:r>
            <w:r>
              <w:rPr>
                <w:rFonts w:cs="宋体" w:asciiTheme="minorEastAsia" w:hAnsiTheme="minorEastAsia" w:eastAsiaTheme="minorEastAsia"/>
                <w:szCs w:val="21"/>
                <w:highlight w:val="none"/>
              </w:rPr>
              <w:t>国家融资</w:t>
            </w:r>
          </w:p>
          <w:p w14:paraId="50BB0E14">
            <w:pPr>
              <w:autoSpaceDE w:val="0"/>
              <w:autoSpaceDN w:val="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□其他：</w:t>
            </w:r>
          </w:p>
        </w:tc>
      </w:tr>
      <w:tr w14:paraId="5E6FC4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7415AA1">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1.3</w:t>
            </w:r>
          </w:p>
        </w:tc>
        <w:tc>
          <w:tcPr>
            <w:tcW w:w="2082" w:type="dxa"/>
            <w:vAlign w:val="center"/>
          </w:tcPr>
          <w:p w14:paraId="7069E1E7">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招标范围</w:t>
            </w:r>
          </w:p>
        </w:tc>
        <w:tc>
          <w:tcPr>
            <w:tcW w:w="5379" w:type="dxa"/>
            <w:vAlign w:val="center"/>
          </w:tcPr>
          <w:p w14:paraId="3ACC2286">
            <w:pPr>
              <w:autoSpaceDE w:val="0"/>
              <w:autoSpaceDN w:val="0"/>
              <w:rPr>
                <w:rFonts w:cs="宋体" w:asciiTheme="minorEastAsia" w:hAnsiTheme="minorEastAsia" w:eastAsiaTheme="minorEastAsia"/>
                <w:szCs w:val="21"/>
                <w:highlight w:val="none"/>
              </w:rPr>
            </w:pPr>
            <w:r>
              <w:rPr>
                <w:rFonts w:hint="eastAsia" w:asciiTheme="minorEastAsia" w:hAnsiTheme="minorEastAsia" w:eastAsiaTheme="minorEastAsia"/>
                <w:szCs w:val="21"/>
              </w:rPr>
              <w:t>详见第一章【招标公告】 “1.招标范围”。</w:t>
            </w:r>
          </w:p>
        </w:tc>
      </w:tr>
      <w:tr w14:paraId="2FE78D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05AAAB0">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1.4</w:t>
            </w:r>
          </w:p>
        </w:tc>
        <w:tc>
          <w:tcPr>
            <w:tcW w:w="2082" w:type="dxa"/>
            <w:vAlign w:val="center"/>
          </w:tcPr>
          <w:p w14:paraId="25AD77C2">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rPr>
              <w:t>集中招标类型</w:t>
            </w:r>
          </w:p>
        </w:tc>
        <w:tc>
          <w:tcPr>
            <w:tcW w:w="5379" w:type="dxa"/>
            <w:vAlign w:val="center"/>
          </w:tcPr>
          <w:p w14:paraId="1FA12F60">
            <w:pPr>
              <w:autoSpaceDE w:val="0"/>
              <w:autoSpaceDN w:val="0"/>
              <w:rPr>
                <w:rFonts w:cs="Times New Roman" w:asciiTheme="minorEastAsia" w:hAnsiTheme="minorEastAsia" w:eastAsiaTheme="minorEastAsia"/>
              </w:rPr>
            </w:pPr>
            <w:r>
              <w:rPr>
                <w:rFonts w:hint="eastAsia" w:cs="宋体" w:asciiTheme="minorEastAsia" w:hAnsiTheme="minorEastAsia" w:eastAsiaTheme="minorEastAsia"/>
                <w:szCs w:val="21"/>
                <w:lang w:eastAsia="zh-CN"/>
              </w:rPr>
              <w:t>☑</w:t>
            </w:r>
            <w:r>
              <w:rPr>
                <w:rFonts w:hint="eastAsia" w:cs="Times New Roman" w:asciiTheme="minorEastAsia" w:hAnsiTheme="minorEastAsia" w:eastAsiaTheme="minorEastAsia"/>
              </w:rPr>
              <w:t>标包招标</w:t>
            </w:r>
          </w:p>
          <w:p w14:paraId="05A3321F">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□份额招标</w:t>
            </w:r>
          </w:p>
          <w:p w14:paraId="60C6843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□混合招标</w:t>
            </w:r>
          </w:p>
          <w:p w14:paraId="039B26C5">
            <w:pPr>
              <w:autoSpaceDE w:val="0"/>
              <w:autoSpaceDN w:val="0"/>
              <w:rPr>
                <w:rFonts w:asciiTheme="minorEastAsia" w:hAnsiTheme="minorEastAsia" w:eastAsiaTheme="minorEastAsia"/>
                <w:highlight w:val="none"/>
              </w:rPr>
            </w:pPr>
            <w:r>
              <w:rPr>
                <w:rFonts w:hint="eastAsia" w:cs="Times New Roman" w:asciiTheme="minorEastAsia" w:hAnsiTheme="minorEastAsia" w:eastAsiaTheme="minorEastAsia"/>
              </w:rPr>
              <w:t>具体标包、份额划分情况</w:t>
            </w:r>
            <w:r>
              <w:rPr>
                <w:rFonts w:hint="eastAsia" w:cs="Times New Roman" w:asciiTheme="minorEastAsia" w:hAnsiTheme="minorEastAsia" w:eastAsiaTheme="minorEastAsia"/>
                <w:szCs w:val="21"/>
              </w:rPr>
              <w:t>详见第一章【招标公告或投标邀请书】。</w:t>
            </w:r>
          </w:p>
        </w:tc>
      </w:tr>
      <w:tr w14:paraId="453AD5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04843B7">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1.5.1</w:t>
            </w:r>
          </w:p>
        </w:tc>
        <w:tc>
          <w:tcPr>
            <w:tcW w:w="2082" w:type="dxa"/>
            <w:vAlign w:val="center"/>
          </w:tcPr>
          <w:p w14:paraId="03B6146B">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招标方式</w:t>
            </w:r>
          </w:p>
        </w:tc>
        <w:tc>
          <w:tcPr>
            <w:tcW w:w="5379" w:type="dxa"/>
            <w:vAlign w:val="center"/>
          </w:tcPr>
          <w:p w14:paraId="5DA68CF7">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sym w:font="Wingdings" w:char="F0FE"/>
            </w:r>
            <w:r>
              <w:rPr>
                <w:rFonts w:hint="eastAsia" w:cs="宋体" w:asciiTheme="minorEastAsia" w:hAnsiTheme="minorEastAsia" w:eastAsiaTheme="minorEastAsia"/>
                <w:szCs w:val="21"/>
                <w:highlight w:val="none"/>
              </w:rPr>
              <w:t>公开招标</w:t>
            </w:r>
          </w:p>
          <w:p w14:paraId="3FAD484B">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□邀请招标</w:t>
            </w:r>
          </w:p>
        </w:tc>
      </w:tr>
      <w:tr w14:paraId="666F85F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BEE6300">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1.6</w:t>
            </w:r>
          </w:p>
        </w:tc>
        <w:tc>
          <w:tcPr>
            <w:tcW w:w="2082" w:type="dxa"/>
            <w:vAlign w:val="center"/>
          </w:tcPr>
          <w:p w14:paraId="1780630F">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招标组织形式</w:t>
            </w:r>
          </w:p>
        </w:tc>
        <w:tc>
          <w:tcPr>
            <w:tcW w:w="5379" w:type="dxa"/>
            <w:vAlign w:val="center"/>
          </w:tcPr>
          <w:p w14:paraId="245DCF15">
            <w:pPr>
              <w:autoSpaceDE w:val="0"/>
              <w:autoSpaceDN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□自行招标</w:t>
            </w:r>
          </w:p>
          <w:p w14:paraId="54E8C652">
            <w:pPr>
              <w:autoSpaceDE w:val="0"/>
              <w:autoSpaceDN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w:char="F0FE"/>
            </w:r>
            <w:r>
              <w:rPr>
                <w:rFonts w:hint="eastAsia" w:ascii="宋体" w:hAnsi="宋体"/>
                <w:color w:val="000000" w:themeColor="text1"/>
                <w:szCs w:val="21"/>
                <w:highlight w:val="none"/>
                <w14:textFill>
                  <w14:solidFill>
                    <w14:schemeClr w14:val="tx1"/>
                  </w14:solidFill>
                </w14:textFill>
              </w:rPr>
              <w:t>委托招标代理机构代理招标</w:t>
            </w:r>
          </w:p>
          <w:p w14:paraId="50D962E3">
            <w:pPr>
              <w:autoSpaceDE w:val="0"/>
              <w:autoSpaceDN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招标代理机构名称：中通服供应链股份有限公司贵州分公司</w:t>
            </w:r>
          </w:p>
          <w:p w14:paraId="4EEA3177">
            <w:pPr>
              <w:autoSpaceDE w:val="0"/>
              <w:autoSpaceDN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招标代理机构地址：贵州省贵阳市麒龙贵州塔金阳北路27号16楼</w:t>
            </w:r>
          </w:p>
          <w:p w14:paraId="474D593E">
            <w:pP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招标代理机构联系人：</w:t>
            </w:r>
            <w:r>
              <w:rPr>
                <w:rFonts w:hint="eastAsia" w:ascii="宋体" w:hAnsi="宋体"/>
                <w:color w:val="000000" w:themeColor="text1"/>
                <w:szCs w:val="21"/>
                <w:highlight w:val="none"/>
                <w:lang w:val="en-US" w:eastAsia="zh-CN"/>
                <w14:textFill>
                  <w14:solidFill>
                    <w14:schemeClr w14:val="tx1"/>
                  </w14:solidFill>
                </w14:textFill>
              </w:rPr>
              <w:t>张鹏  18985164627</w:t>
            </w:r>
          </w:p>
          <w:p w14:paraId="2B7ED117">
            <w:pP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项目联系人：</w:t>
            </w:r>
            <w:r>
              <w:rPr>
                <w:rFonts w:hint="eastAsia" w:ascii="宋体" w:hAnsi="宋体"/>
                <w:color w:val="000000" w:themeColor="text1"/>
                <w:szCs w:val="21"/>
                <w:highlight w:val="none"/>
                <w:lang w:val="en-US" w:eastAsia="zh-CN"/>
                <w14:textFill>
                  <w14:solidFill>
                    <w14:schemeClr w14:val="tx1"/>
                  </w14:solidFill>
                </w14:textFill>
              </w:rPr>
              <w:t>杨学琴  18984903330</w:t>
            </w:r>
          </w:p>
        </w:tc>
      </w:tr>
      <w:tr w14:paraId="32BD03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40" w:type="dxa"/>
            <w:vAlign w:val="center"/>
          </w:tcPr>
          <w:p w14:paraId="78C59A99">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1.7</w:t>
            </w:r>
          </w:p>
        </w:tc>
        <w:tc>
          <w:tcPr>
            <w:tcW w:w="2082" w:type="dxa"/>
            <w:vAlign w:val="center"/>
          </w:tcPr>
          <w:p w14:paraId="0AE96790">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资格审查方式</w:t>
            </w:r>
          </w:p>
        </w:tc>
        <w:tc>
          <w:tcPr>
            <w:tcW w:w="5379" w:type="dxa"/>
            <w:vAlign w:val="center"/>
          </w:tcPr>
          <w:p w14:paraId="3F23CD76">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□资格预审，本项目已完成资格预审。</w:t>
            </w:r>
          </w:p>
          <w:p w14:paraId="377F28C9">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sym w:font="Wingdings" w:char="F0FE"/>
            </w:r>
            <w:r>
              <w:rPr>
                <w:rFonts w:cs="宋体" w:asciiTheme="minorEastAsia" w:hAnsiTheme="minorEastAsia" w:eastAsiaTheme="minorEastAsia"/>
                <w:szCs w:val="21"/>
                <w:highlight w:val="none"/>
              </w:rPr>
              <w:t>资格后审</w:t>
            </w:r>
            <w:r>
              <w:rPr>
                <w:rFonts w:hint="eastAsia" w:cs="宋体" w:asciiTheme="minorEastAsia" w:hAnsiTheme="minorEastAsia" w:eastAsiaTheme="minorEastAsia"/>
                <w:szCs w:val="21"/>
                <w:highlight w:val="none"/>
              </w:rPr>
              <w:t>，资格条件详见第一章</w:t>
            </w:r>
            <w:r>
              <w:rPr>
                <w:rFonts w:hint="eastAsia" w:asciiTheme="minorEastAsia" w:hAnsiTheme="minorEastAsia" w:eastAsiaTheme="minorEastAsia"/>
                <w:szCs w:val="21"/>
                <w:highlight w:val="none"/>
              </w:rPr>
              <w:t>【招标公告或投标邀请书】</w:t>
            </w:r>
            <w:r>
              <w:rPr>
                <w:rFonts w:hint="eastAsia" w:cs="宋体" w:asciiTheme="minorEastAsia" w:hAnsiTheme="minorEastAsia" w:eastAsiaTheme="minorEastAsia"/>
                <w:szCs w:val="21"/>
                <w:highlight w:val="none"/>
              </w:rPr>
              <w:t>。</w:t>
            </w:r>
          </w:p>
        </w:tc>
      </w:tr>
      <w:tr w14:paraId="48C54F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19D5C70">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1.8</w:t>
            </w:r>
            <w:r>
              <w:rPr>
                <w:rFonts w:cs="宋体" w:asciiTheme="minorEastAsia" w:hAnsiTheme="minorEastAsia" w:eastAsiaTheme="minorEastAsia"/>
                <w:szCs w:val="21"/>
                <w:highlight w:val="none"/>
              </w:rPr>
              <w:t>.1</w:t>
            </w:r>
          </w:p>
        </w:tc>
        <w:tc>
          <w:tcPr>
            <w:tcW w:w="2082" w:type="dxa"/>
            <w:vAlign w:val="center"/>
          </w:tcPr>
          <w:p w14:paraId="2E2F27E0">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投标人不得存在的情形</w:t>
            </w:r>
          </w:p>
        </w:tc>
        <w:tc>
          <w:tcPr>
            <w:tcW w:w="5379" w:type="dxa"/>
            <w:vAlign w:val="center"/>
          </w:tcPr>
          <w:p w14:paraId="3172C10B">
            <w:pPr>
              <w:tabs>
                <w:tab w:val="left" w:pos="585"/>
              </w:tabs>
              <w:spacing w:line="440" w:lineRule="exact"/>
              <w:ind w:left="18"/>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本条款替换为：</w:t>
            </w:r>
          </w:p>
          <w:p w14:paraId="7AE8B725">
            <w:pPr>
              <w:tabs>
                <w:tab w:val="left" w:pos="585"/>
              </w:tabs>
              <w:ind w:left="18"/>
              <w:rPr>
                <w:rFonts w:asciiTheme="minorEastAsia" w:hAnsiTheme="minorEastAsia" w:eastAsiaTheme="minorEastAsia"/>
                <w:highlight w:val="none"/>
              </w:rPr>
            </w:pPr>
            <w:r>
              <w:rPr>
                <w:rFonts w:hint="eastAsia" w:asciiTheme="minorEastAsia" w:hAnsiTheme="minorEastAsia" w:eastAsiaTheme="minorEastAsia"/>
                <w:highlight w:val="none"/>
              </w:rPr>
              <w:t>□资格预审，详见资格预审文件。</w:t>
            </w:r>
          </w:p>
          <w:p w14:paraId="3EB8BFCB">
            <w:pPr>
              <w:tabs>
                <w:tab w:val="left" w:pos="585"/>
              </w:tabs>
              <w:ind w:left="18"/>
              <w:rPr>
                <w:rFonts w:asciiTheme="minorEastAsia" w:hAnsiTheme="minorEastAsia" w:eastAsiaTheme="minorEastAsia"/>
                <w:highlight w:val="none"/>
              </w:rPr>
            </w:pPr>
            <w:r>
              <w:rPr>
                <w:rFonts w:hint="eastAsia" w:asciiTheme="minorEastAsia" w:hAnsiTheme="minorEastAsia" w:eastAsiaTheme="minorEastAsia"/>
                <w:highlight w:val="none"/>
              </w:rPr>
              <w:sym w:font="Wingdings" w:char="F0FE"/>
            </w:r>
            <w:r>
              <w:rPr>
                <w:rFonts w:hint="eastAsia" w:asciiTheme="minorEastAsia" w:hAnsiTheme="minorEastAsia" w:eastAsiaTheme="minorEastAsia"/>
                <w:highlight w:val="none"/>
              </w:rPr>
              <w:t>资格后审，资格条件详见第一章招标公告。</w:t>
            </w:r>
          </w:p>
        </w:tc>
      </w:tr>
      <w:tr w14:paraId="64FA017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18DD344">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2.1.1</w:t>
            </w:r>
          </w:p>
        </w:tc>
        <w:tc>
          <w:tcPr>
            <w:tcW w:w="2082" w:type="dxa"/>
            <w:vAlign w:val="center"/>
          </w:tcPr>
          <w:p w14:paraId="330C2534">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招标文件的组成</w:t>
            </w:r>
          </w:p>
        </w:tc>
        <w:tc>
          <w:tcPr>
            <w:tcW w:w="5379" w:type="dxa"/>
            <w:vAlign w:val="center"/>
          </w:tcPr>
          <w:p w14:paraId="4863F344">
            <w:pPr>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本条款替换为：</w:t>
            </w:r>
          </w:p>
          <w:p w14:paraId="6AF8DDD7">
            <w:pPr>
              <w:tabs>
                <w:tab w:val="left" w:pos="799"/>
              </w:tabs>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第一章 招标公告</w:t>
            </w:r>
          </w:p>
          <w:p w14:paraId="09615BAA">
            <w:pPr>
              <w:tabs>
                <w:tab w:val="left" w:pos="799"/>
              </w:tabs>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 投标人须知</w:t>
            </w:r>
          </w:p>
          <w:p w14:paraId="0C583596">
            <w:pPr>
              <w:tabs>
                <w:tab w:val="left" w:pos="799"/>
              </w:tabs>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第三章 评标办法</w:t>
            </w:r>
          </w:p>
          <w:p w14:paraId="2014B386">
            <w:pPr>
              <w:tabs>
                <w:tab w:val="left" w:pos="799"/>
              </w:tabs>
              <w:autoSpaceDE w:val="0"/>
              <w:autoSpaceDN w:val="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第四章 </w:t>
            </w:r>
            <w:r>
              <w:rPr>
                <w:rFonts w:hint="eastAsia" w:ascii="宋体" w:hAnsi="宋体" w:cs="宋体"/>
                <w:color w:val="000000" w:themeColor="text1"/>
                <w:szCs w:val="21"/>
                <w:highlight w:val="none"/>
                <w:lang w:val="en-US" w:eastAsia="zh-CN"/>
                <w14:textFill>
                  <w14:solidFill>
                    <w14:schemeClr w14:val="tx1"/>
                  </w14:solidFill>
                </w14:textFill>
              </w:rPr>
              <w:t>商务规范书</w:t>
            </w:r>
          </w:p>
          <w:p w14:paraId="4E689837">
            <w:pPr>
              <w:tabs>
                <w:tab w:val="left" w:pos="799"/>
              </w:tabs>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第五章 技术规范书</w:t>
            </w:r>
          </w:p>
          <w:p w14:paraId="750AF6D1">
            <w:pPr>
              <w:tabs>
                <w:tab w:val="left" w:pos="799"/>
              </w:tabs>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第六章 投标文件格式</w:t>
            </w:r>
          </w:p>
          <w:p w14:paraId="5A9A19F9">
            <w:pPr>
              <w:autoSpaceDE w:val="0"/>
              <w:autoSpaceDN w:val="0"/>
              <w:rPr>
                <w:rFonts w:cs="宋体" w:asciiTheme="minorEastAsia" w:hAnsiTheme="minorEastAsia" w:eastAsiaTheme="minorEastAsia"/>
                <w:szCs w:val="21"/>
                <w:highlight w:val="none"/>
              </w:rPr>
            </w:pPr>
            <w:r>
              <w:rPr>
                <w:rFonts w:hint="eastAsia" w:ascii="宋体" w:hAnsi="宋体" w:cs="宋体"/>
                <w:color w:val="000000" w:themeColor="text1"/>
                <w:szCs w:val="21"/>
                <w:highlight w:val="none"/>
                <w14:textFill>
                  <w14:solidFill>
                    <w14:schemeClr w14:val="tx1"/>
                  </w14:solidFill>
                </w14:textFill>
              </w:rPr>
              <w:t>第七章 其他</w:t>
            </w:r>
          </w:p>
        </w:tc>
      </w:tr>
      <w:tr w14:paraId="73D4CF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424BE65">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2.1.3</w:t>
            </w:r>
          </w:p>
        </w:tc>
        <w:tc>
          <w:tcPr>
            <w:tcW w:w="2082" w:type="dxa"/>
            <w:vAlign w:val="center"/>
          </w:tcPr>
          <w:p w14:paraId="367EC580">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招标文件实质性要求的标识及非实质性要求的偏离要求</w:t>
            </w:r>
          </w:p>
        </w:tc>
        <w:tc>
          <w:tcPr>
            <w:tcW w:w="5379" w:type="dxa"/>
            <w:vAlign w:val="center"/>
          </w:tcPr>
          <w:p w14:paraId="66DA484B">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（1）招标文件中标识“</w:t>
            </w:r>
            <w:r>
              <w:rPr>
                <w:rFonts w:hint="eastAsia" w:asciiTheme="minorEastAsia" w:hAnsiTheme="minorEastAsia" w:eastAsiaTheme="minorEastAsia"/>
                <w:szCs w:val="21"/>
                <w:highlight w:val="none"/>
              </w:rPr>
              <w:t>★</w:t>
            </w:r>
            <w:r>
              <w:rPr>
                <w:rFonts w:hint="eastAsia" w:cs="宋体" w:asciiTheme="minorEastAsia" w:hAnsiTheme="minorEastAsia" w:eastAsiaTheme="minorEastAsia"/>
                <w:szCs w:val="21"/>
                <w:highlight w:val="none"/>
              </w:rPr>
              <w:t>”的条款，均为实质性条款，投标人任何不满足实质性条款的投标均将被否决。</w:t>
            </w:r>
          </w:p>
          <w:p w14:paraId="1B793F50">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（2）非实质性要求的偏离要求：</w:t>
            </w:r>
            <w:r>
              <w:rPr>
                <w:rFonts w:hint="eastAsia" w:asciiTheme="minorEastAsia" w:hAnsiTheme="minorEastAsia" w:eastAsiaTheme="minorEastAsia"/>
                <w:highlight w:val="none"/>
              </w:rPr>
              <w:t>允许偏差的最大范围、最高项数为</w:t>
            </w:r>
            <w:r>
              <w:rPr>
                <w:rFonts w:hint="eastAsia" w:asciiTheme="minorEastAsia" w:hAnsiTheme="minorEastAsia" w:eastAsiaTheme="minorEastAsia"/>
                <w:highlight w:val="none"/>
                <w:u w:val="single"/>
                <w:lang w:val="en-US" w:eastAsia="zh-CN"/>
              </w:rPr>
              <w:t>5</w:t>
            </w:r>
            <w:r>
              <w:rPr>
                <w:rFonts w:hint="eastAsia" w:asciiTheme="minorEastAsia" w:hAnsiTheme="minorEastAsia" w:eastAsiaTheme="minorEastAsia"/>
                <w:highlight w:val="none"/>
              </w:rPr>
              <w:t>项，超出最大范围、最高项数视为实质性偏离，将被否决投标。</w:t>
            </w:r>
          </w:p>
        </w:tc>
      </w:tr>
      <w:tr w14:paraId="0A692C6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1416A9C">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2.1.4</w:t>
            </w:r>
          </w:p>
        </w:tc>
        <w:tc>
          <w:tcPr>
            <w:tcW w:w="2082" w:type="dxa"/>
            <w:vAlign w:val="center"/>
          </w:tcPr>
          <w:p w14:paraId="54E417C9">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是否以单项报价核定低于成本</w:t>
            </w:r>
          </w:p>
        </w:tc>
        <w:tc>
          <w:tcPr>
            <w:tcW w:w="5379" w:type="dxa"/>
            <w:vAlign w:val="center"/>
          </w:tcPr>
          <w:p w14:paraId="55305A82">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sym w:font="Wingdings" w:char="00A8"/>
            </w:r>
            <w:r>
              <w:rPr>
                <w:rFonts w:hint="eastAsia" w:cs="宋体" w:asciiTheme="minorEastAsia" w:hAnsiTheme="minorEastAsia" w:eastAsiaTheme="minorEastAsia"/>
                <w:szCs w:val="21"/>
                <w:highlight w:val="none"/>
              </w:rPr>
              <w:t>不要求</w:t>
            </w:r>
          </w:p>
          <w:p w14:paraId="60885707">
            <w:pPr>
              <w:autoSpaceDE w:val="0"/>
              <w:autoSpaceDN w:val="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lang w:eastAsia="zh-CN"/>
              </w:rPr>
              <w:t>☑</w:t>
            </w:r>
            <w:r>
              <w:rPr>
                <w:rFonts w:hint="eastAsia" w:cs="宋体" w:asciiTheme="minorEastAsia" w:hAnsiTheme="minorEastAsia" w:eastAsiaTheme="minorEastAsia"/>
                <w:szCs w:val="21"/>
                <w:highlight w:val="none"/>
              </w:rPr>
              <w:t>要求，具体要求如下：评标委员会发现投标人的单项报价明显低于其他投标报价，认为投标报价可能低于成本的，将书面要求该投标人做出书面说明并提供相关证明材料。投标人不能合理说明或者不能提供相应证明材料的，由评标委员会认定该投标人以低于成本报价竞标，评标委员会将否决其投标。</w:t>
            </w:r>
          </w:p>
        </w:tc>
      </w:tr>
      <w:tr w14:paraId="6C65566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D30A36C">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2.2.1</w:t>
            </w:r>
          </w:p>
        </w:tc>
        <w:tc>
          <w:tcPr>
            <w:tcW w:w="2082" w:type="dxa"/>
            <w:vAlign w:val="center"/>
          </w:tcPr>
          <w:p w14:paraId="297AE862">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踏勘现场</w:t>
            </w:r>
          </w:p>
        </w:tc>
        <w:tc>
          <w:tcPr>
            <w:tcW w:w="5379" w:type="dxa"/>
            <w:vAlign w:val="center"/>
          </w:tcPr>
          <w:p w14:paraId="4BC07BC4">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sym w:font="Wingdings" w:char="F0FE"/>
            </w:r>
            <w:r>
              <w:rPr>
                <w:rFonts w:hint="eastAsia" w:cs="宋体" w:asciiTheme="minorEastAsia" w:hAnsiTheme="minorEastAsia" w:eastAsiaTheme="minorEastAsia"/>
                <w:szCs w:val="21"/>
                <w:highlight w:val="none"/>
              </w:rPr>
              <w:t>不组织</w:t>
            </w:r>
          </w:p>
          <w:p w14:paraId="5154427D">
            <w:pPr>
              <w:autoSpaceDE w:val="0"/>
              <w:autoSpaceDN w:val="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□组织，踏勘现场的时间、地点：</w:t>
            </w:r>
            <w:r>
              <w:rPr>
                <w:rFonts w:hint="eastAsia" w:asciiTheme="minorEastAsia" w:hAnsiTheme="minorEastAsia" w:eastAsiaTheme="minorEastAsia"/>
                <w:szCs w:val="21"/>
                <w:highlight w:val="none"/>
                <w:u w:val="single"/>
              </w:rPr>
              <w:t>【XX年XX月XX日XX时XX分】，【具体踏勘地点】</w:t>
            </w:r>
          </w:p>
        </w:tc>
      </w:tr>
      <w:tr w14:paraId="2C8545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D4CD3A9">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2.3</w:t>
            </w:r>
          </w:p>
        </w:tc>
        <w:tc>
          <w:tcPr>
            <w:tcW w:w="2082" w:type="dxa"/>
            <w:vAlign w:val="center"/>
          </w:tcPr>
          <w:p w14:paraId="73307457">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投标预备会</w:t>
            </w:r>
          </w:p>
        </w:tc>
        <w:tc>
          <w:tcPr>
            <w:tcW w:w="5379" w:type="dxa"/>
            <w:vAlign w:val="center"/>
          </w:tcPr>
          <w:p w14:paraId="35CB5D00">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sym w:font="Wingdings" w:char="F0FE"/>
            </w:r>
            <w:r>
              <w:rPr>
                <w:rFonts w:hint="eastAsia" w:cs="宋体" w:asciiTheme="minorEastAsia" w:hAnsiTheme="minorEastAsia" w:eastAsiaTheme="minorEastAsia"/>
                <w:szCs w:val="21"/>
                <w:highlight w:val="none"/>
              </w:rPr>
              <w:t>不召开</w:t>
            </w:r>
          </w:p>
          <w:p w14:paraId="62B39DFD">
            <w:pPr>
              <w:autoSpaceDE w:val="0"/>
              <w:autoSpaceDN w:val="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□召开，召开投标预备会时间、地点：</w:t>
            </w:r>
            <w:r>
              <w:rPr>
                <w:rFonts w:hint="eastAsia" w:asciiTheme="minorEastAsia" w:hAnsiTheme="minorEastAsia" w:eastAsiaTheme="minorEastAsia"/>
                <w:szCs w:val="21"/>
                <w:highlight w:val="none"/>
                <w:u w:val="single"/>
              </w:rPr>
              <w:t>【XX年XX月XX日XX时XX分】，【具体召开预备会地点，具体到会议室】</w:t>
            </w:r>
          </w:p>
        </w:tc>
      </w:tr>
      <w:tr w14:paraId="3FEBF08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886444F">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2.4.1</w:t>
            </w:r>
          </w:p>
        </w:tc>
        <w:tc>
          <w:tcPr>
            <w:tcW w:w="2082" w:type="dxa"/>
            <w:vAlign w:val="center"/>
          </w:tcPr>
          <w:p w14:paraId="110F159C">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投标人提出澄清问题的截止时间和方式</w:t>
            </w:r>
          </w:p>
        </w:tc>
        <w:tc>
          <w:tcPr>
            <w:tcW w:w="5379" w:type="dxa"/>
            <w:vAlign w:val="center"/>
          </w:tcPr>
          <w:p w14:paraId="7D93335A">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截止时间：</w:t>
            </w:r>
            <w:r>
              <w:rPr>
                <w:rFonts w:hint="eastAsia" w:asciiTheme="minorEastAsia" w:hAnsiTheme="minorEastAsia" w:eastAsiaTheme="minorEastAsia"/>
                <w:szCs w:val="21"/>
                <w:highlight w:val="none"/>
              </w:rPr>
              <w:t>投标截止时间前10日。</w:t>
            </w:r>
          </w:p>
          <w:p w14:paraId="16F193F8">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提出澄清的方式：</w:t>
            </w:r>
            <w:r>
              <w:rPr>
                <w:rFonts w:hint="eastAsia" w:asciiTheme="minorEastAsia" w:hAnsiTheme="minorEastAsia" w:eastAsiaTheme="minorEastAsia"/>
                <w:szCs w:val="21"/>
                <w:highlight w:val="none"/>
              </w:rPr>
              <w:t>通过中国电信电子采购系统提出。</w:t>
            </w:r>
          </w:p>
        </w:tc>
      </w:tr>
      <w:tr w14:paraId="5646ED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BA4F38D">
            <w:pPr>
              <w:autoSpaceDE w:val="0"/>
              <w:autoSpaceDN w:val="0"/>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2.</w:t>
            </w:r>
            <w:r>
              <w:rPr>
                <w:rFonts w:hint="eastAsia" w:cs="宋体" w:asciiTheme="minorEastAsia" w:hAnsiTheme="minorEastAsia" w:eastAsiaTheme="minorEastAsia"/>
                <w:szCs w:val="21"/>
                <w:highlight w:val="none"/>
              </w:rPr>
              <w:t>4.2</w:t>
            </w:r>
          </w:p>
        </w:tc>
        <w:tc>
          <w:tcPr>
            <w:tcW w:w="2082" w:type="dxa"/>
            <w:vAlign w:val="center"/>
          </w:tcPr>
          <w:p w14:paraId="47453D28">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招标人发出招标文件澄清或者修改的截止时间和方式</w:t>
            </w:r>
          </w:p>
        </w:tc>
        <w:tc>
          <w:tcPr>
            <w:tcW w:w="5379" w:type="dxa"/>
            <w:vAlign w:val="center"/>
          </w:tcPr>
          <w:p w14:paraId="1B032A41">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截止时间：</w:t>
            </w:r>
            <w:r>
              <w:rPr>
                <w:rFonts w:hint="eastAsia" w:ascii="宋体" w:hAnsi="宋体"/>
                <w:color w:val="000000" w:themeColor="text1"/>
                <w:szCs w:val="21"/>
                <w:highlight w:val="none"/>
                <w14:textFill>
                  <w14:solidFill>
                    <w14:schemeClr w14:val="tx1"/>
                  </w14:solidFill>
                </w14:textFill>
              </w:rPr>
              <w:t>投标截止时间10天（日历天）</w:t>
            </w:r>
            <w:r>
              <w:rPr>
                <w:rFonts w:hint="eastAsia" w:ascii="宋体" w:hAnsi="宋体" w:cs="宋体"/>
                <w:color w:val="000000" w:themeColor="text1"/>
                <w:szCs w:val="21"/>
                <w:highlight w:val="none"/>
                <w14:textFill>
                  <w14:solidFill>
                    <w14:schemeClr w14:val="tx1"/>
                  </w14:solidFill>
                </w14:textFill>
              </w:rPr>
              <w:t>前。</w:t>
            </w:r>
          </w:p>
          <w:p w14:paraId="6CB5FB70">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发出澄清或者修改的方式：</w:t>
            </w:r>
            <w:r>
              <w:rPr>
                <w:rFonts w:hint="eastAsia" w:asciiTheme="minorEastAsia" w:hAnsiTheme="minorEastAsia" w:eastAsiaTheme="minorEastAsia"/>
                <w:szCs w:val="21"/>
                <w:highlight w:val="none"/>
              </w:rPr>
              <w:t>通过中国电信电子采购系统发出。</w:t>
            </w:r>
          </w:p>
        </w:tc>
      </w:tr>
      <w:tr w14:paraId="27C846F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89F35CB">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2.4.4</w:t>
            </w:r>
          </w:p>
        </w:tc>
        <w:tc>
          <w:tcPr>
            <w:tcW w:w="2082" w:type="dxa"/>
            <w:vAlign w:val="center"/>
          </w:tcPr>
          <w:p w14:paraId="4B741C3B">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投标人确认收到澄清或者修改的时间和方式</w:t>
            </w:r>
          </w:p>
        </w:tc>
        <w:tc>
          <w:tcPr>
            <w:tcW w:w="5379" w:type="dxa"/>
            <w:vAlign w:val="center"/>
          </w:tcPr>
          <w:p w14:paraId="3DA4EEDE">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投标人收到澄清或修改文件后1日内以</w:t>
            </w:r>
            <w:r>
              <w:rPr>
                <w:rFonts w:hint="eastAsia" w:asciiTheme="minorEastAsia" w:hAnsiTheme="minorEastAsia" w:eastAsiaTheme="minorEastAsia"/>
                <w:szCs w:val="21"/>
                <w:highlight w:val="none"/>
              </w:rPr>
              <w:t>书面方式确认（包括中国电信电子采购系统等形式）。</w:t>
            </w:r>
          </w:p>
        </w:tc>
      </w:tr>
      <w:tr w14:paraId="672AAF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3E7DD84">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2.5</w:t>
            </w:r>
          </w:p>
        </w:tc>
        <w:tc>
          <w:tcPr>
            <w:tcW w:w="2082" w:type="dxa"/>
            <w:vAlign w:val="center"/>
          </w:tcPr>
          <w:p w14:paraId="5E428118">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招标文件的异议</w:t>
            </w:r>
          </w:p>
        </w:tc>
        <w:tc>
          <w:tcPr>
            <w:tcW w:w="5379" w:type="dxa"/>
            <w:vAlign w:val="center"/>
          </w:tcPr>
          <w:p w14:paraId="7F4C7F95">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潜在投标人或者其他利害关系人对招标文件有异议的，应当在投标截止时间10日前【登录</w:t>
            </w:r>
            <w:r>
              <w:rPr>
                <w:rFonts w:cs="宋体" w:asciiTheme="minorEastAsia" w:hAnsiTheme="minorEastAsia" w:eastAsiaTheme="minorEastAsia"/>
                <w:szCs w:val="21"/>
                <w:highlight w:val="none"/>
              </w:rPr>
              <w:t>中国电信阳光采购网</w:t>
            </w:r>
            <w:r>
              <w:rPr>
                <w:rFonts w:hint="eastAsia" w:cs="宋体" w:asciiTheme="minorEastAsia" w:hAnsiTheme="minorEastAsia" w:eastAsiaTheme="minorEastAsia"/>
                <w:szCs w:val="21"/>
                <w:highlight w:val="none"/>
              </w:rPr>
              <w:t>（</w:t>
            </w:r>
            <w:r>
              <w:rPr>
                <w:rFonts w:hint="eastAsia" w:ascii="宋体" w:hAnsi="宋体" w:cs="宋体"/>
                <w:color w:val="000000" w:themeColor="text1"/>
                <w:szCs w:val="21"/>
                <w:highlight w:val="none"/>
                <w14:textFill>
                  <w14:solidFill>
                    <w14:schemeClr w14:val="tx1"/>
                  </w14:solidFill>
                </w14:textFill>
              </w:rPr>
              <w:t>https://caigou.chinatelecom.com.cn</w:t>
            </w:r>
            <w:r>
              <w:rPr>
                <w:rFonts w:hint="eastAsia" w:cs="宋体" w:asciiTheme="minorEastAsia" w:hAnsiTheme="minorEastAsia" w:eastAsiaTheme="minorEastAsia"/>
                <w:szCs w:val="21"/>
                <w:highlight w:val="none"/>
              </w:rPr>
              <w:t>）后，通过“招投标-采购异议-提出异议”模块提出】。招标人将在收到异议之日起 3 日内作出答复；作出答复前，将暂停招标投标活动。已作出明确答复，且无新的事实证据，就同一事项反复提出异议的，不予受理。</w:t>
            </w:r>
          </w:p>
        </w:tc>
      </w:tr>
      <w:tr w14:paraId="146302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B2679B5">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3.1</w:t>
            </w:r>
          </w:p>
        </w:tc>
        <w:tc>
          <w:tcPr>
            <w:tcW w:w="2082" w:type="dxa"/>
            <w:vAlign w:val="center"/>
          </w:tcPr>
          <w:p w14:paraId="6B0CCE99">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投标文件组成</w:t>
            </w:r>
          </w:p>
        </w:tc>
        <w:tc>
          <w:tcPr>
            <w:tcW w:w="5379" w:type="dxa"/>
            <w:vAlign w:val="center"/>
          </w:tcPr>
          <w:p w14:paraId="72BADB96">
            <w:pPr>
              <w:autoSpaceDE w:val="0"/>
              <w:autoSpaceDN w:val="0"/>
              <w:rPr>
                <w:rFonts w:hint="eastAsia" w:ascii="宋体" w:hAnsi="宋体" w:cs="宋体"/>
                <w:b/>
                <w:bCs/>
                <w:color w:val="000000" w:themeColor="text1"/>
                <w:szCs w:val="21"/>
                <w:highlight w:val="none"/>
                <w14:textFill>
                  <w14:solidFill>
                    <w14:schemeClr w14:val="tx1"/>
                  </w14:solidFill>
                </w14:textFill>
              </w:rPr>
            </w:pPr>
            <w:bookmarkStart w:id="56" w:name="_Toc11958"/>
            <w:bookmarkStart w:id="57" w:name="_Toc5292"/>
            <w:r>
              <w:rPr>
                <w:rFonts w:hint="eastAsia" w:ascii="宋体" w:hAnsi="宋体" w:cs="宋体"/>
                <w:b/>
                <w:bCs/>
                <w:color w:val="000000" w:themeColor="text1"/>
                <w:szCs w:val="21"/>
                <w:highlight w:val="none"/>
                <w14:textFill>
                  <w14:solidFill>
                    <w14:schemeClr w14:val="tx1"/>
                  </w14:solidFill>
                </w14:textFill>
              </w:rPr>
              <w:t>第一分册 商务投标文件</w:t>
            </w:r>
            <w:bookmarkEnd w:id="56"/>
            <w:bookmarkEnd w:id="57"/>
          </w:p>
          <w:p w14:paraId="60489DB0">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1.商务投标文件封面</w:t>
            </w:r>
          </w:p>
          <w:p w14:paraId="1C90B470">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2.初步评审索引表</w:t>
            </w:r>
          </w:p>
          <w:p w14:paraId="504C4084">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3.商务及服务评审索引表</w:t>
            </w:r>
          </w:p>
          <w:p w14:paraId="08ABD693">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4.投标专用印章授权函（如有）</w:t>
            </w:r>
          </w:p>
          <w:p w14:paraId="63CBFC66">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5.投标函</w:t>
            </w:r>
          </w:p>
          <w:p w14:paraId="7F89C82F">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6.法定代表人/负责人身份证明</w:t>
            </w:r>
          </w:p>
          <w:p w14:paraId="0FE58AE0">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7.法定代表人/负责人授权委托书</w:t>
            </w:r>
          </w:p>
          <w:p w14:paraId="3C32FE29">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8.廉洁投标承诺书</w:t>
            </w:r>
          </w:p>
          <w:p w14:paraId="7002E9B2">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9.近【五】年发生的诉讼及仲裁情况</w:t>
            </w:r>
          </w:p>
          <w:p w14:paraId="10D61176">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10.招标代理服务费支付承诺函</w:t>
            </w:r>
          </w:p>
          <w:p w14:paraId="03122B6A">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11.不得存在情形承诺</w:t>
            </w:r>
          </w:p>
          <w:p w14:paraId="6E075ECA">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12.开具增值税专用发票承诺</w:t>
            </w:r>
          </w:p>
          <w:p w14:paraId="03F1ADCC">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13.特定关系信息收集表</w:t>
            </w:r>
          </w:p>
          <w:p w14:paraId="75A097E7">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14.资格审查资料</w:t>
            </w:r>
          </w:p>
          <w:p w14:paraId="21E2740C">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15.投标人控股及管理关系情况申报表</w:t>
            </w:r>
          </w:p>
          <w:p w14:paraId="6F77D7B8">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16.商务条款偏离表</w:t>
            </w:r>
          </w:p>
          <w:p w14:paraId="37F7F3A8">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17.合同条款偏离表</w:t>
            </w:r>
          </w:p>
          <w:p w14:paraId="61609B41">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18.投标人须知前附表偏离表</w:t>
            </w:r>
          </w:p>
          <w:p w14:paraId="75AD33A3">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19.网络及信息安全承诺书</w:t>
            </w:r>
          </w:p>
          <w:p w14:paraId="07D76455">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20.开源软件、第三方软件清单及合法获取开源软件、第三方软件使用权的证明</w:t>
            </w:r>
          </w:p>
          <w:p w14:paraId="6997DD09">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21.销售/转许可同意函</w:t>
            </w:r>
          </w:p>
          <w:p w14:paraId="0A194827">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22.投标保函</w:t>
            </w:r>
          </w:p>
          <w:p w14:paraId="1D95AB20">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23.基本开户银行情况</w:t>
            </w:r>
          </w:p>
          <w:p w14:paraId="06B6B89B">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24.业绩情况表</w:t>
            </w:r>
          </w:p>
          <w:p w14:paraId="29F13C60">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25.社会保险经办机构出具的投标人为职工缴纳社会保险的单位缴费信息记录</w:t>
            </w:r>
          </w:p>
          <w:p w14:paraId="708B4519">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26.知识产权不侵权承诺函</w:t>
            </w:r>
          </w:p>
          <w:p w14:paraId="38CD6D0D">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27.供应链数字化配合说明</w:t>
            </w:r>
          </w:p>
          <w:p w14:paraId="64AE11E2">
            <w:pPr>
              <w:autoSpaceDE w:val="0"/>
              <w:autoSpaceDN w:val="0"/>
              <w:rPr>
                <w:rFonts w:hint="eastAsia" w:cs="宋体" w:asciiTheme="minorEastAsia" w:hAnsiTheme="minorEastAsia" w:eastAsiaTheme="minorEastAsia"/>
                <w:b/>
                <w:bCs/>
                <w:szCs w:val="21"/>
                <w:highlight w:val="none"/>
              </w:rPr>
            </w:pPr>
            <w:r>
              <w:rPr>
                <w:rFonts w:hint="eastAsia" w:cs="宋体" w:asciiTheme="minorEastAsia" w:hAnsiTheme="minorEastAsia" w:eastAsiaTheme="minorEastAsia"/>
                <w:b/>
                <w:bCs/>
                <w:szCs w:val="21"/>
                <w:highlight w:val="none"/>
              </w:rPr>
              <w:t>第二分册 技术投标文件</w:t>
            </w:r>
          </w:p>
          <w:p w14:paraId="4B7B36A8">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28.技术投标文件封面</w:t>
            </w:r>
          </w:p>
          <w:p w14:paraId="44579EBB">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29.技术服务评审索引表</w:t>
            </w:r>
          </w:p>
          <w:p w14:paraId="76AD85E4">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30.技术规范书偏离表</w:t>
            </w:r>
          </w:p>
          <w:p w14:paraId="1D378C47">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31.技术规范书点对点应答</w:t>
            </w:r>
          </w:p>
          <w:p w14:paraId="7FFDA0E5">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32.技术建议书</w:t>
            </w:r>
          </w:p>
          <w:p w14:paraId="664E7D9A">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33.技术规范书中明确要求投标人提供的其他相关文件</w:t>
            </w:r>
          </w:p>
          <w:p w14:paraId="27860775">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34.外部组件软件成分信息清单模版</w:t>
            </w:r>
          </w:p>
          <w:p w14:paraId="5B81B4A8">
            <w:pPr>
              <w:autoSpaceDE w:val="0"/>
              <w:autoSpaceDN w:val="0"/>
              <w:rPr>
                <w:rFonts w:hint="eastAsia" w:cs="宋体" w:asciiTheme="minorEastAsia" w:hAnsiTheme="minorEastAsia" w:eastAsiaTheme="minorEastAsia"/>
                <w:b/>
                <w:bCs/>
                <w:szCs w:val="21"/>
                <w:highlight w:val="none"/>
              </w:rPr>
            </w:pPr>
            <w:r>
              <w:rPr>
                <w:rFonts w:hint="eastAsia" w:cs="宋体" w:asciiTheme="minorEastAsia" w:hAnsiTheme="minorEastAsia" w:eastAsiaTheme="minorEastAsia"/>
                <w:b/>
                <w:bCs/>
                <w:szCs w:val="21"/>
                <w:highlight w:val="none"/>
              </w:rPr>
              <w:t>第三分册 报价文件</w:t>
            </w:r>
          </w:p>
          <w:p w14:paraId="55512AF7">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35.报价文件封面</w:t>
            </w:r>
          </w:p>
          <w:p w14:paraId="46781DE3">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36.投标一览表</w:t>
            </w:r>
          </w:p>
        </w:tc>
      </w:tr>
      <w:tr w14:paraId="156812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6559F0D">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3.2.2</w:t>
            </w:r>
          </w:p>
        </w:tc>
        <w:tc>
          <w:tcPr>
            <w:tcW w:w="2082" w:type="dxa"/>
            <w:vAlign w:val="center"/>
          </w:tcPr>
          <w:p w14:paraId="53EEBAB3">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投标文件应答和编写</w:t>
            </w:r>
          </w:p>
        </w:tc>
        <w:tc>
          <w:tcPr>
            <w:tcW w:w="5379" w:type="dxa"/>
            <w:vAlign w:val="center"/>
          </w:tcPr>
          <w:p w14:paraId="65262E91">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本条款增加以下规定：</w:t>
            </w:r>
          </w:p>
          <w:p w14:paraId="5C8B92E8">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投标文件应答和编写的具体要求如下：</w:t>
            </w:r>
          </w:p>
          <w:p w14:paraId="7B121C15">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（1）投标人应当按照招标文件的要求编制投标文件，投标文件应当对招标文件提出的实质性要求和条件作出响应。</w:t>
            </w:r>
          </w:p>
          <w:p w14:paraId="47AD2E50">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（2）投标人应当认真阅读招标文件中所有的事项、格式、条款和技术规范等。</w:t>
            </w:r>
          </w:p>
          <w:p w14:paraId="5A2E1F3B">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（3）投标人递交的投标文件以及投标人与招标人就有关投标的所有往来函电均应当使用中文。投标人递交的证明文件和文献可以使用另一种语言，但相应内容应当译成中文，在解释投标文件时以中文译本为准。</w:t>
            </w:r>
          </w:p>
          <w:p w14:paraId="5DC773A2">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投标人为联合体的，投标人除按照上述要求编制外，还应遵守以下要求：</w:t>
            </w:r>
          </w:p>
          <w:p w14:paraId="39892EF2">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所有联合体成员均应提供的文件包括：法定代表人/负责人身份证明、投标人控股及管理关系申报表、廉洁投标承诺书、近年发生的诉讼及仲裁情况、投标人登记注册证明文件，除联合体牵头人外的其它各方均应分别提供并加盖单位公章。</w:t>
            </w:r>
          </w:p>
          <w:p w14:paraId="73EBD2DB">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（2）其他文件的编制要求根据项目实际情况自行细化。</w:t>
            </w:r>
          </w:p>
        </w:tc>
      </w:tr>
      <w:tr w14:paraId="25FCF44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40" w:type="dxa"/>
            <w:vAlign w:val="center"/>
          </w:tcPr>
          <w:p w14:paraId="5849BC97">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3.2.5</w:t>
            </w:r>
          </w:p>
        </w:tc>
        <w:tc>
          <w:tcPr>
            <w:tcW w:w="2082" w:type="dxa"/>
            <w:vAlign w:val="center"/>
          </w:tcPr>
          <w:p w14:paraId="27CC5796">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电子投标文件的编制</w:t>
            </w:r>
          </w:p>
        </w:tc>
        <w:tc>
          <w:tcPr>
            <w:tcW w:w="5379" w:type="dxa"/>
            <w:vAlign w:val="center"/>
          </w:tcPr>
          <w:p w14:paraId="0CF975C2">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投标人需按照如下要求编制电子投标文件：</w:t>
            </w:r>
          </w:p>
          <w:p w14:paraId="249C82DC">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（1）电子投标文件需使用专用制作工具编制，投标人需通过中国电信阳光采购网“操作指引-电子采购-驱动和投标文件制作工具下载指引”模块，按指引下载并安装“中国电信投标文件制作工具”。</w:t>
            </w:r>
          </w:p>
          <w:p w14:paraId="3200974E">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（2）投标文件需按照组成部分分别完成编制，单个组成部分大小不超过50Mb，总容量不超过500Mb。</w:t>
            </w:r>
          </w:p>
          <w:p w14:paraId="6F0D574B">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（3）电子投标文件以及相关证明文件均须清晰可读，明确要求的内容不得遮盖、隐藏，否则视为未提供。</w:t>
            </w:r>
          </w:p>
          <w:p w14:paraId="44C230DF">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（4）电子投标文件须使用投标人CA数字证书签章和加密，未按规定签章和加密的电子投标文件无法上传。</w:t>
            </w:r>
          </w:p>
          <w:p w14:paraId="60008A71">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（5）需投标人与其他第三方共同签字盖章的文件、需联合体各方签字盖章的文件，投标人与其他第三方均应按文件要求进行签字盖章，并上传扫描件，如制造商授权函、联合体协议书等；</w:t>
            </w:r>
          </w:p>
          <w:p w14:paraId="0F9C2350">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仅需第三方签字盖章的文件，投标人应上传经第三方签字盖章后的扫描件，如要求制造商单独提供的网络</w:t>
            </w:r>
            <w:r>
              <w:rPr>
                <w:rFonts w:hint="eastAsia" w:cs="宋体" w:asciiTheme="minorEastAsia" w:hAnsiTheme="minorEastAsia" w:eastAsiaTheme="minorEastAsia"/>
                <w:szCs w:val="21"/>
                <w:highlight w:val="none"/>
                <w:lang w:val="en-US" w:eastAsia="zh-CN"/>
              </w:rPr>
              <w:t>及</w:t>
            </w:r>
            <w:r>
              <w:rPr>
                <w:rFonts w:hint="eastAsia" w:cs="宋体" w:asciiTheme="minorEastAsia" w:hAnsiTheme="minorEastAsia" w:eastAsiaTheme="minorEastAsia"/>
                <w:szCs w:val="21"/>
                <w:highlight w:val="none"/>
              </w:rPr>
              <w:t>信息安全承诺书等；</w:t>
            </w:r>
          </w:p>
          <w:p w14:paraId="4DF8DB00">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解密成功的投标文件中，仅需投标人签字盖章的文件，视为已按招标文件要求进行了签字盖章。</w:t>
            </w:r>
          </w:p>
          <w:p w14:paraId="70B3319A">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6）投标产品制造商注册地在中华人民共和国境外（与中华人民共和国有正常贸易与往来的国家或地区）及香港、澳门、台湾地区，必须使用代理商投标和签订销售合同且无法加盖单位公章的，投标文件中需制造商出具的文件应由有签署权的代表签字确认，并提供委托签署权的相关证明材料。</w:t>
            </w:r>
          </w:p>
          <w:p w14:paraId="1198AFA5">
            <w:pPr>
              <w:autoSpaceDE w:val="0"/>
              <w:autoSpaceDN w:val="0"/>
              <w:jc w:val="left"/>
              <w:rPr>
                <w:rFonts w:hint="eastAsia"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rPr>
              <w:t>（7）投标保证金（如有）以支票、汇票、投标保函、保险等形式递交的，必须递交纸质原件（采用线上开具的情况除外，如：电子保险），且应密封装于独立的信封内，信封上标明“投标保证金”字样，并在封口处加盖单位公章或投标专用章的骑缝章（采用线上开具的情况除外，如：电子保险）</w:t>
            </w:r>
            <w:r>
              <w:rPr>
                <w:rFonts w:hint="eastAsia" w:cs="宋体" w:asciiTheme="minorEastAsia" w:hAnsiTheme="minorEastAsia" w:eastAsiaTheme="minorEastAsia"/>
                <w:szCs w:val="21"/>
                <w:highlight w:val="none"/>
                <w:lang w:val="en-US" w:eastAsia="zh-CN"/>
              </w:rPr>
              <w:t>。</w:t>
            </w:r>
          </w:p>
          <w:p w14:paraId="6BF1EB69">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（8）如业绩等证明文件超出电子投标文件单个组成部分大小限制，须按下方操作：</w:t>
            </w:r>
          </w:p>
          <w:p w14:paraId="72524800">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①投标人须在“中国电信投标文件制作工具”中对应文件位置上传业绩情况表及说明等文件，说明中必须包含“该证明文件超过50Mb，我方承诺在电子采购系统上递交的大附件为真实有效的文件”。</w:t>
            </w:r>
          </w:p>
          <w:p w14:paraId="0180C404">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②该证明文件通过中国电信电子采购系统“投标文件递交-04大附件上传”进行提交。</w:t>
            </w:r>
          </w:p>
        </w:tc>
      </w:tr>
      <w:tr w14:paraId="30C739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CFE1E9A">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3.3.3</w:t>
            </w:r>
          </w:p>
        </w:tc>
        <w:tc>
          <w:tcPr>
            <w:tcW w:w="2082" w:type="dxa"/>
            <w:vAlign w:val="center"/>
          </w:tcPr>
          <w:p w14:paraId="62F96217">
            <w:pPr>
              <w:autoSpaceDE w:val="0"/>
              <w:autoSpaceDN w:val="0"/>
              <w:rPr>
                <w:rFonts w:cs="宋体" w:asciiTheme="minorEastAsia" w:hAnsiTheme="minorEastAsia" w:eastAsiaTheme="minorEastAsia"/>
                <w:szCs w:val="21"/>
                <w:highlight w:val="none"/>
              </w:rPr>
            </w:pPr>
            <w:r>
              <w:rPr>
                <w:rFonts w:hint="eastAsia" w:asciiTheme="minorEastAsia" w:hAnsiTheme="minorEastAsia" w:eastAsiaTheme="minorEastAsia"/>
                <w:highlight w:val="none"/>
              </w:rPr>
              <w:t>最高投标限价或者其计算方法</w:t>
            </w:r>
          </w:p>
        </w:tc>
        <w:tc>
          <w:tcPr>
            <w:tcW w:w="5379" w:type="dxa"/>
            <w:vAlign w:val="center"/>
          </w:tcPr>
          <w:p w14:paraId="55C75C80">
            <w:pPr>
              <w:autoSpaceDE w:val="0"/>
              <w:autoSpaceDN w:val="0"/>
              <w:jc w:val="both"/>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□不设置最高投标限价</w:t>
            </w:r>
          </w:p>
          <w:p w14:paraId="563232E4">
            <w:pPr>
              <w:autoSpaceDE w:val="0"/>
              <w:autoSpaceDN w:val="0"/>
              <w:jc w:val="both"/>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sym w:font="Wingdings" w:char="F0FE"/>
            </w:r>
            <w:r>
              <w:rPr>
                <w:rFonts w:hint="eastAsia" w:cs="宋体" w:asciiTheme="minorEastAsia" w:hAnsiTheme="minorEastAsia" w:eastAsiaTheme="minorEastAsia"/>
                <w:szCs w:val="21"/>
                <w:highlight w:val="none"/>
              </w:rPr>
              <w:t>设置最高投标限价，最高投标限价详见第一章招标公告。</w:t>
            </w:r>
          </w:p>
        </w:tc>
      </w:tr>
      <w:tr w14:paraId="554138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BAA80A6">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3.3.5</w:t>
            </w:r>
          </w:p>
        </w:tc>
        <w:tc>
          <w:tcPr>
            <w:tcW w:w="2082" w:type="dxa"/>
            <w:vAlign w:val="center"/>
          </w:tcPr>
          <w:p w14:paraId="7C2B99F3">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投标报价</w:t>
            </w:r>
            <w:r>
              <w:rPr>
                <w:rFonts w:hint="eastAsia" w:asciiTheme="minorEastAsia" w:hAnsiTheme="minorEastAsia" w:eastAsiaTheme="minorEastAsia"/>
                <w:highlight w:val="none"/>
              </w:rPr>
              <w:t>优惠条件</w:t>
            </w:r>
          </w:p>
        </w:tc>
        <w:tc>
          <w:tcPr>
            <w:tcW w:w="5379" w:type="dxa"/>
            <w:vAlign w:val="center"/>
          </w:tcPr>
          <w:p w14:paraId="14402858">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□报优惠价</w:t>
            </w:r>
          </w:p>
          <w:p w14:paraId="176F3DBE">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sym w:font="Wingdings" w:char="F0FE"/>
            </w:r>
            <w:r>
              <w:rPr>
                <w:rFonts w:hint="eastAsia" w:cs="宋体" w:asciiTheme="minorEastAsia" w:hAnsiTheme="minorEastAsia" w:eastAsiaTheme="minorEastAsia"/>
                <w:szCs w:val="21"/>
                <w:highlight w:val="none"/>
              </w:rPr>
              <w:t>不接受报优惠价</w:t>
            </w:r>
          </w:p>
          <w:p w14:paraId="41CE6647">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□报优惠价的其他方式：【具体方式】</w:t>
            </w:r>
          </w:p>
        </w:tc>
      </w:tr>
      <w:tr w14:paraId="3F4A75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79" w:hRule="atLeast"/>
        </w:trPr>
        <w:tc>
          <w:tcPr>
            <w:tcW w:w="840" w:type="dxa"/>
            <w:vAlign w:val="center"/>
          </w:tcPr>
          <w:p w14:paraId="63E8A0EB">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3.3.6</w:t>
            </w:r>
          </w:p>
        </w:tc>
        <w:tc>
          <w:tcPr>
            <w:tcW w:w="2082" w:type="dxa"/>
            <w:vAlign w:val="center"/>
          </w:tcPr>
          <w:p w14:paraId="35D1A39E">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投标报价具体要求</w:t>
            </w:r>
          </w:p>
        </w:tc>
        <w:tc>
          <w:tcPr>
            <w:tcW w:w="5379" w:type="dxa"/>
            <w:vAlign w:val="center"/>
          </w:tcPr>
          <w:p w14:paraId="4AC335A3">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本条款增加以下规定：</w:t>
            </w:r>
          </w:p>
          <w:p w14:paraId="1541D51B">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投标报价书格式和内容详见第六章中“投标一览表”。</w:t>
            </w:r>
          </w:p>
        </w:tc>
      </w:tr>
      <w:tr w14:paraId="356E65B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5A728F82">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3.4.1</w:t>
            </w:r>
          </w:p>
        </w:tc>
        <w:tc>
          <w:tcPr>
            <w:tcW w:w="2082" w:type="dxa"/>
            <w:vAlign w:val="center"/>
          </w:tcPr>
          <w:p w14:paraId="550BCE9E">
            <w:pPr>
              <w:autoSpaceDE w:val="0"/>
              <w:autoSpaceDN w:val="0"/>
              <w:rPr>
                <w:rFonts w:cs="宋体"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w:t>
            </w:r>
            <w:r>
              <w:rPr>
                <w:rFonts w:hint="eastAsia" w:cs="宋体" w:asciiTheme="minorEastAsia" w:hAnsiTheme="minorEastAsia" w:eastAsiaTheme="minorEastAsia"/>
                <w:szCs w:val="21"/>
                <w:highlight w:val="none"/>
              </w:rPr>
              <w:t>投标有效期</w:t>
            </w:r>
          </w:p>
        </w:tc>
        <w:tc>
          <w:tcPr>
            <w:tcW w:w="5379" w:type="dxa"/>
            <w:vAlign w:val="center"/>
          </w:tcPr>
          <w:p w14:paraId="593A0F35">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投标有效期：120天。</w:t>
            </w:r>
          </w:p>
        </w:tc>
      </w:tr>
      <w:tr w14:paraId="7D75C9B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40" w:type="dxa"/>
            <w:vAlign w:val="center"/>
          </w:tcPr>
          <w:p w14:paraId="61F446E0">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3.5.1</w:t>
            </w:r>
          </w:p>
        </w:tc>
        <w:tc>
          <w:tcPr>
            <w:tcW w:w="2082" w:type="dxa"/>
            <w:vAlign w:val="center"/>
          </w:tcPr>
          <w:p w14:paraId="7EA03E75">
            <w:pPr>
              <w:autoSpaceDE w:val="0"/>
              <w:autoSpaceDN w:val="0"/>
              <w:rPr>
                <w:rFonts w:cs="宋体"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w:t>
            </w:r>
            <w:r>
              <w:rPr>
                <w:rFonts w:hint="eastAsia" w:cs="宋体" w:asciiTheme="minorEastAsia" w:hAnsiTheme="minorEastAsia" w:eastAsiaTheme="minorEastAsia"/>
                <w:szCs w:val="21"/>
                <w:highlight w:val="none"/>
              </w:rPr>
              <w:t>投标保证金</w:t>
            </w:r>
          </w:p>
        </w:tc>
        <w:tc>
          <w:tcPr>
            <w:tcW w:w="5379" w:type="dxa"/>
            <w:vAlign w:val="center"/>
          </w:tcPr>
          <w:p w14:paraId="0D6C6468">
            <w:pPr>
              <w:autoSpaceDE w:val="0"/>
              <w:autoSpaceDN w:val="0"/>
              <w:rPr>
                <w:rFonts w:hint="eastAsia"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rPr>
              <w:sym w:font="Wingdings" w:char="F0FE"/>
            </w:r>
            <w:r>
              <w:rPr>
                <w:rFonts w:hint="eastAsia" w:cs="宋体" w:asciiTheme="minorEastAsia" w:hAnsiTheme="minorEastAsia" w:eastAsiaTheme="minorEastAsia"/>
                <w:szCs w:val="21"/>
                <w:highlight w:val="none"/>
              </w:rPr>
              <w:t>要求递交投标保证金</w:t>
            </w:r>
            <w:r>
              <w:rPr>
                <w:rFonts w:hint="eastAsia" w:cs="宋体" w:asciiTheme="minorEastAsia" w:hAnsiTheme="minorEastAsia" w:eastAsiaTheme="minorEastAsia"/>
                <w:szCs w:val="21"/>
                <w:highlight w:val="none"/>
                <w:lang w:eastAsia="zh-CN"/>
              </w:rPr>
              <w:t>，</w:t>
            </w:r>
            <w:r>
              <w:rPr>
                <w:rFonts w:hint="eastAsia" w:cs="宋体" w:asciiTheme="minorEastAsia" w:hAnsiTheme="minorEastAsia" w:eastAsiaTheme="minorEastAsia"/>
                <w:szCs w:val="21"/>
                <w:highlight w:val="none"/>
              </w:rPr>
              <w:t>投标保证金金额</w:t>
            </w:r>
            <w:r>
              <w:rPr>
                <w:rFonts w:hint="eastAsia" w:cs="宋体" w:asciiTheme="minorEastAsia" w:hAnsiTheme="minorEastAsia" w:eastAsiaTheme="minorEastAsia"/>
                <w:szCs w:val="21"/>
                <w:highlight w:val="none"/>
                <w:lang w:val="en-US" w:eastAsia="zh-CN"/>
              </w:rPr>
              <w:t>如下</w:t>
            </w:r>
            <w:r>
              <w:rPr>
                <w:rFonts w:hint="eastAsia" w:cs="宋体" w:asciiTheme="minorEastAsia" w:hAnsiTheme="minorEastAsia" w:eastAsiaTheme="minorEastAsia"/>
                <w:szCs w:val="21"/>
                <w:highlight w:val="none"/>
              </w:rPr>
              <w:t>：</w:t>
            </w:r>
            <w:r>
              <w:rPr>
                <w:rFonts w:hint="eastAsia" w:cs="宋体" w:asciiTheme="minorEastAsia" w:hAnsiTheme="minorEastAsia" w:eastAsiaTheme="minorEastAsia"/>
                <w:szCs w:val="21"/>
                <w:highlight w:val="none"/>
                <w:lang w:val="en-US" w:eastAsia="zh-CN"/>
              </w:rPr>
              <w:t>人民币10100元</w:t>
            </w:r>
          </w:p>
          <w:p w14:paraId="42929A57">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□无需递交投标保证金</w:t>
            </w:r>
          </w:p>
        </w:tc>
      </w:tr>
      <w:tr w14:paraId="13AE93E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40" w:type="dxa"/>
            <w:vAlign w:val="center"/>
          </w:tcPr>
          <w:p w14:paraId="2B9B8CBC">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3.5</w:t>
            </w:r>
            <w:r>
              <w:rPr>
                <w:rFonts w:cs="宋体" w:asciiTheme="minorEastAsia" w:hAnsiTheme="minorEastAsia" w:eastAsiaTheme="minorEastAsia"/>
                <w:szCs w:val="21"/>
                <w:highlight w:val="none"/>
              </w:rPr>
              <w:t>.</w:t>
            </w:r>
            <w:r>
              <w:rPr>
                <w:rFonts w:hint="eastAsia" w:cs="宋体" w:asciiTheme="minorEastAsia" w:hAnsiTheme="minorEastAsia" w:eastAsiaTheme="minorEastAsia"/>
                <w:szCs w:val="21"/>
                <w:highlight w:val="none"/>
              </w:rPr>
              <w:t>2</w:t>
            </w:r>
          </w:p>
        </w:tc>
        <w:tc>
          <w:tcPr>
            <w:tcW w:w="2082" w:type="dxa"/>
            <w:vAlign w:val="center"/>
          </w:tcPr>
          <w:p w14:paraId="44DA5A7A">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投标保证金形式</w:t>
            </w:r>
          </w:p>
        </w:tc>
        <w:tc>
          <w:tcPr>
            <w:tcW w:w="5379" w:type="dxa"/>
            <w:vAlign w:val="center"/>
          </w:tcPr>
          <w:p w14:paraId="2AB22856">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投标保证金形式包括在中国注册的银行出具的银行保函、银行汇款、支票、汇票以及其他在中国注册的机构依法出具的投标保函、保险等，以银行汇款、支票、汇票等形式提交的投标保证金应当从投标人账户转出</w:t>
            </w:r>
          </w:p>
          <w:p w14:paraId="74925BA4">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以银行汇款等形式提交投标保证金的，投标保证金缴纳至如下账户：</w:t>
            </w:r>
          </w:p>
          <w:p w14:paraId="2EBA8AF2">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 xml:space="preserve">开户银行：中信银行股份有限公司贵阳林城西路支行  </w:t>
            </w:r>
          </w:p>
          <w:p w14:paraId="741261B4">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 xml:space="preserve">银行账号：8113201012700144272 </w:t>
            </w:r>
          </w:p>
          <w:p w14:paraId="1912BA3F">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开户名称：中通服供应链股份有限公司贵州分公司</w:t>
            </w:r>
          </w:p>
          <w:p w14:paraId="47EBC59E">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以银行保函、投标保函、保险形式提交投标保证金的，保函、保险中应当写明受益人为[</w:t>
            </w:r>
            <w:r>
              <w:rPr>
                <w:rFonts w:hint="eastAsia" w:cs="宋体" w:asciiTheme="minorEastAsia" w:hAnsiTheme="minorEastAsia" w:eastAsiaTheme="minorEastAsia"/>
                <w:szCs w:val="21"/>
                <w:highlight w:val="none"/>
                <w:lang w:eastAsia="zh-CN"/>
              </w:rPr>
              <w:t>中国电信股份有限公司遵义分公司</w:t>
            </w:r>
            <w:r>
              <w:rPr>
                <w:rFonts w:hint="eastAsia" w:cs="宋体" w:asciiTheme="minorEastAsia" w:hAnsiTheme="minorEastAsia" w:eastAsiaTheme="minorEastAsia"/>
                <w:szCs w:val="21"/>
                <w:highlight w:val="none"/>
              </w:rPr>
              <w:t>]，担保项目为</w:t>
            </w:r>
            <w:r>
              <w:rPr>
                <w:rFonts w:hint="eastAsia" w:cs="宋体" w:asciiTheme="minorEastAsia" w:hAnsiTheme="minorEastAsia" w:eastAsiaTheme="minorEastAsia"/>
                <w:szCs w:val="21"/>
                <w:highlight w:val="none"/>
                <w:u w:val="single"/>
                <w:lang w:eastAsia="zh-CN"/>
              </w:rPr>
              <w:t>2025年中国电信遵义分公司数据库框架物资采购（</w:t>
            </w:r>
            <w:r>
              <w:rPr>
                <w:rFonts w:hint="eastAsia" w:cs="宋体" w:asciiTheme="minorEastAsia" w:hAnsiTheme="minorEastAsia" w:eastAsiaTheme="minorEastAsia"/>
                <w:szCs w:val="21"/>
                <w:highlight w:val="none"/>
                <w:u w:val="single"/>
                <w:lang w:val="en-US" w:eastAsia="zh-CN"/>
              </w:rPr>
              <w:t>标包2）</w:t>
            </w:r>
            <w:r>
              <w:rPr>
                <w:rFonts w:hint="eastAsia" w:cs="宋体" w:asciiTheme="minorEastAsia" w:hAnsiTheme="minorEastAsia" w:eastAsiaTheme="minorEastAsia"/>
                <w:szCs w:val="21"/>
                <w:highlight w:val="none"/>
              </w:rPr>
              <w:t>，担保有效期应覆盖投标有效期。保函、保险原件等应作为投标文件在投标截止时间前提交到：具体地址：</w:t>
            </w:r>
            <w:r>
              <w:rPr>
                <w:rFonts w:hint="eastAsia" w:cs="宋体" w:asciiTheme="minorEastAsia" w:hAnsiTheme="minorEastAsia" w:eastAsiaTheme="minorEastAsia"/>
                <w:szCs w:val="21"/>
                <w:highlight w:val="none"/>
                <w:u w:val="single"/>
                <w:lang w:val="en-US" w:eastAsia="zh-CN"/>
              </w:rPr>
              <w:t>遵义市大兴路249号中国电信遵义分公司采购中心209会议室</w:t>
            </w:r>
            <w:r>
              <w:rPr>
                <w:rFonts w:hint="eastAsia" w:cs="宋体" w:asciiTheme="minorEastAsia" w:hAnsiTheme="minorEastAsia" w:eastAsiaTheme="minorEastAsia"/>
                <w:szCs w:val="21"/>
                <w:highlight w:val="none"/>
                <w:u w:val="single"/>
              </w:rPr>
              <w:t>。</w:t>
            </w:r>
          </w:p>
        </w:tc>
      </w:tr>
      <w:tr w14:paraId="612B69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4ACDBC3">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3.5.4</w:t>
            </w:r>
          </w:p>
        </w:tc>
        <w:tc>
          <w:tcPr>
            <w:tcW w:w="2082" w:type="dxa"/>
            <w:vAlign w:val="center"/>
          </w:tcPr>
          <w:p w14:paraId="2243984C">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投标保证金不予退还的其他规定</w:t>
            </w:r>
          </w:p>
        </w:tc>
        <w:tc>
          <w:tcPr>
            <w:tcW w:w="5379" w:type="dxa"/>
            <w:vAlign w:val="center"/>
          </w:tcPr>
          <w:p w14:paraId="08A30025">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本条款增加以下规定：</w:t>
            </w:r>
          </w:p>
          <w:p w14:paraId="6F63E1E8">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（1）投标人在招标文件中规定的投标有效期内撤销投标的；</w:t>
            </w:r>
          </w:p>
          <w:p w14:paraId="6BC7A0F3">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（2）中标人无正当理由不与招标人在规定期限内订立合同、在签订合同时向招标人提出附加条件，或者不按照招标文件要求递交履约保证金的；</w:t>
            </w:r>
          </w:p>
          <w:p w14:paraId="13AF0149">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（3）投标人有串通投标、弄虚作假等行为的。</w:t>
            </w:r>
          </w:p>
        </w:tc>
      </w:tr>
      <w:tr w14:paraId="13CFE4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246E33B">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3.6.1</w:t>
            </w:r>
          </w:p>
        </w:tc>
        <w:tc>
          <w:tcPr>
            <w:tcW w:w="2082" w:type="dxa"/>
            <w:vAlign w:val="center"/>
          </w:tcPr>
          <w:p w14:paraId="7B6FDB64">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备选投标方案</w:t>
            </w:r>
          </w:p>
        </w:tc>
        <w:tc>
          <w:tcPr>
            <w:tcW w:w="5379" w:type="dxa"/>
            <w:vAlign w:val="center"/>
          </w:tcPr>
          <w:p w14:paraId="206BEC66">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sym w:font="Wingdings" w:char="F0FE"/>
            </w:r>
            <w:r>
              <w:rPr>
                <w:rFonts w:hint="eastAsia" w:cs="宋体" w:asciiTheme="minorEastAsia" w:hAnsiTheme="minorEastAsia" w:eastAsiaTheme="minorEastAsia"/>
                <w:szCs w:val="21"/>
                <w:highlight w:val="none"/>
              </w:rPr>
              <w:t>不允许</w:t>
            </w:r>
          </w:p>
          <w:p w14:paraId="37D62AD0">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lang w:eastAsia="zh-CN"/>
              </w:rPr>
              <w:t>□</w:t>
            </w:r>
            <w:r>
              <w:rPr>
                <w:rFonts w:hint="eastAsia" w:cs="宋体" w:asciiTheme="minorEastAsia" w:hAnsiTheme="minorEastAsia" w:eastAsiaTheme="minorEastAsia"/>
                <w:szCs w:val="21"/>
                <w:highlight w:val="none"/>
              </w:rPr>
              <w:t>允许</w:t>
            </w:r>
          </w:p>
          <w:p w14:paraId="1ED639FF">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[按照项目具体要求进行勾选]</w:t>
            </w:r>
          </w:p>
        </w:tc>
      </w:tr>
      <w:tr w14:paraId="324AE60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432B618">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3.7.1</w:t>
            </w:r>
          </w:p>
        </w:tc>
        <w:tc>
          <w:tcPr>
            <w:tcW w:w="2082" w:type="dxa"/>
            <w:vAlign w:val="center"/>
          </w:tcPr>
          <w:p w14:paraId="1B13D20F">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投标文件份数</w:t>
            </w:r>
          </w:p>
        </w:tc>
        <w:tc>
          <w:tcPr>
            <w:tcW w:w="5379" w:type="dxa"/>
            <w:vAlign w:val="center"/>
          </w:tcPr>
          <w:p w14:paraId="7C172B27">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投标文件形式和份数：经电子采购系统成功上传的加密电子投标文件一份。</w:t>
            </w:r>
          </w:p>
        </w:tc>
      </w:tr>
      <w:tr w14:paraId="38FB27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63" w:hRule="atLeast"/>
        </w:trPr>
        <w:tc>
          <w:tcPr>
            <w:tcW w:w="840" w:type="dxa"/>
            <w:vAlign w:val="center"/>
          </w:tcPr>
          <w:p w14:paraId="3530A263">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3.8</w:t>
            </w:r>
          </w:p>
        </w:tc>
        <w:tc>
          <w:tcPr>
            <w:tcW w:w="2082" w:type="dxa"/>
            <w:vAlign w:val="center"/>
          </w:tcPr>
          <w:p w14:paraId="718AB03A">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电子招标的投标文件上传形式</w:t>
            </w:r>
          </w:p>
        </w:tc>
        <w:tc>
          <w:tcPr>
            <w:tcW w:w="5379" w:type="dxa"/>
            <w:vAlign w:val="center"/>
          </w:tcPr>
          <w:p w14:paraId="59E66D7D">
            <w:pPr>
              <w:rPr>
                <w:rFonts w:cs="宋体" w:asciiTheme="minorEastAsia" w:hAnsiTheme="minorEastAsia" w:eastAsiaTheme="minorEastAsia"/>
                <w:szCs w:val="21"/>
                <w:highlight w:val="none"/>
              </w:rPr>
            </w:pPr>
            <w:r>
              <w:rPr>
                <w:rFonts w:hint="eastAsia" w:asciiTheme="minorEastAsia" w:hAnsiTheme="minorEastAsia" w:eastAsiaTheme="minorEastAsia"/>
                <w:highlight w:val="none"/>
              </w:rPr>
              <w:t>投标人</w:t>
            </w:r>
            <w:r>
              <w:rPr>
                <w:rFonts w:hint="eastAsia" w:asciiTheme="minorEastAsia" w:hAnsiTheme="minorEastAsia" w:eastAsiaTheme="minorEastAsia"/>
                <w:kern w:val="0"/>
                <w:highlight w:val="none"/>
              </w:rPr>
              <w:t>须</w:t>
            </w:r>
            <w:r>
              <w:rPr>
                <w:rFonts w:hint="eastAsia" w:asciiTheme="minorEastAsia" w:hAnsiTheme="minorEastAsia" w:eastAsiaTheme="minorEastAsia"/>
                <w:highlight w:val="none"/>
              </w:rPr>
              <w:t>进入【</w:t>
            </w:r>
            <w:r>
              <w:rPr>
                <w:rFonts w:hint="eastAsia" w:asciiTheme="minorEastAsia" w:hAnsiTheme="minorEastAsia" w:eastAsiaTheme="minorEastAsia"/>
                <w:szCs w:val="21"/>
                <w:highlight w:val="none"/>
                <w:u w:val="single"/>
              </w:rPr>
              <w:t>中国电信电子采购系统】</w:t>
            </w:r>
            <w:r>
              <w:rPr>
                <w:rFonts w:hint="eastAsia" w:asciiTheme="minorEastAsia" w:hAnsiTheme="minorEastAsia" w:eastAsiaTheme="minorEastAsia"/>
                <w:highlight w:val="none"/>
              </w:rPr>
              <w:t>在投标截止时间前上传加密电子投标文件。投标人可进入电子采购系统查看电子投标文件上传结果，同时可在开标前进行</w:t>
            </w:r>
            <w:r>
              <w:rPr>
                <w:rFonts w:asciiTheme="minorEastAsia" w:hAnsiTheme="minorEastAsia" w:eastAsiaTheme="minorEastAsia"/>
                <w:highlight w:val="none"/>
              </w:rPr>
              <w:t>CA证书</w:t>
            </w:r>
            <w:r>
              <w:rPr>
                <w:rFonts w:hint="eastAsia" w:asciiTheme="minorEastAsia" w:hAnsiTheme="minorEastAsia" w:eastAsiaTheme="minorEastAsia"/>
                <w:highlight w:val="none"/>
              </w:rPr>
              <w:t>匹配验证。</w:t>
            </w:r>
          </w:p>
        </w:tc>
      </w:tr>
      <w:tr w14:paraId="70155F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6E90166">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4.1.1</w:t>
            </w:r>
          </w:p>
        </w:tc>
        <w:tc>
          <w:tcPr>
            <w:tcW w:w="2082" w:type="dxa"/>
            <w:vAlign w:val="center"/>
          </w:tcPr>
          <w:p w14:paraId="51E1BC6E">
            <w:pPr>
              <w:autoSpaceDE w:val="0"/>
              <w:autoSpaceDN w:val="0"/>
              <w:rPr>
                <w:rFonts w:cs="宋体" w:asciiTheme="minorEastAsia" w:hAnsiTheme="minorEastAsia" w:eastAsiaTheme="minorEastAsia"/>
                <w:szCs w:val="21"/>
                <w:highlight w:val="none"/>
              </w:rPr>
            </w:pPr>
            <w:r>
              <w:rPr>
                <w:rFonts w:hint="eastAsia" w:asciiTheme="minorEastAsia" w:hAnsiTheme="minorEastAsia" w:eastAsiaTheme="minorEastAsia"/>
                <w:highlight w:val="none"/>
              </w:rPr>
              <w:t>投标文件递交截止时间</w:t>
            </w:r>
          </w:p>
        </w:tc>
        <w:tc>
          <w:tcPr>
            <w:tcW w:w="5379" w:type="dxa"/>
            <w:vAlign w:val="center"/>
          </w:tcPr>
          <w:p w14:paraId="1D2B3CE0">
            <w:pPr>
              <w:autoSpaceDE w:val="0"/>
              <w:autoSpaceDN w:val="0"/>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详见第一章“招标公告”，为确保加密电子投标文件顺利上传至中国电信电子采购系统，请预留足够时间。</w:t>
            </w:r>
          </w:p>
        </w:tc>
      </w:tr>
      <w:tr w14:paraId="583CF59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F82ACD4">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4.1.2</w:t>
            </w:r>
          </w:p>
        </w:tc>
        <w:tc>
          <w:tcPr>
            <w:tcW w:w="2082" w:type="dxa"/>
            <w:vAlign w:val="center"/>
          </w:tcPr>
          <w:p w14:paraId="1E3F7893">
            <w:pPr>
              <w:autoSpaceDE w:val="0"/>
              <w:autoSpaceDN w:val="0"/>
              <w:rPr>
                <w:rFonts w:asciiTheme="minorEastAsia" w:hAnsiTheme="minorEastAsia" w:eastAsiaTheme="minorEastAsia"/>
                <w:highlight w:val="none"/>
              </w:rPr>
            </w:pPr>
            <w:r>
              <w:rPr>
                <w:rFonts w:hint="eastAsia" w:asciiTheme="minorEastAsia" w:hAnsiTheme="minorEastAsia" w:eastAsiaTheme="minorEastAsia"/>
                <w:highlight w:val="none"/>
              </w:rPr>
              <w:t>投标文件递交地点</w:t>
            </w:r>
          </w:p>
        </w:tc>
        <w:tc>
          <w:tcPr>
            <w:tcW w:w="5379" w:type="dxa"/>
            <w:vAlign w:val="center"/>
          </w:tcPr>
          <w:p w14:paraId="546F47B1">
            <w:pPr>
              <w:autoSpaceDE w:val="0"/>
              <w:autoSpaceDN w:val="0"/>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通过中国电信电子采购系统递交。</w:t>
            </w:r>
          </w:p>
        </w:tc>
      </w:tr>
      <w:tr w14:paraId="239AD1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0A4F5E7">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4.1.3</w:t>
            </w:r>
          </w:p>
        </w:tc>
        <w:tc>
          <w:tcPr>
            <w:tcW w:w="2082" w:type="dxa"/>
            <w:vAlign w:val="center"/>
          </w:tcPr>
          <w:p w14:paraId="6BD1460C">
            <w:pPr>
              <w:rPr>
                <w:rFonts w:asciiTheme="minorEastAsia" w:hAnsiTheme="minorEastAsia" w:eastAsiaTheme="minorEastAsia"/>
                <w:highlight w:val="none"/>
              </w:rPr>
            </w:pPr>
            <w:r>
              <w:rPr>
                <w:rFonts w:hint="eastAsia" w:asciiTheme="minorEastAsia" w:hAnsiTheme="minorEastAsia" w:eastAsiaTheme="minorEastAsia"/>
                <w:highlight w:val="none"/>
              </w:rPr>
              <w:t>投标文件签收凭证</w:t>
            </w:r>
          </w:p>
        </w:tc>
        <w:tc>
          <w:tcPr>
            <w:tcW w:w="5379" w:type="dxa"/>
            <w:vAlign w:val="center"/>
          </w:tcPr>
          <w:p w14:paraId="5304643B">
            <w:pPr>
              <w:autoSpaceDE w:val="0"/>
              <w:autoSpaceDN w:val="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投标人通过电子采购系统上传加密电子投标文件后，</w:t>
            </w:r>
            <w:r>
              <w:rPr>
                <w:rFonts w:hint="eastAsia" w:asciiTheme="minorEastAsia" w:hAnsiTheme="minorEastAsia" w:eastAsiaTheme="minorEastAsia"/>
                <w:highlight w:val="none"/>
              </w:rPr>
              <w:t>电子采购系统</w:t>
            </w:r>
            <w:r>
              <w:rPr>
                <w:rFonts w:hint="eastAsia" w:asciiTheme="minorEastAsia" w:hAnsiTheme="minorEastAsia" w:eastAsiaTheme="minorEastAsia"/>
                <w:szCs w:val="21"/>
                <w:highlight w:val="none"/>
              </w:rPr>
              <w:t>反馈投标文件上传结果。</w:t>
            </w:r>
          </w:p>
        </w:tc>
      </w:tr>
      <w:tr w14:paraId="1899DE8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B2C212A">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4.1.4</w:t>
            </w:r>
          </w:p>
        </w:tc>
        <w:tc>
          <w:tcPr>
            <w:tcW w:w="2082" w:type="dxa"/>
            <w:vAlign w:val="center"/>
          </w:tcPr>
          <w:p w14:paraId="2001339F">
            <w:pPr>
              <w:autoSpaceDE w:val="0"/>
              <w:autoSpaceDN w:val="0"/>
              <w:rPr>
                <w:rFonts w:asciiTheme="minorEastAsia" w:hAnsiTheme="minorEastAsia" w:eastAsiaTheme="minorEastAsia"/>
                <w:highlight w:val="none"/>
              </w:rPr>
            </w:pPr>
            <w:r>
              <w:rPr>
                <w:rFonts w:hint="eastAsia" w:asciiTheme="minorEastAsia" w:hAnsiTheme="minorEastAsia" w:eastAsiaTheme="minorEastAsia"/>
                <w:highlight w:val="none"/>
              </w:rPr>
              <w:t>投标文件退还</w:t>
            </w:r>
          </w:p>
        </w:tc>
        <w:tc>
          <w:tcPr>
            <w:tcW w:w="5379" w:type="dxa"/>
            <w:vAlign w:val="center"/>
          </w:tcPr>
          <w:p w14:paraId="004D8D0F">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sym w:font="Wingdings" w:char="F0FE"/>
            </w:r>
            <w:r>
              <w:rPr>
                <w:rFonts w:hint="eastAsia" w:cs="宋体" w:asciiTheme="minorEastAsia" w:hAnsiTheme="minorEastAsia" w:eastAsiaTheme="minorEastAsia"/>
                <w:szCs w:val="21"/>
                <w:highlight w:val="none"/>
              </w:rPr>
              <w:t>不退还</w:t>
            </w:r>
          </w:p>
          <w:p w14:paraId="26746EF1">
            <w:pPr>
              <w:autoSpaceDE w:val="0"/>
              <w:autoSpaceDN w:val="0"/>
              <w:rPr>
                <w:rFonts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□退还，</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投标文件退还的具体要求</w:t>
            </w:r>
            <w:r>
              <w:rPr>
                <w:rFonts w:hint="eastAsia" w:asciiTheme="minorEastAsia" w:hAnsiTheme="minorEastAsia" w:eastAsiaTheme="minorEastAsia"/>
                <w:szCs w:val="21"/>
                <w:highlight w:val="none"/>
              </w:rPr>
              <w:t>】</w:t>
            </w:r>
          </w:p>
        </w:tc>
      </w:tr>
      <w:tr w14:paraId="50386AE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444D603">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4.1.6</w:t>
            </w:r>
          </w:p>
        </w:tc>
        <w:tc>
          <w:tcPr>
            <w:tcW w:w="2082" w:type="dxa"/>
            <w:vAlign w:val="center"/>
          </w:tcPr>
          <w:p w14:paraId="7780BA96">
            <w:pPr>
              <w:autoSpaceDE w:val="0"/>
              <w:autoSpaceDN w:val="0"/>
              <w:rPr>
                <w:rFonts w:asciiTheme="minorEastAsia" w:hAnsiTheme="minorEastAsia" w:eastAsiaTheme="minorEastAsia"/>
                <w:highlight w:val="none"/>
              </w:rPr>
            </w:pPr>
            <w:r>
              <w:rPr>
                <w:rFonts w:hint="eastAsia" w:cs="宋体" w:asciiTheme="minorEastAsia" w:hAnsiTheme="minorEastAsia" w:eastAsiaTheme="minorEastAsia"/>
                <w:szCs w:val="21"/>
                <w:highlight w:val="none"/>
              </w:rPr>
              <w:t>电子招标投标文件递交异常的处理方式</w:t>
            </w:r>
          </w:p>
        </w:tc>
        <w:tc>
          <w:tcPr>
            <w:tcW w:w="5379" w:type="dxa"/>
            <w:vAlign w:val="center"/>
          </w:tcPr>
          <w:p w14:paraId="43FAAFA0">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人应当在投标截止时间前完成投标文件的上传，并可以补充、修改或者撤回投标文件。投标截止时间前未完成投标文件上传的，视为撤回投标文件。投标截止时间后送达的投标文件，中国电信电子采购系统应当拒收。</w:t>
            </w:r>
          </w:p>
        </w:tc>
      </w:tr>
      <w:tr w14:paraId="5679150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0546BD9">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4.2.1</w:t>
            </w:r>
          </w:p>
        </w:tc>
        <w:tc>
          <w:tcPr>
            <w:tcW w:w="2082" w:type="dxa"/>
            <w:vAlign w:val="center"/>
          </w:tcPr>
          <w:p w14:paraId="76F2BB02">
            <w:pPr>
              <w:autoSpaceDE w:val="0"/>
              <w:autoSpaceDN w:val="0"/>
              <w:rPr>
                <w:rFonts w:cs="宋体" w:asciiTheme="minorEastAsia" w:hAnsiTheme="minorEastAsia" w:eastAsiaTheme="minorEastAsia"/>
                <w:szCs w:val="21"/>
                <w:highlight w:val="none"/>
              </w:rPr>
            </w:pPr>
            <w:r>
              <w:rPr>
                <w:rFonts w:hint="eastAsia" w:asciiTheme="minorEastAsia" w:hAnsiTheme="minorEastAsia" w:eastAsiaTheme="minorEastAsia"/>
                <w:highlight w:val="none"/>
              </w:rPr>
              <w:t>已递交的投标文件的修改或者撤回</w:t>
            </w:r>
          </w:p>
        </w:tc>
        <w:tc>
          <w:tcPr>
            <w:tcW w:w="5379" w:type="dxa"/>
            <w:vAlign w:val="center"/>
          </w:tcPr>
          <w:p w14:paraId="41DEA2C1">
            <w:pPr>
              <w:autoSpaceDE w:val="0"/>
              <w:autoSpaceDN w:val="0"/>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投标人可以自行进入</w:t>
            </w:r>
            <w:r>
              <w:rPr>
                <w:rFonts w:hint="eastAsia" w:asciiTheme="minorEastAsia" w:hAnsiTheme="minorEastAsia" w:eastAsiaTheme="minorEastAsia"/>
                <w:highlight w:val="none"/>
              </w:rPr>
              <w:t>电子采购系统</w:t>
            </w:r>
            <w:r>
              <w:rPr>
                <w:rFonts w:hint="eastAsia" w:asciiTheme="minorEastAsia" w:hAnsiTheme="minorEastAsia" w:eastAsiaTheme="minorEastAsia"/>
                <w:szCs w:val="21"/>
                <w:highlight w:val="none"/>
              </w:rPr>
              <w:t>撤回电子投标文件，</w:t>
            </w:r>
            <w:r>
              <w:rPr>
                <w:rFonts w:hint="eastAsia" w:asciiTheme="minorEastAsia" w:hAnsiTheme="minorEastAsia" w:eastAsiaTheme="minorEastAsia"/>
                <w:highlight w:val="none"/>
              </w:rPr>
              <w:t>电子采购系统</w:t>
            </w:r>
            <w:r>
              <w:rPr>
                <w:rFonts w:hint="eastAsia" w:asciiTheme="minorEastAsia" w:hAnsiTheme="minorEastAsia" w:eastAsiaTheme="minorEastAsia"/>
                <w:szCs w:val="21"/>
                <w:highlight w:val="none"/>
              </w:rPr>
              <w:t>将已上传电子投标文件删除，投标人可重新上传电子投标文件。</w:t>
            </w:r>
          </w:p>
        </w:tc>
      </w:tr>
      <w:tr w14:paraId="0C5D2B4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4223321">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5.1</w:t>
            </w:r>
          </w:p>
        </w:tc>
        <w:tc>
          <w:tcPr>
            <w:tcW w:w="2082" w:type="dxa"/>
            <w:vAlign w:val="center"/>
          </w:tcPr>
          <w:p w14:paraId="195BB5E7">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开标时间和地点</w:t>
            </w:r>
          </w:p>
        </w:tc>
        <w:tc>
          <w:tcPr>
            <w:tcW w:w="5379" w:type="dxa"/>
            <w:vAlign w:val="center"/>
          </w:tcPr>
          <w:p w14:paraId="08D6BDB6">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投标文件递交截止同一时间通过中国电信电子采购系统开标。</w:t>
            </w:r>
          </w:p>
        </w:tc>
      </w:tr>
      <w:tr w14:paraId="60D397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EDB2D0A">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5.3</w:t>
            </w:r>
          </w:p>
        </w:tc>
        <w:tc>
          <w:tcPr>
            <w:tcW w:w="2082" w:type="dxa"/>
            <w:vAlign w:val="center"/>
          </w:tcPr>
          <w:p w14:paraId="35AA5AE5">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开标现场的异议</w:t>
            </w:r>
          </w:p>
        </w:tc>
        <w:tc>
          <w:tcPr>
            <w:tcW w:w="5379" w:type="dxa"/>
            <w:vAlign w:val="center"/>
          </w:tcPr>
          <w:p w14:paraId="5B528F22">
            <w:pPr>
              <w:autoSpaceDE w:val="0"/>
              <w:autoSpaceDN w:val="0"/>
              <w:rPr>
                <w:rFonts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在开标时通过中国电信电子采购系统开标大厅“提出异议”模块提出。</w:t>
            </w:r>
          </w:p>
        </w:tc>
      </w:tr>
      <w:tr w14:paraId="515DEF6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CE48BAF">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5.4</w:t>
            </w:r>
          </w:p>
        </w:tc>
        <w:tc>
          <w:tcPr>
            <w:tcW w:w="2082" w:type="dxa"/>
            <w:vAlign w:val="center"/>
          </w:tcPr>
          <w:p w14:paraId="4B296134">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电子招标开标的其他要求及异常处理</w:t>
            </w:r>
          </w:p>
        </w:tc>
        <w:tc>
          <w:tcPr>
            <w:tcW w:w="5379" w:type="dxa"/>
            <w:vAlign w:val="center"/>
          </w:tcPr>
          <w:p w14:paraId="27F6DD92">
            <w:pPr>
              <w:autoSpaceDE w:val="0"/>
              <w:autoSpaceDN w:val="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电子投标文件由</w:t>
            </w:r>
            <w:r>
              <w:rPr>
                <w:rFonts w:hint="eastAsia" w:cs="宋体" w:asciiTheme="minorEastAsia" w:hAnsiTheme="minorEastAsia" w:eastAsiaTheme="minorEastAsia"/>
                <w:szCs w:val="21"/>
                <w:highlight w:val="none"/>
              </w:rPr>
              <w:t>招标人/招标代理机构在递交截止时间后统一解密，投标人无需进行解密操作。因投标人原因造成投标文件未解密的，视为撤销其投标文件；因投标人之外的原因造成投标文件未解密的，视为撤回其投标文件。部分投标人的投标文件未解密的，其他投标人的投标文件的开标可以继续进行。</w:t>
            </w:r>
          </w:p>
        </w:tc>
      </w:tr>
      <w:tr w14:paraId="48E053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266A6E8">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6.1.1</w:t>
            </w:r>
          </w:p>
        </w:tc>
        <w:tc>
          <w:tcPr>
            <w:tcW w:w="2082" w:type="dxa"/>
            <w:vAlign w:val="center"/>
          </w:tcPr>
          <w:p w14:paraId="275E844A">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评标委员会组成人数</w:t>
            </w:r>
          </w:p>
        </w:tc>
        <w:tc>
          <w:tcPr>
            <w:tcW w:w="5379" w:type="dxa"/>
            <w:vAlign w:val="center"/>
          </w:tcPr>
          <w:p w14:paraId="66FA904E">
            <w:pPr>
              <w:autoSpaceDE w:val="0"/>
              <w:autoSpaceDN w:val="0"/>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5</w:t>
            </w:r>
            <w:r>
              <w:rPr>
                <w:rFonts w:hint="eastAsia" w:cs="宋体" w:asciiTheme="minorEastAsia" w:hAnsiTheme="minorEastAsia" w:eastAsiaTheme="minorEastAsia"/>
                <w:szCs w:val="21"/>
                <w:highlight w:val="none"/>
              </w:rPr>
              <w:t>人。</w:t>
            </w:r>
          </w:p>
        </w:tc>
      </w:tr>
      <w:tr w14:paraId="4644DE3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71A761C">
            <w:pPr>
              <w:autoSpaceDE w:val="0"/>
              <w:autoSpaceDN w:val="0"/>
              <w:jc w:val="center"/>
              <w:rPr>
                <w:rFonts w:hint="default"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rPr>
              <w:t>6.3</w:t>
            </w:r>
            <w:r>
              <w:rPr>
                <w:rFonts w:hint="eastAsia" w:cs="宋体" w:asciiTheme="minorEastAsia" w:hAnsiTheme="minorEastAsia" w:eastAsiaTheme="minorEastAsia"/>
                <w:szCs w:val="21"/>
                <w:highlight w:val="none"/>
                <w:lang w:val="en-US" w:eastAsia="zh-CN"/>
              </w:rPr>
              <w:t>.1</w:t>
            </w:r>
          </w:p>
        </w:tc>
        <w:tc>
          <w:tcPr>
            <w:tcW w:w="2082" w:type="dxa"/>
            <w:vAlign w:val="center"/>
          </w:tcPr>
          <w:p w14:paraId="532F1B8A">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评标方法</w:t>
            </w:r>
          </w:p>
        </w:tc>
        <w:tc>
          <w:tcPr>
            <w:tcW w:w="5379" w:type="dxa"/>
            <w:vAlign w:val="center"/>
          </w:tcPr>
          <w:p w14:paraId="4ACCAC1B">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□经评审的最低投标价法</w:t>
            </w:r>
          </w:p>
          <w:p w14:paraId="7F4691E7">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sym w:font="Wingdings" w:char="F0FE"/>
            </w:r>
            <w:r>
              <w:rPr>
                <w:rFonts w:hint="eastAsia" w:cs="宋体" w:asciiTheme="minorEastAsia" w:hAnsiTheme="minorEastAsia" w:eastAsiaTheme="minorEastAsia"/>
                <w:szCs w:val="21"/>
                <w:highlight w:val="none"/>
              </w:rPr>
              <w:t>综合评估法</w:t>
            </w:r>
          </w:p>
          <w:p w14:paraId="6CA9A1FC">
            <w:pPr>
              <w:autoSpaceDE w:val="0"/>
              <w:autoSpaceDN w:val="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□其他：</w:t>
            </w:r>
          </w:p>
        </w:tc>
      </w:tr>
      <w:tr w14:paraId="2E16C18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311CCAB">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 xml:space="preserve">6.4 </w:t>
            </w:r>
          </w:p>
        </w:tc>
        <w:tc>
          <w:tcPr>
            <w:tcW w:w="2082" w:type="dxa"/>
            <w:vAlign w:val="center"/>
          </w:tcPr>
          <w:p w14:paraId="61F071B4">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中标候选人推荐原则</w:t>
            </w:r>
          </w:p>
        </w:tc>
        <w:tc>
          <w:tcPr>
            <w:tcW w:w="5379" w:type="dxa"/>
            <w:vAlign w:val="center"/>
          </w:tcPr>
          <w:p w14:paraId="22DF31B2">
            <w:pPr>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1、第1次招标投标人数&lt;3，重新招标；</w:t>
            </w:r>
          </w:p>
          <w:p w14:paraId="2C576083">
            <w:pPr>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2、如有效投标人数≥3，根据综合评分由高到低推荐第1-2名有效投标人为中标候选人；</w:t>
            </w:r>
          </w:p>
          <w:p w14:paraId="1E14B77F">
            <w:pP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3、如有效投标人数＜3，根据综合评分由高到低推荐所有有效投标人为中标候选人。</w:t>
            </w:r>
          </w:p>
        </w:tc>
      </w:tr>
      <w:tr w14:paraId="4C4B11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A84591B">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rPr>
              <w:t>7.1.2</w:t>
            </w:r>
          </w:p>
        </w:tc>
        <w:tc>
          <w:tcPr>
            <w:tcW w:w="2082" w:type="dxa"/>
            <w:vAlign w:val="center"/>
          </w:tcPr>
          <w:p w14:paraId="3E46424F">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rPr>
              <w:t>依法必须进行招标项目采用邀请招标的中标候选人公示的其他媒体</w:t>
            </w:r>
          </w:p>
        </w:tc>
        <w:tc>
          <w:tcPr>
            <w:tcW w:w="5379" w:type="dxa"/>
            <w:vAlign w:val="center"/>
          </w:tcPr>
          <w:p w14:paraId="5EE1DFD2">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rPr>
              <w:t>无</w:t>
            </w:r>
          </w:p>
        </w:tc>
      </w:tr>
      <w:tr w14:paraId="594609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3B5A93D">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7.1.3</w:t>
            </w:r>
          </w:p>
        </w:tc>
        <w:tc>
          <w:tcPr>
            <w:tcW w:w="2082" w:type="dxa"/>
            <w:vAlign w:val="center"/>
          </w:tcPr>
          <w:p w14:paraId="7A244D02">
            <w:pPr>
              <w:wordWrap w:val="0"/>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中标结果的异议</w:t>
            </w:r>
          </w:p>
        </w:tc>
        <w:tc>
          <w:tcPr>
            <w:tcW w:w="5379" w:type="dxa"/>
            <w:vAlign w:val="center"/>
          </w:tcPr>
          <w:p w14:paraId="38D6B94D">
            <w:pPr>
              <w:wordWrap w:val="0"/>
              <w:autoSpaceDE w:val="0"/>
              <w:autoSpaceDN w:val="0"/>
              <w:rPr>
                <w:rFonts w:cs="宋体" w:asciiTheme="minorEastAsia" w:hAnsiTheme="minorEastAsia" w:eastAsiaTheme="minorEastAsia"/>
                <w:szCs w:val="21"/>
                <w:highlight w:val="none"/>
              </w:rPr>
            </w:pPr>
            <w:r>
              <w:rPr>
                <w:rFonts w:hint="eastAsia" w:ascii="宋体" w:hAnsi="宋体"/>
                <w:color w:val="000000" w:themeColor="text1"/>
                <w:highlight w:val="none"/>
                <w14:textFill>
                  <w14:solidFill>
                    <w14:schemeClr w14:val="tx1"/>
                  </w14:solidFill>
                </w14:textFill>
              </w:rPr>
              <w:t>投标人或者其他利害关系人对评标结果有异议的，应当登录</w:t>
            </w:r>
            <w:r>
              <w:rPr>
                <w:rFonts w:ascii="宋体" w:hAnsi="宋体"/>
                <w:color w:val="000000" w:themeColor="text1"/>
                <w:highlight w:val="none"/>
                <w14:textFill>
                  <w14:solidFill>
                    <w14:schemeClr w14:val="tx1"/>
                  </w14:solidFill>
                </w14:textFill>
              </w:rPr>
              <w:t>中国电信阳光采购网</w:t>
            </w:r>
            <w:r>
              <w:rPr>
                <w:rFonts w:hint="eastAsia" w:ascii="宋体" w:hAnsi="宋体"/>
                <w:color w:val="000000" w:themeColor="text1"/>
                <w:highlight w:val="none"/>
                <w14:textFill>
                  <w14:solidFill>
                    <w14:schemeClr w14:val="tx1"/>
                  </w14:solidFill>
                </w14:textFill>
              </w:rPr>
              <w:t>（https://caigou.chinatelecom.com.cn）后，通过“招投标-采购异议-提出异议”模块提出。招标人将在收到异议之日起3日内作出答复；作出答复前，将暂停招标投标活动。已作出明确答复，且无新的事实证据，就同一事项反复提出异议的，不予受理。</w:t>
            </w:r>
          </w:p>
        </w:tc>
      </w:tr>
      <w:tr w14:paraId="6F8D806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C2293F2">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7.2.1</w:t>
            </w:r>
          </w:p>
        </w:tc>
        <w:tc>
          <w:tcPr>
            <w:tcW w:w="2082" w:type="dxa"/>
            <w:vAlign w:val="center"/>
          </w:tcPr>
          <w:p w14:paraId="0907B57D">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中标人确定</w:t>
            </w:r>
          </w:p>
        </w:tc>
        <w:tc>
          <w:tcPr>
            <w:tcW w:w="5379" w:type="dxa"/>
            <w:vAlign w:val="center"/>
          </w:tcPr>
          <w:p w14:paraId="4A1F60A9">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w:t>
            </w:r>
            <w:r>
              <w:rPr>
                <w:rFonts w:hint="eastAsia" w:asciiTheme="minorEastAsia" w:hAnsiTheme="minorEastAsia" w:eastAsiaTheme="minorEastAsia"/>
                <w:highlight w:val="none"/>
              </w:rPr>
              <w:t>评标委员会直接确定中标人</w:t>
            </w:r>
            <w:r>
              <w:rPr>
                <w:rFonts w:hint="eastAsia" w:cs="宋体" w:asciiTheme="minorEastAsia" w:hAnsiTheme="minorEastAsia" w:eastAsiaTheme="minorEastAsia"/>
                <w:szCs w:val="21"/>
                <w:highlight w:val="none"/>
              </w:rPr>
              <w:t>，</w:t>
            </w:r>
            <w:r>
              <w:rPr>
                <w:rFonts w:hint="eastAsia" w:asciiTheme="minorEastAsia" w:hAnsiTheme="minorEastAsia" w:eastAsiaTheme="minorEastAsia"/>
                <w:highlight w:val="none"/>
              </w:rPr>
              <w:t>中标人数量：</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XX</w:t>
            </w:r>
            <w:r>
              <w:rPr>
                <w:rFonts w:hint="eastAsia" w:asciiTheme="minorEastAsia" w:hAnsiTheme="minorEastAsia" w:eastAsiaTheme="minorEastAsia"/>
                <w:szCs w:val="21"/>
                <w:highlight w:val="none"/>
              </w:rPr>
              <w:t>】</w:t>
            </w:r>
            <w:r>
              <w:rPr>
                <w:rFonts w:hint="eastAsia" w:cs="宋体" w:asciiTheme="minorEastAsia" w:hAnsiTheme="minorEastAsia" w:eastAsiaTheme="minorEastAsia"/>
                <w:szCs w:val="21"/>
                <w:highlight w:val="none"/>
              </w:rPr>
              <w:t>个</w:t>
            </w:r>
          </w:p>
          <w:p w14:paraId="3F02240F">
            <w:pPr>
              <w:autoSpaceDE w:val="0"/>
              <w:autoSpaceDN w:val="0"/>
              <w:rPr>
                <w:rFonts w:hint="eastAsia" w:cs="宋体" w:asciiTheme="minorEastAsia" w:hAnsiTheme="minorEastAsia" w:eastAsiaTheme="minorEastAsia"/>
                <w:szCs w:val="21"/>
                <w:highlight w:val="none"/>
                <w:lang w:eastAsia="zh-CN"/>
              </w:rPr>
            </w:pPr>
            <w:r>
              <w:rPr>
                <w:rFonts w:hint="eastAsia" w:cs="宋体" w:asciiTheme="minorEastAsia" w:hAnsiTheme="minorEastAsia" w:eastAsiaTheme="minorEastAsia"/>
                <w:szCs w:val="21"/>
                <w:highlight w:val="none"/>
              </w:rPr>
              <w:sym w:font="Wingdings" w:char="F0FE"/>
            </w:r>
            <w:r>
              <w:rPr>
                <w:rFonts w:hint="eastAsia" w:cs="宋体" w:asciiTheme="minorEastAsia" w:hAnsiTheme="minorEastAsia" w:eastAsiaTheme="minorEastAsia"/>
                <w:szCs w:val="21"/>
                <w:highlight w:val="none"/>
              </w:rPr>
              <w:t>招标人确定中标人</w:t>
            </w:r>
            <w:r>
              <w:rPr>
                <w:rFonts w:hint="eastAsia" w:cs="宋体" w:asciiTheme="minorEastAsia" w:hAnsiTheme="minorEastAsia" w:eastAsiaTheme="minorEastAsia"/>
                <w:szCs w:val="21"/>
                <w:highlight w:val="none"/>
                <w:lang w:eastAsia="zh-CN"/>
              </w:rPr>
              <w:t>；</w:t>
            </w:r>
          </w:p>
          <w:p w14:paraId="64E25EAB">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（1）根据综合评分由高到低排名第1名中标候选人为中标人：</w:t>
            </w:r>
          </w:p>
          <w:p w14:paraId="6755A29E">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（2）出现中标人放弃中标或被取消中标资格时，招标人可按顺序递补（有其他中标候选人）或按其他中标人中标比例分配（无其他中标候选人）或该份额作废或重新招标。</w:t>
            </w:r>
          </w:p>
        </w:tc>
      </w:tr>
      <w:tr w14:paraId="3E848E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404268A">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7.2.2</w:t>
            </w:r>
          </w:p>
        </w:tc>
        <w:tc>
          <w:tcPr>
            <w:tcW w:w="2082" w:type="dxa"/>
            <w:vAlign w:val="center"/>
          </w:tcPr>
          <w:p w14:paraId="2D2EAE13">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中标原则</w:t>
            </w:r>
          </w:p>
        </w:tc>
        <w:tc>
          <w:tcPr>
            <w:tcW w:w="5379" w:type="dxa"/>
            <w:vAlign w:val="center"/>
          </w:tcPr>
          <w:p w14:paraId="407B92AD">
            <w:pPr>
              <w:autoSpaceDE w:val="0"/>
              <w:autoSpaceDN w:val="0"/>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eastAsia="zh-CN"/>
              </w:rPr>
              <w:t>（1）根据综合评分由高到低排名第1名中标候选人为中标人：</w:t>
            </w:r>
          </w:p>
          <w:p w14:paraId="41925032">
            <w:pPr>
              <w:autoSpaceDE w:val="0"/>
              <w:autoSpaceDN w:val="0"/>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eastAsia="zh-CN"/>
              </w:rPr>
              <w:t>（2）出现中标人放弃中标或被取消中标资格时，招标人可按顺序递补（有其他中标候选人）或按其他中标人中标比例分配（无其他中标候选人）或该份额作废或重新招标。</w:t>
            </w:r>
          </w:p>
        </w:tc>
      </w:tr>
      <w:tr w14:paraId="11177AB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2D80F33">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7.2.3</w:t>
            </w:r>
          </w:p>
        </w:tc>
        <w:tc>
          <w:tcPr>
            <w:tcW w:w="2082" w:type="dxa"/>
            <w:vAlign w:val="center"/>
          </w:tcPr>
          <w:p w14:paraId="1BBFC8A3">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确定中标人的特殊情形</w:t>
            </w:r>
          </w:p>
        </w:tc>
        <w:tc>
          <w:tcPr>
            <w:tcW w:w="5379" w:type="dxa"/>
            <w:vAlign w:val="center"/>
          </w:tcPr>
          <w:p w14:paraId="23C65339">
            <w:pPr>
              <w:autoSpaceDE w:val="0"/>
              <w:autoSpaceDN w:val="0"/>
              <w:rPr>
                <w:rFonts w:asciiTheme="minorEastAsia" w:hAnsiTheme="minorEastAsia" w:eastAsiaTheme="minorEastAsia"/>
                <w:highlight w:val="none"/>
              </w:rPr>
            </w:pPr>
            <w:r>
              <w:rPr>
                <w:rFonts w:hint="eastAsia" w:asciiTheme="minorEastAsia" w:hAnsiTheme="minorEastAsia" w:eastAsiaTheme="minorEastAsia"/>
                <w:highlight w:val="none"/>
              </w:rPr>
              <w:t>在签订合同之前，中标人存在放弃中标、因不可抗力不能履行</w:t>
            </w:r>
          </w:p>
          <w:p w14:paraId="07BE0FF0">
            <w:pPr>
              <w:autoSpaceDE w:val="0"/>
              <w:autoSpaceDN w:val="0"/>
              <w:rPr>
                <w:rFonts w:asciiTheme="minorEastAsia" w:hAnsiTheme="minorEastAsia" w:eastAsiaTheme="minorEastAsia"/>
                <w:highlight w:val="none"/>
              </w:rPr>
            </w:pPr>
            <w:r>
              <w:rPr>
                <w:rFonts w:hint="eastAsia" w:asciiTheme="minorEastAsia" w:hAnsiTheme="minorEastAsia" w:eastAsiaTheme="minorEastAsia"/>
                <w:highlight w:val="none"/>
              </w:rPr>
              <w:t>合同、不按照招标文件要求提交履约保证金、被查实存在影响中标结果的违法行为、</w:t>
            </w:r>
            <w:r>
              <w:rPr>
                <w:rFonts w:hint="eastAsia" w:asciiTheme="minorEastAsia" w:hAnsiTheme="minorEastAsia" w:eastAsiaTheme="minorEastAsia"/>
              </w:rPr>
              <w:t>按照</w:t>
            </w:r>
            <w:r>
              <w:rPr>
                <w:rFonts w:hint="eastAsia" w:cs="Arial" w:asciiTheme="minorEastAsia" w:hAnsiTheme="minorEastAsia" w:eastAsiaTheme="minorEastAsia"/>
                <w:szCs w:val="21"/>
              </w:rPr>
              <w:t>中国电信供应商不良行为处理结果及《中国电信供应商不良行为管理规则》的结果执行规则[如涉及联合采购，请同时明确其他联合采购方的不良行为处理结果及相关规则]应</w:t>
            </w:r>
            <w:r>
              <w:rPr>
                <w:rFonts w:hint="eastAsia" w:asciiTheme="minorEastAsia" w:hAnsiTheme="minorEastAsia" w:eastAsiaTheme="minorEastAsia"/>
              </w:rPr>
              <w:t>对投标人及产品品类在本项目中执行禁止采购处理措施</w:t>
            </w:r>
            <w:r>
              <w:rPr>
                <w:rFonts w:hint="eastAsia" w:asciiTheme="minorEastAsia" w:hAnsiTheme="minorEastAsia" w:eastAsiaTheme="minorEastAsia"/>
                <w:highlight w:val="none"/>
              </w:rPr>
              <w:t>、</w:t>
            </w:r>
            <w:r>
              <w:rPr>
                <w:rFonts w:hint="eastAsia" w:asciiTheme="minorEastAsia" w:hAnsiTheme="minorEastAsia" w:eastAsiaTheme="minorEastAsia"/>
                <w:highlight w:val="none"/>
                <w:lang w:val="en-US" w:eastAsia="zh-CN"/>
              </w:rPr>
              <w:t>或</w:t>
            </w:r>
            <w:r>
              <w:rPr>
                <w:rFonts w:hint="eastAsia" w:asciiTheme="minorEastAsia" w:hAnsiTheme="minorEastAsia" w:eastAsiaTheme="minorEastAsia"/>
                <w:highlight w:val="none"/>
              </w:rPr>
              <w:t>未通过网络安全审查等情形的，招标人将【按照评标委员会提出的中标候选人名单排序依次确定其他中标候选人为中标人或重新招标】。</w:t>
            </w:r>
          </w:p>
        </w:tc>
      </w:tr>
      <w:tr w14:paraId="348489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865A079">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7.2.4</w:t>
            </w:r>
          </w:p>
        </w:tc>
        <w:tc>
          <w:tcPr>
            <w:tcW w:w="2082" w:type="dxa"/>
            <w:vAlign w:val="center"/>
          </w:tcPr>
          <w:p w14:paraId="1B27605D">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中标人公示</w:t>
            </w:r>
          </w:p>
        </w:tc>
        <w:tc>
          <w:tcPr>
            <w:tcW w:w="5379" w:type="dxa"/>
            <w:vAlign w:val="center"/>
          </w:tcPr>
          <w:p w14:paraId="31E56F68">
            <w:pPr>
              <w:autoSpaceDE w:val="0"/>
              <w:autoSpaceDN w:val="0"/>
              <w:rPr>
                <w:rFonts w:asciiTheme="minorEastAsia" w:hAnsiTheme="minorEastAsia" w:eastAsiaTheme="minorEastAsia"/>
                <w:highlight w:val="none"/>
              </w:rPr>
            </w:pPr>
            <w:r>
              <w:rPr>
                <w:rFonts w:hint="eastAsia" w:asciiTheme="minorEastAsia" w:hAnsiTheme="minorEastAsia" w:eastAsiaTheme="minorEastAsia"/>
                <w:szCs w:val="21"/>
                <w:highlight w:val="none"/>
              </w:rPr>
              <w:t>采用公开招标方式的，招标人可以在“资格预审公告”或者“招标公告”发布媒介公示全部中标人，公示期不少于3日。</w:t>
            </w:r>
          </w:p>
        </w:tc>
      </w:tr>
      <w:tr w14:paraId="2DC6D54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23" w:hRule="atLeast"/>
        </w:trPr>
        <w:tc>
          <w:tcPr>
            <w:tcW w:w="840" w:type="dxa"/>
            <w:vAlign w:val="center"/>
          </w:tcPr>
          <w:p w14:paraId="709781F7">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8.1.</w:t>
            </w:r>
            <w:r>
              <w:rPr>
                <w:rFonts w:cs="宋体" w:asciiTheme="minorEastAsia" w:hAnsiTheme="minorEastAsia" w:eastAsiaTheme="minorEastAsia"/>
                <w:szCs w:val="21"/>
                <w:highlight w:val="none"/>
              </w:rPr>
              <w:t>1</w:t>
            </w:r>
          </w:p>
        </w:tc>
        <w:tc>
          <w:tcPr>
            <w:tcW w:w="2082" w:type="dxa"/>
            <w:vAlign w:val="center"/>
          </w:tcPr>
          <w:p w14:paraId="269E8D08">
            <w:pPr>
              <w:autoSpaceDE w:val="0"/>
              <w:autoSpaceDN w:val="0"/>
              <w:jc w:val="lef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履约保证金金额和形式</w:t>
            </w:r>
          </w:p>
        </w:tc>
        <w:tc>
          <w:tcPr>
            <w:tcW w:w="5379" w:type="dxa"/>
            <w:vAlign w:val="center"/>
          </w:tcPr>
          <w:p w14:paraId="1FEBE94D">
            <w:pPr>
              <w:autoSpaceDE w:val="0"/>
              <w:autoSpaceDN w:val="0"/>
              <w:jc w:val="left"/>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不收取履约保证金。</w:t>
            </w:r>
          </w:p>
        </w:tc>
      </w:tr>
      <w:tr w14:paraId="1DDED8E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C02E52B">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9</w:t>
            </w:r>
          </w:p>
        </w:tc>
        <w:tc>
          <w:tcPr>
            <w:tcW w:w="2082" w:type="dxa"/>
            <w:vAlign w:val="center"/>
          </w:tcPr>
          <w:p w14:paraId="247AB762">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招标代理服务费金额、交纳方式和时限</w:t>
            </w:r>
          </w:p>
        </w:tc>
        <w:tc>
          <w:tcPr>
            <w:tcW w:w="5379" w:type="dxa"/>
            <w:vAlign w:val="center"/>
          </w:tcPr>
          <w:p w14:paraId="14CDB469">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本条款增加如下规定：</w:t>
            </w:r>
          </w:p>
          <w:p w14:paraId="65DAFB2C">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9.1招标代理服务费采用</w:t>
            </w:r>
            <w:r>
              <w:rPr>
                <w:rFonts w:cs="宋体" w:asciiTheme="minorEastAsia" w:hAnsiTheme="minorEastAsia" w:eastAsiaTheme="minorEastAsia"/>
                <w:szCs w:val="21"/>
                <w:highlight w:val="none"/>
              </w:rPr>
              <w:t>差额定率累进</w:t>
            </w:r>
            <w:r>
              <w:rPr>
                <w:rFonts w:hint="eastAsia" w:cs="宋体" w:asciiTheme="minorEastAsia" w:hAnsiTheme="minorEastAsia" w:eastAsiaTheme="minorEastAsia"/>
                <w:szCs w:val="21"/>
                <w:highlight w:val="none"/>
              </w:rPr>
              <w:t>法根据中标金额按照下表中的费率进行计算，</w:t>
            </w:r>
            <w:r>
              <w:rPr>
                <w:rFonts w:hint="eastAsia" w:ascii="宋体" w:hAnsi="宋体" w:cs="宋体"/>
                <w:color w:val="000000" w:themeColor="text1"/>
                <w:szCs w:val="21"/>
                <w:highlight w:val="none"/>
                <w14:textFill>
                  <w14:solidFill>
                    <w14:schemeClr w14:val="tx1"/>
                  </w14:solidFill>
                </w14:textFill>
              </w:rPr>
              <w:t>并在此基础上下浮34.5%</w:t>
            </w:r>
            <w:r>
              <w:rPr>
                <w:rFonts w:hint="eastAsia" w:cs="宋体" w:asciiTheme="minorEastAsia" w:hAnsiTheme="minorEastAsia" w:eastAsiaTheme="minorEastAsia"/>
                <w:szCs w:val="21"/>
                <w:highlight w:val="none"/>
              </w:rPr>
              <w:t>：</w:t>
            </w:r>
          </w:p>
          <w:tbl>
            <w:tblPr>
              <w:tblStyle w:val="85"/>
              <w:tblW w:w="55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1276"/>
              <w:gridCol w:w="1134"/>
              <w:gridCol w:w="1134"/>
            </w:tblGrid>
            <w:tr w14:paraId="7D20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trPr>
              <w:tc>
                <w:tcPr>
                  <w:tcW w:w="2033" w:type="dxa"/>
                  <w:shd w:val="clear" w:color="auto" w:fill="auto"/>
                </w:tcPr>
                <w:p w14:paraId="142C304F">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 xml:space="preserve">          费率</w:t>
                  </w:r>
                </w:p>
                <w:p w14:paraId="6C98B6FF">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中标金额</w:t>
                  </w:r>
                </w:p>
              </w:tc>
              <w:tc>
                <w:tcPr>
                  <w:tcW w:w="1276" w:type="dxa"/>
                  <w:shd w:val="clear" w:color="auto" w:fill="auto"/>
                  <w:vAlign w:val="center"/>
                </w:tcPr>
                <w:p w14:paraId="3EF2E2D4">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货物招标</w:t>
                  </w:r>
                </w:p>
              </w:tc>
              <w:tc>
                <w:tcPr>
                  <w:tcW w:w="1134" w:type="dxa"/>
                  <w:shd w:val="clear" w:color="auto" w:fill="auto"/>
                  <w:vAlign w:val="center"/>
                </w:tcPr>
                <w:p w14:paraId="0EF76883">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服务招标</w:t>
                  </w:r>
                </w:p>
              </w:tc>
              <w:tc>
                <w:tcPr>
                  <w:tcW w:w="1134" w:type="dxa"/>
                  <w:shd w:val="clear" w:color="auto" w:fill="auto"/>
                  <w:vAlign w:val="center"/>
                </w:tcPr>
                <w:p w14:paraId="0A979B6D">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工程招标</w:t>
                  </w:r>
                </w:p>
              </w:tc>
            </w:tr>
            <w:tr w14:paraId="109E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033" w:type="dxa"/>
                  <w:shd w:val="clear" w:color="auto" w:fill="auto"/>
                </w:tcPr>
                <w:p w14:paraId="48ECB2CD">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100万元以下</w:t>
                  </w:r>
                </w:p>
              </w:tc>
              <w:tc>
                <w:tcPr>
                  <w:tcW w:w="1276" w:type="dxa"/>
                  <w:shd w:val="clear" w:color="auto" w:fill="auto"/>
                </w:tcPr>
                <w:p w14:paraId="0BDD5B0D">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1.5%</w:t>
                  </w:r>
                </w:p>
              </w:tc>
              <w:tc>
                <w:tcPr>
                  <w:tcW w:w="1134" w:type="dxa"/>
                  <w:shd w:val="clear" w:color="auto" w:fill="auto"/>
                </w:tcPr>
                <w:p w14:paraId="58F864D8">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1.5%</w:t>
                  </w:r>
                </w:p>
              </w:tc>
              <w:tc>
                <w:tcPr>
                  <w:tcW w:w="1134" w:type="dxa"/>
                  <w:shd w:val="clear" w:color="auto" w:fill="auto"/>
                </w:tcPr>
                <w:p w14:paraId="033BD8B4">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w:t>
                  </w:r>
                </w:p>
              </w:tc>
            </w:tr>
            <w:tr w14:paraId="6634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2033" w:type="dxa"/>
                  <w:shd w:val="clear" w:color="auto" w:fill="auto"/>
                </w:tcPr>
                <w:p w14:paraId="7489F1A8">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100～500万元</w:t>
                  </w:r>
                </w:p>
              </w:tc>
              <w:tc>
                <w:tcPr>
                  <w:tcW w:w="1276" w:type="dxa"/>
                  <w:shd w:val="clear" w:color="auto" w:fill="auto"/>
                </w:tcPr>
                <w:p w14:paraId="40A94631">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1.1%</w:t>
                  </w:r>
                </w:p>
              </w:tc>
              <w:tc>
                <w:tcPr>
                  <w:tcW w:w="1134" w:type="dxa"/>
                  <w:shd w:val="clear" w:color="auto" w:fill="auto"/>
                </w:tcPr>
                <w:p w14:paraId="6F6A364A">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0.8%</w:t>
                  </w:r>
                </w:p>
              </w:tc>
              <w:tc>
                <w:tcPr>
                  <w:tcW w:w="1134" w:type="dxa"/>
                  <w:shd w:val="clear" w:color="auto" w:fill="auto"/>
                </w:tcPr>
                <w:p w14:paraId="2E1BD42B">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0.7%</w:t>
                  </w:r>
                </w:p>
              </w:tc>
            </w:tr>
            <w:tr w14:paraId="4BAD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2033" w:type="dxa"/>
                  <w:shd w:val="clear" w:color="auto" w:fill="auto"/>
                </w:tcPr>
                <w:p w14:paraId="0CE19865">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500～1000万元</w:t>
                  </w:r>
                </w:p>
              </w:tc>
              <w:tc>
                <w:tcPr>
                  <w:tcW w:w="1276" w:type="dxa"/>
                  <w:shd w:val="clear" w:color="auto" w:fill="auto"/>
                </w:tcPr>
                <w:p w14:paraId="28ED3481">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0.8%</w:t>
                  </w:r>
                </w:p>
              </w:tc>
              <w:tc>
                <w:tcPr>
                  <w:tcW w:w="1134" w:type="dxa"/>
                  <w:shd w:val="clear" w:color="auto" w:fill="auto"/>
                </w:tcPr>
                <w:p w14:paraId="7DECBA9E">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0.45%</w:t>
                  </w:r>
                </w:p>
              </w:tc>
              <w:tc>
                <w:tcPr>
                  <w:tcW w:w="1134" w:type="dxa"/>
                  <w:shd w:val="clear" w:color="auto" w:fill="auto"/>
                </w:tcPr>
                <w:p w14:paraId="27E2E359">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0.55%</w:t>
                  </w:r>
                </w:p>
              </w:tc>
            </w:tr>
            <w:tr w14:paraId="31CD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033" w:type="dxa"/>
                  <w:shd w:val="clear" w:color="auto" w:fill="auto"/>
                </w:tcPr>
                <w:p w14:paraId="430BD7CD">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1000～5000万元</w:t>
                  </w:r>
                </w:p>
              </w:tc>
              <w:tc>
                <w:tcPr>
                  <w:tcW w:w="1276" w:type="dxa"/>
                  <w:shd w:val="clear" w:color="auto" w:fill="auto"/>
                </w:tcPr>
                <w:p w14:paraId="7EEDC360">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0.5%</w:t>
                  </w:r>
                </w:p>
              </w:tc>
              <w:tc>
                <w:tcPr>
                  <w:tcW w:w="1134" w:type="dxa"/>
                  <w:shd w:val="clear" w:color="auto" w:fill="auto"/>
                </w:tcPr>
                <w:p w14:paraId="165CF198">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0.25%</w:t>
                  </w:r>
                </w:p>
              </w:tc>
              <w:tc>
                <w:tcPr>
                  <w:tcW w:w="1134" w:type="dxa"/>
                  <w:shd w:val="clear" w:color="auto" w:fill="auto"/>
                </w:tcPr>
                <w:p w14:paraId="1365163F">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0.35%</w:t>
                  </w:r>
                </w:p>
              </w:tc>
            </w:tr>
            <w:tr w14:paraId="6E7A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2033" w:type="dxa"/>
                  <w:shd w:val="clear" w:color="auto" w:fill="auto"/>
                </w:tcPr>
                <w:p w14:paraId="18975D3B">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5000万元～1亿元</w:t>
                  </w:r>
                </w:p>
              </w:tc>
              <w:tc>
                <w:tcPr>
                  <w:tcW w:w="1276" w:type="dxa"/>
                  <w:shd w:val="clear" w:color="auto" w:fill="auto"/>
                </w:tcPr>
                <w:p w14:paraId="27056A13">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0.25%</w:t>
                  </w:r>
                </w:p>
              </w:tc>
              <w:tc>
                <w:tcPr>
                  <w:tcW w:w="1134" w:type="dxa"/>
                  <w:shd w:val="clear" w:color="auto" w:fill="auto"/>
                </w:tcPr>
                <w:p w14:paraId="649F9365">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0.1%</w:t>
                  </w:r>
                </w:p>
              </w:tc>
              <w:tc>
                <w:tcPr>
                  <w:tcW w:w="1134" w:type="dxa"/>
                  <w:shd w:val="clear" w:color="auto" w:fill="auto"/>
                </w:tcPr>
                <w:p w14:paraId="6FE5BF39">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0.2%</w:t>
                  </w:r>
                </w:p>
              </w:tc>
            </w:tr>
            <w:tr w14:paraId="0EEE1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033" w:type="dxa"/>
                  <w:shd w:val="clear" w:color="auto" w:fill="auto"/>
                </w:tcPr>
                <w:p w14:paraId="20DEE285">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1～5亿元</w:t>
                  </w:r>
                </w:p>
              </w:tc>
              <w:tc>
                <w:tcPr>
                  <w:tcW w:w="1276" w:type="dxa"/>
                  <w:shd w:val="clear" w:color="auto" w:fill="auto"/>
                </w:tcPr>
                <w:p w14:paraId="78F999D3">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0.05%</w:t>
                  </w:r>
                </w:p>
              </w:tc>
              <w:tc>
                <w:tcPr>
                  <w:tcW w:w="1134" w:type="dxa"/>
                  <w:shd w:val="clear" w:color="auto" w:fill="auto"/>
                </w:tcPr>
                <w:p w14:paraId="6EB88EB4">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0.05%</w:t>
                  </w:r>
                </w:p>
              </w:tc>
              <w:tc>
                <w:tcPr>
                  <w:tcW w:w="1134" w:type="dxa"/>
                  <w:shd w:val="clear" w:color="auto" w:fill="auto"/>
                </w:tcPr>
                <w:p w14:paraId="630CD331">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0.05%</w:t>
                  </w:r>
                </w:p>
              </w:tc>
            </w:tr>
            <w:tr w14:paraId="1C3A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033" w:type="dxa"/>
                  <w:shd w:val="clear" w:color="auto" w:fill="auto"/>
                </w:tcPr>
                <w:p w14:paraId="68303B66">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5～10亿元</w:t>
                  </w:r>
                </w:p>
              </w:tc>
              <w:tc>
                <w:tcPr>
                  <w:tcW w:w="1276" w:type="dxa"/>
                  <w:shd w:val="clear" w:color="auto" w:fill="auto"/>
                </w:tcPr>
                <w:p w14:paraId="1890CC42">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0.035%</w:t>
                  </w:r>
                </w:p>
              </w:tc>
              <w:tc>
                <w:tcPr>
                  <w:tcW w:w="1134" w:type="dxa"/>
                  <w:shd w:val="clear" w:color="auto" w:fill="auto"/>
                </w:tcPr>
                <w:p w14:paraId="41825902">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0.035%</w:t>
                  </w:r>
                </w:p>
              </w:tc>
              <w:tc>
                <w:tcPr>
                  <w:tcW w:w="1134" w:type="dxa"/>
                  <w:shd w:val="clear" w:color="auto" w:fill="auto"/>
                </w:tcPr>
                <w:p w14:paraId="4E473F4E">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0.035%</w:t>
                  </w:r>
                </w:p>
              </w:tc>
            </w:tr>
            <w:tr w14:paraId="2F52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2033" w:type="dxa"/>
                  <w:shd w:val="clear" w:color="auto" w:fill="auto"/>
                </w:tcPr>
                <w:p w14:paraId="38B5CA88">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10～50亿元</w:t>
                  </w:r>
                </w:p>
              </w:tc>
              <w:tc>
                <w:tcPr>
                  <w:tcW w:w="1276" w:type="dxa"/>
                  <w:shd w:val="clear" w:color="auto" w:fill="auto"/>
                </w:tcPr>
                <w:p w14:paraId="4F0DF20A">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0.008%</w:t>
                  </w:r>
                </w:p>
              </w:tc>
              <w:tc>
                <w:tcPr>
                  <w:tcW w:w="1134" w:type="dxa"/>
                  <w:shd w:val="clear" w:color="auto" w:fill="auto"/>
                </w:tcPr>
                <w:p w14:paraId="46109186">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0.008%</w:t>
                  </w:r>
                </w:p>
              </w:tc>
              <w:tc>
                <w:tcPr>
                  <w:tcW w:w="1134" w:type="dxa"/>
                  <w:shd w:val="clear" w:color="auto" w:fill="auto"/>
                </w:tcPr>
                <w:p w14:paraId="242A6C8D">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0.008%</w:t>
                  </w:r>
                </w:p>
              </w:tc>
            </w:tr>
            <w:tr w14:paraId="7BD6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033" w:type="dxa"/>
                  <w:shd w:val="clear" w:color="auto" w:fill="auto"/>
                </w:tcPr>
                <w:p w14:paraId="066501D0">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50～100亿元</w:t>
                  </w:r>
                </w:p>
              </w:tc>
              <w:tc>
                <w:tcPr>
                  <w:tcW w:w="1276" w:type="dxa"/>
                  <w:shd w:val="clear" w:color="auto" w:fill="auto"/>
                </w:tcPr>
                <w:p w14:paraId="08139574">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0.006%</w:t>
                  </w:r>
                </w:p>
              </w:tc>
              <w:tc>
                <w:tcPr>
                  <w:tcW w:w="1134" w:type="dxa"/>
                  <w:shd w:val="clear" w:color="auto" w:fill="auto"/>
                </w:tcPr>
                <w:p w14:paraId="48569FBF">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0.006%</w:t>
                  </w:r>
                </w:p>
              </w:tc>
              <w:tc>
                <w:tcPr>
                  <w:tcW w:w="1134" w:type="dxa"/>
                  <w:shd w:val="clear" w:color="auto" w:fill="auto"/>
                </w:tcPr>
                <w:p w14:paraId="11CBFB2D">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0.006%</w:t>
                  </w:r>
                </w:p>
              </w:tc>
            </w:tr>
            <w:tr w14:paraId="26C31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033" w:type="dxa"/>
                  <w:shd w:val="clear" w:color="auto" w:fill="auto"/>
                </w:tcPr>
                <w:p w14:paraId="3AFCAB14">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100亿以上</w:t>
                  </w:r>
                </w:p>
              </w:tc>
              <w:tc>
                <w:tcPr>
                  <w:tcW w:w="1276" w:type="dxa"/>
                  <w:shd w:val="clear" w:color="auto" w:fill="auto"/>
                </w:tcPr>
                <w:p w14:paraId="4EFC69A8">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0.004%</w:t>
                  </w:r>
                </w:p>
              </w:tc>
              <w:tc>
                <w:tcPr>
                  <w:tcW w:w="1134" w:type="dxa"/>
                  <w:shd w:val="clear" w:color="auto" w:fill="auto"/>
                </w:tcPr>
                <w:p w14:paraId="5E183F9C">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0.004%</w:t>
                  </w:r>
                </w:p>
              </w:tc>
              <w:tc>
                <w:tcPr>
                  <w:tcW w:w="1134" w:type="dxa"/>
                  <w:shd w:val="clear" w:color="auto" w:fill="auto"/>
                </w:tcPr>
                <w:p w14:paraId="17E6B83F">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0.004%</w:t>
                  </w:r>
                </w:p>
              </w:tc>
            </w:tr>
          </w:tbl>
          <w:p w14:paraId="55026350">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例如：某货物招标，中标金额为6000万元人民币，则招标代理服务费计算方式如下：</w:t>
            </w:r>
          </w:p>
          <w:p w14:paraId="03DB49B1">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100万元×1.5%=1.5万元</w:t>
            </w:r>
          </w:p>
          <w:p w14:paraId="1DFCA8C6">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（500-100）万元×1.1%=4.4万元</w:t>
            </w:r>
          </w:p>
          <w:p w14:paraId="7A9963FA">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（1000-500）×0.8%=4万元</w:t>
            </w:r>
          </w:p>
          <w:p w14:paraId="36BACFCE">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（5000-1000）×0.5%=20万元</w:t>
            </w:r>
          </w:p>
          <w:p w14:paraId="430399B8">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（6000-5000）×0.25%=2.5万元</w:t>
            </w:r>
          </w:p>
          <w:p w14:paraId="58952417">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合计收费=1.5+4.4+4+20+2.5=32.4（万元）</w:t>
            </w:r>
          </w:p>
          <w:p w14:paraId="2C2CE4B5">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9.2 缴纳方式：</w:t>
            </w:r>
            <w:r>
              <w:rPr>
                <w:rFonts w:hint="eastAsia" w:cs="宋体" w:asciiTheme="minorEastAsia" w:hAnsiTheme="minorEastAsia" w:eastAsiaTheme="minorEastAsia"/>
                <w:szCs w:val="21"/>
                <w:highlight w:val="none"/>
                <w:u w:val="single"/>
              </w:rPr>
              <w:t>银行转账、汇款等形式</w:t>
            </w:r>
            <w:r>
              <w:rPr>
                <w:rFonts w:hint="eastAsia" w:cs="宋体" w:asciiTheme="minorEastAsia" w:hAnsiTheme="minorEastAsia" w:eastAsiaTheme="minorEastAsia"/>
                <w:szCs w:val="21"/>
                <w:highlight w:val="none"/>
              </w:rPr>
              <w:t>。</w:t>
            </w:r>
          </w:p>
          <w:p w14:paraId="05215B34">
            <w:pPr>
              <w:autoSpaceDE w:val="0"/>
              <w:autoSpaceDN w:val="0"/>
              <w:rPr>
                <w:rFonts w:hint="eastAsia"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rPr>
              <w:t>9.3中标金额计取依据：根据</w:t>
            </w:r>
            <w:r>
              <w:rPr>
                <w:rFonts w:hint="eastAsia" w:cs="宋体" w:asciiTheme="minorEastAsia" w:hAnsiTheme="minorEastAsia" w:eastAsiaTheme="minorEastAsia"/>
                <w:szCs w:val="21"/>
                <w:highlight w:val="none"/>
                <w:lang w:val="en-US" w:eastAsia="zh-CN"/>
              </w:rPr>
              <w:t>含税预估</w:t>
            </w:r>
            <w:r>
              <w:rPr>
                <w:rFonts w:hint="eastAsia" w:cs="宋体" w:asciiTheme="minorEastAsia" w:hAnsiTheme="minorEastAsia" w:eastAsiaTheme="minorEastAsia"/>
                <w:szCs w:val="21"/>
                <w:highlight w:val="none"/>
              </w:rPr>
              <w:t>金额计取。</w:t>
            </w:r>
          </w:p>
          <w:p w14:paraId="06616550">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9.4 缴纳期限及周期：中标人在收到招标代理服务费付款通知书后15日内向招标代理机构支付招标代理服务费</w:t>
            </w:r>
            <w:r>
              <w:rPr>
                <w:rFonts w:hint="eastAsia" w:ascii="宋体" w:hAnsi="宋体" w:cs="宋体"/>
                <w:szCs w:val="21"/>
                <w:highlight w:val="none"/>
              </w:rPr>
              <w:t>。</w:t>
            </w:r>
          </w:p>
        </w:tc>
      </w:tr>
      <w:tr w14:paraId="77D1403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528B383">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11</w:t>
            </w:r>
          </w:p>
        </w:tc>
        <w:tc>
          <w:tcPr>
            <w:tcW w:w="2082" w:type="dxa"/>
            <w:vAlign w:val="center"/>
          </w:tcPr>
          <w:p w14:paraId="293ECC12">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需要补充的其他内容</w:t>
            </w:r>
          </w:p>
        </w:tc>
        <w:tc>
          <w:tcPr>
            <w:tcW w:w="5379" w:type="dxa"/>
            <w:vAlign w:val="center"/>
          </w:tcPr>
          <w:p w14:paraId="03D5FF9D">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投标人试图对招标人进行影响，或对评标委员会的评标、比较或中标候选人的决定进行影响，都可能导致其投标被否决。</w:t>
            </w:r>
          </w:p>
        </w:tc>
      </w:tr>
      <w:tr w14:paraId="42534C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B1F1920">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11.1</w:t>
            </w:r>
          </w:p>
        </w:tc>
        <w:tc>
          <w:tcPr>
            <w:tcW w:w="2082" w:type="dxa"/>
            <w:vAlign w:val="center"/>
          </w:tcPr>
          <w:p w14:paraId="02CA68CC">
            <w:pPr>
              <w:autoSpaceDE w:val="0"/>
              <w:autoSpaceDN w:val="0"/>
              <w:rPr>
                <w:rFonts w:hint="default"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lang w:val="en-US" w:eastAsia="zh-CN"/>
              </w:rPr>
              <w:t>合同有效期</w:t>
            </w:r>
          </w:p>
        </w:tc>
        <w:tc>
          <w:tcPr>
            <w:tcW w:w="5379" w:type="dxa"/>
            <w:vAlign w:val="center"/>
          </w:tcPr>
          <w:p w14:paraId="08D415DA">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自合同签订之日起</w:t>
            </w:r>
            <w:r>
              <w:rPr>
                <w:rFonts w:hint="eastAsia" w:cs="宋体" w:asciiTheme="minorEastAsia" w:hAnsiTheme="minorEastAsia" w:eastAsiaTheme="minorEastAsia"/>
                <w:szCs w:val="21"/>
                <w:highlight w:val="none"/>
                <w:lang w:val="en-US" w:eastAsia="zh-CN"/>
              </w:rPr>
              <w:t>12</w:t>
            </w:r>
            <w:r>
              <w:rPr>
                <w:rFonts w:hint="eastAsia" w:cs="宋体" w:asciiTheme="minorEastAsia" w:hAnsiTheme="minorEastAsia" w:eastAsiaTheme="minorEastAsia"/>
                <w:szCs w:val="21"/>
                <w:highlight w:val="none"/>
              </w:rPr>
              <w:t>个月</w:t>
            </w:r>
          </w:p>
        </w:tc>
      </w:tr>
      <w:tr w14:paraId="5D50214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B68BE38">
            <w:pPr>
              <w:autoSpaceDE w:val="0"/>
              <w:autoSpaceDN w:val="0"/>
              <w:jc w:val="center"/>
              <w:rPr>
                <w:rFonts w:cs="宋体" w:asciiTheme="minorEastAsia" w:hAnsiTheme="minorEastAsia" w:eastAsiaTheme="minorEastAsia"/>
                <w:color w:val="FF0000"/>
                <w:szCs w:val="21"/>
                <w:highlight w:val="none"/>
              </w:rPr>
            </w:pPr>
            <w:r>
              <w:rPr>
                <w:rFonts w:hint="eastAsia" w:cs="宋体" w:asciiTheme="minorEastAsia" w:hAnsiTheme="minorEastAsia" w:eastAsiaTheme="minorEastAsia"/>
                <w:szCs w:val="21"/>
                <w:highlight w:val="none"/>
              </w:rPr>
              <w:t>11.2</w:t>
            </w:r>
          </w:p>
        </w:tc>
        <w:tc>
          <w:tcPr>
            <w:tcW w:w="2082" w:type="dxa"/>
            <w:vAlign w:val="center"/>
          </w:tcPr>
          <w:p w14:paraId="7394BD7F">
            <w:pPr>
              <w:autoSpaceDE w:val="0"/>
              <w:autoSpaceDN w:val="0"/>
              <w:rPr>
                <w:rFonts w:cs="宋体" w:asciiTheme="minorEastAsia" w:hAnsiTheme="minorEastAsia" w:eastAsiaTheme="minorEastAsia"/>
                <w:color w:val="FF0000"/>
                <w:szCs w:val="21"/>
                <w:highlight w:val="none"/>
              </w:rPr>
            </w:pPr>
            <w:r>
              <w:rPr>
                <w:rFonts w:hint="eastAsia" w:ascii="宋体" w:hAnsi="宋体" w:cs="宋体"/>
                <w:color w:val="000000" w:themeColor="text1"/>
                <w:szCs w:val="21"/>
                <w:highlight w:val="none"/>
                <w14:textFill>
                  <w14:solidFill>
                    <w14:schemeClr w14:val="tx1"/>
                  </w14:solidFill>
                </w14:textFill>
              </w:rPr>
              <w:t>投标人不足3家的处理方式</w:t>
            </w:r>
          </w:p>
        </w:tc>
        <w:tc>
          <w:tcPr>
            <w:tcW w:w="5379" w:type="dxa"/>
            <w:vAlign w:val="center"/>
          </w:tcPr>
          <w:p w14:paraId="69D49C98">
            <w:pPr>
              <w:autoSpaceDE w:val="0"/>
              <w:autoSpaceDN w:val="0"/>
              <w:rPr>
                <w:rFonts w:hint="eastAsia" w:ascii="宋体" w:hAnsi="宋体" w:eastAsia="宋体" w:cs="宋体"/>
                <w:bCs/>
                <w:szCs w:val="21"/>
                <w:highlight w:val="none"/>
                <w:u w:val="single"/>
                <w:lang w:eastAsia="zh-CN"/>
              </w:rPr>
            </w:pPr>
            <w:r>
              <w:rPr>
                <w:rFonts w:hint="eastAsia" w:ascii="宋体" w:hAnsi="宋体" w:cs="宋体"/>
                <w:bCs/>
                <w:szCs w:val="21"/>
                <w:highlight w:val="none"/>
                <w:u w:val="none"/>
              </w:rPr>
              <w:t>第一次招标投标人少于3个，分析失败原因并采取相应措施后，重新招标； 重新招标后投标人少于3个，有效投标人为2个的，评委说明理由后可继续评审；重新招标后投标人少于3个，有效投标人为1个的，评委说明理由后可转为直接采购</w:t>
            </w:r>
            <w:r>
              <w:rPr>
                <w:rFonts w:hint="eastAsia" w:ascii="宋体" w:hAnsi="宋体" w:cs="宋体"/>
                <w:bCs/>
                <w:szCs w:val="21"/>
                <w:highlight w:val="none"/>
                <w:u w:val="none"/>
                <w:lang w:eastAsia="zh-CN"/>
              </w:rPr>
              <w:t>。</w:t>
            </w:r>
          </w:p>
        </w:tc>
      </w:tr>
      <w:tr w14:paraId="663DC2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301" w:type="dxa"/>
            <w:gridSpan w:val="3"/>
            <w:vAlign w:val="center"/>
          </w:tcPr>
          <w:p w14:paraId="6C68005F">
            <w:pPr>
              <w:autoSpaceDE w:val="0"/>
              <w:autoSpaceDN w:val="0"/>
              <w:jc w:val="center"/>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招标文件否决投标条款汇总</w:t>
            </w:r>
          </w:p>
        </w:tc>
      </w:tr>
      <w:tr w14:paraId="2966AAA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tcBorders>
              <w:top w:val="single" w:color="auto" w:sz="4" w:space="0"/>
              <w:bottom w:val="single" w:color="auto" w:sz="4" w:space="0"/>
            </w:tcBorders>
            <w:vAlign w:val="center"/>
          </w:tcPr>
          <w:p w14:paraId="53A24D85">
            <w:pPr>
              <w:autoSpaceDE w:val="0"/>
              <w:autoSpaceDN w:val="0"/>
              <w:jc w:val="center"/>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条款号</w:t>
            </w:r>
          </w:p>
        </w:tc>
        <w:tc>
          <w:tcPr>
            <w:tcW w:w="2082" w:type="dxa"/>
            <w:vAlign w:val="center"/>
          </w:tcPr>
          <w:p w14:paraId="073E4E5F">
            <w:pPr>
              <w:autoSpaceDE w:val="0"/>
              <w:autoSpaceDN w:val="0"/>
              <w:jc w:val="center"/>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条款名称</w:t>
            </w:r>
          </w:p>
        </w:tc>
        <w:tc>
          <w:tcPr>
            <w:tcW w:w="5379" w:type="dxa"/>
            <w:vAlign w:val="center"/>
          </w:tcPr>
          <w:p w14:paraId="658A97F7">
            <w:pPr>
              <w:autoSpaceDE w:val="0"/>
              <w:autoSpaceDN w:val="0"/>
              <w:jc w:val="center"/>
              <w:rPr>
                <w:rFonts w:asciiTheme="minorEastAsia" w:hAnsiTheme="minorEastAsia" w:eastAsiaTheme="minorEastAsia"/>
                <w:b/>
                <w:highlight w:val="none"/>
              </w:rPr>
            </w:pPr>
            <w:r>
              <w:rPr>
                <w:rFonts w:hint="eastAsia" w:asciiTheme="minorEastAsia" w:hAnsiTheme="minorEastAsia" w:eastAsiaTheme="minorEastAsia"/>
                <w:b/>
                <w:highlight w:val="none"/>
              </w:rPr>
              <w:t>编写内容</w:t>
            </w:r>
          </w:p>
        </w:tc>
      </w:tr>
      <w:tr w14:paraId="72F704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301" w:type="dxa"/>
            <w:gridSpan w:val="3"/>
            <w:tcBorders>
              <w:top w:val="single" w:color="auto" w:sz="4" w:space="0"/>
              <w:bottom w:val="single" w:color="auto" w:sz="4" w:space="0"/>
            </w:tcBorders>
            <w:vAlign w:val="center"/>
          </w:tcPr>
          <w:p w14:paraId="6E46D817">
            <w:pPr>
              <w:autoSpaceDE w:val="0"/>
              <w:autoSpaceDN w:val="0"/>
              <w:jc w:val="left"/>
              <w:rPr>
                <w:rFonts w:asciiTheme="minorEastAsia" w:hAnsiTheme="minorEastAsia" w:eastAsiaTheme="minorEastAsia"/>
                <w:b/>
                <w:highlight w:val="none"/>
              </w:rPr>
            </w:pPr>
            <w:r>
              <w:rPr>
                <w:rFonts w:hint="eastAsia" w:asciiTheme="minorEastAsia" w:hAnsiTheme="minorEastAsia" w:eastAsiaTheme="minorEastAsia"/>
                <w:b/>
                <w:highlight w:val="none"/>
              </w:rPr>
              <w:t>第一部分：专用部分</w:t>
            </w:r>
          </w:p>
        </w:tc>
      </w:tr>
      <w:tr w14:paraId="11EF8B1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tcBorders>
              <w:top w:val="single" w:color="auto" w:sz="4" w:space="0"/>
              <w:bottom w:val="single" w:color="auto" w:sz="4" w:space="0"/>
            </w:tcBorders>
            <w:vAlign w:val="center"/>
          </w:tcPr>
          <w:p w14:paraId="6F012910">
            <w:pPr>
              <w:autoSpaceDE w:val="0"/>
              <w:autoSpaceDN w:val="0"/>
              <w:jc w:val="center"/>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第一章招标公告/投标邀请书</w:t>
            </w:r>
          </w:p>
        </w:tc>
        <w:tc>
          <w:tcPr>
            <w:tcW w:w="2082" w:type="dxa"/>
            <w:vAlign w:val="center"/>
          </w:tcPr>
          <w:p w14:paraId="57D45EC2">
            <w:pPr>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1.4最高投标限价</w:t>
            </w:r>
          </w:p>
        </w:tc>
        <w:tc>
          <w:tcPr>
            <w:tcW w:w="5379" w:type="dxa"/>
            <w:vAlign w:val="center"/>
          </w:tcPr>
          <w:p w14:paraId="40B9C01D">
            <w:pPr>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本项目设置最高投标限价，最高投标限价详见第一章招标公告，投标人投标报价高于最高投标限价的，其投标将被否决。</w:t>
            </w:r>
          </w:p>
        </w:tc>
      </w:tr>
      <w:tr w14:paraId="5943A9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restart"/>
            <w:vAlign w:val="center"/>
          </w:tcPr>
          <w:p w14:paraId="4FB1C507">
            <w:pPr>
              <w:autoSpaceDE w:val="0"/>
              <w:autoSpaceDN w:val="0"/>
              <w:jc w:val="center"/>
              <w:rPr>
                <w:rFonts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第二章投标人须知</w:t>
            </w:r>
          </w:p>
        </w:tc>
        <w:tc>
          <w:tcPr>
            <w:tcW w:w="2082" w:type="dxa"/>
            <w:vAlign w:val="center"/>
          </w:tcPr>
          <w:p w14:paraId="3AC8141E">
            <w:pPr>
              <w:autoSpaceDE w:val="0"/>
              <w:autoSpaceDN w:val="0"/>
              <w:rPr>
                <w:rFonts w:cs="宋体" w:asciiTheme="minorEastAsia" w:hAnsiTheme="minorEastAsia" w:eastAsiaTheme="minorEastAsia"/>
                <w:szCs w:val="21"/>
                <w:highlight w:val="none"/>
              </w:rPr>
            </w:pPr>
            <w:r>
              <w:rPr>
                <w:rFonts w:hint="eastAsia" w:ascii="宋体" w:hAnsi="宋体" w:cs="宋体"/>
                <w:color w:val="000000" w:themeColor="text1"/>
                <w:szCs w:val="21"/>
                <w:highlight w:val="none"/>
                <w14:textFill>
                  <w14:solidFill>
                    <w14:schemeClr w14:val="tx1"/>
                  </w14:solidFill>
                </w14:textFill>
              </w:rPr>
              <w:t>2.1.4是否以单项报价核定低于成本</w:t>
            </w:r>
          </w:p>
        </w:tc>
        <w:tc>
          <w:tcPr>
            <w:tcW w:w="5379" w:type="dxa"/>
            <w:vAlign w:val="center"/>
          </w:tcPr>
          <w:p w14:paraId="331C7106">
            <w:pPr>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2" w:char="00A3"/>
            </w:r>
            <w:r>
              <w:rPr>
                <w:rFonts w:hint="eastAsia" w:ascii="宋体" w:hAnsi="宋体" w:cs="宋体"/>
                <w:color w:val="000000" w:themeColor="text1"/>
                <w:szCs w:val="21"/>
                <w:highlight w:val="none"/>
                <w14:textFill>
                  <w14:solidFill>
                    <w14:schemeClr w14:val="tx1"/>
                  </w14:solidFill>
                </w14:textFill>
              </w:rPr>
              <w:t>不要求</w:t>
            </w:r>
          </w:p>
          <w:p w14:paraId="19B1C750">
            <w:pPr>
              <w:autoSpaceDE w:val="0"/>
              <w:autoSpaceDN w:val="0"/>
              <w:rPr>
                <w:rFonts w:cs="宋体" w:asciiTheme="minorEastAsia" w:hAnsiTheme="minorEastAsia" w:eastAsiaTheme="minorEastAsia"/>
                <w:szCs w:val="21"/>
                <w:highlight w:val="none"/>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要求，具体要求如下：评标委员会发现投标人的单项报价明显低于其他投标报价，认为投标报价可能低于成本的，将书面要求该投标人做出书面说明并提供相关证明材料。投标人不能合理说明或者不能提供相应证明材料的，由评标委员会认定该投标人以低于成本报价竞标，评标委员会将否决其投标。</w:t>
            </w:r>
          </w:p>
        </w:tc>
      </w:tr>
      <w:tr w14:paraId="2598B01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35BF047E">
            <w:pPr>
              <w:autoSpaceDE w:val="0"/>
              <w:autoSpaceDN w:val="0"/>
              <w:jc w:val="center"/>
              <w:rPr>
                <w:rFonts w:asciiTheme="minorEastAsia" w:hAnsiTheme="minorEastAsia" w:eastAsiaTheme="minorEastAsia"/>
                <w:szCs w:val="21"/>
                <w:highlight w:val="none"/>
              </w:rPr>
            </w:pPr>
          </w:p>
        </w:tc>
        <w:tc>
          <w:tcPr>
            <w:tcW w:w="2082" w:type="dxa"/>
            <w:vAlign w:val="center"/>
          </w:tcPr>
          <w:p w14:paraId="0A5526D6">
            <w:pPr>
              <w:autoSpaceDE w:val="0"/>
              <w:autoSpaceDN w:val="0"/>
              <w:rPr>
                <w:rFonts w:cs="宋体" w:asciiTheme="minorEastAsia" w:hAnsiTheme="minorEastAsia" w:eastAsiaTheme="minorEastAsia"/>
                <w:szCs w:val="21"/>
                <w:highlight w:val="none"/>
              </w:rPr>
            </w:pPr>
            <w:r>
              <w:rPr>
                <w:rFonts w:hint="eastAsia" w:ascii="宋体" w:hAnsi="宋体" w:cs="宋体"/>
                <w:color w:val="000000" w:themeColor="text1"/>
                <w:szCs w:val="21"/>
                <w:highlight w:val="none"/>
                <w14:textFill>
                  <w14:solidFill>
                    <w14:schemeClr w14:val="tx1"/>
                  </w14:solidFill>
                </w14:textFill>
              </w:rPr>
              <w:t>3.4.1 投标有效期投标有效期</w:t>
            </w:r>
          </w:p>
        </w:tc>
        <w:tc>
          <w:tcPr>
            <w:tcW w:w="5379" w:type="dxa"/>
            <w:vAlign w:val="center"/>
          </w:tcPr>
          <w:p w14:paraId="705406ED">
            <w:pPr>
              <w:autoSpaceDE w:val="0"/>
              <w:autoSpaceDN w:val="0"/>
              <w:rPr>
                <w:rFonts w:cs="宋体" w:asciiTheme="minorEastAsia" w:hAnsiTheme="minorEastAsia" w:eastAsiaTheme="minorEastAsia"/>
                <w:szCs w:val="21"/>
                <w:highlight w:val="none"/>
              </w:rPr>
            </w:pPr>
            <w:r>
              <w:rPr>
                <w:rFonts w:hint="eastAsia" w:ascii="宋体" w:hAnsi="宋体" w:cs="宋体"/>
                <w:color w:val="000000" w:themeColor="text1"/>
                <w:szCs w:val="21"/>
                <w:highlight w:val="none"/>
                <w14:textFill>
                  <w14:solidFill>
                    <w14:schemeClr w14:val="tx1"/>
                  </w14:solidFill>
                </w14:textFill>
              </w:rPr>
              <w:t>投标有效期：</w:t>
            </w:r>
            <w:r>
              <w:rPr>
                <w:rFonts w:ascii="宋体" w:hAnsi="宋体"/>
                <w:color w:val="000000" w:themeColor="text1"/>
                <w:szCs w:val="21"/>
                <w:highlight w:val="none"/>
                <w:u w:val="single"/>
                <w14:textFill>
                  <w14:solidFill>
                    <w14:schemeClr w14:val="tx1"/>
                  </w14:solidFill>
                </w14:textFill>
              </w:rPr>
              <w:t>120</w:t>
            </w:r>
            <w:r>
              <w:rPr>
                <w:rFonts w:hint="eastAsia" w:ascii="宋体" w:hAnsi="宋体" w:cs="宋体"/>
                <w:color w:val="000000" w:themeColor="text1"/>
                <w:szCs w:val="21"/>
                <w:highlight w:val="none"/>
                <w14:textFill>
                  <w14:solidFill>
                    <w14:schemeClr w14:val="tx1"/>
                  </w14:solidFill>
                </w14:textFill>
              </w:rPr>
              <w:t>天。</w:t>
            </w:r>
            <w:r>
              <w:rPr>
                <w:rFonts w:hint="eastAsia" w:ascii="宋体" w:hAnsi="宋体"/>
                <w:color w:val="000000" w:themeColor="text1"/>
                <w:highlight w:val="none"/>
                <w14:textFill>
                  <w14:solidFill>
                    <w14:schemeClr w14:val="tx1"/>
                  </w14:solidFill>
                </w14:textFill>
              </w:rPr>
              <w:t>投标有效期不满足招标文件要求的投标将被否决。</w:t>
            </w:r>
          </w:p>
        </w:tc>
      </w:tr>
      <w:tr w14:paraId="473157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tcBorders>
              <w:bottom w:val="single" w:color="auto" w:sz="4" w:space="0"/>
            </w:tcBorders>
            <w:vAlign w:val="center"/>
          </w:tcPr>
          <w:p w14:paraId="34A2E88F">
            <w:pPr>
              <w:autoSpaceDE w:val="0"/>
              <w:autoSpaceDN w:val="0"/>
              <w:jc w:val="center"/>
              <w:rPr>
                <w:rFonts w:asciiTheme="minorEastAsia" w:hAnsiTheme="minorEastAsia" w:eastAsiaTheme="minorEastAsia"/>
                <w:szCs w:val="21"/>
                <w:highlight w:val="none"/>
              </w:rPr>
            </w:pPr>
          </w:p>
        </w:tc>
        <w:tc>
          <w:tcPr>
            <w:tcW w:w="2082" w:type="dxa"/>
            <w:vAlign w:val="center"/>
          </w:tcPr>
          <w:p w14:paraId="3BCEDCB1">
            <w:pPr>
              <w:autoSpaceDE w:val="0"/>
              <w:autoSpaceDN w:val="0"/>
              <w:rPr>
                <w:rFonts w:cs="宋体" w:asciiTheme="minorEastAsia" w:hAnsiTheme="minorEastAsia" w:eastAsiaTheme="minorEastAsia"/>
                <w:szCs w:val="21"/>
                <w:highlight w:val="none"/>
              </w:rPr>
            </w:pPr>
            <w:r>
              <w:rPr>
                <w:rFonts w:hint="eastAsia" w:ascii="宋体" w:hAnsi="宋体" w:cs="宋体"/>
                <w:color w:val="000000" w:themeColor="text1"/>
                <w:szCs w:val="21"/>
                <w:highlight w:val="none"/>
                <w14:textFill>
                  <w14:solidFill>
                    <w14:schemeClr w14:val="tx1"/>
                  </w14:solidFill>
                </w14:textFill>
              </w:rPr>
              <w:t>3.5投标保证金</w:t>
            </w:r>
          </w:p>
        </w:tc>
        <w:tc>
          <w:tcPr>
            <w:tcW w:w="5379" w:type="dxa"/>
            <w:vAlign w:val="center"/>
          </w:tcPr>
          <w:p w14:paraId="7E61558E">
            <w:pPr>
              <w:autoSpaceDE w:val="0"/>
              <w:autoSpaceDN w:val="0"/>
              <w:rPr>
                <w:rFonts w:hint="eastAsia" w:asciiTheme="minorEastAsia" w:hAnsiTheme="minorEastAsia" w:eastAsiaTheme="minorEastAsia"/>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3.5.1要求递交投标保证金，投标保证金金额</w:t>
            </w:r>
            <w:r>
              <w:rPr>
                <w:rFonts w:hint="eastAsia" w:ascii="宋体" w:hAnsi="宋体" w:cs="宋体"/>
                <w:color w:val="000000" w:themeColor="text1"/>
                <w:szCs w:val="21"/>
                <w:highlight w:val="none"/>
                <w:lang w:val="en-US" w:eastAsia="zh-CN"/>
                <w14:textFill>
                  <w14:solidFill>
                    <w14:schemeClr w14:val="tx1"/>
                  </w14:solidFill>
                </w14:textFill>
              </w:rPr>
              <w:t>如下</w:t>
            </w:r>
            <w:r>
              <w:rPr>
                <w:rFonts w:hint="eastAsia" w:ascii="宋体" w:hAnsi="宋体" w:cs="宋体"/>
                <w:color w:val="000000" w:themeColor="text1"/>
                <w:szCs w:val="21"/>
                <w:highlight w:val="none"/>
                <w14:textFill>
                  <w14:solidFill>
                    <w14:schemeClr w14:val="tx1"/>
                  </w14:solidFill>
                </w14:textFill>
              </w:rPr>
              <w:t>：</w:t>
            </w:r>
            <w:r>
              <w:rPr>
                <w:rFonts w:hint="eastAsia" w:asciiTheme="minorEastAsia" w:hAnsiTheme="minorEastAsia" w:eastAsiaTheme="minorEastAsia"/>
                <w:szCs w:val="21"/>
                <w:highlight w:val="none"/>
                <w:lang w:val="en-US" w:eastAsia="zh-CN"/>
              </w:rPr>
              <w:t>人民币10100元</w:t>
            </w:r>
          </w:p>
          <w:p w14:paraId="131542C1">
            <w:pPr>
              <w:autoSpaceDE w:val="0"/>
              <w:autoSpaceDN w:val="0"/>
              <w:rPr>
                <w:rFonts w:cs="宋体" w:asciiTheme="minorEastAsia" w:hAnsiTheme="minorEastAsia" w:eastAsiaTheme="minorEastAsia"/>
                <w:szCs w:val="21"/>
                <w:highlight w:val="none"/>
              </w:rPr>
            </w:pPr>
            <w:r>
              <w:rPr>
                <w:rFonts w:hint="eastAsia" w:ascii="宋体" w:hAnsi="宋体"/>
                <w:color w:val="000000" w:themeColor="text1"/>
                <w:highlight w:val="none"/>
                <w14:textFill>
                  <w14:solidFill>
                    <w14:schemeClr w14:val="tx1"/>
                  </w14:solidFill>
                </w14:textFill>
              </w:rPr>
              <w:t>3.5.5未递交投标保证金或者递交的投标保证金有瑕疵的投标将被否决。</w:t>
            </w:r>
          </w:p>
        </w:tc>
      </w:tr>
      <w:tr w14:paraId="65E067D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tcBorders>
              <w:top w:val="single" w:color="auto" w:sz="4" w:space="0"/>
            </w:tcBorders>
            <w:vAlign w:val="center"/>
          </w:tcPr>
          <w:p w14:paraId="41A95F47">
            <w:pPr>
              <w:autoSpaceDE w:val="0"/>
              <w:autoSpaceDN w:val="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第四章 合同条款</w:t>
            </w:r>
          </w:p>
        </w:tc>
        <w:tc>
          <w:tcPr>
            <w:tcW w:w="2082" w:type="dxa"/>
            <w:vAlign w:val="center"/>
          </w:tcPr>
          <w:p w14:paraId="63B07909">
            <w:pPr>
              <w:snapToGrid w:val="0"/>
              <w:jc w:val="left"/>
              <w:rPr>
                <w:rFonts w:asciiTheme="minorEastAsia" w:hAnsiTheme="minorEastAsia" w:eastAsiaTheme="minorEastAsia"/>
                <w:szCs w:val="21"/>
                <w:highlight w:val="none"/>
              </w:rPr>
            </w:pPr>
            <w:r>
              <w:rPr>
                <w:rFonts w:hint="eastAsia" w:ascii="宋体" w:hAnsi="宋体" w:cs="宋体"/>
                <w:color w:val="000000" w:themeColor="text1"/>
                <w:kern w:val="0"/>
                <w:szCs w:val="21"/>
                <w:lang w:val="en-US" w:eastAsia="zh-CN"/>
                <w14:textFill>
                  <w14:solidFill>
                    <w14:schemeClr w14:val="tx1"/>
                  </w14:solidFill>
                </w14:textFill>
              </w:rPr>
              <w:t>商务及</w:t>
            </w:r>
            <w:r>
              <w:rPr>
                <w:rFonts w:hint="eastAsia" w:ascii="宋体" w:hAnsi="宋体" w:cs="宋体"/>
                <w:color w:val="000000" w:themeColor="text1"/>
                <w:kern w:val="0"/>
                <w:szCs w:val="21"/>
                <w14:textFill>
                  <w14:solidFill>
                    <w14:schemeClr w14:val="tx1"/>
                  </w14:solidFill>
                </w14:textFill>
              </w:rPr>
              <w:t>合同条款</w:t>
            </w:r>
          </w:p>
        </w:tc>
        <w:tc>
          <w:tcPr>
            <w:tcW w:w="5379" w:type="dxa"/>
            <w:vAlign w:val="center"/>
          </w:tcPr>
          <w:p w14:paraId="06692109">
            <w:pPr>
              <w:snapToGrid w:val="0"/>
              <w:jc w:val="left"/>
              <w:rPr>
                <w:rFonts w:asciiTheme="minorEastAsia" w:hAnsiTheme="minorEastAsia" w:eastAsiaTheme="minorEastAsia"/>
                <w:szCs w:val="21"/>
                <w:highlight w:val="none"/>
              </w:rPr>
            </w:pPr>
            <w:r>
              <w:rPr>
                <w:rFonts w:hint="eastAsia" w:ascii="宋体" w:hAnsi="宋体" w:cs="宋体"/>
                <w:szCs w:val="21"/>
              </w:rPr>
              <w:t>商务及合同条款必须全部满足或正偏离，按招标文件第六章“投标文件格式”要求提供商务条款偏离表、合同条款偏离表。</w:t>
            </w:r>
          </w:p>
        </w:tc>
      </w:tr>
      <w:tr w14:paraId="3FA6C46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855" w:hRule="atLeast"/>
        </w:trPr>
        <w:tc>
          <w:tcPr>
            <w:tcW w:w="840" w:type="dxa"/>
            <w:tcBorders>
              <w:top w:val="single" w:color="auto" w:sz="4" w:space="0"/>
            </w:tcBorders>
            <w:vAlign w:val="center"/>
          </w:tcPr>
          <w:p w14:paraId="54CF91DC">
            <w:pPr>
              <w:autoSpaceDE w:val="0"/>
              <w:autoSpaceDN w:val="0"/>
              <w:jc w:val="center"/>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第五章 技术规范书</w:t>
            </w:r>
          </w:p>
        </w:tc>
        <w:tc>
          <w:tcPr>
            <w:tcW w:w="2082" w:type="dxa"/>
            <w:vAlign w:val="center"/>
          </w:tcPr>
          <w:p w14:paraId="5F769070">
            <w:pPr>
              <w:autoSpaceDE w:val="0"/>
              <w:autoSpaceDN w:val="0"/>
              <w:rPr>
                <w:rFonts w:cs="宋体" w:asciiTheme="minorEastAsia" w:hAnsiTheme="minorEastAsia" w:eastAsiaTheme="minorEastAsia"/>
                <w:szCs w:val="21"/>
                <w:highlight w:val="none"/>
              </w:rPr>
            </w:pPr>
            <w:r>
              <w:rPr>
                <w:rFonts w:hint="eastAsia" w:ascii="宋体" w:hAnsi="宋体" w:cs="宋体"/>
                <w:color w:val="000000" w:themeColor="text1"/>
                <w:szCs w:val="21"/>
                <w:highlight w:val="none"/>
                <w14:textFill>
                  <w14:solidFill>
                    <w14:schemeClr w14:val="tx1"/>
                  </w14:solidFill>
                </w14:textFill>
              </w:rPr>
              <w:t>技术规范书</w:t>
            </w:r>
          </w:p>
        </w:tc>
        <w:tc>
          <w:tcPr>
            <w:tcW w:w="5379" w:type="dxa"/>
            <w:vAlign w:val="center"/>
          </w:tcPr>
          <w:p w14:paraId="3EA94846">
            <w:pPr>
              <w:autoSpaceDE w:val="0"/>
              <w:autoSpaceDN w:val="0"/>
              <w:rPr>
                <w:rFonts w:asciiTheme="minorEastAsia" w:hAnsiTheme="minorEastAsia" w:eastAsiaTheme="minorEastAsia"/>
                <w:highlight w:val="none"/>
              </w:rPr>
            </w:pPr>
            <w:r>
              <w:rPr>
                <w:rFonts w:hint="eastAsia" w:ascii="宋体" w:hAnsi="宋体" w:cs="宋体"/>
                <w:color w:val="000000" w:themeColor="text1"/>
                <w:szCs w:val="21"/>
                <w:highlight w:val="none"/>
                <w14:textFill>
                  <w14:solidFill>
                    <w14:schemeClr w14:val="tx1"/>
                  </w14:solidFill>
                </w14:textFill>
              </w:rPr>
              <w:t>按招标文件第六章“投标文件格式”要求提供技术规范书偏离表。</w:t>
            </w:r>
          </w:p>
        </w:tc>
      </w:tr>
      <w:tr w14:paraId="2ADF99B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tcBorders>
              <w:top w:val="single" w:color="auto" w:sz="4" w:space="0"/>
              <w:bottom w:val="single" w:color="auto" w:sz="4" w:space="0"/>
            </w:tcBorders>
            <w:vAlign w:val="center"/>
          </w:tcPr>
          <w:p w14:paraId="3C1B4E75">
            <w:pPr>
              <w:autoSpaceDE w:val="0"/>
              <w:autoSpaceDN w:val="0"/>
              <w:jc w:val="center"/>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其他</w:t>
            </w:r>
          </w:p>
        </w:tc>
        <w:tc>
          <w:tcPr>
            <w:tcW w:w="2082" w:type="dxa"/>
            <w:vAlign w:val="center"/>
          </w:tcPr>
          <w:p w14:paraId="293F819C">
            <w:pPr>
              <w:autoSpaceDE w:val="0"/>
              <w:autoSpaceDN w:val="0"/>
              <w:rPr>
                <w:rFonts w:asciiTheme="minorEastAsia" w:hAnsiTheme="minorEastAsia" w:eastAsiaTheme="minorEastAsia"/>
                <w:szCs w:val="21"/>
                <w:highlight w:val="none"/>
              </w:rPr>
            </w:pPr>
          </w:p>
        </w:tc>
        <w:tc>
          <w:tcPr>
            <w:tcW w:w="5379" w:type="dxa"/>
            <w:vAlign w:val="center"/>
          </w:tcPr>
          <w:p w14:paraId="46349AF6">
            <w:pPr>
              <w:autoSpaceDE w:val="0"/>
              <w:autoSpaceDN w:val="0"/>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无招标文件或相关法律法规规定的无效投标或否决投标项。</w:t>
            </w:r>
          </w:p>
        </w:tc>
      </w:tr>
      <w:tr w14:paraId="241E834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301" w:type="dxa"/>
            <w:gridSpan w:val="3"/>
            <w:tcBorders>
              <w:top w:val="single" w:color="auto" w:sz="4" w:space="0"/>
              <w:bottom w:val="single" w:color="auto" w:sz="4" w:space="0"/>
            </w:tcBorders>
            <w:vAlign w:val="center"/>
          </w:tcPr>
          <w:p w14:paraId="2049220D">
            <w:pPr>
              <w:autoSpaceDE w:val="0"/>
              <w:autoSpaceDN w:val="0"/>
              <w:rPr>
                <w:rFonts w:asciiTheme="minorEastAsia" w:hAnsiTheme="minorEastAsia" w:eastAsiaTheme="minorEastAsia"/>
                <w:szCs w:val="21"/>
                <w:highlight w:val="none"/>
              </w:rPr>
            </w:pPr>
            <w:r>
              <w:rPr>
                <w:rFonts w:hint="eastAsia" w:asciiTheme="minorEastAsia" w:hAnsiTheme="minorEastAsia" w:eastAsiaTheme="minorEastAsia"/>
                <w:b/>
                <w:highlight w:val="none"/>
              </w:rPr>
              <w:t>第二部分：通用部分</w:t>
            </w:r>
          </w:p>
        </w:tc>
      </w:tr>
      <w:tr w14:paraId="400B057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tcBorders>
              <w:top w:val="single" w:color="auto" w:sz="4" w:space="0"/>
              <w:bottom w:val="single" w:color="auto" w:sz="4" w:space="0"/>
            </w:tcBorders>
            <w:vAlign w:val="center"/>
          </w:tcPr>
          <w:p w14:paraId="106616A7">
            <w:pPr>
              <w:autoSpaceDE w:val="0"/>
              <w:autoSpaceDN w:val="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第一章招标公告/投标邀请书</w:t>
            </w:r>
          </w:p>
        </w:tc>
        <w:tc>
          <w:tcPr>
            <w:tcW w:w="2082" w:type="dxa"/>
            <w:vAlign w:val="center"/>
          </w:tcPr>
          <w:p w14:paraId="68765573">
            <w:pPr>
              <w:autoSpaceDE w:val="0"/>
              <w:autoSpaceDN w:val="0"/>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2.投标人资格要求</w:t>
            </w:r>
          </w:p>
        </w:tc>
        <w:tc>
          <w:tcPr>
            <w:tcW w:w="5379" w:type="dxa"/>
            <w:vAlign w:val="center"/>
          </w:tcPr>
          <w:p w14:paraId="123741C6">
            <w:pPr>
              <w:autoSpaceDE w:val="0"/>
              <w:autoSpaceDN w:val="0"/>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投标人须满足第一章招标公告中“2.投标人资格要求”规定的全部条件，任何一条不满足均会导致投标被否决。</w:t>
            </w:r>
          </w:p>
        </w:tc>
      </w:tr>
      <w:tr w14:paraId="262847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restart"/>
            <w:tcBorders>
              <w:top w:val="single" w:color="auto" w:sz="4" w:space="0"/>
            </w:tcBorders>
            <w:vAlign w:val="center"/>
          </w:tcPr>
          <w:p w14:paraId="42443CCF">
            <w:pPr>
              <w:autoSpaceDE w:val="0"/>
              <w:autoSpaceDN w:val="0"/>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第二章投标人须知</w:t>
            </w:r>
          </w:p>
        </w:tc>
        <w:tc>
          <w:tcPr>
            <w:tcW w:w="2082" w:type="dxa"/>
            <w:vAlign w:val="center"/>
          </w:tcPr>
          <w:p w14:paraId="2F3BB81A">
            <w:pPr>
              <w:autoSpaceDE w:val="0"/>
              <w:autoSpaceDN w:val="0"/>
              <w:rPr>
                <w:rFonts w:cs="宋体" w:asciiTheme="minorEastAsia" w:hAnsiTheme="minorEastAsia" w:eastAsiaTheme="minorEastAsia"/>
                <w:szCs w:val="21"/>
                <w:highlight w:val="none"/>
              </w:rPr>
            </w:pPr>
            <w:r>
              <w:rPr>
                <w:rFonts w:hint="eastAsia" w:ascii="宋体" w:hAnsi="宋体" w:cs="宋体"/>
                <w:color w:val="000000" w:themeColor="text1"/>
                <w:szCs w:val="21"/>
                <w:highlight w:val="none"/>
                <w14:textFill>
                  <w14:solidFill>
                    <w14:schemeClr w14:val="tx1"/>
                  </w14:solidFill>
                </w14:textFill>
              </w:rPr>
              <w:t>1.7.2 资格审查</w:t>
            </w:r>
          </w:p>
        </w:tc>
        <w:tc>
          <w:tcPr>
            <w:tcW w:w="5379" w:type="dxa"/>
            <w:vAlign w:val="center"/>
          </w:tcPr>
          <w:p w14:paraId="76C63BA9">
            <w:pPr>
              <w:autoSpaceDE w:val="0"/>
              <w:autoSpaceDN w:val="0"/>
              <w:rPr>
                <w:rFonts w:asciiTheme="minorEastAsia" w:hAnsiTheme="minorEastAsia" w:eastAsiaTheme="minorEastAsia"/>
                <w:highlight w:val="none"/>
              </w:rPr>
            </w:pPr>
            <w:r>
              <w:rPr>
                <w:rFonts w:hint="eastAsia" w:ascii="宋体" w:hAnsi="宋体"/>
                <w:color w:val="000000" w:themeColor="text1"/>
                <w:highlight w:val="none"/>
                <w14:textFill>
                  <w14:solidFill>
                    <w14:schemeClr w14:val="tx1"/>
                  </w14:solidFill>
                </w14:textFill>
              </w:rPr>
              <w:t>资格后审不合格的投标人，评标委员会应当否决其投标。</w:t>
            </w:r>
          </w:p>
        </w:tc>
      </w:tr>
      <w:tr w14:paraId="16A962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3DA6989B">
            <w:pPr>
              <w:autoSpaceDE w:val="0"/>
              <w:autoSpaceDN w:val="0"/>
              <w:snapToGrid w:val="0"/>
              <w:jc w:val="center"/>
              <w:rPr>
                <w:rFonts w:cs="宋体" w:asciiTheme="minorEastAsia" w:hAnsiTheme="minorEastAsia" w:eastAsiaTheme="minorEastAsia"/>
                <w:szCs w:val="21"/>
                <w:highlight w:val="none"/>
              </w:rPr>
            </w:pPr>
          </w:p>
        </w:tc>
        <w:tc>
          <w:tcPr>
            <w:tcW w:w="2082" w:type="dxa"/>
            <w:vAlign w:val="center"/>
          </w:tcPr>
          <w:p w14:paraId="45048ED7">
            <w:pPr>
              <w:autoSpaceDE w:val="0"/>
              <w:autoSpaceDN w:val="0"/>
              <w:rPr>
                <w:rFonts w:cs="宋体" w:asciiTheme="minorEastAsia" w:hAnsiTheme="minorEastAsia" w:eastAsiaTheme="minorEastAsia"/>
                <w:szCs w:val="21"/>
                <w:highlight w:val="none"/>
              </w:rPr>
            </w:pPr>
            <w:r>
              <w:rPr>
                <w:rFonts w:hint="eastAsia" w:ascii="宋体" w:hAnsi="宋体" w:cs="宋体"/>
                <w:color w:val="000000" w:themeColor="text1"/>
                <w:szCs w:val="21"/>
                <w:highlight w:val="none"/>
                <w14:textFill>
                  <w14:solidFill>
                    <w14:schemeClr w14:val="tx1"/>
                  </w14:solidFill>
                </w14:textFill>
              </w:rPr>
              <w:t>2.1.3 实质性条款不满足</w:t>
            </w:r>
          </w:p>
        </w:tc>
        <w:tc>
          <w:tcPr>
            <w:tcW w:w="5379" w:type="dxa"/>
            <w:vAlign w:val="center"/>
          </w:tcPr>
          <w:p w14:paraId="2A0074DE">
            <w:pPr>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（1）招标文件中标识“</w:t>
            </w: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”的条款，均为实质性条款，投标人任何不满足实质性条款的投标均将被否决。</w:t>
            </w:r>
          </w:p>
          <w:p w14:paraId="6D0227C1">
            <w:pPr>
              <w:autoSpaceDE w:val="0"/>
              <w:autoSpaceDN w:val="0"/>
              <w:rPr>
                <w:rFonts w:asciiTheme="minorEastAsia" w:hAnsiTheme="minorEastAsia" w:eastAsiaTheme="minorEastAsia"/>
                <w:highlight w:val="none"/>
              </w:rPr>
            </w:pPr>
            <w:r>
              <w:rPr>
                <w:rFonts w:hint="eastAsia" w:ascii="宋体" w:hAnsi="宋体" w:cs="宋体"/>
                <w:color w:val="000000" w:themeColor="text1"/>
                <w:szCs w:val="21"/>
                <w:highlight w:val="none"/>
                <w14:textFill>
                  <w14:solidFill>
                    <w14:schemeClr w14:val="tx1"/>
                  </w14:solidFill>
                </w14:textFill>
              </w:rPr>
              <w:t>（2）非实质性要求的负偏离要求：技术条款负偏离达到6项将被否决投标。</w:t>
            </w:r>
          </w:p>
        </w:tc>
      </w:tr>
      <w:tr w14:paraId="3A696E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5" w:hRule="atLeast"/>
        </w:trPr>
        <w:tc>
          <w:tcPr>
            <w:tcW w:w="840" w:type="dxa"/>
            <w:vMerge w:val="continue"/>
            <w:vAlign w:val="center"/>
          </w:tcPr>
          <w:p w14:paraId="447CD67C">
            <w:pPr>
              <w:autoSpaceDE w:val="0"/>
              <w:autoSpaceDN w:val="0"/>
              <w:jc w:val="center"/>
              <w:rPr>
                <w:rFonts w:cs="宋体" w:asciiTheme="minorEastAsia" w:hAnsiTheme="minorEastAsia" w:eastAsiaTheme="minorEastAsia"/>
                <w:szCs w:val="21"/>
                <w:highlight w:val="none"/>
              </w:rPr>
            </w:pPr>
          </w:p>
        </w:tc>
        <w:tc>
          <w:tcPr>
            <w:tcW w:w="2082" w:type="dxa"/>
            <w:vAlign w:val="center"/>
          </w:tcPr>
          <w:p w14:paraId="3FBAFA0D">
            <w:pPr>
              <w:autoSpaceDE w:val="0"/>
              <w:autoSpaceDN w:val="0"/>
              <w:rPr>
                <w:rFonts w:cs="宋体" w:asciiTheme="minorEastAsia" w:hAnsiTheme="minorEastAsia" w:eastAsiaTheme="minorEastAsia"/>
                <w:szCs w:val="21"/>
                <w:highlight w:val="none"/>
              </w:rPr>
            </w:pPr>
            <w:r>
              <w:rPr>
                <w:rFonts w:hint="eastAsia" w:ascii="宋体" w:hAnsi="宋体" w:cs="宋体"/>
                <w:color w:val="000000" w:themeColor="text1"/>
                <w:szCs w:val="21"/>
                <w:highlight w:val="none"/>
                <w14:textFill>
                  <w14:solidFill>
                    <w14:schemeClr w14:val="tx1"/>
                  </w14:solidFill>
                </w14:textFill>
              </w:rPr>
              <w:t>3.2.2 投标文件编制</w:t>
            </w:r>
          </w:p>
        </w:tc>
        <w:tc>
          <w:tcPr>
            <w:tcW w:w="5379" w:type="dxa"/>
            <w:vAlign w:val="center"/>
          </w:tcPr>
          <w:p w14:paraId="7F9FA75B">
            <w:pPr>
              <w:autoSpaceDE w:val="0"/>
              <w:autoSpaceDN w:val="0"/>
              <w:rPr>
                <w:rFonts w:cs="宋体" w:asciiTheme="minorEastAsia" w:hAnsiTheme="minorEastAsia" w:eastAsiaTheme="minorEastAsia"/>
                <w:szCs w:val="21"/>
                <w:highlight w:val="none"/>
              </w:rPr>
            </w:pPr>
            <w:r>
              <w:rPr>
                <w:rFonts w:hint="eastAsia" w:ascii="宋体" w:hAnsi="宋体"/>
                <w:color w:val="000000" w:themeColor="text1"/>
                <w:highlight w:val="none"/>
                <w14:textFill>
                  <w14:solidFill>
                    <w14:schemeClr w14:val="tx1"/>
                  </w14:solidFill>
                </w14:textFill>
              </w:rPr>
              <w:t>投标人应当认真阅读招标文件中所有的事项、格式、条款和技术规范等。投标人没有按照招标文件要求递交全部资料或者投标人没有对招标文件在各方面都作出实质性响应是投标人的风险，并可能导致其投标被否决。</w:t>
            </w:r>
          </w:p>
        </w:tc>
      </w:tr>
      <w:tr w14:paraId="5A5ED1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6329D95C">
            <w:pPr>
              <w:autoSpaceDE w:val="0"/>
              <w:autoSpaceDN w:val="0"/>
              <w:jc w:val="center"/>
              <w:rPr>
                <w:rFonts w:cs="宋体" w:asciiTheme="minorEastAsia" w:hAnsiTheme="minorEastAsia" w:eastAsiaTheme="minorEastAsia"/>
                <w:szCs w:val="21"/>
                <w:highlight w:val="none"/>
              </w:rPr>
            </w:pPr>
          </w:p>
        </w:tc>
        <w:tc>
          <w:tcPr>
            <w:tcW w:w="2082" w:type="dxa"/>
            <w:vAlign w:val="center"/>
          </w:tcPr>
          <w:p w14:paraId="327EE177">
            <w:pPr>
              <w:autoSpaceDE w:val="0"/>
              <w:autoSpaceDN w:val="0"/>
              <w:rPr>
                <w:rFonts w:cs="宋体" w:asciiTheme="minorEastAsia" w:hAnsiTheme="minorEastAsia" w:eastAsiaTheme="minorEastAsia"/>
                <w:szCs w:val="21"/>
                <w:highlight w:val="none"/>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需要补充的其他内容</w:t>
            </w:r>
          </w:p>
        </w:tc>
        <w:tc>
          <w:tcPr>
            <w:tcW w:w="5379" w:type="dxa"/>
            <w:vAlign w:val="center"/>
          </w:tcPr>
          <w:p w14:paraId="549BF427">
            <w:pPr>
              <w:autoSpaceDE w:val="0"/>
              <w:autoSpaceDN w:val="0"/>
              <w:rPr>
                <w:rFonts w:cs="宋体" w:asciiTheme="minorEastAsia" w:hAnsiTheme="minorEastAsia" w:eastAsiaTheme="minorEastAsia"/>
                <w:szCs w:val="21"/>
                <w:highlight w:val="none"/>
              </w:rPr>
            </w:pPr>
            <w:r>
              <w:rPr>
                <w:rFonts w:hint="eastAsia" w:ascii="宋体" w:hAnsi="宋体" w:cs="宋体"/>
                <w:color w:val="000000" w:themeColor="text1"/>
                <w:szCs w:val="21"/>
                <w:highlight w:val="none"/>
                <w14:textFill>
                  <w14:solidFill>
                    <w14:schemeClr w14:val="tx1"/>
                  </w14:solidFill>
                </w14:textFill>
              </w:rPr>
              <w:t>投标人试图对招标人进行影响，或对评标委员会的评标、比较或中标候选人的决定进行影响，都可能导致其投标被否决。</w:t>
            </w:r>
          </w:p>
        </w:tc>
      </w:tr>
      <w:tr w14:paraId="09FB829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restart"/>
            <w:vAlign w:val="center"/>
          </w:tcPr>
          <w:p w14:paraId="1745F6BF">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第三章评标办法</w:t>
            </w:r>
          </w:p>
        </w:tc>
        <w:tc>
          <w:tcPr>
            <w:tcW w:w="2082" w:type="dxa"/>
            <w:vAlign w:val="center"/>
          </w:tcPr>
          <w:p w14:paraId="46115332">
            <w:pPr>
              <w:autoSpaceDE w:val="0"/>
              <w:autoSpaceDN w:val="0"/>
              <w:rPr>
                <w:rFonts w:cs="宋体" w:asciiTheme="minorEastAsia" w:hAnsiTheme="minorEastAsia" w:eastAsiaTheme="minorEastAsia"/>
                <w:szCs w:val="21"/>
                <w:highlight w:val="none"/>
              </w:rPr>
            </w:pPr>
            <w:r>
              <w:rPr>
                <w:rFonts w:hint="eastAsia" w:ascii="宋体" w:hAnsi="宋体" w:cs="宋体"/>
                <w:color w:val="000000" w:themeColor="text1"/>
                <w:szCs w:val="21"/>
                <w:highlight w:val="none"/>
                <w14:textFill>
                  <w14:solidFill>
                    <w14:schemeClr w14:val="tx1"/>
                  </w14:solidFill>
                </w14:textFill>
              </w:rPr>
              <w:t>3.1.1 初步评审</w:t>
            </w:r>
          </w:p>
        </w:tc>
        <w:tc>
          <w:tcPr>
            <w:tcW w:w="5379" w:type="dxa"/>
            <w:vAlign w:val="center"/>
          </w:tcPr>
          <w:p w14:paraId="217167B4">
            <w:pPr>
              <w:autoSpaceDE w:val="0"/>
              <w:autoSpaceDN w:val="0"/>
              <w:rPr>
                <w:rFonts w:cs="宋体" w:asciiTheme="minorEastAsia" w:hAnsiTheme="minorEastAsia" w:eastAsiaTheme="minorEastAsia"/>
                <w:szCs w:val="21"/>
                <w:highlight w:val="none"/>
              </w:rPr>
            </w:pPr>
            <w:r>
              <w:rPr>
                <w:rFonts w:hint="eastAsia" w:ascii="宋体" w:hAnsi="宋体"/>
                <w:color w:val="000000" w:themeColor="text1"/>
                <w:highlight w:val="none"/>
                <w14:textFill>
                  <w14:solidFill>
                    <w14:schemeClr w14:val="tx1"/>
                  </w14:solidFill>
                </w14:textFill>
              </w:rPr>
              <w:t>评标委员会根据第三章第2.1款规定的初步评审标准对投标文件进行初步评审。有一项不符合评审标准的，评标委员会应当否决其投标。</w:t>
            </w:r>
          </w:p>
        </w:tc>
      </w:tr>
      <w:tr w14:paraId="551DBA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324CA3B8">
            <w:pPr>
              <w:autoSpaceDE w:val="0"/>
              <w:autoSpaceDN w:val="0"/>
              <w:jc w:val="center"/>
              <w:rPr>
                <w:rFonts w:cs="宋体" w:asciiTheme="minorEastAsia" w:hAnsiTheme="minorEastAsia" w:eastAsiaTheme="minorEastAsia"/>
                <w:szCs w:val="21"/>
                <w:highlight w:val="none"/>
              </w:rPr>
            </w:pPr>
          </w:p>
        </w:tc>
        <w:tc>
          <w:tcPr>
            <w:tcW w:w="2082" w:type="dxa"/>
            <w:vAlign w:val="center"/>
          </w:tcPr>
          <w:p w14:paraId="11A1E576">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 xml:space="preserve">3.1.2 初步评审 </w:t>
            </w:r>
          </w:p>
        </w:tc>
        <w:tc>
          <w:tcPr>
            <w:tcW w:w="5379" w:type="dxa"/>
            <w:vAlign w:val="center"/>
          </w:tcPr>
          <w:p w14:paraId="6E329290">
            <w:pPr>
              <w:autoSpaceDE w:val="0"/>
              <w:autoSpaceDN w:val="0"/>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投标人有以下情形之一的，评标委员会应当否决其投标：</w:t>
            </w:r>
          </w:p>
          <w:p w14:paraId="24EF0747">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（1）第二章“投标人须知”第1.8款规定的任何一种情形的；</w:t>
            </w:r>
          </w:p>
          <w:p w14:paraId="1BD5FFE5">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（2）不按照评标委员会要求澄清、说明或者补正的；</w:t>
            </w:r>
          </w:p>
          <w:p w14:paraId="59F85BFE">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（3）投标文件未经投标单位盖章和单位负责人签字；</w:t>
            </w:r>
          </w:p>
          <w:p w14:paraId="4145F253">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（4）允许联合体投标的，投标联合体没有递交共同投标协议；</w:t>
            </w:r>
          </w:p>
          <w:p w14:paraId="425633A6">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（5）投标人不符合国家或者招标文件规定的资格条件；</w:t>
            </w:r>
          </w:p>
          <w:p w14:paraId="2912240A">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（6）同一投标人递交两个以上不同的投标文件或者投标报价，但招标文件要求递交备选投标的除外；</w:t>
            </w:r>
          </w:p>
          <w:p w14:paraId="3ADA9ED4">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（7）投标报价低于成本或者高于招标文件设定的最高投标限价；</w:t>
            </w:r>
          </w:p>
          <w:p w14:paraId="64A6A9A4">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（8）投标文件没有对招标文件的实质性要求和条件做出响应；</w:t>
            </w:r>
          </w:p>
          <w:p w14:paraId="62AA9A72">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（9）投标人有串通投标、弄虚作假、行贿等违法行为；</w:t>
            </w:r>
          </w:p>
          <w:p w14:paraId="7538BC46">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（10）投标人以他人名义投标；</w:t>
            </w:r>
          </w:p>
          <w:p w14:paraId="279DD308">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（11）没有按照招标文件要求提供投标担保或者所提供的投标担保有瑕疵；</w:t>
            </w:r>
          </w:p>
          <w:p w14:paraId="3568AEFC">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（12）投标文件载明的招标项目完成期限超过招标文件规定的期限；</w:t>
            </w:r>
          </w:p>
          <w:p w14:paraId="48799394">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（13）明显不符合技术规格、技术标准的要求；</w:t>
            </w:r>
          </w:p>
          <w:p w14:paraId="48418BFF">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（14）投标文件载明的货物包装方式、检验标准和方法等不符合招标文件的要求；</w:t>
            </w:r>
          </w:p>
          <w:p w14:paraId="30838CCB">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（15）投标文件附有招标人不能接受的条件；</w:t>
            </w:r>
          </w:p>
          <w:p w14:paraId="484911CC">
            <w:pPr>
              <w:autoSpaceDE w:val="0"/>
              <w:autoSpaceDN w:val="0"/>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（16）不符合招标文件中规定的其他实质性要求。</w:t>
            </w:r>
          </w:p>
        </w:tc>
      </w:tr>
      <w:tr w14:paraId="750128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2ED9E7EE">
            <w:pPr>
              <w:autoSpaceDE w:val="0"/>
              <w:autoSpaceDN w:val="0"/>
              <w:jc w:val="center"/>
              <w:rPr>
                <w:rFonts w:cs="宋体" w:asciiTheme="minorEastAsia" w:hAnsiTheme="minorEastAsia" w:eastAsiaTheme="minorEastAsia"/>
                <w:szCs w:val="21"/>
                <w:highlight w:val="none"/>
              </w:rPr>
            </w:pPr>
          </w:p>
        </w:tc>
        <w:tc>
          <w:tcPr>
            <w:tcW w:w="2082" w:type="dxa"/>
            <w:vAlign w:val="center"/>
          </w:tcPr>
          <w:p w14:paraId="6729B71D">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3.1.3 低于成本价</w:t>
            </w:r>
          </w:p>
        </w:tc>
        <w:tc>
          <w:tcPr>
            <w:tcW w:w="5379" w:type="dxa"/>
            <w:vAlign w:val="center"/>
          </w:tcPr>
          <w:p w14:paraId="2982ED10">
            <w:pPr>
              <w:autoSpaceDE w:val="0"/>
              <w:autoSpaceDN w:val="0"/>
              <w:rPr>
                <w:rFonts w:cs="宋体" w:asciiTheme="minorEastAsia" w:hAnsiTheme="minorEastAsia" w:eastAsiaTheme="minorEastAsia"/>
                <w:szCs w:val="21"/>
                <w:highlight w:val="none"/>
              </w:rPr>
            </w:pPr>
            <w:r>
              <w:rPr>
                <w:rFonts w:hint="eastAsia" w:ascii="宋体" w:hAnsi="宋体"/>
                <w:color w:val="000000" w:themeColor="text1"/>
                <w:highlight w:val="none"/>
                <w14:textFill>
                  <w14:solidFill>
                    <w14:schemeClr w14:val="tx1"/>
                  </w14:solidFill>
                </w14:textFill>
              </w:rPr>
              <w:t>评标过程中，评标委员会收到低于成本价投标的书面质疑材料、发现投标人的综合报价明显低于其他投标报价或者设有标底时明显低于标底，认为投标报价可能低于其个别成本的，应当书面要求该投标人做出书面说明并提供相关证明材料。投标人不能合理说明或者不能提供相应证明材料的，由评标委员会认定该投标人以低于成本报价竞标，评标委员会应当否决其投标。</w:t>
            </w:r>
          </w:p>
        </w:tc>
      </w:tr>
      <w:tr w14:paraId="379D358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5638A913">
            <w:pPr>
              <w:autoSpaceDE w:val="0"/>
              <w:autoSpaceDN w:val="0"/>
              <w:jc w:val="center"/>
              <w:rPr>
                <w:rFonts w:cs="宋体" w:asciiTheme="minorEastAsia" w:hAnsiTheme="minorEastAsia" w:eastAsiaTheme="minorEastAsia"/>
                <w:szCs w:val="21"/>
                <w:highlight w:val="none"/>
              </w:rPr>
            </w:pPr>
          </w:p>
        </w:tc>
        <w:tc>
          <w:tcPr>
            <w:tcW w:w="2082" w:type="dxa"/>
            <w:vAlign w:val="center"/>
          </w:tcPr>
          <w:p w14:paraId="3FE4AE30">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3.1.4 算术修正</w:t>
            </w:r>
          </w:p>
        </w:tc>
        <w:tc>
          <w:tcPr>
            <w:tcW w:w="5379" w:type="dxa"/>
            <w:vAlign w:val="center"/>
          </w:tcPr>
          <w:p w14:paraId="489865A6">
            <w:pPr>
              <w:autoSpaceDE w:val="0"/>
              <w:autoSpaceDN w:val="0"/>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投标报价有算术错误的，评标委员会按照以下原则对投标报价进行修正，修正的价格经投标人书面确认后具有约束力。投标人不接受修正价格的，评标委员会应当否决其投标。</w:t>
            </w:r>
          </w:p>
          <w:p w14:paraId="463BEC42">
            <w:pPr>
              <w:autoSpaceDE w:val="0"/>
              <w:autoSpaceDN w:val="0"/>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（1）投标文件中的大写金额与小写金额不一致的，以大写金额为准；</w:t>
            </w:r>
          </w:p>
          <w:p w14:paraId="668408D5">
            <w:pPr>
              <w:autoSpaceDE w:val="0"/>
              <w:autoSpaceDN w:val="0"/>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（2）总价金额与根据单价计算出的结果不一致的，以单价金额为准修正总价，但单价金额小数点有明显错误的除外。</w:t>
            </w:r>
          </w:p>
          <w:p w14:paraId="0855E69F">
            <w:pPr>
              <w:autoSpaceDE w:val="0"/>
              <w:autoSpaceDN w:val="0"/>
              <w:rPr>
                <w:rFonts w:asciiTheme="minorEastAsia" w:hAnsiTheme="minorEastAsia" w:eastAsiaTheme="minorEastAsia"/>
                <w:highlight w:val="none"/>
              </w:rPr>
            </w:pPr>
            <w:r>
              <w:rPr>
                <w:rFonts w:hint="eastAsia" w:ascii="宋体" w:hAnsi="宋体" w:eastAsia="宋体" w:cs="Times New Roman"/>
                <w:color w:val="000000" w:themeColor="text1"/>
                <w:highlight w:val="none"/>
                <w:lang w:val="en-US" w:eastAsia="zh-CN"/>
                <w14:textFill>
                  <w14:solidFill>
                    <w14:schemeClr w14:val="tx1"/>
                  </w14:solidFill>
                </w14:textFill>
              </w:rPr>
              <w:t>（3）</w:t>
            </w:r>
            <w:r>
              <w:rPr>
                <w:rFonts w:hint="eastAsia" w:ascii="宋体" w:hAnsi="宋体" w:eastAsia="宋体" w:cs="Times New Roman"/>
                <w:color w:val="000000" w:themeColor="text1"/>
                <w:highlight w:val="none"/>
                <w14:textFill>
                  <w14:solidFill>
                    <w14:schemeClr w14:val="tx1"/>
                  </w14:solidFill>
                </w14:textFill>
              </w:rPr>
              <w:t>含税金额与根据不含税金额计算出的结果不一致的，以不含税金额为准修正含税金额，但不含税金额有明显错误的除外。</w:t>
            </w:r>
          </w:p>
        </w:tc>
      </w:tr>
    </w:tbl>
    <w:p w14:paraId="4C3C7462">
      <w:pPr>
        <w:pStyle w:val="81"/>
        <w:numPr>
          <w:ilvl w:val="0"/>
          <w:numId w:val="77"/>
        </w:numPr>
        <w:tabs>
          <w:tab w:val="left" w:pos="602"/>
        </w:tabs>
        <w:snapToGrid w:val="0"/>
        <w:spacing w:before="120" w:after="120" w:line="440" w:lineRule="exact"/>
        <w:ind w:left="0" w:firstLine="0"/>
        <w:jc w:val="left"/>
        <w:rPr>
          <w:rFonts w:asciiTheme="minorEastAsia" w:hAnsiTheme="minorEastAsia" w:eastAsiaTheme="minorEastAsia"/>
          <w:sz w:val="28"/>
          <w:szCs w:val="28"/>
          <w:highlight w:val="none"/>
        </w:rPr>
      </w:pPr>
      <w:bookmarkStart w:id="58" w:name="_Toc447188667"/>
      <w:bookmarkStart w:id="59" w:name="_Toc14467"/>
      <w:bookmarkStart w:id="60" w:name="_Toc25548"/>
      <w:bookmarkStart w:id="61" w:name="_Toc16856"/>
      <w:bookmarkStart w:id="62" w:name="_Toc30823"/>
      <w:bookmarkStart w:id="63" w:name="_Toc15725"/>
      <w:bookmarkStart w:id="64" w:name="_Toc12313"/>
      <w:bookmarkStart w:id="65" w:name="_Toc30652"/>
      <w:bookmarkStart w:id="66" w:name="_Toc13714"/>
      <w:bookmarkStart w:id="67" w:name="_Toc447265216"/>
      <w:bookmarkStart w:id="68" w:name="_Toc30780"/>
      <w:bookmarkStart w:id="69" w:name="_Toc447265502"/>
      <w:bookmarkStart w:id="70" w:name="_Toc38007951"/>
      <w:bookmarkStart w:id="71" w:name="_Toc28117"/>
      <w:bookmarkStart w:id="72" w:name="_Toc5381"/>
      <w:bookmarkStart w:id="73" w:name="_Toc226969278"/>
      <w:bookmarkStart w:id="74" w:name="_Toc227057885"/>
      <w:bookmarkStart w:id="75" w:name="_Toc107822484"/>
      <w:bookmarkStart w:id="76" w:name="_Toc488655831"/>
      <w:r>
        <w:rPr>
          <w:rFonts w:hint="eastAsia" w:asciiTheme="minorEastAsia" w:hAnsiTheme="minorEastAsia" w:eastAsiaTheme="minorEastAsia"/>
          <w:sz w:val="28"/>
          <w:szCs w:val="28"/>
          <w:highlight w:val="none"/>
        </w:rPr>
        <w:t>总则</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56A2188C">
      <w:pPr>
        <w:pStyle w:val="81"/>
        <w:tabs>
          <w:tab w:val="left" w:pos="588"/>
        </w:tabs>
        <w:snapToGrid w:val="0"/>
        <w:spacing w:before="120" w:after="120" w:line="440" w:lineRule="exact"/>
        <w:jc w:val="left"/>
        <w:rPr>
          <w:rFonts w:asciiTheme="minorEastAsia" w:hAnsiTheme="minorEastAsia" w:eastAsiaTheme="minorEastAsia"/>
          <w:sz w:val="24"/>
          <w:szCs w:val="24"/>
          <w:highlight w:val="none"/>
        </w:rPr>
      </w:pPr>
      <w:bookmarkStart w:id="77" w:name="_Toc7690"/>
      <w:bookmarkStart w:id="78" w:name="_Toc152042306"/>
      <w:bookmarkStart w:id="79" w:name="_Toc447188668"/>
      <w:bookmarkStart w:id="80" w:name="_Toc24855"/>
      <w:bookmarkStart w:id="81" w:name="_Toc38007952"/>
      <w:bookmarkStart w:id="82" w:name="_Toc10424"/>
      <w:bookmarkStart w:id="83" w:name="_Toc31634"/>
      <w:bookmarkStart w:id="84" w:name="_Toc152045530"/>
      <w:bookmarkStart w:id="85" w:name="_Toc7821"/>
      <w:bookmarkStart w:id="86" w:name="_Toc246996176"/>
      <w:bookmarkStart w:id="87" w:name="_Toc839"/>
      <w:bookmarkStart w:id="88" w:name="_Toc246996919"/>
      <w:bookmarkStart w:id="89" w:name="_Toc6214"/>
      <w:bookmarkStart w:id="90" w:name="_Toc296602421"/>
      <w:bookmarkStart w:id="91" w:name="_Toc447265503"/>
      <w:bookmarkStart w:id="92" w:name="_Toc31401"/>
      <w:bookmarkStart w:id="93" w:name="_Toc179632547"/>
      <w:bookmarkStart w:id="94" w:name="_Toc15821"/>
      <w:bookmarkStart w:id="95" w:name="_Toc447265217"/>
      <w:bookmarkStart w:id="96" w:name="_Toc9068"/>
      <w:bookmarkStart w:id="97" w:name="_Toc144974498"/>
      <w:bookmarkStart w:id="98" w:name="_Toc12447"/>
      <w:bookmarkStart w:id="99" w:name="_Toc247085690"/>
      <w:r>
        <w:rPr>
          <w:rFonts w:hint="eastAsia" w:asciiTheme="minorEastAsia" w:hAnsiTheme="minorEastAsia" w:eastAsiaTheme="minorEastAsia"/>
          <w:sz w:val="24"/>
          <w:szCs w:val="24"/>
          <w:highlight w:val="none"/>
        </w:rPr>
        <w:t>1.1项目概况</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bookmarkEnd w:id="73"/>
    <w:bookmarkEnd w:id="74"/>
    <w:p w14:paraId="57D127DA">
      <w:pPr>
        <w:pStyle w:val="45"/>
        <w:numPr>
          <w:ilvl w:val="2"/>
          <w:numId w:val="77"/>
        </w:numPr>
        <w:tabs>
          <w:tab w:val="left" w:pos="630"/>
        </w:tabs>
        <w:snapToGrid w:val="0"/>
        <w:spacing w:line="440" w:lineRule="exact"/>
        <w:ind w:left="0" w:firstLine="424" w:firstLineChars="202"/>
        <w:rPr>
          <w:rFonts w:ascii="宋体" w:hAnsi="宋体" w:eastAsia="宋体" w:cs="Times New Roman"/>
        </w:rPr>
      </w:pPr>
      <w:r>
        <w:rPr>
          <w:rFonts w:hint="eastAsia" w:asciiTheme="minorEastAsia" w:hAnsiTheme="minorEastAsia" w:eastAsiaTheme="minorEastAsia"/>
          <w:highlight w:val="none"/>
        </w:rPr>
        <w:t>1.</w:t>
      </w:r>
      <w:r>
        <w:rPr>
          <w:rFonts w:asciiTheme="minorEastAsia" w:hAnsiTheme="minorEastAsia" w:eastAsiaTheme="minorEastAsia"/>
          <w:highlight w:val="none"/>
        </w:rPr>
        <w:t>1.1</w:t>
      </w:r>
      <w:r>
        <w:rPr>
          <w:rFonts w:hint="eastAsia" w:asciiTheme="minorEastAsia" w:hAnsiTheme="minorEastAsia" w:eastAsiaTheme="minorEastAsia"/>
          <w:highlight w:val="none"/>
        </w:rPr>
        <w:t>根据《中华人民共和国招标投标法》（以下简称《招标投标法》）、《中华人民共和国招标投标法实施条例》（以下简称《实施条例》）和《通信工程建设项目招标投标管理办法》（以下简称《管理办法》）等有关法律、法规和规章的规定，本招标项目已具备招标条件，</w:t>
      </w:r>
      <w:r>
        <w:rPr>
          <w:rFonts w:hint="eastAsia" w:ascii="宋体" w:hAnsi="宋体" w:eastAsia="宋体" w:cs="Times New Roman"/>
        </w:rPr>
        <w:t>现对本集中项目进行招标。</w:t>
      </w:r>
    </w:p>
    <w:p w14:paraId="0DF2B3A2">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招标人：招标人单位名称及联系方式见投标人须知前附表。</w:t>
      </w:r>
    </w:p>
    <w:p w14:paraId="5046C5CC">
      <w:pPr>
        <w:widowControl w:val="0"/>
        <w:numPr>
          <w:ilvl w:val="2"/>
          <w:numId w:val="77"/>
        </w:numPr>
        <w:tabs>
          <w:tab w:val="left" w:pos="630"/>
        </w:tabs>
        <w:snapToGrid w:val="0"/>
        <w:spacing w:line="440" w:lineRule="exact"/>
        <w:ind w:left="0" w:firstLine="424" w:firstLineChars="202"/>
        <w:jc w:val="both"/>
        <w:rPr>
          <w:rFonts w:asciiTheme="minorEastAsia" w:hAnsiTheme="minorEastAsia" w:eastAsiaTheme="minorEastAsia"/>
          <w:highlight w:val="none"/>
        </w:rPr>
      </w:pPr>
      <w:r>
        <w:rPr>
          <w:rFonts w:ascii="宋体" w:hAnsi="宋体" w:eastAsia="宋体" w:cs="Times New Roman"/>
          <w:kern w:val="2"/>
          <w:sz w:val="21"/>
          <w:szCs w:val="20"/>
          <w:lang w:val="en-US" w:eastAsia="zh-CN" w:bidi="ar-SA"/>
        </w:rPr>
        <w:t>集中</w:t>
      </w:r>
      <w:r>
        <w:rPr>
          <w:rFonts w:hint="eastAsia" w:ascii="宋体" w:hAnsi="宋体" w:eastAsia="宋体" w:cs="Times New Roman"/>
          <w:kern w:val="2"/>
          <w:sz w:val="21"/>
          <w:szCs w:val="20"/>
          <w:lang w:val="en-US" w:eastAsia="zh-CN" w:bidi="ar-SA"/>
        </w:rPr>
        <w:t>招标项目名称：项目名称及招标编号见投标人须知前附表。</w:t>
      </w:r>
    </w:p>
    <w:p w14:paraId="6BD23244">
      <w:pPr>
        <w:pStyle w:val="81"/>
        <w:tabs>
          <w:tab w:val="left" w:pos="588"/>
        </w:tabs>
        <w:snapToGrid w:val="0"/>
        <w:spacing w:before="120" w:after="120" w:line="440" w:lineRule="exact"/>
        <w:jc w:val="left"/>
        <w:rPr>
          <w:rFonts w:asciiTheme="minorEastAsia" w:hAnsiTheme="minorEastAsia" w:eastAsiaTheme="minorEastAsia"/>
          <w:sz w:val="24"/>
          <w:szCs w:val="24"/>
          <w:highlight w:val="none"/>
        </w:rPr>
      </w:pPr>
      <w:bookmarkStart w:id="100" w:name="_Toc227057886"/>
      <w:bookmarkStart w:id="101" w:name="_Toc447188669"/>
      <w:bookmarkStart w:id="102" w:name="_Toc226969279"/>
      <w:bookmarkStart w:id="103" w:name="_Toc26777"/>
      <w:bookmarkStart w:id="104" w:name="_Toc18134"/>
      <w:bookmarkStart w:id="105" w:name="_Toc1207"/>
      <w:bookmarkStart w:id="106" w:name="_Toc8417"/>
      <w:bookmarkStart w:id="107" w:name="_Toc447265504"/>
      <w:bookmarkStart w:id="108" w:name="_Toc10471"/>
      <w:bookmarkStart w:id="109" w:name="_Toc18540"/>
      <w:bookmarkStart w:id="110" w:name="_Toc2708"/>
      <w:bookmarkStart w:id="111" w:name="_Toc447265218"/>
      <w:bookmarkStart w:id="112" w:name="_Toc9481"/>
      <w:bookmarkStart w:id="113" w:name="_Toc1391"/>
      <w:bookmarkStart w:id="114" w:name="_Toc38007953"/>
      <w:bookmarkStart w:id="115" w:name="_Toc20630"/>
      <w:bookmarkStart w:id="116" w:name="_Toc216"/>
      <w:r>
        <w:rPr>
          <w:rFonts w:asciiTheme="minorEastAsia" w:hAnsiTheme="minorEastAsia" w:eastAsiaTheme="minorEastAsia"/>
          <w:sz w:val="24"/>
          <w:szCs w:val="24"/>
          <w:highlight w:val="none"/>
        </w:rPr>
        <w:t>1.2</w:t>
      </w:r>
      <w:r>
        <w:rPr>
          <w:rFonts w:hint="eastAsia" w:asciiTheme="minorEastAsia" w:hAnsiTheme="minorEastAsia" w:eastAsiaTheme="minorEastAsia"/>
          <w:sz w:val="24"/>
          <w:szCs w:val="24"/>
          <w:highlight w:val="none"/>
        </w:rPr>
        <w:t>资金来源</w:t>
      </w:r>
      <w:bookmarkEnd w:id="100"/>
      <w:bookmarkEnd w:id="101"/>
      <w:bookmarkEnd w:id="102"/>
      <w:r>
        <w:rPr>
          <w:rFonts w:hint="eastAsia" w:asciiTheme="minorEastAsia" w:hAnsiTheme="minorEastAsia" w:eastAsiaTheme="minorEastAsia"/>
          <w:sz w:val="24"/>
          <w:szCs w:val="24"/>
          <w:highlight w:val="none"/>
        </w:rPr>
        <w:t>和落实情况</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358A5D9A">
      <w:pPr>
        <w:pStyle w:val="81"/>
        <w:tabs>
          <w:tab w:val="left" w:pos="588"/>
        </w:tabs>
        <w:snapToGrid w:val="0"/>
        <w:spacing w:before="120" w:after="120" w:line="440" w:lineRule="exact"/>
        <w:jc w:val="left"/>
        <w:rPr>
          <w:rFonts w:hint="eastAsia" w:asciiTheme="minorEastAsia" w:hAnsiTheme="minorEastAsia" w:eastAsiaTheme="minorEastAsia"/>
          <w:b w:val="0"/>
          <w:bCs w:val="0"/>
          <w:sz w:val="24"/>
          <w:szCs w:val="24"/>
          <w:highlight w:val="none"/>
        </w:rPr>
      </w:pPr>
      <w:bookmarkStart w:id="117" w:name="_Toc6160"/>
      <w:bookmarkStart w:id="118" w:name="_Toc447265219"/>
      <w:bookmarkStart w:id="119" w:name="_Toc20942"/>
      <w:bookmarkStart w:id="120" w:name="_Toc9055"/>
      <w:bookmarkStart w:id="121" w:name="_Toc447188670"/>
      <w:bookmarkStart w:id="122" w:name="_Toc12701"/>
      <w:bookmarkStart w:id="123" w:name="_Toc17426"/>
      <w:bookmarkStart w:id="124" w:name="_Toc16645"/>
      <w:bookmarkStart w:id="125" w:name="_Toc3831"/>
      <w:bookmarkStart w:id="126" w:name="_Toc38007954"/>
      <w:bookmarkStart w:id="127" w:name="_Toc21851"/>
      <w:bookmarkStart w:id="128" w:name="_Toc15848"/>
      <w:bookmarkStart w:id="129" w:name="_Toc31169"/>
      <w:bookmarkStart w:id="130" w:name="_Toc29297"/>
      <w:bookmarkStart w:id="131" w:name="_Toc447265505"/>
      <w:r>
        <w:rPr>
          <w:rFonts w:hint="eastAsia" w:asciiTheme="minorEastAsia" w:hAnsiTheme="minorEastAsia" w:eastAsiaTheme="minorEastAsia"/>
          <w:b w:val="0"/>
          <w:bCs w:val="0"/>
          <w:sz w:val="24"/>
          <w:szCs w:val="24"/>
          <w:highlight w:val="none"/>
        </w:rPr>
        <w:t>本集中招标项目资金已落实，资金来源见投标人须知前附表。</w:t>
      </w:r>
      <w:bookmarkEnd w:id="117"/>
    </w:p>
    <w:p w14:paraId="035FAC7F">
      <w:pPr>
        <w:pStyle w:val="81"/>
        <w:tabs>
          <w:tab w:val="left" w:pos="588"/>
        </w:tabs>
        <w:snapToGrid w:val="0"/>
        <w:spacing w:before="120" w:after="120" w:line="440" w:lineRule="exact"/>
        <w:jc w:val="left"/>
        <w:rPr>
          <w:rFonts w:asciiTheme="minorEastAsia" w:hAnsiTheme="minorEastAsia" w:eastAsiaTheme="minorEastAsia"/>
          <w:sz w:val="24"/>
          <w:szCs w:val="24"/>
          <w:highlight w:val="none"/>
        </w:rPr>
      </w:pPr>
      <w:bookmarkStart w:id="132" w:name="_Toc19864"/>
      <w:r>
        <w:rPr>
          <w:rFonts w:hint="eastAsia" w:asciiTheme="minorEastAsia" w:hAnsiTheme="minorEastAsia" w:eastAsiaTheme="minorEastAsia"/>
          <w:sz w:val="24"/>
          <w:szCs w:val="24"/>
          <w:highlight w:val="none"/>
        </w:rPr>
        <w:t>1.3招标范围</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320B6B0B">
      <w:pPr>
        <w:adjustRightInd w:val="0"/>
        <w:snapToGrid w:val="0"/>
        <w:spacing w:line="440" w:lineRule="exact"/>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本项目招标范围：见投标人须知前附表。</w:t>
      </w:r>
    </w:p>
    <w:bookmarkEnd w:id="75"/>
    <w:bookmarkEnd w:id="76"/>
    <w:p w14:paraId="6C1E9089">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133" w:name="_Toc447265506"/>
      <w:bookmarkStart w:id="134" w:name="_Toc447265220"/>
      <w:bookmarkStart w:id="135" w:name="_Toc4585"/>
      <w:bookmarkStart w:id="136" w:name="_Toc32384"/>
      <w:bookmarkStart w:id="137" w:name="_Toc447188671"/>
      <w:r>
        <w:rPr>
          <w:rFonts w:hint="eastAsia" w:ascii="宋体" w:hAnsi="宋体" w:eastAsia="宋体" w:cs="Times New Roman"/>
          <w:b/>
          <w:bCs/>
          <w:kern w:val="2"/>
          <w:sz w:val="24"/>
          <w:szCs w:val="24"/>
          <w:lang w:val="en-US" w:eastAsia="zh-CN" w:bidi="ar-SA"/>
        </w:rPr>
        <w:t>集中招标类型</w:t>
      </w:r>
      <w:bookmarkEnd w:id="133"/>
      <w:bookmarkEnd w:id="134"/>
      <w:bookmarkEnd w:id="135"/>
      <w:bookmarkEnd w:id="136"/>
      <w:bookmarkEnd w:id="137"/>
    </w:p>
    <w:p w14:paraId="6B9BD174">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本项目采用的集中招标类型见投标人须知前附表。</w:t>
      </w:r>
    </w:p>
    <w:p w14:paraId="53BF3F75">
      <w:pPr>
        <w:widowControl w:val="0"/>
        <w:numPr>
          <w:ilvl w:val="0"/>
          <w:numId w:val="0"/>
        </w:numPr>
        <w:ind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1.4.2</w:t>
      </w:r>
      <w:r>
        <w:rPr>
          <w:rFonts w:ascii="宋体" w:hAnsi="宋体" w:eastAsia="宋体" w:cs="Times New Roman"/>
          <w:kern w:val="2"/>
          <w:sz w:val="21"/>
          <w:szCs w:val="20"/>
          <w:lang w:val="en-US" w:eastAsia="zh-CN" w:bidi="ar-SA"/>
        </w:rPr>
        <w:tab/>
      </w:r>
      <w:r>
        <w:rPr>
          <w:rFonts w:hint="eastAsia" w:ascii="宋体" w:hAnsi="宋体" w:eastAsia="宋体" w:cs="Times New Roman"/>
          <w:kern w:val="2"/>
          <w:sz w:val="21"/>
          <w:szCs w:val="20"/>
          <w:lang w:val="en-US" w:eastAsia="zh-CN" w:bidi="ar-SA"/>
        </w:rPr>
        <w:t>标包招标：是指招标人将集中招标项目划分为若干个标包进行招标。标包划分情况见投标人须知前附表。</w:t>
      </w:r>
    </w:p>
    <w:p w14:paraId="6AF25021">
      <w:pPr>
        <w:widowControl w:val="0"/>
        <w:numPr>
          <w:ilvl w:val="0"/>
          <w:numId w:val="0"/>
        </w:numPr>
        <w:tabs>
          <w:tab w:val="left" w:pos="630"/>
        </w:tabs>
        <w:snapToGrid w:val="0"/>
        <w:spacing w:line="440" w:lineRule="exact"/>
        <w:ind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1.4.3</w:t>
      </w:r>
      <w:r>
        <w:rPr>
          <w:rFonts w:ascii="宋体" w:hAnsi="宋体" w:eastAsia="宋体" w:cs="Times New Roman"/>
          <w:kern w:val="2"/>
          <w:sz w:val="21"/>
          <w:szCs w:val="20"/>
          <w:lang w:val="en-US" w:eastAsia="zh-CN" w:bidi="ar-SA"/>
        </w:rPr>
        <w:tab/>
      </w:r>
      <w:r>
        <w:rPr>
          <w:rFonts w:hint="eastAsia" w:ascii="宋体" w:hAnsi="宋体" w:eastAsia="宋体" w:cs="Times New Roman"/>
          <w:kern w:val="2"/>
          <w:sz w:val="21"/>
          <w:szCs w:val="20"/>
          <w:lang w:val="en-US" w:eastAsia="zh-CN" w:bidi="ar-SA"/>
        </w:rPr>
        <w:t>份额招标：是指招标人预估集中招标涉及的所有项目的总体规模，并将其分为若干份额，投标人对整个集中招标项目进行投标，根据评标排名顺序，依次中标相应份额。份额分配情况见投标人须知前附表。</w:t>
      </w:r>
    </w:p>
    <w:p w14:paraId="6CF90004">
      <w:pPr>
        <w:widowControl w:val="0"/>
        <w:numPr>
          <w:ilvl w:val="0"/>
          <w:numId w:val="0"/>
        </w:numPr>
        <w:tabs>
          <w:tab w:val="left" w:pos="630"/>
        </w:tabs>
        <w:snapToGrid w:val="0"/>
        <w:spacing w:line="440" w:lineRule="exact"/>
        <w:ind w:firstLine="424" w:firstLineChars="202"/>
        <w:jc w:val="both"/>
        <w:rPr>
          <w:rFonts w:ascii="宋体" w:hAnsi="宋体" w:eastAsia="宋体" w:cs="Times New Roman"/>
          <w:kern w:val="2"/>
          <w:sz w:val="21"/>
          <w:szCs w:val="20"/>
          <w:lang w:val="en-US" w:eastAsia="zh-CN" w:bidi="ar-SA"/>
        </w:rPr>
      </w:pPr>
      <w:r>
        <w:rPr>
          <w:rFonts w:ascii="宋体" w:hAnsi="宋体" w:eastAsia="宋体" w:cs="Times New Roman"/>
          <w:kern w:val="2"/>
          <w:sz w:val="21"/>
          <w:szCs w:val="20"/>
          <w:lang w:val="en-US" w:eastAsia="zh-CN" w:bidi="ar-SA"/>
        </w:rPr>
        <w:t>1.4.4</w:t>
      </w:r>
      <w:r>
        <w:rPr>
          <w:rFonts w:ascii="宋体" w:hAnsi="宋体" w:eastAsia="宋体" w:cs="Times New Roman"/>
          <w:kern w:val="2"/>
          <w:sz w:val="21"/>
          <w:szCs w:val="20"/>
          <w:lang w:val="en-US" w:eastAsia="zh-CN" w:bidi="ar-SA"/>
        </w:rPr>
        <w:tab/>
      </w:r>
      <w:r>
        <w:rPr>
          <w:rFonts w:hint="eastAsia" w:ascii="宋体" w:hAnsi="宋体" w:eastAsia="宋体" w:cs="Times New Roman"/>
          <w:kern w:val="2"/>
          <w:sz w:val="21"/>
          <w:szCs w:val="20"/>
          <w:lang w:val="en-US" w:eastAsia="zh-CN" w:bidi="ar-SA"/>
        </w:rPr>
        <w:t>混合招标：是指招标人将集中招标项目划分为若干个标包，并预估每个标包所包含项目的规模，将每个标包分成若干份额，要求投标人分别对每个标包独立投标，每个标包按照份额招标方式操作。标包划分及份额分配情况见投标人须知前附表。</w:t>
      </w:r>
    </w:p>
    <w:p w14:paraId="27828760">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138" w:name="_Toc107822486"/>
      <w:bookmarkStart w:id="139" w:name="_Toc3182"/>
      <w:bookmarkStart w:id="140" w:name="_Toc447265507"/>
      <w:bookmarkStart w:id="141" w:name="_Toc447265221"/>
      <w:bookmarkStart w:id="142" w:name="_Toc226969281"/>
      <w:bookmarkStart w:id="143" w:name="_Toc18038"/>
      <w:bookmarkStart w:id="144" w:name="_Toc227057888"/>
      <w:bookmarkStart w:id="145" w:name="_Toc447188672"/>
      <w:r>
        <w:rPr>
          <w:rFonts w:hint="eastAsia" w:ascii="宋体" w:hAnsi="宋体" w:eastAsia="宋体" w:cs="Times New Roman"/>
          <w:b/>
          <w:bCs/>
          <w:kern w:val="2"/>
          <w:sz w:val="24"/>
          <w:szCs w:val="24"/>
          <w:lang w:val="en-US" w:eastAsia="zh-CN" w:bidi="ar-SA"/>
        </w:rPr>
        <w:t>招标方式</w:t>
      </w:r>
      <w:bookmarkEnd w:id="138"/>
      <w:bookmarkEnd w:id="139"/>
      <w:bookmarkEnd w:id="140"/>
      <w:bookmarkEnd w:id="141"/>
      <w:bookmarkEnd w:id="142"/>
      <w:bookmarkEnd w:id="143"/>
      <w:bookmarkEnd w:id="144"/>
      <w:bookmarkEnd w:id="145"/>
    </w:p>
    <w:p w14:paraId="55903355">
      <w:pPr>
        <w:adjustRightInd w:val="0"/>
        <w:snapToGrid w:val="0"/>
        <w:spacing w:line="440" w:lineRule="exact"/>
        <w:ind w:firstLine="424" w:firstLineChars="202"/>
        <w:rPr>
          <w:rFonts w:ascii="宋体" w:hAnsi="宋体" w:eastAsia="宋体" w:cs="宋体"/>
          <w:szCs w:val="21"/>
        </w:rPr>
      </w:pPr>
      <w:r>
        <w:rPr>
          <w:rFonts w:hint="eastAsia" w:ascii="宋体" w:hAnsi="宋体" w:eastAsia="宋体" w:cs="宋体"/>
          <w:szCs w:val="21"/>
        </w:rPr>
        <w:t>1.5.1   招标方式见投标人须知前附表。</w:t>
      </w:r>
    </w:p>
    <w:p w14:paraId="180E2C55">
      <w:pPr>
        <w:widowControl w:val="0"/>
        <w:numPr>
          <w:ilvl w:val="2"/>
          <w:numId w:val="78"/>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公开招标是指招标人以招标公告的方式邀请不特定的法人或者其他组织投标。</w:t>
      </w:r>
    </w:p>
    <w:p w14:paraId="72C7744B">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邀请招标是指招标人以投标邀请书的方式邀请特定的法人或者其他组织投标。</w:t>
      </w:r>
    </w:p>
    <w:p w14:paraId="68C56305">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146" w:name="_Toc447265222"/>
      <w:bookmarkStart w:id="147" w:name="_Toc447265508"/>
      <w:bookmarkStart w:id="148" w:name="_Toc227057887"/>
      <w:bookmarkStart w:id="149" w:name="_Toc226969280"/>
      <w:bookmarkStart w:id="150" w:name="_Toc9859"/>
      <w:bookmarkStart w:id="151" w:name="_Toc447188673"/>
      <w:bookmarkStart w:id="152" w:name="_Toc9187"/>
      <w:bookmarkStart w:id="153" w:name="_Toc107822485"/>
      <w:bookmarkStart w:id="154" w:name="_Toc227057889"/>
      <w:bookmarkStart w:id="155" w:name="_Toc226969282"/>
      <w:r>
        <w:rPr>
          <w:rFonts w:hint="eastAsia" w:ascii="宋体" w:hAnsi="宋体" w:eastAsia="宋体" w:cs="Times New Roman"/>
          <w:b/>
          <w:bCs/>
          <w:kern w:val="2"/>
          <w:sz w:val="24"/>
          <w:szCs w:val="24"/>
          <w:lang w:val="en-US" w:eastAsia="zh-CN" w:bidi="ar-SA"/>
        </w:rPr>
        <w:t>招标的组织形式</w:t>
      </w:r>
      <w:bookmarkEnd w:id="146"/>
      <w:bookmarkEnd w:id="147"/>
      <w:bookmarkEnd w:id="148"/>
      <w:bookmarkEnd w:id="149"/>
      <w:bookmarkEnd w:id="150"/>
      <w:bookmarkEnd w:id="151"/>
      <w:bookmarkEnd w:id="152"/>
      <w:bookmarkEnd w:id="153"/>
    </w:p>
    <w:p w14:paraId="7774A7BB">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本项目由招标人自行组织</w:t>
      </w:r>
      <w:r>
        <w:rPr>
          <w:rFonts w:ascii="宋体" w:hAnsi="宋体" w:eastAsia="宋体" w:cs="宋体"/>
          <w:szCs w:val="21"/>
        </w:rPr>
        <w:t>/委托</w:t>
      </w:r>
      <w:r>
        <w:rPr>
          <w:rFonts w:hint="eastAsia" w:ascii="宋体" w:hAnsi="宋体" w:eastAsia="宋体" w:cs="宋体"/>
          <w:szCs w:val="21"/>
        </w:rPr>
        <w:t>招标代理机构采用代理招标的方式进行，招标的组织形式、招标代理机构名称及联系方式见投标人须知前附表。</w:t>
      </w:r>
    </w:p>
    <w:p w14:paraId="5153A6DF">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156" w:name="_Toc28707"/>
      <w:bookmarkStart w:id="157" w:name="_Toc447188674"/>
      <w:bookmarkStart w:id="158" w:name="_Toc17852"/>
      <w:bookmarkStart w:id="159" w:name="_Toc447265223"/>
      <w:bookmarkStart w:id="160" w:name="_Toc447265509"/>
      <w:r>
        <w:rPr>
          <w:rFonts w:hint="eastAsia" w:ascii="宋体" w:hAnsi="宋体" w:eastAsia="宋体" w:cs="Times New Roman"/>
          <w:b/>
          <w:bCs/>
          <w:kern w:val="2"/>
          <w:sz w:val="24"/>
          <w:szCs w:val="24"/>
          <w:lang w:val="en-US" w:eastAsia="zh-CN" w:bidi="ar-SA"/>
        </w:rPr>
        <w:t>资格审查</w:t>
      </w:r>
      <w:bookmarkEnd w:id="154"/>
      <w:bookmarkEnd w:id="155"/>
      <w:bookmarkEnd w:id="156"/>
      <w:bookmarkEnd w:id="157"/>
      <w:bookmarkEnd w:id="158"/>
      <w:bookmarkEnd w:id="159"/>
      <w:bookmarkEnd w:id="160"/>
    </w:p>
    <w:p w14:paraId="11358F42">
      <w:pPr>
        <w:adjustRightInd w:val="0"/>
        <w:snapToGrid w:val="0"/>
        <w:spacing w:line="440" w:lineRule="exact"/>
        <w:ind w:firstLine="424" w:firstLineChars="202"/>
        <w:rPr>
          <w:rFonts w:ascii="宋体" w:hAnsi="宋体" w:eastAsia="宋体" w:cs="Times New Roman"/>
          <w:szCs w:val="20"/>
        </w:rPr>
      </w:pPr>
      <w:r>
        <w:rPr>
          <w:rFonts w:hint="eastAsia" w:ascii="宋体" w:hAnsi="宋体" w:eastAsia="宋体" w:cs="Times New Roman"/>
          <w:szCs w:val="20"/>
        </w:rPr>
        <w:t>1.7.1</w:t>
      </w:r>
      <w:r>
        <w:rPr>
          <w:rFonts w:ascii="宋体" w:hAnsi="宋体" w:eastAsia="宋体" w:cs="Times New Roman"/>
          <w:szCs w:val="20"/>
        </w:rPr>
        <w:tab/>
      </w:r>
      <w:r>
        <w:rPr>
          <w:rFonts w:hint="eastAsia" w:ascii="宋体" w:hAnsi="宋体" w:eastAsia="宋体" w:cs="Times New Roman"/>
          <w:szCs w:val="20"/>
        </w:rPr>
        <w:t>本集中招标项目资格审查方式见投标人须知前附表。</w:t>
      </w:r>
    </w:p>
    <w:p w14:paraId="4EC58D13">
      <w:pPr>
        <w:widowControl w:val="0"/>
        <w:numPr>
          <w:ilvl w:val="2"/>
          <w:numId w:val="79"/>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资格预审是指在投标前对投标人进行的资格审查。采用资格预审方式的，资格条件已经在招标文件发出前的“资格预审文件”中做出规定。</w:t>
      </w:r>
    </w:p>
    <w:p w14:paraId="0BC1F14A">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bookmarkStart w:id="161" w:name="_Toc226969283"/>
      <w:r>
        <w:rPr>
          <w:rFonts w:hint="eastAsia" w:ascii="宋体" w:hAnsi="宋体" w:eastAsia="宋体" w:cs="Times New Roman"/>
          <w:kern w:val="2"/>
          <w:sz w:val="21"/>
          <w:szCs w:val="20"/>
          <w:lang w:val="en-US" w:eastAsia="zh-CN" w:bidi="ar-SA"/>
        </w:rPr>
        <w:t>资格后审是指在开标后由评标委员会根据招标文件的规定对投标人进行的资格审查。</w:t>
      </w:r>
      <w:bookmarkEnd w:id="161"/>
      <w:r>
        <w:rPr>
          <w:rFonts w:hint="eastAsia" w:ascii="宋体" w:hAnsi="宋体" w:eastAsia="宋体" w:cs="Times New Roman"/>
          <w:kern w:val="2"/>
          <w:sz w:val="21"/>
          <w:szCs w:val="20"/>
          <w:lang w:val="en-US" w:eastAsia="zh-CN" w:bidi="ar-SA"/>
        </w:rPr>
        <w:t>采用资格后审方式的，投标人应当具备的资格条件见投标人须知前附表。</w:t>
      </w:r>
    </w:p>
    <w:p w14:paraId="2A526020">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采用资格后审的，招标人必须在招标文件中详细规定资格审查标准和方法。</w:t>
      </w:r>
    </w:p>
    <w:p w14:paraId="353E86F7">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资格后审一般包括下列内容：</w:t>
      </w:r>
    </w:p>
    <w:p w14:paraId="3ACC7551">
      <w:pPr>
        <w:numPr>
          <w:ilvl w:val="0"/>
          <w:numId w:val="80"/>
        </w:numPr>
        <w:tabs>
          <w:tab w:val="left" w:pos="644"/>
        </w:tabs>
        <w:snapToGrid w:val="0"/>
        <w:spacing w:line="440" w:lineRule="exact"/>
        <w:ind w:left="0" w:firstLine="424" w:firstLineChars="202"/>
        <w:rPr>
          <w:rFonts w:ascii="宋体" w:hAnsi="宋体" w:eastAsia="宋体" w:cs="宋体"/>
          <w:szCs w:val="21"/>
        </w:rPr>
      </w:pPr>
      <w:r>
        <w:rPr>
          <w:rFonts w:hint="eastAsia" w:ascii="宋体" w:hAnsi="宋体" w:eastAsia="宋体" w:cs="宋体"/>
          <w:szCs w:val="21"/>
        </w:rPr>
        <w:t>资格要求；</w:t>
      </w:r>
    </w:p>
    <w:p w14:paraId="50BD781F">
      <w:pPr>
        <w:numPr>
          <w:ilvl w:val="0"/>
          <w:numId w:val="80"/>
        </w:numPr>
        <w:tabs>
          <w:tab w:val="left" w:pos="644"/>
        </w:tabs>
        <w:snapToGrid w:val="0"/>
        <w:spacing w:line="440" w:lineRule="exact"/>
        <w:ind w:left="0" w:firstLine="424" w:firstLineChars="202"/>
        <w:rPr>
          <w:rFonts w:ascii="宋体" w:hAnsi="宋体" w:eastAsia="宋体" w:cs="宋体"/>
          <w:szCs w:val="21"/>
        </w:rPr>
      </w:pPr>
      <w:r>
        <w:rPr>
          <w:rFonts w:hint="eastAsia" w:ascii="宋体" w:hAnsi="宋体" w:eastAsia="宋体" w:cs="宋体"/>
          <w:szCs w:val="21"/>
        </w:rPr>
        <w:t>其他业绩要求；</w:t>
      </w:r>
    </w:p>
    <w:p w14:paraId="0FB612FC">
      <w:pPr>
        <w:numPr>
          <w:ilvl w:val="0"/>
          <w:numId w:val="80"/>
        </w:numPr>
        <w:tabs>
          <w:tab w:val="left" w:pos="644"/>
        </w:tabs>
        <w:snapToGrid w:val="0"/>
        <w:spacing w:line="440" w:lineRule="exact"/>
        <w:ind w:left="0" w:firstLine="424" w:firstLineChars="202"/>
        <w:rPr>
          <w:rFonts w:ascii="宋体" w:hAnsi="宋体" w:eastAsia="宋体" w:cs="宋体"/>
          <w:szCs w:val="21"/>
        </w:rPr>
      </w:pPr>
      <w:r>
        <w:rPr>
          <w:rFonts w:hint="eastAsia" w:ascii="宋体" w:hAnsi="宋体" w:eastAsia="宋体" w:cs="宋体"/>
          <w:szCs w:val="21"/>
        </w:rPr>
        <w:t>审查标准和方法。</w:t>
      </w:r>
    </w:p>
    <w:p w14:paraId="5702F93B">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资格后审不合格的投标人，评标委员会应当否决其投标。</w:t>
      </w:r>
    </w:p>
    <w:p w14:paraId="2820224E">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162" w:name="_Toc7292"/>
      <w:bookmarkStart w:id="163" w:name="_Toc447265224"/>
      <w:bookmarkStart w:id="164" w:name="_Toc447188675"/>
      <w:bookmarkStart w:id="165" w:name="_Toc13412"/>
      <w:bookmarkStart w:id="166" w:name="_Toc447265510"/>
      <w:r>
        <w:rPr>
          <w:rFonts w:hint="eastAsia" w:ascii="宋体" w:hAnsi="宋体" w:eastAsia="宋体" w:cs="Times New Roman"/>
          <w:b/>
          <w:bCs/>
          <w:kern w:val="2"/>
          <w:sz w:val="24"/>
          <w:szCs w:val="24"/>
          <w:lang w:val="en-US" w:eastAsia="zh-CN" w:bidi="ar-SA"/>
        </w:rPr>
        <w:t>投标人不得存在的情形</w:t>
      </w:r>
      <w:bookmarkEnd w:id="162"/>
      <w:bookmarkEnd w:id="163"/>
      <w:bookmarkEnd w:id="164"/>
      <w:bookmarkEnd w:id="165"/>
      <w:bookmarkEnd w:id="166"/>
    </w:p>
    <w:p w14:paraId="73D0C3F4">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投标人不得存在下列情形之一：</w:t>
      </w:r>
    </w:p>
    <w:p w14:paraId="1F85E019">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（1）为采购人不具有独立法人资格的附属机构（单位）；</w:t>
      </w:r>
    </w:p>
    <w:p w14:paraId="41818656">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（2）被依法暂停或取消投标/响应资格的；</w:t>
      </w:r>
    </w:p>
    <w:p w14:paraId="0495D4B9">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 xml:space="preserve">（3）被责令停产停业、暂扣或者吊销许可证、暂扣或者吊销执照； </w:t>
      </w:r>
    </w:p>
    <w:p w14:paraId="7C6D747B">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 xml:space="preserve">（4）进入清算程序，或被宣告破产，或其他丧失履约能力的情形； </w:t>
      </w:r>
    </w:p>
    <w:p w14:paraId="680DB18C">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（5）在最近三年内[响应截止时间前36个月]被相关行业主管部门或司法机关认定骗取中标/成交、严重违约、重大工程质量或者安全问题的；</w:t>
      </w:r>
    </w:p>
    <w:p w14:paraId="51134C6A">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（6）在最近五年内[响应截止时间前60个月]被判处单位行贿罪，且行贿行为与采购活动相关的（以“中国裁判文书网”的生效判决为准）；</w:t>
      </w:r>
    </w:p>
    <w:p w14:paraId="7226D776">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（7）在最近五年内[响应截止时间前60个月]被判处合同诈骗罪的（以“中国裁判文书网”的生效判决为准）；</w:t>
      </w:r>
    </w:p>
    <w:p w14:paraId="22A4E003">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（8）被最高人民法院在“信用中国”网站（www.creditchina.gov.cn）或各级信用信息共享平台中列入失信被执行人名单，已执行完毕或不再执行的除外；</w:t>
      </w:r>
    </w:p>
    <w:p w14:paraId="5697963A">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（9）为本招标项目提供过设计、编制技术规范和其他文件的咨询服务；</w:t>
      </w:r>
    </w:p>
    <w:p w14:paraId="3CF15C65">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（10）为本工程项目的相关监理人，或者与本工程项目的相关监理人存在隶属关系或者其他利害关系；</w:t>
      </w:r>
    </w:p>
    <w:p w14:paraId="66189A98">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（11）为本招标项目的代建人；</w:t>
      </w:r>
    </w:p>
    <w:p w14:paraId="15C4CAD2">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（12）为本招标项目的采购代理机构；</w:t>
      </w:r>
    </w:p>
    <w:p w14:paraId="66BEFAB7">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（13）与本招标项目的监理人或代建人或采购代理机构同为一个法定代表人；</w:t>
      </w:r>
    </w:p>
    <w:p w14:paraId="32E7659C">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（14）与本招标项目的监理人或代建人或采购代理机构存在控股或参股关系；</w:t>
      </w:r>
    </w:p>
    <w:p w14:paraId="68E1AB67">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（15）被工商行政管理机关在国家企业信用信息公示系统中列入严重违法失信企业名单的；</w:t>
      </w:r>
    </w:p>
    <w:p w14:paraId="62E13DD6">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（16）中国电信在职员工违规担任供应商法定代表人并参与采购活动的；</w:t>
      </w:r>
    </w:p>
    <w:p w14:paraId="1DC464A8">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（17）中国电信集团有限公司/中国电信股份有限公司中层及以上管理人员违反有关领导人员配偶、子女及其配偶经商办企业行为管理规定，其配偶、子女及其配偶经商办企业参与采购活动的；</w:t>
      </w:r>
    </w:p>
    <w:p w14:paraId="6A97BD31">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（18）中国电信领导人员离职或退休后三年内违反《国有企业领导人员廉洁从业若干规定》等相关规定任职、投资入股的私营企业、外资企业和中介机构，参与其原任职单位采购活动的；</w:t>
      </w:r>
    </w:p>
    <w:p w14:paraId="533F8050">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19）【其他按照中国电信供应商不良行为处理结果及《中国电信供应商不良行为管理规则》的结果执行规则，应对供应商及其响应产品在本项目中执行禁止采购处理措施的；[如涉及联合采购，请同时明确其他联合采购方的不良行为处理结果及相关规则]】</w:t>
      </w:r>
    </w:p>
    <w:p w14:paraId="38C46179">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（20）法律法规、招标文件限定的其他情形。</w:t>
      </w:r>
    </w:p>
    <w:p w14:paraId="75F19CEC">
      <w:pPr>
        <w:widowControl w:val="0"/>
        <w:numPr>
          <w:ilvl w:val="0"/>
          <w:numId w:val="0"/>
        </w:numPr>
        <w:tabs>
          <w:tab w:val="left" w:pos="630"/>
        </w:tabs>
        <w:spacing w:line="400" w:lineRule="exact"/>
        <w:ind w:left="0" w:leftChars="0" w:firstLine="424" w:firstLineChars="202"/>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供应商是代理商的，本条所指的供应商也包括其所代理的制造商；联合体响应的，联合体成员均不得存在上述任一情形。</w:t>
      </w:r>
    </w:p>
    <w:p w14:paraId="511DF9C0">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单位负责人为同一人或者存在控股、管理关系的不同单位，不得同时参加本项目中同一标包投标或者未划分标包的同一集中招标项目投标。</w:t>
      </w:r>
    </w:p>
    <w:p w14:paraId="060329DF">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167" w:name="_Toc447265511"/>
      <w:bookmarkStart w:id="168" w:name="_Toc107822487"/>
      <w:bookmarkStart w:id="169" w:name="_Toc447188676"/>
      <w:bookmarkStart w:id="170" w:name="_Toc447265225"/>
      <w:bookmarkStart w:id="171" w:name="_Toc18777"/>
      <w:bookmarkStart w:id="172" w:name="_Toc226969284"/>
      <w:bookmarkStart w:id="173" w:name="_Toc227057890"/>
      <w:bookmarkStart w:id="174" w:name="_Toc9258"/>
      <w:r>
        <w:rPr>
          <w:rFonts w:hint="eastAsia" w:ascii="宋体" w:hAnsi="宋体" w:eastAsia="宋体" w:cs="Times New Roman"/>
          <w:b/>
          <w:bCs/>
          <w:kern w:val="2"/>
          <w:sz w:val="24"/>
          <w:szCs w:val="24"/>
          <w:lang w:val="en-US" w:eastAsia="zh-CN" w:bidi="ar-SA"/>
        </w:rPr>
        <w:t>合格的货物和服务</w:t>
      </w:r>
      <w:bookmarkEnd w:id="167"/>
      <w:bookmarkEnd w:id="168"/>
      <w:bookmarkEnd w:id="169"/>
      <w:bookmarkEnd w:id="170"/>
      <w:bookmarkEnd w:id="171"/>
      <w:bookmarkEnd w:id="172"/>
      <w:bookmarkEnd w:id="173"/>
      <w:bookmarkEnd w:id="174"/>
    </w:p>
    <w:p w14:paraId="426A11CD">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投标人提供的所有货物及其有关服务的原产地，均应当来自中国或者是与中国有正常贸易往来的国家或者地区。招标人的支付也仅限于这些货物和服务。</w:t>
      </w:r>
    </w:p>
    <w:p w14:paraId="7A39AB61">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本招标文件所属的“原产地”是指货物开采、生长、生产或者提供有关服务的来源地。所述的“货物”是指制造、加工或者实质上装配了主要部件而形成的货物。商业上公认的产品是指基本特征、性能或者功能上与部件有着实质性区别的产品。</w:t>
      </w:r>
    </w:p>
    <w:p w14:paraId="11709423">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投标人提供的所有货物及其有关服务应当符合国家规定的资格条件。</w:t>
      </w:r>
    </w:p>
    <w:p w14:paraId="26EFCBC6">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175" w:name="_Toc15733"/>
      <w:bookmarkStart w:id="176" w:name="_Toc226969285"/>
      <w:bookmarkStart w:id="177" w:name="_Toc32650"/>
      <w:bookmarkStart w:id="178" w:name="_Toc447265226"/>
      <w:bookmarkStart w:id="179" w:name="_Toc227057891"/>
      <w:bookmarkStart w:id="180" w:name="_Toc447265512"/>
      <w:bookmarkStart w:id="181" w:name="_Toc447188677"/>
      <w:bookmarkStart w:id="182" w:name="_Toc107822488"/>
      <w:r>
        <w:rPr>
          <w:rFonts w:hint="eastAsia" w:ascii="宋体" w:hAnsi="宋体" w:eastAsia="宋体" w:cs="Times New Roman"/>
          <w:b/>
          <w:bCs/>
          <w:kern w:val="2"/>
          <w:sz w:val="24"/>
          <w:szCs w:val="24"/>
          <w:lang w:val="en-US" w:eastAsia="zh-CN" w:bidi="ar-SA"/>
        </w:rPr>
        <w:t>投标费用</w:t>
      </w:r>
      <w:bookmarkEnd w:id="175"/>
      <w:bookmarkEnd w:id="176"/>
      <w:bookmarkEnd w:id="177"/>
      <w:bookmarkEnd w:id="178"/>
      <w:bookmarkEnd w:id="179"/>
      <w:bookmarkEnd w:id="180"/>
      <w:bookmarkEnd w:id="181"/>
      <w:bookmarkEnd w:id="182"/>
    </w:p>
    <w:p w14:paraId="5869223A">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不论结果如何，投标人自行承担所有准备和参与投标有关的费用。</w:t>
      </w:r>
      <w:bookmarkStart w:id="183" w:name="_Toc107822489"/>
      <w:bookmarkStart w:id="184" w:name="_Toc227057892"/>
      <w:bookmarkStart w:id="185" w:name="_Toc226969286"/>
    </w:p>
    <w:p w14:paraId="5452E6DB">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186" w:name="_Toc447265513"/>
      <w:bookmarkStart w:id="187" w:name="_Toc4991"/>
      <w:bookmarkStart w:id="188" w:name="_Toc447265227"/>
      <w:bookmarkStart w:id="189" w:name="_Toc32694"/>
      <w:r>
        <w:rPr>
          <w:rFonts w:hint="eastAsia" w:ascii="宋体" w:hAnsi="宋体" w:eastAsia="宋体" w:cs="Times New Roman"/>
          <w:b/>
          <w:bCs/>
          <w:kern w:val="2"/>
          <w:sz w:val="24"/>
          <w:szCs w:val="24"/>
          <w:lang w:val="en-US" w:eastAsia="zh-CN" w:bidi="ar-SA"/>
        </w:rPr>
        <w:t>保密</w:t>
      </w:r>
      <w:bookmarkEnd w:id="186"/>
      <w:bookmarkEnd w:id="187"/>
      <w:bookmarkEnd w:id="188"/>
      <w:bookmarkEnd w:id="189"/>
    </w:p>
    <w:p w14:paraId="0B6F4CF5">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参与招标投标活动的各方应当对招标文件和投标文件中的商业和技术等秘密保密，违者应当对由此造成的后果承担法律责任。</w:t>
      </w:r>
    </w:p>
    <w:p w14:paraId="47E80DF9">
      <w:pPr>
        <w:widowControl w:val="0"/>
        <w:numPr>
          <w:ilvl w:val="0"/>
          <w:numId w:val="77"/>
        </w:numPr>
        <w:tabs>
          <w:tab w:val="left" w:pos="602"/>
        </w:tabs>
        <w:snapToGrid w:val="0"/>
        <w:spacing w:before="120" w:after="120" w:line="440" w:lineRule="exact"/>
        <w:ind w:left="425" w:hanging="425"/>
        <w:jc w:val="left"/>
        <w:outlineLvl w:val="1"/>
        <w:rPr>
          <w:rFonts w:ascii="宋体" w:hAnsi="宋体" w:eastAsia="宋体" w:cs="Times New Roman"/>
          <w:b/>
          <w:bCs/>
          <w:kern w:val="2"/>
          <w:sz w:val="28"/>
          <w:szCs w:val="28"/>
          <w:lang w:val="en-US" w:eastAsia="zh-CN" w:bidi="ar-SA"/>
        </w:rPr>
      </w:pPr>
      <w:bookmarkStart w:id="190" w:name="_Toc13010"/>
      <w:bookmarkStart w:id="191" w:name="_Toc246996187"/>
      <w:bookmarkStart w:id="192" w:name="_Toc447188678"/>
      <w:bookmarkStart w:id="193" w:name="_Toc246996930"/>
      <w:bookmarkStart w:id="194" w:name="_Toc447265514"/>
      <w:bookmarkStart w:id="195" w:name="_Toc247085701"/>
      <w:bookmarkStart w:id="196" w:name="_Toc179632560"/>
      <w:bookmarkStart w:id="197" w:name="_Toc30827"/>
      <w:bookmarkStart w:id="198" w:name="_Toc144974510"/>
      <w:bookmarkStart w:id="199" w:name="_Toc152045542"/>
      <w:bookmarkStart w:id="200" w:name="_Toc447265228"/>
      <w:bookmarkStart w:id="201" w:name="_Toc152042318"/>
      <w:bookmarkStart w:id="202" w:name="_Toc296602432"/>
      <w:r>
        <w:rPr>
          <w:rFonts w:hint="eastAsia" w:ascii="宋体" w:hAnsi="宋体" w:eastAsia="宋体" w:cs="Times New Roman"/>
          <w:b/>
          <w:bCs/>
          <w:kern w:val="2"/>
          <w:sz w:val="28"/>
          <w:szCs w:val="28"/>
          <w:lang w:val="en-US" w:eastAsia="zh-CN" w:bidi="ar-SA"/>
        </w:rPr>
        <w:t>招标文件</w:t>
      </w:r>
      <w:bookmarkEnd w:id="190"/>
      <w:bookmarkEnd w:id="191"/>
      <w:bookmarkEnd w:id="192"/>
      <w:bookmarkEnd w:id="193"/>
      <w:bookmarkEnd w:id="194"/>
      <w:bookmarkEnd w:id="195"/>
      <w:bookmarkEnd w:id="196"/>
      <w:bookmarkEnd w:id="197"/>
      <w:bookmarkEnd w:id="198"/>
      <w:bookmarkEnd w:id="199"/>
      <w:bookmarkEnd w:id="200"/>
      <w:bookmarkEnd w:id="201"/>
      <w:bookmarkEnd w:id="202"/>
      <w:r>
        <w:rPr>
          <w:rFonts w:hint="eastAsia" w:ascii="宋体" w:hAnsi="宋体" w:eastAsia="宋体" w:cs="Times New Roman"/>
          <w:b/>
          <w:bCs/>
          <w:kern w:val="2"/>
          <w:sz w:val="28"/>
          <w:szCs w:val="28"/>
          <w:lang w:val="en-US" w:eastAsia="zh-CN" w:bidi="ar-SA"/>
        </w:rPr>
        <w:t xml:space="preserve"> </w:t>
      </w:r>
    </w:p>
    <w:p w14:paraId="2C6CE16D">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203" w:name="_Toc447265515"/>
      <w:bookmarkStart w:id="204" w:name="_Toc447188679"/>
      <w:bookmarkStart w:id="205" w:name="_Toc842"/>
      <w:bookmarkStart w:id="206" w:name="_Toc6898"/>
      <w:bookmarkStart w:id="207" w:name="_Toc447265229"/>
      <w:r>
        <w:rPr>
          <w:rFonts w:hint="eastAsia" w:ascii="宋体" w:hAnsi="宋体" w:eastAsia="宋体" w:cs="Times New Roman"/>
          <w:b/>
          <w:bCs/>
          <w:kern w:val="2"/>
          <w:sz w:val="24"/>
          <w:szCs w:val="24"/>
          <w:lang w:val="en-US" w:eastAsia="zh-CN" w:bidi="ar-SA"/>
        </w:rPr>
        <w:t>招标文件</w:t>
      </w:r>
      <w:bookmarkEnd w:id="183"/>
      <w:r>
        <w:rPr>
          <w:rFonts w:hint="eastAsia" w:ascii="宋体" w:hAnsi="宋体" w:eastAsia="宋体" w:cs="Times New Roman"/>
          <w:b/>
          <w:bCs/>
          <w:kern w:val="2"/>
          <w:sz w:val="24"/>
          <w:szCs w:val="24"/>
          <w:lang w:val="en-US" w:eastAsia="zh-CN" w:bidi="ar-SA"/>
        </w:rPr>
        <w:t>的组成</w:t>
      </w:r>
      <w:bookmarkEnd w:id="184"/>
      <w:bookmarkEnd w:id="185"/>
      <w:bookmarkEnd w:id="203"/>
      <w:bookmarkEnd w:id="204"/>
      <w:bookmarkEnd w:id="205"/>
      <w:bookmarkEnd w:id="206"/>
      <w:bookmarkEnd w:id="207"/>
    </w:p>
    <w:p w14:paraId="6810CF83">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招标文件一般由以下部分组成：</w:t>
      </w:r>
    </w:p>
    <w:p w14:paraId="67F5C847">
      <w:pPr>
        <w:adjustRightInd w:val="0"/>
        <w:snapToGrid w:val="0"/>
        <w:spacing w:line="440" w:lineRule="exact"/>
        <w:ind w:firstLine="424" w:firstLineChars="202"/>
        <w:rPr>
          <w:rFonts w:ascii="宋体" w:hAnsi="宋体" w:eastAsia="宋体" w:cs="宋体"/>
          <w:szCs w:val="21"/>
        </w:rPr>
      </w:pPr>
      <w:r>
        <w:rPr>
          <w:rFonts w:hint="eastAsia" w:ascii="宋体" w:hAnsi="宋体" w:eastAsia="宋体" w:cs="宋体"/>
          <w:szCs w:val="21"/>
        </w:rPr>
        <w:t>第一章</w:t>
      </w:r>
      <w:r>
        <w:rPr>
          <w:rFonts w:ascii="宋体" w:hAnsi="宋体" w:eastAsia="宋体" w:cs="宋体"/>
          <w:szCs w:val="21"/>
        </w:rPr>
        <w:t xml:space="preserve"> </w:t>
      </w:r>
      <w:r>
        <w:rPr>
          <w:rFonts w:hint="eastAsia" w:ascii="宋体" w:hAnsi="宋体" w:eastAsia="宋体" w:cs="宋体"/>
          <w:szCs w:val="21"/>
        </w:rPr>
        <w:t>招标公告</w:t>
      </w:r>
      <w:r>
        <w:rPr>
          <w:rFonts w:ascii="宋体" w:hAnsi="宋体" w:eastAsia="宋体" w:cs="宋体"/>
          <w:szCs w:val="21"/>
        </w:rPr>
        <w:t>/投标邀请书</w:t>
      </w:r>
    </w:p>
    <w:p w14:paraId="5B113704">
      <w:pPr>
        <w:adjustRightInd w:val="0"/>
        <w:snapToGrid w:val="0"/>
        <w:spacing w:line="440" w:lineRule="exact"/>
        <w:ind w:firstLine="424" w:firstLineChars="202"/>
        <w:rPr>
          <w:rFonts w:ascii="宋体" w:hAnsi="宋体" w:eastAsia="宋体" w:cs="宋体"/>
          <w:szCs w:val="21"/>
        </w:rPr>
      </w:pPr>
      <w:r>
        <w:rPr>
          <w:rFonts w:hint="eastAsia" w:ascii="宋体" w:hAnsi="宋体" w:eastAsia="宋体" w:cs="宋体"/>
          <w:szCs w:val="21"/>
        </w:rPr>
        <w:t>第二章</w:t>
      </w:r>
      <w:r>
        <w:rPr>
          <w:rFonts w:ascii="宋体" w:hAnsi="宋体" w:eastAsia="宋体" w:cs="宋体"/>
          <w:szCs w:val="21"/>
        </w:rPr>
        <w:t xml:space="preserve"> </w:t>
      </w:r>
      <w:r>
        <w:rPr>
          <w:rFonts w:hint="eastAsia" w:ascii="宋体" w:hAnsi="宋体" w:eastAsia="宋体" w:cs="宋体"/>
          <w:szCs w:val="21"/>
        </w:rPr>
        <w:t>投标人须知</w:t>
      </w:r>
    </w:p>
    <w:p w14:paraId="3E786B85">
      <w:pPr>
        <w:adjustRightInd w:val="0"/>
        <w:snapToGrid w:val="0"/>
        <w:spacing w:line="440" w:lineRule="exact"/>
        <w:ind w:firstLine="424" w:firstLineChars="202"/>
        <w:rPr>
          <w:rFonts w:ascii="宋体" w:hAnsi="宋体" w:eastAsia="宋体" w:cs="宋体"/>
          <w:szCs w:val="21"/>
        </w:rPr>
      </w:pPr>
      <w:r>
        <w:rPr>
          <w:rFonts w:hint="eastAsia" w:ascii="宋体" w:hAnsi="宋体" w:eastAsia="宋体" w:cs="宋体"/>
          <w:szCs w:val="21"/>
        </w:rPr>
        <w:t>第三章</w:t>
      </w:r>
      <w:r>
        <w:rPr>
          <w:rFonts w:ascii="宋体" w:hAnsi="宋体" w:eastAsia="宋体" w:cs="宋体"/>
          <w:szCs w:val="21"/>
        </w:rPr>
        <w:t xml:space="preserve"> </w:t>
      </w:r>
      <w:r>
        <w:rPr>
          <w:rFonts w:hint="eastAsia" w:ascii="宋体" w:hAnsi="宋体" w:eastAsia="宋体" w:cs="宋体"/>
          <w:szCs w:val="21"/>
        </w:rPr>
        <w:t>评标办法</w:t>
      </w:r>
    </w:p>
    <w:p w14:paraId="2CC1A9B4">
      <w:pPr>
        <w:adjustRightInd w:val="0"/>
        <w:snapToGrid w:val="0"/>
        <w:spacing w:line="440" w:lineRule="exact"/>
        <w:ind w:firstLine="424" w:firstLineChars="202"/>
        <w:rPr>
          <w:rFonts w:ascii="宋体" w:hAnsi="宋体" w:eastAsia="宋体" w:cs="宋体"/>
          <w:szCs w:val="21"/>
        </w:rPr>
      </w:pPr>
      <w:r>
        <w:rPr>
          <w:rFonts w:hint="eastAsia" w:ascii="宋体" w:hAnsi="宋体" w:eastAsia="宋体" w:cs="宋体"/>
          <w:szCs w:val="21"/>
        </w:rPr>
        <w:t>第四章</w:t>
      </w:r>
      <w:r>
        <w:rPr>
          <w:rFonts w:ascii="宋体" w:hAnsi="宋体" w:eastAsia="宋体" w:cs="宋体"/>
          <w:szCs w:val="21"/>
        </w:rPr>
        <w:t xml:space="preserve"> </w:t>
      </w:r>
      <w:r>
        <w:rPr>
          <w:rFonts w:hint="eastAsia" w:ascii="宋体" w:hAnsi="宋体" w:eastAsia="宋体" w:cs="宋体"/>
          <w:szCs w:val="21"/>
        </w:rPr>
        <w:t>合同条款</w:t>
      </w:r>
    </w:p>
    <w:p w14:paraId="1C9836CF">
      <w:pPr>
        <w:adjustRightInd w:val="0"/>
        <w:snapToGrid w:val="0"/>
        <w:spacing w:line="440" w:lineRule="exact"/>
        <w:ind w:firstLine="424" w:firstLineChars="202"/>
        <w:rPr>
          <w:rFonts w:ascii="宋体" w:hAnsi="宋体" w:eastAsia="宋体" w:cs="宋体"/>
          <w:szCs w:val="21"/>
        </w:rPr>
      </w:pPr>
      <w:r>
        <w:rPr>
          <w:rFonts w:hint="eastAsia" w:ascii="宋体" w:hAnsi="宋体" w:eastAsia="宋体" w:cs="宋体"/>
          <w:szCs w:val="21"/>
        </w:rPr>
        <w:t>第五章 技术标准和要求（包括</w:t>
      </w:r>
      <w:r>
        <w:rPr>
          <w:rFonts w:ascii="宋体" w:hAnsi="宋体" w:eastAsia="宋体" w:cs="宋体"/>
          <w:szCs w:val="21"/>
        </w:rPr>
        <w:t>网络与信息安全有关要求</w:t>
      </w:r>
      <w:r>
        <w:rPr>
          <w:rFonts w:hint="eastAsia" w:ascii="宋体" w:hAnsi="宋体" w:eastAsia="宋体" w:cs="宋体"/>
          <w:szCs w:val="21"/>
        </w:rPr>
        <w:t>）</w:t>
      </w:r>
    </w:p>
    <w:p w14:paraId="167B6391">
      <w:pPr>
        <w:adjustRightInd w:val="0"/>
        <w:snapToGrid w:val="0"/>
        <w:spacing w:line="440" w:lineRule="exact"/>
        <w:ind w:firstLine="424" w:firstLineChars="202"/>
        <w:rPr>
          <w:rFonts w:ascii="宋体" w:hAnsi="宋体" w:eastAsia="宋体" w:cs="宋体"/>
          <w:szCs w:val="21"/>
        </w:rPr>
      </w:pPr>
      <w:r>
        <w:rPr>
          <w:rFonts w:hint="eastAsia" w:ascii="宋体" w:hAnsi="宋体" w:eastAsia="宋体" w:cs="宋体"/>
          <w:szCs w:val="21"/>
        </w:rPr>
        <w:t>第六章</w:t>
      </w:r>
      <w:r>
        <w:rPr>
          <w:rFonts w:ascii="宋体" w:hAnsi="宋体" w:eastAsia="宋体" w:cs="宋体"/>
          <w:szCs w:val="21"/>
        </w:rPr>
        <w:t xml:space="preserve"> </w:t>
      </w:r>
      <w:r>
        <w:rPr>
          <w:rFonts w:hint="eastAsia" w:ascii="宋体" w:hAnsi="宋体" w:eastAsia="宋体" w:cs="宋体"/>
          <w:szCs w:val="21"/>
        </w:rPr>
        <w:t>投标文件格式</w:t>
      </w:r>
    </w:p>
    <w:p w14:paraId="16A76647">
      <w:pPr>
        <w:adjustRightInd w:val="0"/>
        <w:snapToGrid w:val="0"/>
        <w:spacing w:line="440" w:lineRule="exact"/>
        <w:ind w:firstLine="424" w:firstLineChars="202"/>
        <w:rPr>
          <w:rFonts w:ascii="宋体" w:hAnsi="宋体" w:eastAsia="宋体" w:cs="宋体"/>
          <w:szCs w:val="21"/>
        </w:rPr>
      </w:pPr>
      <w:r>
        <w:rPr>
          <w:rFonts w:hint="eastAsia" w:ascii="宋体" w:hAnsi="宋体" w:eastAsia="宋体" w:cs="宋体"/>
          <w:szCs w:val="21"/>
        </w:rPr>
        <w:t>第七章 其他</w:t>
      </w:r>
    </w:p>
    <w:p w14:paraId="2F0B78E7">
      <w:pPr>
        <w:adjustRightInd w:val="0"/>
        <w:snapToGrid w:val="0"/>
        <w:spacing w:line="440" w:lineRule="exact"/>
        <w:ind w:firstLine="424" w:firstLineChars="202"/>
        <w:rPr>
          <w:rFonts w:ascii="宋体" w:hAnsi="宋体" w:eastAsia="宋体" w:cs="宋体"/>
          <w:szCs w:val="21"/>
        </w:rPr>
      </w:pPr>
      <w:r>
        <w:rPr>
          <w:rFonts w:ascii="宋体" w:hAnsi="宋体" w:eastAsia="宋体" w:cs="宋体"/>
          <w:szCs w:val="21"/>
        </w:rPr>
        <w:t>招标人另有规定的</w:t>
      </w:r>
      <w:r>
        <w:rPr>
          <w:rFonts w:hint="eastAsia" w:ascii="宋体" w:hAnsi="宋体" w:eastAsia="宋体" w:cs="宋体"/>
          <w:szCs w:val="21"/>
        </w:rPr>
        <w:t>，</w:t>
      </w:r>
      <w:r>
        <w:rPr>
          <w:rFonts w:ascii="宋体" w:hAnsi="宋体" w:eastAsia="宋体" w:cs="宋体"/>
          <w:szCs w:val="21"/>
        </w:rPr>
        <w:t>见投标人须知前附表</w:t>
      </w:r>
    </w:p>
    <w:p w14:paraId="6629F7DA">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文件对同一内容的表述应当一致。第一章“招标公告”或者“投标邀请书”与招标文件在同一内容的表述上有矛盾或者冲突时，以第一章“招标公告”或者“投标邀请书”为准；投标人须知前附表与投标人须知正文在同一内容的表述上有矛盾或者冲突时，以投标人须知前附表为准。</w:t>
      </w:r>
    </w:p>
    <w:p w14:paraId="73166067">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在招标文件中以显著的方式标明实质性要求、条件以及不满足实质性要求和条件的投标将被否决的提示；对于非实质性要求和条件，规定允许偏差的最大范围、最高项数和调整偏差的方法。显著标识方式和具体要求见投标人须知前附表。</w:t>
      </w:r>
    </w:p>
    <w:p w14:paraId="3C7D3313">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招标人可以要求以某一单项报价核定是否低于成本，具体要求见投标人须知前附表。</w:t>
      </w:r>
    </w:p>
    <w:p w14:paraId="2A1D29DC">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208" w:name="_Toc447188680"/>
      <w:bookmarkStart w:id="209" w:name="_Toc18743"/>
      <w:bookmarkStart w:id="210" w:name="_Toc447265516"/>
      <w:bookmarkStart w:id="211" w:name="_Toc9814"/>
      <w:bookmarkStart w:id="212" w:name="_Toc447265230"/>
      <w:bookmarkStart w:id="213" w:name="_Toc227057893"/>
      <w:bookmarkStart w:id="214" w:name="_Toc226969287"/>
      <w:bookmarkStart w:id="215" w:name="_Toc107822490"/>
      <w:r>
        <w:rPr>
          <w:rFonts w:hint="eastAsia" w:ascii="宋体" w:hAnsi="宋体" w:eastAsia="宋体" w:cs="Times New Roman"/>
          <w:b/>
          <w:bCs/>
          <w:kern w:val="2"/>
          <w:sz w:val="24"/>
          <w:szCs w:val="24"/>
          <w:lang w:val="en-US" w:eastAsia="zh-CN" w:bidi="ar-SA"/>
        </w:rPr>
        <w:t>踏勘现场</w:t>
      </w:r>
      <w:bookmarkEnd w:id="208"/>
      <w:bookmarkEnd w:id="209"/>
      <w:bookmarkEnd w:id="210"/>
      <w:bookmarkEnd w:id="211"/>
      <w:bookmarkEnd w:id="212"/>
    </w:p>
    <w:p w14:paraId="3BDB9B1D">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 xml:space="preserve">投标人须知前附表规定组织踏勘现场的，招标人按照投标人须知前附表规定的时间、地点组织投标人踏勘项目现场。 </w:t>
      </w:r>
    </w:p>
    <w:p w14:paraId="72DA783B">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潜在投标人踏勘现场发生的费用自理。</w:t>
      </w:r>
    </w:p>
    <w:p w14:paraId="42436153">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除招标人的原因外，投标人自行负责在踏勘现场中所发生的人员伤亡和财产损失。</w:t>
      </w:r>
    </w:p>
    <w:p w14:paraId="2DF98A97">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招标人在踏勘现场中介绍的项目现场和相关的周边环境情况，供潜在投标人在编制投标文件时参考，招标人不对潜在投标人据此作出的判断和决策负责。</w:t>
      </w:r>
    </w:p>
    <w:p w14:paraId="594689BD">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216" w:name="_Toc8108"/>
      <w:bookmarkStart w:id="217" w:name="_Toc447265231"/>
      <w:bookmarkStart w:id="218" w:name="_Toc447188681"/>
      <w:bookmarkStart w:id="219" w:name="_Toc447265517"/>
      <w:bookmarkStart w:id="220" w:name="_Toc16685"/>
      <w:r>
        <w:rPr>
          <w:rFonts w:hint="eastAsia" w:ascii="宋体" w:hAnsi="宋体" w:eastAsia="宋体" w:cs="Times New Roman"/>
          <w:b/>
          <w:bCs/>
          <w:kern w:val="2"/>
          <w:sz w:val="24"/>
          <w:szCs w:val="24"/>
          <w:lang w:val="en-US" w:eastAsia="zh-CN" w:bidi="ar-SA"/>
        </w:rPr>
        <w:t>投标预备会</w:t>
      </w:r>
      <w:bookmarkEnd w:id="216"/>
      <w:bookmarkEnd w:id="217"/>
      <w:bookmarkEnd w:id="218"/>
      <w:bookmarkEnd w:id="219"/>
      <w:bookmarkEnd w:id="220"/>
    </w:p>
    <w:p w14:paraId="021EEB0F">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投标人须知前附表规定召开投标预备会的，招标人按照投标人须知前附表规定的时间和地点召开投标预备会，澄清潜在投标人提出的问题。</w:t>
      </w:r>
    </w:p>
    <w:p w14:paraId="772C584A">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221" w:name="_Toc447265232"/>
      <w:bookmarkStart w:id="222" w:name="_Toc447188682"/>
      <w:bookmarkStart w:id="223" w:name="_Toc447265518"/>
      <w:bookmarkStart w:id="224" w:name="_Toc14309"/>
      <w:bookmarkStart w:id="225" w:name="_Toc30957"/>
      <w:r>
        <w:rPr>
          <w:rFonts w:hint="eastAsia" w:ascii="宋体" w:hAnsi="宋体" w:eastAsia="宋体" w:cs="Times New Roman"/>
          <w:b/>
          <w:bCs/>
          <w:kern w:val="2"/>
          <w:sz w:val="24"/>
          <w:szCs w:val="24"/>
          <w:lang w:val="en-US" w:eastAsia="zh-CN" w:bidi="ar-SA"/>
        </w:rPr>
        <w:t>招标文件的澄清</w:t>
      </w:r>
      <w:bookmarkEnd w:id="213"/>
      <w:bookmarkEnd w:id="214"/>
      <w:bookmarkEnd w:id="215"/>
      <w:r>
        <w:rPr>
          <w:rFonts w:hint="eastAsia" w:ascii="宋体" w:hAnsi="宋体" w:eastAsia="宋体" w:cs="Times New Roman"/>
          <w:b/>
          <w:bCs/>
          <w:kern w:val="2"/>
          <w:sz w:val="24"/>
          <w:szCs w:val="24"/>
          <w:lang w:val="en-US" w:eastAsia="zh-CN" w:bidi="ar-SA"/>
        </w:rPr>
        <w:t>和修改</w:t>
      </w:r>
      <w:bookmarkEnd w:id="221"/>
      <w:bookmarkEnd w:id="222"/>
      <w:bookmarkEnd w:id="223"/>
      <w:bookmarkEnd w:id="224"/>
      <w:bookmarkEnd w:id="225"/>
    </w:p>
    <w:p w14:paraId="7B4417C7">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投标人对招标文件有疑问的，应当按照投标人须知前附表规定的时间和方式，要求招标人对招标文件进行澄清。</w:t>
      </w:r>
    </w:p>
    <w:p w14:paraId="7E5118A9">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招标人应当按照投标人须知前附表规定的时间和方式，将澄清或者修改内容发给所有购买招标文件的投标人，但不指明问题的来源。</w:t>
      </w:r>
    </w:p>
    <w:p w14:paraId="082C16D7">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如澄清或者修改的内容可能影响投标文件编制的，应当在递交投标文件截止时间至少15日前发出，不足15日的，招标人应当相应顺延投标截止时间。</w:t>
      </w:r>
    </w:p>
    <w:p w14:paraId="1E74EAEF">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投标人收到澄清或者修改后，应当按照投标人须知前附表规定的时间和方式通知招标人，确认已收到该澄清或者修改。</w:t>
      </w:r>
    </w:p>
    <w:p w14:paraId="0665887A">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所有关于招标文件的澄清和修改均作为招标文件的补充部分。当招标文件、招标文件的澄清或者修改等在同一内容的表述上不一致时，以最后发出的书面文件为准。</w:t>
      </w:r>
    </w:p>
    <w:p w14:paraId="003165E6">
      <w:pPr>
        <w:widowControl w:val="0"/>
        <w:numPr>
          <w:ilvl w:val="0"/>
          <w:numId w:val="77"/>
        </w:numPr>
        <w:tabs>
          <w:tab w:val="left" w:pos="602"/>
        </w:tabs>
        <w:snapToGrid w:val="0"/>
        <w:spacing w:before="120" w:after="120" w:line="440" w:lineRule="exact"/>
        <w:ind w:left="425" w:hanging="425"/>
        <w:jc w:val="left"/>
        <w:outlineLvl w:val="1"/>
        <w:rPr>
          <w:rFonts w:ascii="宋体" w:hAnsi="宋体" w:eastAsia="宋体" w:cs="Times New Roman"/>
          <w:b/>
          <w:bCs/>
          <w:kern w:val="2"/>
          <w:sz w:val="28"/>
          <w:szCs w:val="28"/>
          <w:lang w:val="en-US" w:eastAsia="zh-CN" w:bidi="ar-SA"/>
        </w:rPr>
      </w:pPr>
      <w:bookmarkStart w:id="226" w:name="_Toc5626"/>
      <w:bookmarkStart w:id="227" w:name="_Toc152042322"/>
      <w:bookmarkStart w:id="228" w:name="_Toc447188683"/>
      <w:bookmarkStart w:id="229" w:name="_Toc152045546"/>
      <w:bookmarkStart w:id="230" w:name="_Toc17521"/>
      <w:bookmarkStart w:id="231" w:name="_Toc246996934"/>
      <w:bookmarkStart w:id="232" w:name="_Toc296602436"/>
      <w:bookmarkStart w:id="233" w:name="_Toc179632564"/>
      <w:bookmarkStart w:id="234" w:name="_Toc246996191"/>
      <w:bookmarkStart w:id="235" w:name="_Toc144974514"/>
      <w:bookmarkStart w:id="236" w:name="_Toc447265519"/>
      <w:bookmarkStart w:id="237" w:name="_Toc247085705"/>
      <w:bookmarkStart w:id="238" w:name="_Toc447265233"/>
      <w:bookmarkStart w:id="239" w:name="_Toc226969289"/>
      <w:bookmarkStart w:id="240" w:name="_Toc227057895"/>
      <w:bookmarkStart w:id="241" w:name="_Toc107822492"/>
      <w:r>
        <w:rPr>
          <w:rFonts w:hint="eastAsia" w:ascii="宋体" w:hAnsi="宋体" w:eastAsia="宋体" w:cs="Times New Roman"/>
          <w:b/>
          <w:bCs/>
          <w:kern w:val="2"/>
          <w:sz w:val="28"/>
          <w:szCs w:val="28"/>
          <w:lang w:val="en-US" w:eastAsia="zh-CN" w:bidi="ar-SA"/>
        </w:rPr>
        <w:t>投标文件</w:t>
      </w:r>
      <w:bookmarkEnd w:id="226"/>
      <w:bookmarkEnd w:id="227"/>
      <w:bookmarkEnd w:id="228"/>
      <w:bookmarkEnd w:id="229"/>
      <w:bookmarkEnd w:id="230"/>
      <w:bookmarkEnd w:id="231"/>
      <w:bookmarkEnd w:id="232"/>
      <w:bookmarkEnd w:id="233"/>
      <w:bookmarkEnd w:id="234"/>
      <w:bookmarkEnd w:id="235"/>
      <w:bookmarkEnd w:id="236"/>
      <w:bookmarkEnd w:id="237"/>
      <w:bookmarkEnd w:id="238"/>
    </w:p>
    <w:p w14:paraId="021ED72A">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242" w:name="_Toc107822493"/>
      <w:bookmarkStart w:id="243" w:name="_Toc227057896"/>
      <w:bookmarkStart w:id="244" w:name="_Toc226969290"/>
      <w:bookmarkStart w:id="245" w:name="_Toc447265520"/>
      <w:bookmarkStart w:id="246" w:name="_Toc14691"/>
      <w:bookmarkStart w:id="247" w:name="_Toc447265234"/>
      <w:bookmarkStart w:id="248" w:name="_Toc18515"/>
      <w:bookmarkStart w:id="249" w:name="_Toc447188684"/>
      <w:r>
        <w:rPr>
          <w:rFonts w:hint="eastAsia" w:ascii="宋体" w:hAnsi="宋体" w:eastAsia="宋体" w:cs="Times New Roman"/>
          <w:b/>
          <w:bCs/>
          <w:kern w:val="2"/>
          <w:sz w:val="24"/>
          <w:szCs w:val="24"/>
          <w:lang w:val="en-US" w:eastAsia="zh-CN" w:bidi="ar-SA"/>
        </w:rPr>
        <w:t>投标文件的</w:t>
      </w:r>
      <w:bookmarkEnd w:id="242"/>
      <w:bookmarkEnd w:id="243"/>
      <w:bookmarkEnd w:id="244"/>
      <w:r>
        <w:rPr>
          <w:rFonts w:hint="eastAsia" w:ascii="宋体" w:hAnsi="宋体" w:eastAsia="宋体" w:cs="Times New Roman"/>
          <w:b/>
          <w:bCs/>
          <w:kern w:val="2"/>
          <w:sz w:val="24"/>
          <w:szCs w:val="24"/>
          <w:lang w:val="en-US" w:eastAsia="zh-CN" w:bidi="ar-SA"/>
        </w:rPr>
        <w:t>组成</w:t>
      </w:r>
      <w:bookmarkEnd w:id="245"/>
      <w:bookmarkEnd w:id="246"/>
      <w:bookmarkEnd w:id="247"/>
      <w:bookmarkEnd w:id="248"/>
      <w:bookmarkEnd w:id="249"/>
    </w:p>
    <w:p w14:paraId="743118FC">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投标人应当按照投标人须知前附表的要求制作并递交投标文件。投标文件组成见投标人须知前附表。</w:t>
      </w:r>
    </w:p>
    <w:p w14:paraId="1A9862A4">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250" w:name="_Toc447265235"/>
      <w:bookmarkStart w:id="251" w:name="_Toc18683"/>
      <w:bookmarkStart w:id="252" w:name="_Toc447188685"/>
      <w:bookmarkStart w:id="253" w:name="_Toc447265521"/>
      <w:bookmarkStart w:id="254" w:name="_Toc1211"/>
      <w:r>
        <w:rPr>
          <w:rFonts w:hint="eastAsia" w:ascii="宋体" w:hAnsi="宋体" w:eastAsia="宋体" w:cs="Times New Roman"/>
          <w:b/>
          <w:bCs/>
          <w:kern w:val="2"/>
          <w:sz w:val="24"/>
          <w:szCs w:val="24"/>
          <w:lang w:val="en-US" w:eastAsia="zh-CN" w:bidi="ar-SA"/>
        </w:rPr>
        <w:t>投标文件的</w:t>
      </w:r>
      <w:bookmarkEnd w:id="239"/>
      <w:bookmarkEnd w:id="240"/>
      <w:bookmarkEnd w:id="241"/>
      <w:r>
        <w:rPr>
          <w:rFonts w:hint="eastAsia" w:ascii="宋体" w:hAnsi="宋体" w:eastAsia="宋体" w:cs="Times New Roman"/>
          <w:b/>
          <w:bCs/>
          <w:kern w:val="2"/>
          <w:sz w:val="24"/>
          <w:szCs w:val="24"/>
          <w:lang w:val="en-US" w:eastAsia="zh-CN" w:bidi="ar-SA"/>
        </w:rPr>
        <w:t>编制</w:t>
      </w:r>
      <w:bookmarkEnd w:id="250"/>
      <w:bookmarkEnd w:id="251"/>
      <w:bookmarkEnd w:id="252"/>
      <w:bookmarkEnd w:id="253"/>
      <w:bookmarkEnd w:id="254"/>
    </w:p>
    <w:p w14:paraId="630CDECE">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投标人应当按照招标文件的要求编制投标文件，投标文件应当对招标文件提出的实质性要求和条件作出响应。</w:t>
      </w:r>
    </w:p>
    <w:p w14:paraId="7FCC6BA2">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应当认真阅读招标文件中所有的事项、格式、条款和技术规范等。投标人没有按照招标文件要求递交全部资料或者投标人没有对招标文件在各方面都作出实质性响应是投标人的风险，并可能导致其投标被否决。投标文件应答和编写的具体要求见投标人须知前附表。</w:t>
      </w:r>
    </w:p>
    <w:p w14:paraId="604A2E25">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投标人递交的投标文件以及投标人与招标人就有关投标的所有往来函电均应当使用中文。投标人递交的证明文件和文献可以使用另一种语言，但相应内容应当译成中文，在解释投标文件时以中文译本为准。</w:t>
      </w:r>
    </w:p>
    <w:p w14:paraId="18D92ADE">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文件应当使用不褪色的材料书写或者打印，并加盖单位公章或者由投标人的法定代表人或者其委托代理人签字。委托代理人签字的，投标文件应当附法定代表人签署的授权委托书。投标文件应当尽量避免涂改、行间插字或者删除。如果出现上述情况，改动之处应当加盖单位公章或者由投标人的法定代表人或者其委托代理人签字确认。盖章或者签字另有要求的，见投标人须知前附表。</w:t>
      </w:r>
    </w:p>
    <w:p w14:paraId="5E4E4FED">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255" w:name="_Toc226969292"/>
      <w:bookmarkStart w:id="256" w:name="_Toc447265236"/>
      <w:bookmarkStart w:id="257" w:name="_Toc447188686"/>
      <w:bookmarkStart w:id="258" w:name="_Toc447265522"/>
      <w:bookmarkStart w:id="259" w:name="_Toc9052"/>
      <w:bookmarkStart w:id="260" w:name="_Toc107822495"/>
      <w:bookmarkStart w:id="261" w:name="_Toc30295"/>
      <w:bookmarkStart w:id="262" w:name="_Toc227057898"/>
      <w:r>
        <w:rPr>
          <w:rFonts w:hint="eastAsia" w:ascii="宋体" w:hAnsi="宋体" w:eastAsia="宋体" w:cs="Times New Roman"/>
          <w:b/>
          <w:bCs/>
          <w:kern w:val="2"/>
          <w:sz w:val="24"/>
          <w:szCs w:val="24"/>
          <w:lang w:val="en-US" w:eastAsia="zh-CN" w:bidi="ar-SA"/>
        </w:rPr>
        <w:t>投标报价</w:t>
      </w:r>
      <w:bookmarkEnd w:id="255"/>
      <w:bookmarkEnd w:id="256"/>
      <w:bookmarkEnd w:id="257"/>
      <w:bookmarkEnd w:id="258"/>
      <w:bookmarkEnd w:id="259"/>
      <w:bookmarkEnd w:id="260"/>
      <w:bookmarkEnd w:id="261"/>
      <w:bookmarkEnd w:id="262"/>
    </w:p>
    <w:p w14:paraId="7D5D29A9">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投标人应当根据招标文件要求进行报价，投标人应当报出符合招标文件要求的拟提供投标货物的单价（如适用）和总价。</w:t>
      </w:r>
    </w:p>
    <w:p w14:paraId="7A142E2E">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投标货币：人民币。</w:t>
      </w:r>
    </w:p>
    <w:p w14:paraId="733C893A">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招标人设有最高投标限价的，投标人的投标报价不得超过最高投标限价，否则其投标将被否决。最高投标限价或者其计算方法见投标人须知前附表。</w:t>
      </w:r>
    </w:p>
    <w:p w14:paraId="74697346">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招标人不接受投标人的任何低于成本报价的不正当竞争方式。</w:t>
      </w:r>
    </w:p>
    <w:p w14:paraId="0C78325A">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只有在招标文件要求或者允许报优惠价时，投标人才可以报出。投标人优惠报价的数额，开标时也必须当众宣读。关于优惠条件的规定见投标人须知前附表。</w:t>
      </w:r>
    </w:p>
    <w:p w14:paraId="7A306C27">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投标报价的具体要求见投标人须知前附表。</w:t>
      </w:r>
    </w:p>
    <w:p w14:paraId="2EB1FC9F">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263" w:name="_Toc447188687"/>
      <w:bookmarkStart w:id="264" w:name="_Toc447265237"/>
      <w:bookmarkStart w:id="265" w:name="_Toc227057902"/>
      <w:bookmarkStart w:id="266" w:name="_Toc107822500"/>
      <w:bookmarkStart w:id="267" w:name="_Toc28681"/>
      <w:bookmarkStart w:id="268" w:name="_Toc447265523"/>
      <w:bookmarkStart w:id="269" w:name="_Toc21723"/>
      <w:bookmarkStart w:id="270" w:name="_Toc226969296"/>
      <w:bookmarkStart w:id="271" w:name="_Toc107822499"/>
      <w:bookmarkStart w:id="272" w:name="_Toc226969295"/>
      <w:bookmarkStart w:id="273" w:name="_Toc227057901"/>
      <w:r>
        <w:rPr>
          <w:rFonts w:hint="eastAsia" w:ascii="宋体" w:hAnsi="宋体" w:eastAsia="宋体" w:cs="Times New Roman"/>
          <w:b/>
          <w:bCs/>
          <w:kern w:val="2"/>
          <w:sz w:val="24"/>
          <w:szCs w:val="24"/>
          <w:lang w:val="en-US" w:eastAsia="zh-CN" w:bidi="ar-SA"/>
        </w:rPr>
        <w:t>投标有效期</w:t>
      </w:r>
      <w:bookmarkEnd w:id="263"/>
      <w:bookmarkEnd w:id="264"/>
      <w:bookmarkEnd w:id="265"/>
      <w:bookmarkEnd w:id="266"/>
      <w:bookmarkEnd w:id="267"/>
      <w:bookmarkEnd w:id="268"/>
      <w:bookmarkEnd w:id="269"/>
      <w:bookmarkEnd w:id="270"/>
    </w:p>
    <w:p w14:paraId="7D351B54">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投标有效期从递交投标文件截止之日起计算。投标有效期的具体时间见投标人须知前附表。在此期间，投标人不得要求撤销或者修改其投标文件。投标有效期不满足招标文件要求的投标将被否决。</w:t>
      </w:r>
    </w:p>
    <w:p w14:paraId="79664EDD">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在原定投标有效期满之前，如果出现特殊情况，招标人决定延长投标有效期的，应当以书面形式向投标人提出延长投标有效期的要求，投标人须以书面形式予以答复。投标人同意延长投标有效期的，不得修改其投标文件的实质性内容，但应当相应延长其投标保证金有效期；投标人拒绝延长投标有效期的，其投标失效，投标人有权收回其投标保证金。</w:t>
      </w:r>
    </w:p>
    <w:p w14:paraId="64EC5D1C">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274" w:name="_Toc447265524"/>
      <w:bookmarkStart w:id="275" w:name="_Toc31507"/>
      <w:bookmarkStart w:id="276" w:name="_Toc447265238"/>
      <w:bookmarkStart w:id="277" w:name="_Toc15718"/>
      <w:bookmarkStart w:id="278" w:name="_Toc447188688"/>
      <w:r>
        <w:rPr>
          <w:rFonts w:hint="eastAsia" w:ascii="宋体" w:hAnsi="宋体" w:eastAsia="宋体" w:cs="Times New Roman"/>
          <w:b/>
          <w:bCs/>
          <w:kern w:val="2"/>
          <w:sz w:val="24"/>
          <w:szCs w:val="24"/>
          <w:lang w:val="en-US" w:eastAsia="zh-CN" w:bidi="ar-SA"/>
        </w:rPr>
        <w:t>投标保证金</w:t>
      </w:r>
      <w:bookmarkEnd w:id="271"/>
      <w:bookmarkEnd w:id="272"/>
      <w:bookmarkEnd w:id="273"/>
      <w:bookmarkEnd w:id="274"/>
      <w:bookmarkEnd w:id="275"/>
      <w:bookmarkEnd w:id="276"/>
      <w:bookmarkEnd w:id="277"/>
      <w:bookmarkEnd w:id="278"/>
    </w:p>
    <w:p w14:paraId="5ABCD981">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招标人要求投标人递交投标保证金的，投标人必须在递交投标文件的同时，按照投标人须知前附表的规定递交投标保证金。投标保证金一般不超过项目估算价的2%，但最高不得超过</w:t>
      </w:r>
      <w:r>
        <w:rPr>
          <w:rFonts w:ascii="宋体" w:hAnsi="宋体" w:eastAsia="宋体" w:cs="Times New Roman"/>
          <w:kern w:val="2"/>
          <w:sz w:val="21"/>
          <w:szCs w:val="20"/>
          <w:lang w:val="en-US" w:eastAsia="zh-CN" w:bidi="ar-SA"/>
        </w:rPr>
        <w:t>80</w:t>
      </w:r>
      <w:r>
        <w:rPr>
          <w:rFonts w:hint="eastAsia" w:ascii="宋体" w:hAnsi="宋体" w:eastAsia="宋体" w:cs="Times New Roman"/>
          <w:kern w:val="2"/>
          <w:sz w:val="21"/>
          <w:szCs w:val="20"/>
          <w:lang w:val="en-US" w:eastAsia="zh-CN" w:bidi="ar-SA"/>
        </w:rPr>
        <w:t>万元人民币，本集中招标项目的投标保证金金额见投标人须知前附表。</w:t>
      </w:r>
    </w:p>
    <w:p w14:paraId="19F11E01">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可以规定投标保证金是以现金、支票、银行汇票、在中国注册的银行出具的银行保函等方式递交，依法必须进行招标的项目的境内投标人，以现金或者支票形式递交的投标保证金应当从其基本账户转出。投标保证金有效期应当与投标有效期一致。投标保证金的形式见投标人须知前附表。</w:t>
      </w:r>
    </w:p>
    <w:p w14:paraId="5218D4AB">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招标人最迟应当在书面合同签订后5日内向中标人和未中标的投标人退还投标保证金及银行同期存款利息。</w:t>
      </w:r>
    </w:p>
    <w:p w14:paraId="1DA388D4">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发生下列情形之一时，投标保证金可不予退还：</w:t>
      </w:r>
    </w:p>
    <w:p w14:paraId="25C4E54A">
      <w:pPr>
        <w:widowControl w:val="0"/>
        <w:numPr>
          <w:ilvl w:val="0"/>
          <w:numId w:val="81"/>
        </w:numPr>
        <w:tabs>
          <w:tab w:val="left" w:pos="1134"/>
        </w:tabs>
        <w:spacing w:line="400" w:lineRule="exact"/>
        <w:ind w:left="0" w:firstLine="424" w:firstLineChars="202"/>
        <w:jc w:val="both"/>
        <w:rPr>
          <w:rFonts w:ascii="宋体" w:hAnsi="宋体" w:eastAsia="宋体" w:cs="Times New Roman"/>
          <w:kern w:val="2"/>
          <w:sz w:val="21"/>
          <w:szCs w:val="24"/>
          <w:lang w:val="en-US" w:eastAsia="zh-CN" w:bidi="ar-SA"/>
        </w:rPr>
      </w:pPr>
      <w:r>
        <w:rPr>
          <w:rFonts w:ascii="宋体" w:hAnsi="宋体" w:eastAsia="宋体" w:cs="Times New Roman"/>
          <w:kern w:val="2"/>
          <w:sz w:val="21"/>
          <w:szCs w:val="24"/>
          <w:lang w:val="en-US" w:eastAsia="zh-CN" w:bidi="ar-SA"/>
        </w:rPr>
        <w:t>投标人在招标文件中规定的投标有效期内</w:t>
      </w:r>
      <w:r>
        <w:rPr>
          <w:rFonts w:hint="eastAsia" w:ascii="宋体" w:hAnsi="宋体" w:eastAsia="宋体" w:cs="Times New Roman"/>
          <w:kern w:val="2"/>
          <w:sz w:val="21"/>
          <w:szCs w:val="24"/>
          <w:lang w:val="en-US" w:eastAsia="zh-CN" w:bidi="ar-SA"/>
        </w:rPr>
        <w:t>撤销投标的；</w:t>
      </w:r>
    </w:p>
    <w:p w14:paraId="0D9D0B2C">
      <w:pPr>
        <w:widowControl w:val="0"/>
        <w:numPr>
          <w:ilvl w:val="0"/>
          <w:numId w:val="81"/>
        </w:numPr>
        <w:tabs>
          <w:tab w:val="left" w:pos="1134"/>
        </w:tabs>
        <w:spacing w:line="400" w:lineRule="exact"/>
        <w:ind w:left="0" w:firstLine="424" w:firstLineChars="202"/>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中标人无正当理由不与招标人在规定期限内订立合同、在签订合同时向招标人提出附加条件，或者不按照招标文件要求递交履约保证金的；</w:t>
      </w:r>
    </w:p>
    <w:p w14:paraId="5CC24ECE">
      <w:pPr>
        <w:widowControl w:val="0"/>
        <w:numPr>
          <w:ilvl w:val="0"/>
          <w:numId w:val="81"/>
        </w:numPr>
        <w:tabs>
          <w:tab w:val="left" w:pos="1134"/>
        </w:tabs>
        <w:spacing w:line="400" w:lineRule="exact"/>
        <w:ind w:left="0" w:firstLine="424" w:firstLineChars="202"/>
        <w:jc w:val="both"/>
        <w:rPr>
          <w:rFonts w:ascii="宋体" w:hAnsi="宋体" w:eastAsia="宋体" w:cs="Times New Roman"/>
          <w:kern w:val="2"/>
          <w:sz w:val="21"/>
          <w:szCs w:val="24"/>
          <w:lang w:val="en-US" w:eastAsia="zh-CN" w:bidi="ar-SA"/>
        </w:rPr>
      </w:pPr>
      <w:r>
        <w:rPr>
          <w:rFonts w:ascii="宋体" w:hAnsi="宋体" w:eastAsia="宋体" w:cs="Times New Roman"/>
          <w:kern w:val="2"/>
          <w:sz w:val="21"/>
          <w:szCs w:val="24"/>
          <w:lang w:val="en-US" w:eastAsia="zh-CN" w:bidi="ar-SA"/>
        </w:rPr>
        <w:t>投标人有串通投标、弄虚作假等行为的；</w:t>
      </w:r>
    </w:p>
    <w:p w14:paraId="25561B0A">
      <w:pPr>
        <w:widowControl w:val="0"/>
        <w:numPr>
          <w:ilvl w:val="0"/>
          <w:numId w:val="81"/>
        </w:numPr>
        <w:tabs>
          <w:tab w:val="left" w:pos="1134"/>
        </w:tabs>
        <w:spacing w:line="400" w:lineRule="exact"/>
        <w:ind w:left="0" w:firstLine="424" w:firstLineChars="202"/>
        <w:jc w:val="both"/>
        <w:rPr>
          <w:rFonts w:ascii="宋体" w:hAnsi="宋体" w:eastAsia="宋体" w:cs="Times New Roman"/>
          <w:kern w:val="2"/>
          <w:sz w:val="21"/>
          <w:szCs w:val="24"/>
          <w:lang w:val="en-US" w:eastAsia="zh-CN" w:bidi="ar-SA"/>
        </w:rPr>
      </w:pPr>
      <w:r>
        <w:rPr>
          <w:rFonts w:ascii="宋体" w:hAnsi="宋体" w:eastAsia="宋体" w:cs="Times New Roman"/>
          <w:kern w:val="2"/>
          <w:sz w:val="21"/>
          <w:szCs w:val="24"/>
          <w:lang w:val="en-US" w:eastAsia="zh-CN" w:bidi="ar-SA"/>
        </w:rPr>
        <w:t>其他规定</w:t>
      </w:r>
      <w:r>
        <w:rPr>
          <w:rFonts w:hint="eastAsia" w:ascii="宋体" w:hAnsi="宋体" w:eastAsia="宋体" w:cs="Times New Roman"/>
          <w:kern w:val="2"/>
          <w:sz w:val="21"/>
          <w:szCs w:val="24"/>
          <w:lang w:val="en-US" w:eastAsia="zh-CN" w:bidi="ar-SA"/>
        </w:rPr>
        <w:t>见投标人须知前附表</w:t>
      </w:r>
      <w:r>
        <w:rPr>
          <w:rFonts w:ascii="宋体" w:hAnsi="宋体" w:eastAsia="宋体" w:cs="Times New Roman"/>
          <w:kern w:val="2"/>
          <w:sz w:val="21"/>
          <w:szCs w:val="24"/>
          <w:lang w:val="en-US" w:eastAsia="zh-CN" w:bidi="ar-SA"/>
        </w:rPr>
        <w:t>。</w:t>
      </w:r>
    </w:p>
    <w:p w14:paraId="73581F2E">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未递交投标保证金或者递交的投标保证金有瑕疵的投标将被否决。</w:t>
      </w:r>
    </w:p>
    <w:p w14:paraId="16B10BAB">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279" w:name="_Toc4063"/>
      <w:bookmarkStart w:id="280" w:name="_Toc447188689"/>
      <w:bookmarkStart w:id="281" w:name="_Toc1668"/>
      <w:bookmarkStart w:id="282" w:name="_Toc447265525"/>
      <w:bookmarkStart w:id="283" w:name="_Toc227057903"/>
      <w:bookmarkStart w:id="284" w:name="_Toc447265239"/>
      <w:bookmarkStart w:id="285" w:name="_Toc226969297"/>
      <w:bookmarkStart w:id="286" w:name="_Toc107822501"/>
      <w:r>
        <w:rPr>
          <w:rFonts w:hint="eastAsia" w:ascii="宋体" w:hAnsi="宋体" w:eastAsia="宋体" w:cs="Times New Roman"/>
          <w:b/>
          <w:bCs/>
          <w:kern w:val="2"/>
          <w:sz w:val="24"/>
          <w:szCs w:val="24"/>
          <w:lang w:val="en-US" w:eastAsia="zh-CN" w:bidi="ar-SA"/>
        </w:rPr>
        <w:t>备选投标方案</w:t>
      </w:r>
      <w:bookmarkEnd w:id="279"/>
      <w:bookmarkEnd w:id="280"/>
      <w:bookmarkEnd w:id="281"/>
      <w:bookmarkEnd w:id="282"/>
      <w:bookmarkEnd w:id="283"/>
      <w:bookmarkEnd w:id="284"/>
      <w:bookmarkEnd w:id="285"/>
    </w:p>
    <w:p w14:paraId="21195E96">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除投标人须知前附表另有规定外，投标人不得递交备选投标方案。</w:t>
      </w:r>
    </w:p>
    <w:p w14:paraId="654E748F">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若招标人在招标文件中邀请投标人递交备选方案，则投标人除按照招标文件规定的基本方案编制和递交投标文件外，可以附加递交备选投标方案。</w:t>
      </w:r>
    </w:p>
    <w:p w14:paraId="0DDA8A83">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备选投标方案应当说明其对基本方案的改进意见和带来的效益，并附必要的图纸、设计计算、技术要求及其他有关资料，在封面上应当注明“备选投标方案”字样。</w:t>
      </w:r>
    </w:p>
    <w:p w14:paraId="14008109">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允许投标人递交备选投标方案的，只有符合招标文件要求且评标价最低或者综合评分最高而被推荐为中标候选人的投标人所递交的备选投标方案，可予以考虑。评标委员会认为其备选投标方案优于其按照招标文件要求编制的投标方案的，招标人可以接受该备选投标方案。</w:t>
      </w:r>
    </w:p>
    <w:p w14:paraId="7262E7A5">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287" w:name="_Toc226969298"/>
      <w:bookmarkStart w:id="288" w:name="_Toc227057904"/>
      <w:bookmarkStart w:id="289" w:name="_Toc447188690"/>
      <w:bookmarkStart w:id="290" w:name="_Toc10899"/>
      <w:bookmarkStart w:id="291" w:name="_Toc447265240"/>
      <w:bookmarkStart w:id="292" w:name="_Toc447265526"/>
      <w:bookmarkStart w:id="293" w:name="_Toc24501"/>
      <w:r>
        <w:rPr>
          <w:rFonts w:hint="eastAsia" w:ascii="宋体" w:hAnsi="宋体" w:eastAsia="宋体" w:cs="Times New Roman"/>
          <w:b/>
          <w:bCs/>
          <w:kern w:val="2"/>
          <w:sz w:val="24"/>
          <w:szCs w:val="24"/>
          <w:lang w:val="en-US" w:eastAsia="zh-CN" w:bidi="ar-SA"/>
        </w:rPr>
        <w:t>投标文件的式样</w:t>
      </w:r>
      <w:bookmarkEnd w:id="286"/>
      <w:bookmarkEnd w:id="287"/>
      <w:bookmarkEnd w:id="288"/>
      <w:r>
        <w:rPr>
          <w:rFonts w:hint="eastAsia" w:ascii="宋体" w:hAnsi="宋体" w:eastAsia="宋体" w:cs="Times New Roman"/>
          <w:b/>
          <w:bCs/>
          <w:kern w:val="2"/>
          <w:sz w:val="24"/>
          <w:szCs w:val="24"/>
          <w:lang w:val="en-US" w:eastAsia="zh-CN" w:bidi="ar-SA"/>
        </w:rPr>
        <w:t>、密封和标记（递交纸质文件适用）</w:t>
      </w:r>
      <w:bookmarkEnd w:id="289"/>
      <w:bookmarkEnd w:id="290"/>
      <w:bookmarkEnd w:id="291"/>
      <w:bookmarkEnd w:id="292"/>
      <w:bookmarkEnd w:id="293"/>
    </w:p>
    <w:p w14:paraId="575D99AE">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应当编制一份投标文件“正本”和投标人须知前附表所述份数的“副本”和“电子版”，副本为正本复印件。投标文件正本和副本如有不一致之处，以正本为准；纸质版文件与电子版文件不一致时，以纸质版文件为准。</w:t>
      </w:r>
    </w:p>
    <w:p w14:paraId="3CDD820D">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每份投标文件的正本、副本及电子版应当分别装订，并于封面上明确标明“正本”“副本”和“电子版”字样。</w:t>
      </w:r>
    </w:p>
    <w:p w14:paraId="18D2FE66">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投标文件应当按照招标文件规定密封包装，并于封装封面上明确标明“正本”“副本”和“电子版”字样。密封的所有黏接缝隙必须加盖单位公章或者由投标人的法定代表人或者其委托代理人签字。</w:t>
      </w:r>
    </w:p>
    <w:p w14:paraId="71764214">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外层包封应当写明招标人的名称和地址、项目名称、招标编号、并注明开标时间以前不得开封。还应当写明投标人的名称与地址、邮政编码，以便投标出现逾期送达时能原封退回。</w:t>
      </w:r>
    </w:p>
    <w:p w14:paraId="60D1EDDA">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递交投标文件时，招标人应当对符合招标文件规定密封和标记的投标文件进行签收。</w:t>
      </w:r>
    </w:p>
    <w:p w14:paraId="709EB64F">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招标人对于投标文件密封、标记另有要求的，见投标人须知前附表。</w:t>
      </w:r>
    </w:p>
    <w:p w14:paraId="13C4E70B">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294" w:name="_Toc447265527"/>
      <w:bookmarkStart w:id="295" w:name="_Toc7684"/>
      <w:bookmarkStart w:id="296" w:name="_Toc447265241"/>
      <w:bookmarkStart w:id="297" w:name="_Toc447188691"/>
      <w:bookmarkStart w:id="298" w:name="_Toc439838338"/>
      <w:bookmarkStart w:id="299" w:name="_Toc16586"/>
      <w:r>
        <w:rPr>
          <w:rFonts w:hint="eastAsia" w:ascii="宋体" w:hAnsi="宋体" w:eastAsia="宋体" w:cs="Times New Roman"/>
          <w:b/>
          <w:bCs/>
          <w:kern w:val="2"/>
          <w:sz w:val="24"/>
          <w:szCs w:val="24"/>
          <w:lang w:val="en-US" w:eastAsia="zh-CN" w:bidi="ar-SA"/>
        </w:rPr>
        <w:t>电子招标的投标文件上传形式</w:t>
      </w:r>
      <w:bookmarkEnd w:id="294"/>
      <w:bookmarkEnd w:id="295"/>
      <w:bookmarkEnd w:id="296"/>
      <w:bookmarkEnd w:id="297"/>
      <w:bookmarkEnd w:id="298"/>
      <w:bookmarkEnd w:id="299"/>
    </w:p>
    <w:p w14:paraId="03E04BAB">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投标文件应当按照投标人须知前附表要求的形式上传。</w:t>
      </w:r>
    </w:p>
    <w:p w14:paraId="4EC39B37">
      <w:pPr>
        <w:widowControl w:val="0"/>
        <w:numPr>
          <w:ilvl w:val="0"/>
          <w:numId w:val="77"/>
        </w:numPr>
        <w:tabs>
          <w:tab w:val="left" w:pos="602"/>
        </w:tabs>
        <w:snapToGrid w:val="0"/>
        <w:spacing w:before="120" w:after="120" w:line="440" w:lineRule="exact"/>
        <w:ind w:left="425" w:hanging="425"/>
        <w:jc w:val="left"/>
        <w:outlineLvl w:val="1"/>
        <w:rPr>
          <w:rFonts w:ascii="宋体" w:hAnsi="宋体" w:eastAsia="宋体" w:cs="Times New Roman"/>
          <w:b/>
          <w:bCs/>
          <w:kern w:val="2"/>
          <w:sz w:val="28"/>
          <w:szCs w:val="28"/>
          <w:lang w:val="en-US" w:eastAsia="zh-CN" w:bidi="ar-SA"/>
        </w:rPr>
      </w:pPr>
      <w:bookmarkStart w:id="300" w:name="_Toc4127"/>
      <w:bookmarkStart w:id="301" w:name="_Toc184635074"/>
      <w:bookmarkStart w:id="302" w:name="_Toc447265242"/>
      <w:bookmarkStart w:id="303" w:name="_Toc447265528"/>
      <w:bookmarkStart w:id="304" w:name="_Toc13600"/>
      <w:bookmarkStart w:id="305" w:name="_Toc488655848"/>
      <w:bookmarkStart w:id="306" w:name="_Toc107822503"/>
      <w:bookmarkStart w:id="307" w:name="_Toc226969300"/>
      <w:bookmarkStart w:id="308" w:name="_Toc227057906"/>
      <w:r>
        <w:rPr>
          <w:rFonts w:hint="eastAsia" w:ascii="宋体" w:hAnsi="宋体" w:eastAsia="宋体" w:cs="Times New Roman"/>
          <w:b/>
          <w:bCs/>
          <w:kern w:val="2"/>
          <w:sz w:val="28"/>
          <w:szCs w:val="28"/>
          <w:lang w:val="en-US" w:eastAsia="zh-CN" w:bidi="ar-SA"/>
        </w:rPr>
        <w:t>投标</w:t>
      </w:r>
      <w:bookmarkEnd w:id="300"/>
      <w:bookmarkEnd w:id="301"/>
      <w:bookmarkEnd w:id="302"/>
      <w:bookmarkEnd w:id="303"/>
      <w:bookmarkEnd w:id="304"/>
    </w:p>
    <w:p w14:paraId="41265A62">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309" w:name="_Toc21160"/>
      <w:bookmarkStart w:id="310" w:name="_Toc13662"/>
      <w:bookmarkStart w:id="311" w:name="_Toc447265243"/>
      <w:bookmarkStart w:id="312" w:name="_Toc447265529"/>
      <w:bookmarkStart w:id="313" w:name="_Toc447188692"/>
      <w:r>
        <w:rPr>
          <w:rFonts w:hint="eastAsia" w:ascii="宋体" w:hAnsi="宋体" w:eastAsia="宋体" w:cs="Times New Roman"/>
          <w:b/>
          <w:bCs/>
          <w:kern w:val="2"/>
          <w:sz w:val="24"/>
          <w:szCs w:val="24"/>
          <w:lang w:val="en-US" w:eastAsia="zh-CN" w:bidi="ar-SA"/>
        </w:rPr>
        <w:t>投标</w:t>
      </w:r>
      <w:bookmarkEnd w:id="305"/>
      <w:bookmarkEnd w:id="306"/>
      <w:r>
        <w:rPr>
          <w:rFonts w:hint="eastAsia" w:ascii="宋体" w:hAnsi="宋体" w:eastAsia="宋体" w:cs="Times New Roman"/>
          <w:b/>
          <w:bCs/>
          <w:kern w:val="2"/>
          <w:sz w:val="24"/>
          <w:szCs w:val="24"/>
          <w:lang w:val="en-US" w:eastAsia="zh-CN" w:bidi="ar-SA"/>
        </w:rPr>
        <w:t>文件的递交</w:t>
      </w:r>
      <w:bookmarkEnd w:id="307"/>
      <w:bookmarkEnd w:id="308"/>
      <w:bookmarkEnd w:id="309"/>
      <w:bookmarkEnd w:id="310"/>
      <w:bookmarkEnd w:id="311"/>
      <w:bookmarkEnd w:id="312"/>
      <w:bookmarkEnd w:id="313"/>
    </w:p>
    <w:p w14:paraId="77662D6D">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bookmarkStart w:id="314" w:name="_Toc107822504"/>
      <w:bookmarkStart w:id="315" w:name="_Toc488655849"/>
      <w:r>
        <w:rPr>
          <w:rFonts w:hint="eastAsia" w:ascii="宋体" w:hAnsi="宋体" w:eastAsia="宋体" w:cs="Times New Roman"/>
          <w:kern w:val="2"/>
          <w:sz w:val="21"/>
          <w:szCs w:val="20"/>
          <w:lang w:val="en-US" w:eastAsia="zh-CN" w:bidi="ar-SA"/>
        </w:rPr>
        <w:t>投标文件递交截止时间：见投标人须知前附表。</w:t>
      </w:r>
    </w:p>
    <w:p w14:paraId="25E9A7E9">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投标文件递交地点：见投标人须知前附表。</w:t>
      </w:r>
    </w:p>
    <w:p w14:paraId="0FDB4C1F">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招标人收到投标文件后，向投标人出具签收凭证。</w:t>
      </w:r>
    </w:p>
    <w:p w14:paraId="6B03F6C2">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除投标人须知前附表另有规定外，投标人所递交的投标文件不予退还。</w:t>
      </w:r>
    </w:p>
    <w:p w14:paraId="121E64D8">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出现下列情形之一时，招标人/招标代理机构不予接收投标文件：</w:t>
      </w:r>
    </w:p>
    <w:p w14:paraId="330F6964">
      <w:pPr>
        <w:widowControl w:val="0"/>
        <w:numPr>
          <w:ilvl w:val="0"/>
          <w:numId w:val="82"/>
        </w:numPr>
        <w:tabs>
          <w:tab w:val="left" w:pos="630"/>
        </w:tabs>
        <w:spacing w:line="400" w:lineRule="exact"/>
        <w:ind w:left="0" w:firstLine="1134" w:firstLineChars="540"/>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逾期送达或者未送达指定地点的；</w:t>
      </w:r>
    </w:p>
    <w:p w14:paraId="714B00A2">
      <w:pPr>
        <w:widowControl w:val="0"/>
        <w:numPr>
          <w:ilvl w:val="0"/>
          <w:numId w:val="82"/>
        </w:numPr>
        <w:tabs>
          <w:tab w:val="left" w:pos="630"/>
        </w:tabs>
        <w:spacing w:line="400" w:lineRule="exact"/>
        <w:ind w:left="0" w:firstLine="1134" w:firstLineChars="540"/>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未按照招标文件要求密封的；</w:t>
      </w:r>
    </w:p>
    <w:p w14:paraId="656448DA">
      <w:pPr>
        <w:widowControl w:val="0"/>
        <w:numPr>
          <w:ilvl w:val="0"/>
          <w:numId w:val="82"/>
        </w:numPr>
        <w:tabs>
          <w:tab w:val="left" w:pos="630"/>
        </w:tabs>
        <w:spacing w:line="400" w:lineRule="exact"/>
        <w:ind w:left="0" w:firstLine="1134" w:firstLineChars="540"/>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未通过资格预审的申请人递交的；</w:t>
      </w:r>
    </w:p>
    <w:p w14:paraId="534BB2BA">
      <w:pPr>
        <w:widowControl w:val="0"/>
        <w:numPr>
          <w:ilvl w:val="0"/>
          <w:numId w:val="82"/>
        </w:numPr>
        <w:tabs>
          <w:tab w:val="left" w:pos="630"/>
        </w:tabs>
        <w:spacing w:line="400" w:lineRule="exact"/>
        <w:ind w:left="0" w:firstLine="1134" w:firstLineChars="540"/>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未按照第一章“招标公告”或者投标邀请书要求获得本项目招标文件的。</w:t>
      </w:r>
    </w:p>
    <w:p w14:paraId="1A147A1E">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招标人采用电子招标投标方式的，投标文件递交异常的处理方式见投标人须知前附表。</w:t>
      </w:r>
    </w:p>
    <w:bookmarkEnd w:id="314"/>
    <w:bookmarkEnd w:id="315"/>
    <w:p w14:paraId="1E9D7DA2">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316" w:name="_Toc227057907"/>
      <w:bookmarkStart w:id="317" w:name="_Toc488655850"/>
      <w:bookmarkStart w:id="318" w:name="_Toc107822505"/>
      <w:bookmarkStart w:id="319" w:name="_Toc226969301"/>
      <w:bookmarkStart w:id="320" w:name="_Toc447265530"/>
      <w:bookmarkStart w:id="321" w:name="_Toc447188693"/>
      <w:bookmarkStart w:id="322" w:name="_Toc447265244"/>
      <w:bookmarkStart w:id="323" w:name="_Toc8365"/>
      <w:bookmarkStart w:id="324" w:name="_Toc22100"/>
      <w:r>
        <w:rPr>
          <w:rFonts w:hint="eastAsia" w:ascii="宋体" w:hAnsi="宋体" w:eastAsia="宋体" w:cs="Times New Roman"/>
          <w:b/>
          <w:bCs/>
          <w:kern w:val="2"/>
          <w:sz w:val="24"/>
          <w:szCs w:val="24"/>
          <w:lang w:val="en-US" w:eastAsia="zh-CN" w:bidi="ar-SA"/>
        </w:rPr>
        <w:t>投标文件的修改、撤回</w:t>
      </w:r>
      <w:bookmarkEnd w:id="316"/>
      <w:bookmarkEnd w:id="317"/>
      <w:bookmarkEnd w:id="318"/>
      <w:bookmarkEnd w:id="319"/>
      <w:r>
        <w:rPr>
          <w:rFonts w:hint="eastAsia" w:ascii="宋体" w:hAnsi="宋体" w:eastAsia="宋体" w:cs="Times New Roman"/>
          <w:b/>
          <w:bCs/>
          <w:kern w:val="2"/>
          <w:sz w:val="24"/>
          <w:szCs w:val="24"/>
          <w:lang w:val="en-US" w:eastAsia="zh-CN" w:bidi="ar-SA"/>
        </w:rPr>
        <w:t>和撤销</w:t>
      </w:r>
      <w:bookmarkEnd w:id="320"/>
      <w:bookmarkEnd w:id="321"/>
      <w:bookmarkEnd w:id="322"/>
      <w:bookmarkEnd w:id="323"/>
      <w:bookmarkEnd w:id="324"/>
    </w:p>
    <w:p w14:paraId="1AE97430">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在规定的投标截止时间前，投标人可以修改或者撤回已递交的投标文件。</w:t>
      </w:r>
    </w:p>
    <w:p w14:paraId="091B2218">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投标人修改后的投标文件，应当在规定的投标截止时间前按照招标文件的规定编制、密封、标记、递交。</w:t>
      </w:r>
    </w:p>
    <w:p w14:paraId="70F79F39">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投标人撤回已递交的投标文件，应当书面通知招标人。招标人已收取投标保证金的，应当自收到投标人书面撤回通知之日起5日内退还。</w:t>
      </w:r>
    </w:p>
    <w:p w14:paraId="66A449DC">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投标人在规定的投标截止时间后，不得在投标有效期内撤销其投标。否则招标人有权不退还其投标保证金。</w:t>
      </w:r>
    </w:p>
    <w:p w14:paraId="47B27C60">
      <w:pPr>
        <w:widowControl w:val="0"/>
        <w:numPr>
          <w:ilvl w:val="0"/>
          <w:numId w:val="77"/>
        </w:numPr>
        <w:tabs>
          <w:tab w:val="left" w:pos="602"/>
        </w:tabs>
        <w:snapToGrid w:val="0"/>
        <w:spacing w:before="120" w:after="120" w:line="440" w:lineRule="exact"/>
        <w:ind w:left="425" w:hanging="425"/>
        <w:jc w:val="left"/>
        <w:outlineLvl w:val="1"/>
        <w:rPr>
          <w:rFonts w:ascii="宋体" w:hAnsi="宋体" w:eastAsia="宋体" w:cs="Times New Roman"/>
          <w:b/>
          <w:bCs/>
          <w:kern w:val="2"/>
          <w:sz w:val="28"/>
          <w:szCs w:val="28"/>
          <w:lang w:val="en-US" w:eastAsia="zh-CN" w:bidi="ar-SA"/>
        </w:rPr>
      </w:pPr>
      <w:bookmarkStart w:id="325" w:name="_Toc8719"/>
      <w:bookmarkStart w:id="326" w:name="_Toc246996946"/>
      <w:bookmarkStart w:id="327" w:name="_Toc447265245"/>
      <w:bookmarkStart w:id="328" w:name="_Toc144974527"/>
      <w:bookmarkStart w:id="329" w:name="_Toc179632577"/>
      <w:bookmarkStart w:id="330" w:name="_Toc247085717"/>
      <w:bookmarkStart w:id="331" w:name="_Toc152045559"/>
      <w:bookmarkStart w:id="332" w:name="_Toc447265531"/>
      <w:bookmarkStart w:id="333" w:name="_Toc447188694"/>
      <w:bookmarkStart w:id="334" w:name="_Toc296602447"/>
      <w:bookmarkStart w:id="335" w:name="_Toc152042335"/>
      <w:bookmarkStart w:id="336" w:name="_Toc5419"/>
      <w:bookmarkStart w:id="337" w:name="_Toc246996203"/>
      <w:bookmarkStart w:id="338" w:name="_Toc227057908"/>
      <w:bookmarkStart w:id="339" w:name="_Toc488655852"/>
      <w:bookmarkStart w:id="340" w:name="_Toc226969302"/>
      <w:bookmarkStart w:id="341" w:name="_Toc107822506"/>
      <w:r>
        <w:rPr>
          <w:rFonts w:hint="eastAsia" w:ascii="宋体" w:hAnsi="宋体" w:eastAsia="宋体" w:cs="Times New Roman"/>
          <w:b/>
          <w:bCs/>
          <w:kern w:val="2"/>
          <w:sz w:val="28"/>
          <w:szCs w:val="28"/>
          <w:lang w:val="en-US" w:eastAsia="zh-CN" w:bidi="ar-SA"/>
        </w:rPr>
        <w:t>开标</w:t>
      </w:r>
      <w:bookmarkEnd w:id="325"/>
      <w:bookmarkEnd w:id="326"/>
      <w:bookmarkEnd w:id="327"/>
      <w:bookmarkEnd w:id="328"/>
      <w:bookmarkEnd w:id="329"/>
      <w:bookmarkEnd w:id="330"/>
      <w:bookmarkEnd w:id="331"/>
      <w:bookmarkEnd w:id="332"/>
      <w:bookmarkEnd w:id="333"/>
      <w:bookmarkEnd w:id="334"/>
      <w:bookmarkEnd w:id="335"/>
      <w:bookmarkEnd w:id="336"/>
      <w:bookmarkEnd w:id="337"/>
    </w:p>
    <w:p w14:paraId="255A4798">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342" w:name="_Toc447265246"/>
      <w:bookmarkStart w:id="343" w:name="_Toc14327"/>
      <w:bookmarkStart w:id="344" w:name="_Toc32188"/>
      <w:bookmarkStart w:id="345" w:name="_Toc447265532"/>
      <w:bookmarkStart w:id="346" w:name="_Toc447188695"/>
      <w:r>
        <w:rPr>
          <w:rFonts w:hint="eastAsia" w:ascii="宋体" w:hAnsi="宋体" w:eastAsia="宋体" w:cs="Times New Roman"/>
          <w:b/>
          <w:bCs/>
          <w:kern w:val="2"/>
          <w:sz w:val="24"/>
          <w:szCs w:val="24"/>
          <w:lang w:val="en-US" w:eastAsia="zh-CN" w:bidi="ar-SA"/>
        </w:rPr>
        <w:t>开标</w:t>
      </w:r>
      <w:bookmarkEnd w:id="338"/>
      <w:bookmarkEnd w:id="339"/>
      <w:bookmarkEnd w:id="340"/>
      <w:bookmarkEnd w:id="341"/>
      <w:r>
        <w:rPr>
          <w:rFonts w:hint="eastAsia" w:ascii="宋体" w:hAnsi="宋体" w:eastAsia="宋体" w:cs="Times New Roman"/>
          <w:b/>
          <w:bCs/>
          <w:kern w:val="2"/>
          <w:sz w:val="24"/>
          <w:szCs w:val="24"/>
          <w:lang w:val="en-US" w:eastAsia="zh-CN" w:bidi="ar-SA"/>
        </w:rPr>
        <w:t>时间和地点</w:t>
      </w:r>
      <w:bookmarkEnd w:id="342"/>
      <w:bookmarkEnd w:id="343"/>
      <w:bookmarkEnd w:id="344"/>
      <w:bookmarkEnd w:id="345"/>
      <w:bookmarkEnd w:id="346"/>
    </w:p>
    <w:p w14:paraId="13794818">
      <w:pPr>
        <w:widowControl w:val="0"/>
        <w:numPr>
          <w:ilvl w:val="0"/>
          <w:numId w:val="0"/>
        </w:numPr>
        <w:tabs>
          <w:tab w:val="left" w:pos="630"/>
        </w:tabs>
        <w:snapToGrid w:val="0"/>
        <w:spacing w:line="440" w:lineRule="exact"/>
        <w:ind w:firstLine="420" w:firstLineChars="200"/>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招标人将按照投标人须知前附表规定的时间和地点公开开标，参加开标的投标人代表应当签名报到，以证明其出席开标。开标时间和投标截止时间应当为同一时间。</w:t>
      </w:r>
    </w:p>
    <w:p w14:paraId="2ECF8B33">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347" w:name="_Toc3291"/>
      <w:bookmarkStart w:id="348" w:name="_Toc15392"/>
      <w:bookmarkStart w:id="349" w:name="_Toc447265533"/>
      <w:bookmarkStart w:id="350" w:name="_Toc447265247"/>
      <w:bookmarkStart w:id="351" w:name="_Toc447188696"/>
      <w:r>
        <w:rPr>
          <w:rFonts w:hint="eastAsia" w:ascii="宋体" w:hAnsi="宋体" w:eastAsia="宋体" w:cs="Times New Roman"/>
          <w:b/>
          <w:bCs/>
          <w:kern w:val="2"/>
          <w:sz w:val="24"/>
          <w:szCs w:val="24"/>
          <w:lang w:val="en-US" w:eastAsia="zh-CN" w:bidi="ar-SA"/>
        </w:rPr>
        <w:t>开标程序</w:t>
      </w:r>
      <w:bookmarkEnd w:id="347"/>
      <w:bookmarkEnd w:id="348"/>
      <w:bookmarkEnd w:id="349"/>
      <w:bookmarkEnd w:id="350"/>
      <w:bookmarkEnd w:id="351"/>
    </w:p>
    <w:p w14:paraId="6B1BEC21">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开标会议由招标人或者其委托的招标代理机构组织并主持，邀请所有的投标人或者其代表出席。投标人代表或者招标人委托的公证机构对投标文件密封性进行检查。</w:t>
      </w:r>
    </w:p>
    <w:p w14:paraId="293EAE91">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ascii="宋体" w:hAnsi="宋体" w:eastAsia="宋体" w:cs="Times New Roman"/>
          <w:kern w:val="2"/>
          <w:sz w:val="21"/>
          <w:szCs w:val="20"/>
          <w:lang w:val="en-US" w:eastAsia="zh-CN" w:bidi="ar-SA"/>
        </w:rPr>
        <w:t>招标人在投标文件递交截止时间前收到的所有投标文件在开标时都应当当众予以拆封</w:t>
      </w:r>
      <w:r>
        <w:rPr>
          <w:rFonts w:hint="eastAsia" w:ascii="宋体" w:hAnsi="宋体" w:eastAsia="宋体" w:cs="Times New Roman"/>
          <w:kern w:val="2"/>
          <w:sz w:val="21"/>
          <w:szCs w:val="20"/>
          <w:lang w:val="en-US" w:eastAsia="zh-CN" w:bidi="ar-SA"/>
        </w:rPr>
        <w:t>、</w:t>
      </w:r>
      <w:r>
        <w:rPr>
          <w:rFonts w:ascii="宋体" w:hAnsi="宋体" w:eastAsia="宋体" w:cs="Times New Roman"/>
          <w:kern w:val="2"/>
          <w:sz w:val="21"/>
          <w:szCs w:val="20"/>
          <w:lang w:val="en-US" w:eastAsia="zh-CN" w:bidi="ar-SA"/>
        </w:rPr>
        <w:t>宣读</w:t>
      </w:r>
      <w:r>
        <w:rPr>
          <w:rFonts w:hint="eastAsia" w:ascii="宋体" w:hAnsi="宋体" w:eastAsia="宋体" w:cs="Times New Roman"/>
          <w:kern w:val="2"/>
          <w:sz w:val="21"/>
          <w:szCs w:val="20"/>
          <w:lang w:val="en-US" w:eastAsia="zh-CN" w:bidi="ar-SA"/>
        </w:rPr>
        <w:t>，</w:t>
      </w:r>
      <w:r>
        <w:rPr>
          <w:rFonts w:ascii="宋体" w:hAnsi="宋体" w:eastAsia="宋体" w:cs="Times New Roman"/>
          <w:kern w:val="2"/>
          <w:sz w:val="21"/>
          <w:szCs w:val="20"/>
          <w:lang w:val="en-US" w:eastAsia="zh-CN" w:bidi="ar-SA"/>
        </w:rPr>
        <w:t>但</w:t>
      </w:r>
      <w:r>
        <w:rPr>
          <w:rFonts w:hint="eastAsia" w:ascii="宋体" w:hAnsi="宋体" w:eastAsia="宋体" w:cs="Times New Roman"/>
          <w:kern w:val="2"/>
          <w:sz w:val="21"/>
          <w:szCs w:val="20"/>
          <w:lang w:val="en-US" w:eastAsia="zh-CN" w:bidi="ar-SA"/>
        </w:rPr>
        <w:t>按照招标文件规定递交合格的书面撤回通知的投标文件不予开封。</w:t>
      </w:r>
    </w:p>
    <w:p w14:paraId="64BBBED3">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应当当众宣布参加本项目招标的投标人个数以及投标文件的密封情况，并宣读收到的所有未撤回的投标文件的“投标一览表”中的内容，“投标一览表”一般包括：投标人名称、投标总报价、交货期、投标保证金以及招标文件中规定的其他内容。</w:t>
      </w:r>
    </w:p>
    <w:p w14:paraId="11948FCE">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开标内容填写在“开标记录表”中，由唱标人、记录人、投标人代表、监督人签字确认，存档备查。</w:t>
      </w:r>
    </w:p>
    <w:p w14:paraId="0B5D7B93">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352" w:name="_Toc29752"/>
      <w:bookmarkStart w:id="353" w:name="_Toc447188697"/>
      <w:bookmarkStart w:id="354" w:name="_Toc447265534"/>
      <w:bookmarkStart w:id="355" w:name="_Toc2677"/>
      <w:bookmarkStart w:id="356" w:name="_Toc447265248"/>
      <w:r>
        <w:rPr>
          <w:rFonts w:hint="eastAsia" w:ascii="宋体" w:hAnsi="宋体" w:eastAsia="宋体" w:cs="Times New Roman"/>
          <w:b/>
          <w:bCs/>
          <w:kern w:val="2"/>
          <w:sz w:val="24"/>
          <w:szCs w:val="24"/>
          <w:lang w:val="en-US" w:eastAsia="zh-CN" w:bidi="ar-SA"/>
        </w:rPr>
        <w:t>异议</w:t>
      </w:r>
      <w:bookmarkEnd w:id="352"/>
      <w:bookmarkEnd w:id="353"/>
      <w:bookmarkEnd w:id="354"/>
      <w:bookmarkEnd w:id="355"/>
      <w:bookmarkEnd w:id="356"/>
    </w:p>
    <w:p w14:paraId="1C5A708D">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投标人对开标有异议的，应当在开标现场提出，招标人应当当场作出答复，并制作记录。</w:t>
      </w:r>
    </w:p>
    <w:p w14:paraId="549C82E6">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投标人认为存在低于成本价投标情形的，可以在开标现场提出异议，并在评标完成前向招标人递交书面材料，招标人应当及时将书面材料转交给评标委员会。</w:t>
      </w:r>
    </w:p>
    <w:p w14:paraId="13569BCE">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357" w:name="_Toc447265249"/>
      <w:bookmarkStart w:id="358" w:name="_Toc447265535"/>
      <w:bookmarkStart w:id="359" w:name="_Toc447188698"/>
      <w:bookmarkStart w:id="360" w:name="_Toc29282"/>
      <w:bookmarkStart w:id="361" w:name="_Toc18874"/>
      <w:r>
        <w:rPr>
          <w:rFonts w:hint="eastAsia" w:ascii="宋体" w:hAnsi="宋体" w:eastAsia="宋体" w:cs="Times New Roman"/>
          <w:b/>
          <w:bCs/>
          <w:kern w:val="2"/>
          <w:sz w:val="24"/>
          <w:szCs w:val="24"/>
          <w:lang w:val="en-US" w:eastAsia="zh-CN" w:bidi="ar-SA"/>
        </w:rPr>
        <w:t>电子招标开标的其他要求</w:t>
      </w:r>
      <w:bookmarkEnd w:id="357"/>
      <w:bookmarkEnd w:id="358"/>
      <w:bookmarkEnd w:id="359"/>
      <w:r>
        <w:rPr>
          <w:rFonts w:hint="eastAsia" w:ascii="宋体" w:hAnsi="宋体" w:eastAsia="宋体" w:cs="Times New Roman"/>
          <w:b/>
          <w:bCs/>
          <w:kern w:val="2"/>
          <w:sz w:val="24"/>
          <w:szCs w:val="24"/>
          <w:lang w:val="en-US" w:eastAsia="zh-CN" w:bidi="ar-SA"/>
        </w:rPr>
        <w:t>及异常处理</w:t>
      </w:r>
      <w:bookmarkEnd w:id="360"/>
      <w:bookmarkEnd w:id="361"/>
    </w:p>
    <w:p w14:paraId="7CA3F70A">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招标人采用电子招标投标方式的，开标的其他要求及异常处理方式见投标人须知前附表。</w:t>
      </w:r>
    </w:p>
    <w:p w14:paraId="3949263B">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362" w:name="_Toc7442"/>
      <w:bookmarkStart w:id="363" w:name="_Toc17357"/>
      <w:r>
        <w:rPr>
          <w:rFonts w:hint="eastAsia" w:ascii="宋体" w:hAnsi="宋体" w:eastAsia="宋体" w:cs="Times New Roman"/>
          <w:b/>
          <w:bCs/>
          <w:kern w:val="2"/>
          <w:sz w:val="24"/>
          <w:szCs w:val="24"/>
          <w:lang w:val="en-US" w:eastAsia="zh-CN" w:bidi="ar-SA"/>
        </w:rPr>
        <w:t>不得开标</w:t>
      </w:r>
      <w:bookmarkEnd w:id="362"/>
      <w:bookmarkEnd w:id="363"/>
    </w:p>
    <w:p w14:paraId="464C78FB">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Times New Roman"/>
        </w:rPr>
        <w:t>投标人数量少于3个或者投标人须知前附表规定的人数的，招标人不得开标，应当重新招标。</w:t>
      </w:r>
    </w:p>
    <w:p w14:paraId="7EC9FCF6">
      <w:pPr>
        <w:widowControl w:val="0"/>
        <w:numPr>
          <w:ilvl w:val="0"/>
          <w:numId w:val="77"/>
        </w:numPr>
        <w:tabs>
          <w:tab w:val="left" w:pos="602"/>
        </w:tabs>
        <w:snapToGrid w:val="0"/>
        <w:spacing w:before="120" w:after="120" w:line="440" w:lineRule="exact"/>
        <w:ind w:left="425" w:hanging="425"/>
        <w:jc w:val="left"/>
        <w:outlineLvl w:val="1"/>
        <w:rPr>
          <w:rFonts w:ascii="宋体" w:hAnsi="宋体" w:eastAsia="宋体" w:cs="Times New Roman"/>
          <w:b/>
          <w:bCs/>
          <w:kern w:val="2"/>
          <w:sz w:val="28"/>
          <w:szCs w:val="28"/>
          <w:lang w:val="en-US" w:eastAsia="zh-CN" w:bidi="ar-SA"/>
        </w:rPr>
      </w:pPr>
      <w:bookmarkStart w:id="364" w:name="_Toc179632580"/>
      <w:bookmarkStart w:id="365" w:name="_Toc246996949"/>
      <w:bookmarkStart w:id="366" w:name="_Toc296602451"/>
      <w:bookmarkStart w:id="367" w:name="_Toc29123"/>
      <w:bookmarkStart w:id="368" w:name="_Toc247085720"/>
      <w:bookmarkStart w:id="369" w:name="_Toc246996206"/>
      <w:bookmarkStart w:id="370" w:name="_Toc32710"/>
      <w:bookmarkStart w:id="371" w:name="_Toc152045562"/>
      <w:bookmarkStart w:id="372" w:name="_Toc447265250"/>
      <w:bookmarkStart w:id="373" w:name="_Toc144974530"/>
      <w:bookmarkStart w:id="374" w:name="_Toc152042338"/>
      <w:bookmarkStart w:id="375" w:name="_Toc447188699"/>
      <w:bookmarkStart w:id="376" w:name="_Toc447265536"/>
      <w:bookmarkStart w:id="377" w:name="_Toc107822507"/>
      <w:bookmarkStart w:id="378" w:name="_Toc226969303"/>
      <w:bookmarkStart w:id="379" w:name="_Toc227057909"/>
      <w:r>
        <w:rPr>
          <w:rFonts w:hint="eastAsia" w:ascii="宋体" w:hAnsi="宋体" w:eastAsia="宋体" w:cs="Times New Roman"/>
          <w:b/>
          <w:bCs/>
          <w:kern w:val="2"/>
          <w:sz w:val="28"/>
          <w:szCs w:val="28"/>
          <w:lang w:val="en-US" w:eastAsia="zh-CN" w:bidi="ar-SA"/>
        </w:rPr>
        <w:t>评标</w:t>
      </w:r>
      <w:bookmarkEnd w:id="364"/>
      <w:bookmarkEnd w:id="365"/>
      <w:bookmarkEnd w:id="366"/>
      <w:bookmarkEnd w:id="367"/>
      <w:bookmarkEnd w:id="368"/>
      <w:bookmarkEnd w:id="369"/>
      <w:bookmarkEnd w:id="370"/>
      <w:bookmarkEnd w:id="371"/>
      <w:bookmarkEnd w:id="372"/>
      <w:bookmarkEnd w:id="373"/>
      <w:bookmarkEnd w:id="374"/>
      <w:bookmarkEnd w:id="375"/>
      <w:bookmarkEnd w:id="376"/>
    </w:p>
    <w:p w14:paraId="25FA6A05">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380" w:name="_Toc447188700"/>
      <w:bookmarkStart w:id="381" w:name="_Toc447265537"/>
      <w:bookmarkStart w:id="382" w:name="_Toc20707"/>
      <w:bookmarkStart w:id="383" w:name="_Toc447265251"/>
      <w:bookmarkStart w:id="384" w:name="_Toc12144"/>
      <w:r>
        <w:rPr>
          <w:rFonts w:hint="eastAsia" w:ascii="宋体" w:hAnsi="宋体" w:eastAsia="宋体" w:cs="Times New Roman"/>
          <w:b/>
          <w:bCs/>
          <w:kern w:val="2"/>
          <w:sz w:val="24"/>
          <w:szCs w:val="24"/>
          <w:lang w:val="en-US" w:eastAsia="zh-CN" w:bidi="ar-SA"/>
        </w:rPr>
        <w:t>评标委员会</w:t>
      </w:r>
      <w:bookmarkEnd w:id="377"/>
      <w:bookmarkEnd w:id="378"/>
      <w:bookmarkEnd w:id="379"/>
      <w:bookmarkEnd w:id="380"/>
      <w:bookmarkEnd w:id="381"/>
      <w:bookmarkEnd w:id="382"/>
      <w:bookmarkEnd w:id="383"/>
      <w:bookmarkEnd w:id="384"/>
    </w:p>
    <w:p w14:paraId="12C21703">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评标由依法组建的评标委员会负责，具体人数见投标人须知前附表。依法必须进行招标的通信工程建设项目，评标委员会的专家应当从通信工程建设项目评标专家库内相关专业的专家名单中采取随机抽取方式确定。</w:t>
      </w:r>
    </w:p>
    <w:p w14:paraId="3AF995B9">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评标期间，任何单位和个人不得非法干预或者影响评标的过程和结果。</w:t>
      </w:r>
    </w:p>
    <w:p w14:paraId="13F1A690">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评标委员会成员名单在中标结果确定前保密。</w:t>
      </w:r>
    </w:p>
    <w:p w14:paraId="388F9950">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385" w:name="_Toc179632582"/>
      <w:bookmarkStart w:id="386" w:name="_Toc447265538"/>
      <w:bookmarkStart w:id="387" w:name="_Toc447265252"/>
      <w:bookmarkStart w:id="388" w:name="_Toc21806"/>
      <w:bookmarkStart w:id="389" w:name="_Toc246996951"/>
      <w:bookmarkStart w:id="390" w:name="_Toc247085722"/>
      <w:bookmarkStart w:id="391" w:name="_Toc913"/>
      <w:bookmarkStart w:id="392" w:name="_Toc246996208"/>
      <w:bookmarkStart w:id="393" w:name="_Toc152045564"/>
      <w:bookmarkStart w:id="394" w:name="_Toc296602453"/>
      <w:bookmarkStart w:id="395" w:name="_Toc152042340"/>
      <w:bookmarkStart w:id="396" w:name="_Toc144974532"/>
      <w:r>
        <w:rPr>
          <w:rFonts w:hint="eastAsia" w:ascii="宋体" w:hAnsi="宋体" w:eastAsia="宋体" w:cs="Times New Roman"/>
          <w:b/>
          <w:bCs/>
          <w:kern w:val="2"/>
          <w:sz w:val="24"/>
          <w:szCs w:val="24"/>
          <w:lang w:val="en-US" w:eastAsia="zh-CN" w:bidi="ar-SA"/>
        </w:rPr>
        <w:t>评标原则</w:t>
      </w:r>
      <w:bookmarkEnd w:id="385"/>
      <w:bookmarkEnd w:id="386"/>
      <w:bookmarkEnd w:id="387"/>
      <w:bookmarkEnd w:id="388"/>
      <w:bookmarkEnd w:id="389"/>
      <w:bookmarkEnd w:id="390"/>
      <w:bookmarkEnd w:id="391"/>
      <w:bookmarkEnd w:id="392"/>
      <w:bookmarkEnd w:id="393"/>
      <w:bookmarkEnd w:id="394"/>
      <w:bookmarkEnd w:id="395"/>
      <w:bookmarkEnd w:id="396"/>
    </w:p>
    <w:p w14:paraId="77F951F9">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评标活动 遵循公平、公正、科学和择优的原则。</w:t>
      </w:r>
    </w:p>
    <w:p w14:paraId="32CABB56">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评标委员会按照第三章“评标办法”规定的方法、评审因素、标准和程序对投标文件进行评审。第三章“评标办法”没有规定的方法、评审因素和标准，不得作为评标依据。</w:t>
      </w:r>
    </w:p>
    <w:p w14:paraId="2681B214">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397" w:name="_Toc26455"/>
      <w:bookmarkStart w:id="398" w:name="_Toc1126"/>
      <w:bookmarkStart w:id="399" w:name="_Toc447188701"/>
      <w:bookmarkStart w:id="400" w:name="_Toc447265253"/>
      <w:bookmarkStart w:id="401" w:name="_Toc447265539"/>
      <w:r>
        <w:rPr>
          <w:rFonts w:hint="eastAsia" w:ascii="宋体" w:hAnsi="宋体" w:eastAsia="宋体" w:cs="Times New Roman"/>
          <w:b/>
          <w:bCs/>
          <w:kern w:val="2"/>
          <w:sz w:val="24"/>
          <w:szCs w:val="24"/>
          <w:lang w:val="en-US" w:eastAsia="zh-CN" w:bidi="ar-SA"/>
        </w:rPr>
        <w:t>评标方法</w:t>
      </w:r>
      <w:bookmarkEnd w:id="397"/>
      <w:bookmarkEnd w:id="398"/>
      <w:bookmarkEnd w:id="399"/>
      <w:bookmarkEnd w:id="400"/>
      <w:bookmarkEnd w:id="401"/>
    </w:p>
    <w:p w14:paraId="589968F4">
      <w:pPr>
        <w:adjustRightInd w:val="0"/>
        <w:snapToGrid w:val="0"/>
        <w:spacing w:line="440" w:lineRule="exact"/>
        <w:ind w:firstLine="424" w:firstLineChars="202"/>
        <w:rPr>
          <w:rFonts w:ascii="宋体" w:hAnsi="宋体" w:eastAsia="宋体" w:cs="宋体"/>
          <w:szCs w:val="21"/>
        </w:rPr>
      </w:pPr>
      <w:r>
        <w:rPr>
          <w:rFonts w:hint="eastAsia" w:ascii="宋体" w:hAnsi="宋体" w:eastAsia="宋体" w:cs="宋体"/>
          <w:szCs w:val="21"/>
        </w:rPr>
        <w:t>6.3.1</w:t>
      </w:r>
      <w:r>
        <w:rPr>
          <w:rFonts w:hint="eastAsia" w:ascii="宋体" w:hAnsi="宋体" w:eastAsia="宋体" w:cs="宋体"/>
          <w:szCs w:val="21"/>
        </w:rPr>
        <w:tab/>
      </w:r>
      <w:r>
        <w:rPr>
          <w:rFonts w:hint="eastAsia" w:ascii="宋体" w:hAnsi="宋体" w:eastAsia="宋体" w:cs="宋体"/>
          <w:szCs w:val="21"/>
        </w:rPr>
        <w:t>招标文件中详细载明下述评标方法之一作为本项目评标所采用的评标方法。评标方法见投标人须知前附表。</w:t>
      </w:r>
    </w:p>
    <w:p w14:paraId="105C419E">
      <w:pPr>
        <w:widowControl w:val="0"/>
        <w:numPr>
          <w:ilvl w:val="2"/>
          <w:numId w:val="83"/>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采用经评审的最低投标价法的，能够满足招标文件的实质性要求，并且经评审的最低投标价的投标，应当推荐为中标候选人，但是价格低于成本的除外。</w:t>
      </w:r>
    </w:p>
    <w:p w14:paraId="3E4E103B">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采用综合评估法的，最大限度地满足招标文件中规定的各项综合评价标准的投标，应当推荐为中标候选人，量化的标准和权重应当在招标文件中明确规定。</w:t>
      </w:r>
    </w:p>
    <w:p w14:paraId="53D18C5C">
      <w:pPr>
        <w:widowControl w:val="0"/>
        <w:numPr>
          <w:ilvl w:val="2"/>
          <w:numId w:val="77"/>
        </w:numPr>
        <w:tabs>
          <w:tab w:val="left" w:pos="588"/>
          <w:tab w:val="left" w:pos="630"/>
        </w:tabs>
        <w:snapToGrid w:val="0"/>
        <w:spacing w:before="120" w:after="120" w:line="440" w:lineRule="exact"/>
        <w:ind w:left="0" w:firstLine="424" w:firstLineChars="202"/>
        <w:jc w:val="left"/>
        <w:rPr>
          <w:rFonts w:ascii="宋体" w:hAnsi="宋体" w:eastAsia="宋体" w:cs="Times New Roman"/>
          <w:kern w:val="2"/>
          <w:sz w:val="24"/>
          <w:szCs w:val="24"/>
          <w:lang w:val="en-US" w:eastAsia="zh-CN" w:bidi="ar-SA"/>
        </w:rPr>
      </w:pPr>
      <w:r>
        <w:rPr>
          <w:rFonts w:ascii="宋体" w:hAnsi="宋体" w:eastAsia="宋体" w:cs="Times New Roman"/>
          <w:kern w:val="2"/>
          <w:sz w:val="21"/>
          <w:szCs w:val="20"/>
          <w:lang w:val="en-US" w:eastAsia="zh-CN" w:bidi="ar-SA"/>
        </w:rPr>
        <w:t>法律</w:t>
      </w:r>
      <w:r>
        <w:rPr>
          <w:rFonts w:hint="eastAsia" w:ascii="宋体" w:hAnsi="宋体" w:eastAsia="宋体" w:cs="Times New Roman"/>
          <w:kern w:val="2"/>
          <w:sz w:val="21"/>
          <w:szCs w:val="20"/>
          <w:lang w:val="en-US" w:eastAsia="zh-CN" w:bidi="ar-SA"/>
        </w:rPr>
        <w:t>、</w:t>
      </w:r>
      <w:r>
        <w:rPr>
          <w:rFonts w:ascii="宋体" w:hAnsi="宋体" w:eastAsia="宋体" w:cs="Times New Roman"/>
          <w:kern w:val="2"/>
          <w:sz w:val="21"/>
          <w:szCs w:val="20"/>
          <w:lang w:val="en-US" w:eastAsia="zh-CN" w:bidi="ar-SA"/>
        </w:rPr>
        <w:t>法规允许的其他评标方法</w:t>
      </w:r>
      <w:r>
        <w:rPr>
          <w:rFonts w:hint="eastAsia" w:ascii="宋体" w:hAnsi="宋体" w:eastAsia="宋体" w:cs="Times New Roman"/>
          <w:kern w:val="2"/>
          <w:sz w:val="21"/>
          <w:szCs w:val="20"/>
          <w:lang w:val="en-US" w:eastAsia="zh-CN" w:bidi="ar-SA"/>
        </w:rPr>
        <w:t>。</w:t>
      </w:r>
      <w:bookmarkStart w:id="402" w:name="_Toc447188702"/>
      <w:bookmarkStart w:id="403" w:name="_Toc447265254"/>
      <w:bookmarkStart w:id="404" w:name="_Toc447265540"/>
      <w:bookmarkStart w:id="405" w:name="_Toc296602455"/>
      <w:bookmarkStart w:id="406" w:name="_Toc152042342"/>
      <w:bookmarkStart w:id="407" w:name="_Toc247085724"/>
      <w:bookmarkStart w:id="408" w:name="_Toc144974534"/>
      <w:bookmarkStart w:id="409" w:name="_Toc246996953"/>
      <w:bookmarkStart w:id="410" w:name="_Toc246996210"/>
      <w:bookmarkStart w:id="411" w:name="_Toc179632584"/>
      <w:bookmarkStart w:id="412" w:name="_Toc152045566"/>
      <w:bookmarkStart w:id="413" w:name="_Toc488655860"/>
      <w:bookmarkStart w:id="414" w:name="_Toc227057915"/>
      <w:bookmarkStart w:id="415" w:name="_Toc107822516"/>
      <w:bookmarkStart w:id="416" w:name="_Toc226969309"/>
    </w:p>
    <w:p w14:paraId="290298F7">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417" w:name="_Toc22141"/>
      <w:bookmarkStart w:id="418" w:name="_Toc1953"/>
      <w:r>
        <w:rPr>
          <w:rFonts w:hint="eastAsia" w:ascii="宋体" w:hAnsi="宋体" w:eastAsia="宋体" w:cs="Times New Roman"/>
          <w:b/>
          <w:bCs/>
          <w:kern w:val="2"/>
          <w:sz w:val="24"/>
          <w:szCs w:val="24"/>
          <w:lang w:val="en-US" w:eastAsia="zh-CN" w:bidi="ar-SA"/>
        </w:rPr>
        <w:t>中标候选人推荐原则</w:t>
      </w:r>
      <w:bookmarkEnd w:id="417"/>
      <w:bookmarkEnd w:id="418"/>
    </w:p>
    <w:p w14:paraId="63B2F2A7">
      <w:pPr>
        <w:adjustRightInd w:val="0"/>
        <w:snapToGrid w:val="0"/>
        <w:spacing w:line="440" w:lineRule="exact"/>
        <w:ind w:firstLine="420" w:firstLineChars="200"/>
        <w:rPr>
          <w:rFonts w:ascii="宋体" w:hAnsi="宋体" w:eastAsia="宋体" w:cs="宋体"/>
          <w:szCs w:val="21"/>
        </w:rPr>
      </w:pPr>
      <w:r>
        <w:rPr>
          <w:rFonts w:ascii="宋体" w:hAnsi="宋体" w:eastAsia="宋体" w:cs="宋体"/>
          <w:szCs w:val="21"/>
        </w:rPr>
        <w:t>评标委员会应当根据</w:t>
      </w:r>
      <w:r>
        <w:rPr>
          <w:rFonts w:hint="eastAsia" w:ascii="宋体" w:hAnsi="宋体" w:eastAsia="宋体" w:cs="宋体"/>
          <w:szCs w:val="21"/>
        </w:rPr>
        <w:t>《招标投标法》、《实施条例》和《管理办法》的有关规定推荐中标候选人，具体推荐原则见投标人须知前附表。</w:t>
      </w:r>
    </w:p>
    <w:p w14:paraId="6313CFFA">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419" w:name="_Toc17639"/>
      <w:bookmarkStart w:id="420" w:name="_Toc16289"/>
      <w:r>
        <w:rPr>
          <w:rFonts w:hint="eastAsia" w:ascii="宋体" w:hAnsi="宋体" w:eastAsia="宋体" w:cs="Times New Roman"/>
          <w:b/>
          <w:bCs/>
          <w:kern w:val="2"/>
          <w:sz w:val="24"/>
          <w:szCs w:val="24"/>
          <w:lang w:val="en-US" w:eastAsia="zh-CN" w:bidi="ar-SA"/>
        </w:rPr>
        <w:t>评标报告</w:t>
      </w:r>
      <w:bookmarkEnd w:id="402"/>
      <w:bookmarkEnd w:id="403"/>
      <w:bookmarkEnd w:id="404"/>
      <w:bookmarkEnd w:id="419"/>
      <w:bookmarkEnd w:id="420"/>
    </w:p>
    <w:p w14:paraId="0A1E8576">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评标完成后，评标委员会应当根据《招标投标法》、《实施条例》和《管理办法》的有关规定及时向招标人提交评标报告和中标候选人名单。</w:t>
      </w:r>
    </w:p>
    <w:bookmarkEnd w:id="405"/>
    <w:bookmarkEnd w:id="406"/>
    <w:bookmarkEnd w:id="407"/>
    <w:bookmarkEnd w:id="408"/>
    <w:bookmarkEnd w:id="409"/>
    <w:bookmarkEnd w:id="410"/>
    <w:bookmarkEnd w:id="411"/>
    <w:bookmarkEnd w:id="412"/>
    <w:p w14:paraId="4FF2B8F6">
      <w:pPr>
        <w:widowControl w:val="0"/>
        <w:numPr>
          <w:ilvl w:val="0"/>
          <w:numId w:val="77"/>
        </w:numPr>
        <w:tabs>
          <w:tab w:val="left" w:pos="602"/>
        </w:tabs>
        <w:snapToGrid w:val="0"/>
        <w:spacing w:before="120" w:after="120" w:line="440" w:lineRule="exact"/>
        <w:ind w:left="425" w:hanging="425"/>
        <w:jc w:val="left"/>
        <w:outlineLvl w:val="1"/>
        <w:rPr>
          <w:rFonts w:ascii="宋体" w:hAnsi="宋体" w:eastAsia="宋体" w:cs="Times New Roman"/>
          <w:b/>
          <w:bCs/>
          <w:kern w:val="2"/>
          <w:sz w:val="28"/>
          <w:szCs w:val="28"/>
          <w:lang w:val="en-US" w:eastAsia="zh-CN" w:bidi="ar-SA"/>
        </w:rPr>
      </w:pPr>
      <w:bookmarkStart w:id="421" w:name="_Toc447265255"/>
      <w:bookmarkStart w:id="422" w:name="_Toc447265541"/>
      <w:bookmarkStart w:id="423" w:name="_Toc447188703"/>
      <w:bookmarkStart w:id="424" w:name="_Toc25676"/>
      <w:bookmarkStart w:id="425" w:name="_Toc13684"/>
      <w:r>
        <w:rPr>
          <w:rFonts w:hint="eastAsia" w:ascii="宋体" w:hAnsi="宋体" w:eastAsia="宋体" w:cs="Times New Roman"/>
          <w:b/>
          <w:bCs/>
          <w:kern w:val="2"/>
          <w:sz w:val="28"/>
          <w:szCs w:val="28"/>
          <w:lang w:val="en-US" w:eastAsia="zh-CN" w:bidi="ar-SA"/>
        </w:rPr>
        <w:t>中标</w:t>
      </w:r>
      <w:bookmarkEnd w:id="421"/>
      <w:bookmarkEnd w:id="422"/>
      <w:bookmarkEnd w:id="423"/>
      <w:bookmarkEnd w:id="424"/>
      <w:bookmarkEnd w:id="425"/>
    </w:p>
    <w:p w14:paraId="2DAE9EF1">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426" w:name="_Toc309"/>
      <w:bookmarkStart w:id="427" w:name="_Toc15391"/>
      <w:bookmarkStart w:id="428" w:name="_Toc447265542"/>
      <w:bookmarkStart w:id="429" w:name="_Toc447188704"/>
      <w:bookmarkStart w:id="430" w:name="_Toc447265256"/>
      <w:r>
        <w:rPr>
          <w:rFonts w:hint="eastAsia" w:ascii="宋体" w:hAnsi="宋体" w:eastAsia="宋体" w:cs="Times New Roman"/>
          <w:b/>
          <w:bCs/>
          <w:kern w:val="2"/>
          <w:sz w:val="24"/>
          <w:szCs w:val="24"/>
          <w:lang w:val="en-US" w:eastAsia="zh-CN" w:bidi="ar-SA"/>
        </w:rPr>
        <w:t>中标候选人公示</w:t>
      </w:r>
      <w:bookmarkEnd w:id="426"/>
      <w:bookmarkEnd w:id="427"/>
      <w:bookmarkEnd w:id="428"/>
      <w:bookmarkEnd w:id="429"/>
      <w:bookmarkEnd w:id="430"/>
    </w:p>
    <w:p w14:paraId="1F145AC5">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依法必须进行招标的通信工程建设项目，采用公开招标方式的，招标人在收到评标报告之日起3日内在“资格预审公告”或者“招标公告”发布媒介公示全部中标候选人，公示期不少于3日。</w:t>
      </w:r>
    </w:p>
    <w:p w14:paraId="6AEAFB86">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依法必须进行招标的通信工程建设项目，采用邀请招标方式的，招标人在收到评标报告之日起3日内在通信工程建设项目招标投标管理信息平台公示全部中标候选人，公示期不少于3日。其他公示媒介见投标人须知前附表。</w:t>
      </w:r>
    </w:p>
    <w:p w14:paraId="53C03A37">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投标人或者其他利害关系人对依法必须进行招标项目的评标结果有异议的，应当在中标候选人公示期间提出。</w:t>
      </w:r>
    </w:p>
    <w:bookmarkEnd w:id="413"/>
    <w:bookmarkEnd w:id="414"/>
    <w:bookmarkEnd w:id="415"/>
    <w:bookmarkEnd w:id="416"/>
    <w:p w14:paraId="1086379C">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431" w:name="_Toc447188705"/>
      <w:bookmarkStart w:id="432" w:name="_Toc447265543"/>
      <w:bookmarkStart w:id="433" w:name="_Toc16948"/>
      <w:bookmarkStart w:id="434" w:name="_Toc447265257"/>
      <w:bookmarkStart w:id="435" w:name="_Toc28882"/>
      <w:r>
        <w:rPr>
          <w:rFonts w:hint="eastAsia" w:ascii="宋体" w:hAnsi="宋体" w:eastAsia="宋体" w:cs="Times New Roman"/>
          <w:b/>
          <w:bCs/>
          <w:kern w:val="2"/>
          <w:sz w:val="24"/>
          <w:szCs w:val="24"/>
          <w:lang w:val="en-US" w:eastAsia="zh-CN" w:bidi="ar-SA"/>
        </w:rPr>
        <w:t>确定中标人</w:t>
      </w:r>
      <w:bookmarkEnd w:id="431"/>
      <w:bookmarkEnd w:id="432"/>
      <w:bookmarkEnd w:id="433"/>
      <w:bookmarkEnd w:id="434"/>
      <w:bookmarkEnd w:id="435"/>
    </w:p>
    <w:p w14:paraId="0810172B">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除投标人须知前附表规定评标委员会直接确定中标人外，招标人依据评标委员会推荐的中标候选人确定中标人，中标人数量见投标人须知前附表。</w:t>
      </w:r>
    </w:p>
    <w:p w14:paraId="6C5588A3">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招标人根据评标委员会推荐的中标候选人名单排序依次确定中标人，具体中标原则见投标人须知前附表。</w:t>
      </w:r>
    </w:p>
    <w:p w14:paraId="2867C203">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在签订合同之前，中标人放弃中标或者不能履行合同的，招标人可以按照评标委员会提出的中标候选人名单排序依次确定其他中标候选人为中标人，也可以对中标人的中标份额进行调整，具体调整规则见投标人须知前附表。</w:t>
      </w:r>
    </w:p>
    <w:p w14:paraId="2F8ABD0A">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436" w:name="_Toc447265544"/>
      <w:bookmarkStart w:id="437" w:name="_Toc447265258"/>
      <w:bookmarkStart w:id="438" w:name="_Toc246996212"/>
      <w:bookmarkStart w:id="439" w:name="_Toc246996955"/>
      <w:bookmarkStart w:id="440" w:name="_Toc17320"/>
      <w:bookmarkStart w:id="441" w:name="_Toc247085726"/>
      <w:bookmarkStart w:id="442" w:name="_Toc144974536"/>
      <w:bookmarkStart w:id="443" w:name="_Toc152042344"/>
      <w:bookmarkStart w:id="444" w:name="_Toc179632586"/>
      <w:bookmarkStart w:id="445" w:name="_Toc20130"/>
      <w:bookmarkStart w:id="446" w:name="_Toc152045568"/>
      <w:bookmarkStart w:id="447" w:name="_Toc296602458"/>
      <w:bookmarkStart w:id="448" w:name="OLE_LINK6"/>
      <w:bookmarkStart w:id="449" w:name="OLE_LINK7"/>
      <w:r>
        <w:rPr>
          <w:rFonts w:hint="eastAsia" w:ascii="宋体" w:hAnsi="宋体" w:eastAsia="宋体" w:cs="Times New Roman"/>
          <w:b/>
          <w:bCs/>
          <w:kern w:val="2"/>
          <w:sz w:val="24"/>
          <w:szCs w:val="24"/>
          <w:lang w:val="en-US" w:eastAsia="zh-CN" w:bidi="ar-SA"/>
        </w:rPr>
        <w:t>中标通知</w:t>
      </w:r>
      <w:bookmarkEnd w:id="436"/>
      <w:bookmarkEnd w:id="437"/>
      <w:bookmarkEnd w:id="438"/>
      <w:bookmarkEnd w:id="439"/>
      <w:bookmarkEnd w:id="440"/>
      <w:bookmarkEnd w:id="441"/>
      <w:bookmarkEnd w:id="442"/>
      <w:bookmarkEnd w:id="443"/>
      <w:bookmarkEnd w:id="444"/>
      <w:bookmarkEnd w:id="445"/>
      <w:bookmarkEnd w:id="446"/>
      <w:bookmarkEnd w:id="447"/>
    </w:p>
    <w:p w14:paraId="7882FB33">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在中标通知书发出前，中标候选人的经营、财务状况发生较大变化或者存在违法行为，可能影响其履约能力的，投标人应当主动告知招标人。</w:t>
      </w:r>
      <w:bookmarkEnd w:id="448"/>
      <w:bookmarkEnd w:id="449"/>
      <w:r>
        <w:rPr>
          <w:rFonts w:hint="eastAsia" w:ascii="宋体" w:hAnsi="宋体" w:eastAsia="宋体" w:cs="Times New Roman"/>
          <w:kern w:val="2"/>
          <w:sz w:val="21"/>
          <w:szCs w:val="20"/>
          <w:lang w:val="en-US" w:eastAsia="zh-CN" w:bidi="ar-SA"/>
        </w:rPr>
        <w:t>招标人认为可能影响其履约能力的，应当在发出中标通知书前由原评标委员会按照招标文件规定的标准和方法审查确认。</w:t>
      </w:r>
    </w:p>
    <w:p w14:paraId="53EBDA2C">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中标人确定后，招标人应当自行或者委托招标代理机构向中标人发出中标通知书，同时通知未中标人。</w:t>
      </w:r>
    </w:p>
    <w:p w14:paraId="1A1DB390">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中标通知书是招标投标档案和合同的组成部分。</w:t>
      </w:r>
    </w:p>
    <w:p w14:paraId="007E4C2C">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中标通知书对招标人和中标人具有法律约束力。中标通知书发出后，招标人改变中标结果或者中标人放弃中标的，应当承担法律责任。</w:t>
      </w:r>
    </w:p>
    <w:p w14:paraId="083CD196">
      <w:pPr>
        <w:widowControl w:val="0"/>
        <w:numPr>
          <w:ilvl w:val="0"/>
          <w:numId w:val="77"/>
        </w:numPr>
        <w:tabs>
          <w:tab w:val="left" w:pos="602"/>
        </w:tabs>
        <w:snapToGrid w:val="0"/>
        <w:spacing w:before="120" w:after="120" w:line="440" w:lineRule="exact"/>
        <w:ind w:left="425" w:hanging="425"/>
        <w:jc w:val="left"/>
        <w:outlineLvl w:val="1"/>
        <w:rPr>
          <w:rFonts w:ascii="宋体" w:hAnsi="宋体" w:eastAsia="宋体" w:cs="Times New Roman"/>
          <w:b/>
          <w:bCs/>
          <w:kern w:val="2"/>
          <w:sz w:val="28"/>
          <w:szCs w:val="28"/>
          <w:lang w:val="en-US" w:eastAsia="zh-CN" w:bidi="ar-SA"/>
        </w:rPr>
      </w:pPr>
      <w:bookmarkStart w:id="450" w:name="_Toc18052"/>
      <w:bookmarkStart w:id="451" w:name="_Toc18437"/>
      <w:bookmarkStart w:id="452" w:name="_Toc447265259"/>
      <w:bookmarkStart w:id="453" w:name="_Toc447265545"/>
      <w:bookmarkStart w:id="454" w:name="_Toc246996213"/>
      <w:bookmarkStart w:id="455" w:name="_Toc246996956"/>
      <w:bookmarkStart w:id="456" w:name="_Toc179632587"/>
      <w:bookmarkStart w:id="457" w:name="_Toc152042345"/>
      <w:bookmarkStart w:id="458" w:name="_Toc247085727"/>
      <w:bookmarkStart w:id="459" w:name="_Toc296602459"/>
      <w:bookmarkStart w:id="460" w:name="_Toc152045569"/>
      <w:bookmarkStart w:id="461" w:name="_Toc144974537"/>
      <w:bookmarkStart w:id="462" w:name="_Toc227057916"/>
      <w:bookmarkStart w:id="463" w:name="_Toc107822517"/>
      <w:bookmarkStart w:id="464" w:name="_Toc226969310"/>
      <w:r>
        <w:rPr>
          <w:rFonts w:hint="eastAsia" w:ascii="宋体" w:hAnsi="宋体" w:eastAsia="宋体" w:cs="Times New Roman"/>
          <w:b/>
          <w:bCs/>
          <w:kern w:val="2"/>
          <w:sz w:val="28"/>
          <w:szCs w:val="28"/>
          <w:lang w:val="en-US" w:eastAsia="zh-CN" w:bidi="ar-SA"/>
        </w:rPr>
        <w:t>合同签订</w:t>
      </w:r>
      <w:bookmarkEnd w:id="450"/>
      <w:bookmarkEnd w:id="451"/>
      <w:bookmarkEnd w:id="452"/>
      <w:bookmarkEnd w:id="453"/>
    </w:p>
    <w:p w14:paraId="2041114E">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465" w:name="_Toc447265260"/>
      <w:bookmarkStart w:id="466" w:name="_Toc9485"/>
      <w:bookmarkStart w:id="467" w:name="_Toc447265546"/>
      <w:bookmarkStart w:id="468" w:name="_Toc5441"/>
      <w:r>
        <w:rPr>
          <w:rFonts w:hint="eastAsia" w:ascii="宋体" w:hAnsi="宋体" w:eastAsia="宋体" w:cs="Times New Roman"/>
          <w:b/>
          <w:bCs/>
          <w:kern w:val="2"/>
          <w:sz w:val="24"/>
          <w:szCs w:val="24"/>
          <w:lang w:val="en-US" w:eastAsia="zh-CN" w:bidi="ar-SA"/>
        </w:rPr>
        <w:t>履约</w:t>
      </w:r>
      <w:bookmarkEnd w:id="454"/>
      <w:bookmarkEnd w:id="455"/>
      <w:bookmarkEnd w:id="456"/>
      <w:bookmarkEnd w:id="457"/>
      <w:bookmarkEnd w:id="458"/>
      <w:bookmarkEnd w:id="459"/>
      <w:bookmarkEnd w:id="460"/>
      <w:bookmarkEnd w:id="461"/>
      <w:r>
        <w:rPr>
          <w:rFonts w:hint="eastAsia" w:ascii="宋体" w:hAnsi="宋体" w:eastAsia="宋体" w:cs="Times New Roman"/>
          <w:b/>
          <w:bCs/>
          <w:kern w:val="2"/>
          <w:sz w:val="24"/>
          <w:szCs w:val="24"/>
          <w:lang w:val="en-US" w:eastAsia="zh-CN" w:bidi="ar-SA"/>
        </w:rPr>
        <w:t>保证金</w:t>
      </w:r>
      <w:bookmarkEnd w:id="465"/>
      <w:bookmarkEnd w:id="466"/>
      <w:bookmarkEnd w:id="467"/>
      <w:bookmarkEnd w:id="468"/>
    </w:p>
    <w:p w14:paraId="7B41A9F2">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在签订合同前，中标人应当按照投标人须知前附表中规定的履约保证金的金额和形式向招标人递交履约保证金。</w:t>
      </w:r>
    </w:p>
    <w:p w14:paraId="2121B1D9">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中标人不能按照招标文件要求递交履约担保的，视为放弃中标，其投标保证金不予退还，给招标人造成的损失超过投标保证金数额的，中标人还应当对超过部分予以赔偿。</w:t>
      </w:r>
    </w:p>
    <w:p w14:paraId="24B0968B">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469" w:name="_Toc447265547"/>
      <w:bookmarkStart w:id="470" w:name="_Toc27592"/>
      <w:bookmarkStart w:id="471" w:name="_Toc447265261"/>
      <w:bookmarkStart w:id="472" w:name="_Toc7643"/>
      <w:r>
        <w:rPr>
          <w:rFonts w:hint="eastAsia" w:ascii="宋体" w:hAnsi="宋体" w:eastAsia="宋体" w:cs="Times New Roman"/>
          <w:b/>
          <w:bCs/>
          <w:kern w:val="2"/>
          <w:sz w:val="24"/>
          <w:szCs w:val="24"/>
          <w:lang w:val="en-US" w:eastAsia="zh-CN" w:bidi="ar-SA"/>
        </w:rPr>
        <w:t>合同签订</w:t>
      </w:r>
      <w:bookmarkEnd w:id="469"/>
      <w:bookmarkEnd w:id="470"/>
      <w:bookmarkEnd w:id="471"/>
      <w:bookmarkEnd w:id="472"/>
    </w:p>
    <w:bookmarkEnd w:id="462"/>
    <w:bookmarkEnd w:id="463"/>
    <w:bookmarkEnd w:id="464"/>
    <w:p w14:paraId="258C1BA1">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招标人和中标人应当自中标通知书发出之日起30日内，根据招标文件和中标人的投标文件订立书面合同。招标人和中标人不得订立背离合同实质性内容的其他协议。</w:t>
      </w:r>
    </w:p>
    <w:p w14:paraId="0B0CADC2">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中标人无正当理由拒签合同的，招标人取消其中标资格，其投标保证金不予退还；给招标人造成的损失超过投标保证金数额的，中标人还应当对超过部分予以赔偿。</w:t>
      </w:r>
    </w:p>
    <w:p w14:paraId="00729CC9">
      <w:pPr>
        <w:widowControl w:val="0"/>
        <w:numPr>
          <w:ilvl w:val="0"/>
          <w:numId w:val="77"/>
        </w:numPr>
        <w:tabs>
          <w:tab w:val="left" w:pos="602"/>
        </w:tabs>
        <w:snapToGrid w:val="0"/>
        <w:spacing w:before="120" w:after="120" w:line="440" w:lineRule="exact"/>
        <w:ind w:left="425" w:hanging="425"/>
        <w:jc w:val="left"/>
        <w:outlineLvl w:val="1"/>
        <w:rPr>
          <w:rFonts w:ascii="宋体" w:hAnsi="宋体" w:eastAsia="宋体" w:cs="Times New Roman"/>
          <w:b/>
          <w:bCs/>
          <w:kern w:val="2"/>
          <w:sz w:val="28"/>
          <w:szCs w:val="28"/>
          <w:lang w:val="en-US" w:eastAsia="zh-CN" w:bidi="ar-SA"/>
        </w:rPr>
      </w:pPr>
      <w:bookmarkStart w:id="473" w:name="_Toc227057918"/>
      <w:bookmarkStart w:id="474" w:name="_Toc226969312"/>
      <w:bookmarkStart w:id="475" w:name="_Toc488655867"/>
      <w:bookmarkStart w:id="476" w:name="_Toc447188707"/>
      <w:bookmarkStart w:id="477" w:name="_Toc447265549"/>
      <w:bookmarkStart w:id="478" w:name="_Toc358"/>
      <w:bookmarkStart w:id="479" w:name="_Toc447265263"/>
      <w:bookmarkStart w:id="480" w:name="_Toc107822519"/>
      <w:bookmarkStart w:id="481" w:name="_Toc1522"/>
      <w:r>
        <w:rPr>
          <w:rFonts w:hint="eastAsia" w:ascii="宋体" w:hAnsi="宋体" w:eastAsia="宋体" w:cs="Times New Roman"/>
          <w:b/>
          <w:bCs/>
          <w:kern w:val="2"/>
          <w:sz w:val="28"/>
          <w:szCs w:val="28"/>
          <w:lang w:val="en-US" w:eastAsia="zh-CN" w:bidi="ar-SA"/>
        </w:rPr>
        <w:t>招标代理服务费</w:t>
      </w:r>
      <w:bookmarkEnd w:id="473"/>
      <w:bookmarkEnd w:id="474"/>
      <w:bookmarkEnd w:id="475"/>
      <w:bookmarkEnd w:id="476"/>
      <w:bookmarkEnd w:id="477"/>
      <w:bookmarkEnd w:id="478"/>
      <w:bookmarkEnd w:id="479"/>
      <w:bookmarkEnd w:id="480"/>
      <w:bookmarkEnd w:id="481"/>
    </w:p>
    <w:p w14:paraId="47F56C10">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中标人应当按照招标文件规定交纳招标代理服务费，招标人和招标代理机构另有约定的从其约定。招标代理服务费的金额、交纳方式和时限见投标人须知前附表。</w:t>
      </w:r>
    </w:p>
    <w:p w14:paraId="2D3F7FA0">
      <w:pPr>
        <w:widowControl w:val="0"/>
        <w:numPr>
          <w:ilvl w:val="0"/>
          <w:numId w:val="77"/>
        </w:numPr>
        <w:tabs>
          <w:tab w:val="left" w:pos="602"/>
        </w:tabs>
        <w:snapToGrid w:val="0"/>
        <w:spacing w:before="120" w:after="120" w:line="440" w:lineRule="exact"/>
        <w:ind w:left="425" w:hanging="425"/>
        <w:jc w:val="left"/>
        <w:outlineLvl w:val="1"/>
        <w:rPr>
          <w:rFonts w:ascii="宋体" w:hAnsi="宋体" w:eastAsia="宋体" w:cs="Times New Roman"/>
          <w:b/>
          <w:bCs/>
          <w:kern w:val="2"/>
          <w:sz w:val="28"/>
          <w:szCs w:val="28"/>
          <w:lang w:val="en-US" w:eastAsia="zh-CN" w:bidi="ar-SA"/>
        </w:rPr>
      </w:pPr>
      <w:bookmarkStart w:id="482" w:name="_Toc2901"/>
      <w:bookmarkStart w:id="483" w:name="_Toc447188708"/>
      <w:bookmarkStart w:id="484" w:name="_Toc447265550"/>
      <w:bookmarkStart w:id="485" w:name="_Toc296602461"/>
      <w:bookmarkStart w:id="486" w:name="_Toc447265264"/>
      <w:bookmarkStart w:id="487" w:name="_Toc5354"/>
      <w:r>
        <w:rPr>
          <w:rFonts w:hint="eastAsia" w:ascii="宋体" w:hAnsi="宋体" w:eastAsia="宋体" w:cs="Times New Roman"/>
          <w:b/>
          <w:bCs/>
          <w:kern w:val="2"/>
          <w:sz w:val="28"/>
          <w:szCs w:val="28"/>
          <w:lang w:val="en-US" w:eastAsia="zh-CN" w:bidi="ar-SA"/>
        </w:rPr>
        <w:t>纪律和监督</w:t>
      </w:r>
      <w:bookmarkEnd w:id="482"/>
      <w:bookmarkEnd w:id="483"/>
      <w:bookmarkEnd w:id="484"/>
      <w:bookmarkEnd w:id="485"/>
      <w:bookmarkEnd w:id="486"/>
      <w:bookmarkEnd w:id="487"/>
    </w:p>
    <w:p w14:paraId="780FEBF2">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488" w:name="_Toc246996962"/>
      <w:bookmarkStart w:id="489" w:name="_Toc296602462"/>
      <w:bookmarkStart w:id="490" w:name="_Toc447265551"/>
      <w:bookmarkStart w:id="491" w:name="_Toc296590983"/>
      <w:bookmarkStart w:id="492" w:name="_Toc247085733"/>
      <w:bookmarkStart w:id="493" w:name="_Toc152042351"/>
      <w:bookmarkStart w:id="494" w:name="_Toc179632593"/>
      <w:bookmarkStart w:id="495" w:name="_Toc152045575"/>
      <w:bookmarkStart w:id="496" w:name="_Toc447265265"/>
      <w:bookmarkStart w:id="497" w:name="_Toc144974543"/>
      <w:bookmarkStart w:id="498" w:name="_Toc27535"/>
      <w:bookmarkStart w:id="499" w:name="_Toc13442"/>
      <w:bookmarkStart w:id="500" w:name="_Toc246996219"/>
      <w:r>
        <w:rPr>
          <w:rFonts w:hint="eastAsia" w:ascii="宋体" w:hAnsi="宋体" w:eastAsia="宋体" w:cs="Times New Roman"/>
          <w:b/>
          <w:bCs/>
          <w:kern w:val="2"/>
          <w:sz w:val="24"/>
          <w:szCs w:val="24"/>
          <w:lang w:val="en-US" w:eastAsia="zh-CN" w:bidi="ar-SA"/>
        </w:rPr>
        <w:t>对招标人的纪律要求</w:t>
      </w:r>
      <w:bookmarkEnd w:id="488"/>
      <w:bookmarkEnd w:id="489"/>
      <w:bookmarkEnd w:id="490"/>
      <w:bookmarkEnd w:id="491"/>
      <w:bookmarkEnd w:id="492"/>
      <w:bookmarkEnd w:id="493"/>
      <w:bookmarkEnd w:id="494"/>
      <w:bookmarkEnd w:id="495"/>
      <w:bookmarkEnd w:id="496"/>
      <w:bookmarkEnd w:id="497"/>
      <w:bookmarkEnd w:id="498"/>
      <w:bookmarkEnd w:id="499"/>
      <w:bookmarkEnd w:id="500"/>
    </w:p>
    <w:p w14:paraId="15DBA66B">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招标人不得泄露招标投标活动中应当保密的情况和资料，不得与投标人串通损害国家利益、社会公共利益或者他人合法权益。</w:t>
      </w:r>
    </w:p>
    <w:p w14:paraId="268C01F5">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501" w:name="_Toc18727"/>
      <w:bookmarkStart w:id="502" w:name="_Toc30201"/>
      <w:bookmarkStart w:id="503" w:name="_Toc447265552"/>
      <w:bookmarkStart w:id="504" w:name="_Toc152042352"/>
      <w:bookmarkStart w:id="505" w:name="_Toc247085734"/>
      <w:bookmarkStart w:id="506" w:name="_Toc246996963"/>
      <w:bookmarkStart w:id="507" w:name="_Toc144974544"/>
      <w:bookmarkStart w:id="508" w:name="_Toc296602463"/>
      <w:bookmarkStart w:id="509" w:name="_Toc246996220"/>
      <w:bookmarkStart w:id="510" w:name="_Toc447265266"/>
      <w:bookmarkStart w:id="511" w:name="_Toc179632594"/>
      <w:bookmarkStart w:id="512" w:name="_Toc152045576"/>
      <w:r>
        <w:rPr>
          <w:rFonts w:hint="eastAsia" w:ascii="宋体" w:hAnsi="宋体" w:eastAsia="宋体" w:cs="Times New Roman"/>
          <w:b/>
          <w:bCs/>
          <w:kern w:val="2"/>
          <w:sz w:val="24"/>
          <w:szCs w:val="24"/>
          <w:lang w:val="en-US" w:eastAsia="zh-CN" w:bidi="ar-SA"/>
        </w:rPr>
        <w:t>对投标人的纪律要求</w:t>
      </w:r>
      <w:bookmarkEnd w:id="501"/>
      <w:bookmarkEnd w:id="502"/>
      <w:bookmarkEnd w:id="503"/>
      <w:bookmarkEnd w:id="504"/>
      <w:bookmarkEnd w:id="505"/>
      <w:bookmarkEnd w:id="506"/>
      <w:bookmarkEnd w:id="507"/>
      <w:bookmarkEnd w:id="508"/>
      <w:bookmarkEnd w:id="509"/>
      <w:bookmarkEnd w:id="510"/>
      <w:bookmarkEnd w:id="511"/>
      <w:bookmarkEnd w:id="512"/>
    </w:p>
    <w:p w14:paraId="6433D87D">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4050E00">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513" w:name="_Toc1230"/>
      <w:bookmarkStart w:id="514" w:name="_Toc1845"/>
      <w:bookmarkStart w:id="515" w:name="_Toc296602464"/>
      <w:bookmarkStart w:id="516" w:name="_Toc246996964"/>
      <w:bookmarkStart w:id="517" w:name="_Toc179632595"/>
      <w:bookmarkStart w:id="518" w:name="_Toc152045577"/>
      <w:bookmarkStart w:id="519" w:name="_Toc152042353"/>
      <w:bookmarkStart w:id="520" w:name="_Toc447265553"/>
      <w:bookmarkStart w:id="521" w:name="_Toc447265267"/>
      <w:bookmarkStart w:id="522" w:name="_Toc246996221"/>
      <w:bookmarkStart w:id="523" w:name="_Toc144974545"/>
      <w:bookmarkStart w:id="524" w:name="_Toc247085735"/>
      <w:r>
        <w:rPr>
          <w:rFonts w:hint="eastAsia" w:ascii="宋体" w:hAnsi="宋体" w:eastAsia="宋体" w:cs="Times New Roman"/>
          <w:b/>
          <w:bCs/>
          <w:kern w:val="2"/>
          <w:sz w:val="24"/>
          <w:szCs w:val="24"/>
          <w:lang w:val="en-US" w:eastAsia="zh-CN" w:bidi="ar-SA"/>
        </w:rPr>
        <w:t>对评标委员会成员的纪律要求</w:t>
      </w:r>
      <w:bookmarkEnd w:id="513"/>
      <w:bookmarkEnd w:id="514"/>
      <w:bookmarkEnd w:id="515"/>
      <w:bookmarkEnd w:id="516"/>
      <w:bookmarkEnd w:id="517"/>
      <w:bookmarkEnd w:id="518"/>
      <w:bookmarkEnd w:id="519"/>
      <w:bookmarkEnd w:id="520"/>
      <w:bookmarkEnd w:id="521"/>
      <w:bookmarkEnd w:id="522"/>
      <w:bookmarkEnd w:id="523"/>
      <w:bookmarkEnd w:id="524"/>
    </w:p>
    <w:p w14:paraId="40F6E0A1">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A145707">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525" w:name="_Toc447265268"/>
      <w:bookmarkStart w:id="526" w:name="_Toc246996222"/>
      <w:bookmarkStart w:id="527" w:name="_Toc152045578"/>
      <w:bookmarkStart w:id="528" w:name="_Toc179632596"/>
      <w:bookmarkStart w:id="529" w:name="_Toc296602465"/>
      <w:bookmarkStart w:id="530" w:name="_Toc18"/>
      <w:bookmarkStart w:id="531" w:name="_Toc247085736"/>
      <w:bookmarkStart w:id="532" w:name="_Toc5685"/>
      <w:bookmarkStart w:id="533" w:name="_Toc246996965"/>
      <w:bookmarkStart w:id="534" w:name="_Toc152042354"/>
      <w:bookmarkStart w:id="535" w:name="_Toc447265554"/>
      <w:bookmarkStart w:id="536" w:name="_Toc144974546"/>
      <w:r>
        <w:rPr>
          <w:rFonts w:hint="eastAsia" w:ascii="宋体" w:hAnsi="宋体" w:eastAsia="宋体" w:cs="Times New Roman"/>
          <w:b/>
          <w:bCs/>
          <w:kern w:val="2"/>
          <w:sz w:val="24"/>
          <w:szCs w:val="24"/>
          <w:lang w:val="en-US" w:eastAsia="zh-CN" w:bidi="ar-SA"/>
        </w:rPr>
        <w:t>对与评标活动有关的工作人员的纪律要求</w:t>
      </w:r>
      <w:bookmarkEnd w:id="525"/>
      <w:bookmarkEnd w:id="526"/>
      <w:bookmarkEnd w:id="527"/>
      <w:bookmarkEnd w:id="528"/>
      <w:bookmarkEnd w:id="529"/>
      <w:bookmarkEnd w:id="530"/>
      <w:bookmarkEnd w:id="531"/>
      <w:bookmarkEnd w:id="532"/>
      <w:bookmarkEnd w:id="533"/>
      <w:bookmarkEnd w:id="534"/>
      <w:bookmarkEnd w:id="535"/>
    </w:p>
    <w:p w14:paraId="595B9FE0">
      <w:pPr>
        <w:adjustRightInd w:val="0"/>
        <w:snapToGrid w:val="0"/>
        <w:spacing w:line="440" w:lineRule="exact"/>
        <w:ind w:firstLine="420" w:firstLineChars="200"/>
        <w:rPr>
          <w:rFonts w:ascii="宋体" w:hAnsi="宋体" w:eastAsia="宋体" w:cs="宋体"/>
          <w:szCs w:val="21"/>
        </w:rPr>
      </w:pPr>
      <w:bookmarkStart w:id="537" w:name="_Toc152042355"/>
      <w:r>
        <w:rPr>
          <w:rFonts w:hint="eastAsia" w:ascii="宋体" w:hAnsi="宋体" w:eastAsia="宋体" w:cs="宋体"/>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bookmarkEnd w:id="537"/>
    </w:p>
    <w:p w14:paraId="2B1149A4">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538" w:name="_Toc179632597"/>
      <w:bookmarkStart w:id="539" w:name="_Toc246996223"/>
      <w:bookmarkStart w:id="540" w:name="_Toc447265269"/>
      <w:bookmarkStart w:id="541" w:name="_Toc247085737"/>
      <w:bookmarkStart w:id="542" w:name="_Toc152042356"/>
      <w:bookmarkStart w:id="543" w:name="_Toc246996966"/>
      <w:bookmarkStart w:id="544" w:name="_Toc447265555"/>
      <w:bookmarkStart w:id="545" w:name="_Toc29355"/>
      <w:bookmarkStart w:id="546" w:name="_Toc296602466"/>
      <w:bookmarkStart w:id="547" w:name="_Toc152045579"/>
      <w:r>
        <w:rPr>
          <w:rFonts w:hint="eastAsia" w:ascii="宋体" w:hAnsi="宋体" w:eastAsia="宋体" w:cs="Times New Roman"/>
          <w:b/>
          <w:bCs/>
          <w:kern w:val="2"/>
          <w:sz w:val="24"/>
          <w:szCs w:val="24"/>
          <w:lang w:val="en-US" w:eastAsia="zh-CN" w:bidi="ar-SA"/>
        </w:rPr>
        <w:t>投诉</w:t>
      </w:r>
      <w:bookmarkEnd w:id="536"/>
      <w:bookmarkEnd w:id="538"/>
      <w:bookmarkEnd w:id="539"/>
      <w:bookmarkEnd w:id="540"/>
      <w:bookmarkEnd w:id="541"/>
      <w:bookmarkEnd w:id="542"/>
      <w:bookmarkEnd w:id="543"/>
      <w:bookmarkEnd w:id="544"/>
      <w:bookmarkEnd w:id="545"/>
      <w:bookmarkEnd w:id="546"/>
      <w:bookmarkEnd w:id="547"/>
    </w:p>
    <w:p w14:paraId="5142D651">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投标人或者其他利害关系人认为招标投标活动不符合法律、法规规定的，可以自知道或者应当知道之日起10日内向有关行政监督部门投诉。投诉应当有明确的请求和必要的证明材料。</w:t>
      </w:r>
    </w:p>
    <w:p w14:paraId="0C24D50B">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就招标文件内容、开标、中标候选人公示投诉的，应当先向招标人提出异议，异议答复期间不计算在前款规定的期限内。</w:t>
      </w:r>
    </w:p>
    <w:p w14:paraId="7C0DC4E2">
      <w:pPr>
        <w:widowControl w:val="0"/>
        <w:numPr>
          <w:ilvl w:val="0"/>
          <w:numId w:val="77"/>
        </w:numPr>
        <w:tabs>
          <w:tab w:val="left" w:pos="602"/>
        </w:tabs>
        <w:snapToGrid w:val="0"/>
        <w:spacing w:before="120" w:after="120" w:line="440" w:lineRule="exact"/>
        <w:ind w:left="425" w:hanging="425"/>
        <w:jc w:val="left"/>
        <w:outlineLvl w:val="1"/>
        <w:rPr>
          <w:rFonts w:ascii="宋体" w:hAnsi="宋体" w:eastAsia="宋体" w:cs="Times New Roman"/>
          <w:b/>
          <w:bCs/>
          <w:kern w:val="2"/>
          <w:sz w:val="28"/>
          <w:szCs w:val="28"/>
          <w:lang w:val="en-US" w:eastAsia="zh-CN" w:bidi="ar-SA"/>
        </w:rPr>
      </w:pPr>
      <w:bookmarkStart w:id="548" w:name="_Toc6813"/>
      <w:bookmarkStart w:id="549" w:name="_Toc152042357"/>
      <w:bookmarkStart w:id="550" w:name="_Toc152045580"/>
      <w:bookmarkStart w:id="551" w:name="_Toc246996224"/>
      <w:bookmarkStart w:id="552" w:name="_Toc247085738"/>
      <w:bookmarkStart w:id="553" w:name="_Toc16920"/>
      <w:bookmarkStart w:id="554" w:name="_Toc447188709"/>
      <w:bookmarkStart w:id="555" w:name="_Toc447265270"/>
      <w:bookmarkStart w:id="556" w:name="_Toc447265556"/>
      <w:bookmarkStart w:id="557" w:name="_Toc179632598"/>
      <w:bookmarkStart w:id="558" w:name="_Toc296602467"/>
      <w:bookmarkStart w:id="559" w:name="_Toc144974547"/>
      <w:bookmarkStart w:id="560" w:name="_Toc246996967"/>
      <w:r>
        <w:rPr>
          <w:rFonts w:hint="eastAsia" w:ascii="宋体" w:hAnsi="宋体" w:eastAsia="宋体" w:cs="Times New Roman"/>
          <w:b/>
          <w:bCs/>
          <w:kern w:val="2"/>
          <w:sz w:val="28"/>
          <w:szCs w:val="28"/>
          <w:lang w:val="en-US" w:eastAsia="zh-CN" w:bidi="ar-SA"/>
        </w:rPr>
        <w:t>需要补充的其他内容</w:t>
      </w:r>
      <w:bookmarkEnd w:id="548"/>
      <w:bookmarkEnd w:id="549"/>
      <w:bookmarkEnd w:id="550"/>
      <w:bookmarkEnd w:id="551"/>
      <w:bookmarkEnd w:id="552"/>
      <w:bookmarkEnd w:id="553"/>
      <w:bookmarkEnd w:id="554"/>
      <w:bookmarkEnd w:id="555"/>
      <w:bookmarkEnd w:id="556"/>
      <w:bookmarkEnd w:id="557"/>
      <w:bookmarkEnd w:id="558"/>
      <w:bookmarkEnd w:id="559"/>
      <w:bookmarkEnd w:id="560"/>
    </w:p>
    <w:p w14:paraId="374713A7">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需要补充的其他内容：见投标人须知前附表。</w:t>
      </w:r>
    </w:p>
    <w:p w14:paraId="2C7A82D3">
      <w:pPr>
        <w:widowControl/>
        <w:jc w:val="left"/>
        <w:rPr>
          <w:rFonts w:cs="宋体" w:asciiTheme="minorEastAsia" w:hAnsiTheme="minorEastAsia" w:eastAsiaTheme="minorEastAsia"/>
          <w:bCs/>
          <w:kern w:val="44"/>
          <w:sz w:val="32"/>
          <w:szCs w:val="32"/>
          <w:highlight w:val="none"/>
        </w:rPr>
      </w:pPr>
      <w:r>
        <w:rPr>
          <w:rFonts w:cs="宋体" w:asciiTheme="minorEastAsia" w:hAnsiTheme="minorEastAsia" w:eastAsiaTheme="minorEastAsia"/>
          <w:sz w:val="32"/>
          <w:szCs w:val="32"/>
          <w:highlight w:val="none"/>
        </w:rPr>
        <w:br w:type="page"/>
      </w:r>
    </w:p>
    <w:p w14:paraId="24F83B18">
      <w:pPr>
        <w:pStyle w:val="100"/>
        <w:spacing w:before="240" w:after="120"/>
        <w:rPr>
          <w:rFonts w:hint="default" w:cs="宋体" w:asciiTheme="minorEastAsia" w:hAnsiTheme="minorEastAsia" w:eastAsiaTheme="minorEastAsia"/>
          <w:b/>
          <w:bCs w:val="0"/>
          <w:kern w:val="0"/>
          <w:sz w:val="28"/>
          <w:szCs w:val="28"/>
          <w:highlight w:val="none"/>
          <w:lang w:val="en-US" w:eastAsia="zh-CN"/>
        </w:rPr>
      </w:pPr>
      <w:bookmarkStart w:id="561" w:name="_Toc15524"/>
      <w:bookmarkStart w:id="562" w:name="_Toc18385"/>
      <w:bookmarkStart w:id="563" w:name="_Toc447265559"/>
      <w:bookmarkStart w:id="564" w:name="_Toc447265273"/>
      <w:bookmarkStart w:id="565" w:name="_Toc32535"/>
      <w:bookmarkStart w:id="566" w:name="_Toc5357"/>
      <w:bookmarkStart w:id="567" w:name="_Toc4314"/>
      <w:bookmarkStart w:id="568" w:name="_Toc38008018"/>
      <w:bookmarkStart w:id="569" w:name="_Toc20605"/>
      <w:bookmarkStart w:id="570" w:name="_Toc9735"/>
      <w:bookmarkStart w:id="571" w:name="_Toc21094"/>
      <w:bookmarkStart w:id="572" w:name="_Toc25893"/>
      <w:bookmarkStart w:id="573" w:name="_Toc23745"/>
      <w:bookmarkStart w:id="574" w:name="_Toc20468"/>
      <w:r>
        <w:rPr>
          <w:rFonts w:hint="eastAsia" w:cs="宋体" w:asciiTheme="minorEastAsia" w:hAnsiTheme="minorEastAsia" w:eastAsiaTheme="minorEastAsia"/>
          <w:b/>
          <w:bCs w:val="0"/>
          <w:kern w:val="0"/>
          <w:sz w:val="28"/>
          <w:szCs w:val="28"/>
          <w:highlight w:val="none"/>
        </w:rPr>
        <w:t>第三章 评标办法（综合评估法）</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70F69C6A">
      <w:pPr>
        <w:pStyle w:val="4"/>
        <w:snapToGrid w:val="0"/>
        <w:spacing w:before="240" w:after="120" w:line="240" w:lineRule="auto"/>
        <w:jc w:val="center"/>
        <w:rPr>
          <w:rFonts w:cs="宋体" w:asciiTheme="minorEastAsia" w:hAnsiTheme="minorEastAsia" w:eastAsiaTheme="minorEastAsia"/>
          <w:b w:val="0"/>
          <w:bCs w:val="0"/>
          <w:sz w:val="24"/>
          <w:szCs w:val="24"/>
          <w:highlight w:val="none"/>
        </w:rPr>
      </w:pPr>
      <w:bookmarkStart w:id="575" w:name="_Toc24891"/>
      <w:bookmarkStart w:id="576" w:name="_Toc21403"/>
      <w:bookmarkStart w:id="577" w:name="_Toc26641"/>
      <w:bookmarkStart w:id="578" w:name="_Toc12301"/>
      <w:bookmarkStart w:id="579" w:name="_Toc450489344"/>
      <w:bookmarkStart w:id="580" w:name="_Toc447265274"/>
      <w:bookmarkStart w:id="581" w:name="_Toc12588"/>
      <w:bookmarkStart w:id="582" w:name="_Toc15987"/>
      <w:bookmarkStart w:id="583" w:name="_Toc38008019"/>
      <w:bookmarkStart w:id="584" w:name="_Toc20004"/>
      <w:bookmarkStart w:id="585" w:name="_Toc31958"/>
      <w:bookmarkStart w:id="586" w:name="_Toc4846"/>
      <w:bookmarkStart w:id="587" w:name="_Toc447265560"/>
      <w:bookmarkStart w:id="588" w:name="_Toc7769"/>
      <w:bookmarkStart w:id="589" w:name="_Toc29202"/>
      <w:bookmarkStart w:id="590" w:name="_Toc107822520"/>
      <w:bookmarkStart w:id="591" w:name="_Toc227057922"/>
      <w:bookmarkStart w:id="592" w:name="_Toc226969316"/>
      <w:bookmarkStart w:id="593" w:name="_Toc447265562"/>
      <w:bookmarkStart w:id="594" w:name="_Toc447265276"/>
      <w:r>
        <w:rPr>
          <w:rFonts w:hint="eastAsia" w:cs="宋体" w:asciiTheme="minorEastAsia" w:hAnsiTheme="minorEastAsia" w:eastAsiaTheme="minorEastAsia"/>
          <w:b w:val="0"/>
          <w:bCs w:val="0"/>
          <w:sz w:val="24"/>
          <w:szCs w:val="24"/>
          <w:highlight w:val="none"/>
        </w:rPr>
        <w:t>评标办法前附表</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67512042">
      <w:pPr>
        <w:adjustRightInd w:val="0"/>
        <w:snapToGrid w:val="0"/>
        <w:spacing w:line="440" w:lineRule="exact"/>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本项目采用综合评估法，总分共100分，其中商务</w:t>
      </w:r>
      <w:r>
        <w:rPr>
          <w:rFonts w:hint="eastAsia" w:cs="宋体" w:asciiTheme="minorEastAsia" w:hAnsiTheme="minorEastAsia" w:eastAsiaTheme="minorEastAsia"/>
          <w:szCs w:val="21"/>
          <w:highlight w:val="none"/>
          <w:lang w:val="en-US" w:eastAsia="zh-CN"/>
        </w:rPr>
        <w:t>5</w:t>
      </w:r>
      <w:r>
        <w:rPr>
          <w:rFonts w:hint="eastAsia" w:cs="宋体" w:asciiTheme="minorEastAsia" w:hAnsiTheme="minorEastAsia" w:eastAsiaTheme="minorEastAsia"/>
          <w:szCs w:val="21"/>
          <w:highlight w:val="none"/>
        </w:rPr>
        <w:t>分，服务</w:t>
      </w:r>
      <w:r>
        <w:rPr>
          <w:rFonts w:hint="eastAsia" w:cs="宋体" w:asciiTheme="minorEastAsia" w:hAnsiTheme="minorEastAsia" w:eastAsiaTheme="minorEastAsia"/>
          <w:szCs w:val="21"/>
          <w:highlight w:val="none"/>
          <w:lang w:val="en-US" w:eastAsia="zh-CN"/>
        </w:rPr>
        <w:t>5</w:t>
      </w:r>
      <w:r>
        <w:rPr>
          <w:rFonts w:hint="eastAsia" w:cs="宋体" w:asciiTheme="minorEastAsia" w:hAnsiTheme="minorEastAsia" w:eastAsiaTheme="minorEastAsia"/>
          <w:szCs w:val="21"/>
          <w:highlight w:val="none"/>
        </w:rPr>
        <w:t>分，技术</w:t>
      </w:r>
      <w:r>
        <w:rPr>
          <w:rFonts w:hint="eastAsia" w:cs="宋体" w:asciiTheme="minorEastAsia" w:hAnsiTheme="minorEastAsia" w:eastAsiaTheme="minorEastAsia"/>
          <w:szCs w:val="21"/>
          <w:highlight w:val="none"/>
          <w:lang w:val="en-US" w:eastAsia="zh-CN"/>
        </w:rPr>
        <w:t>50</w:t>
      </w:r>
      <w:r>
        <w:rPr>
          <w:rFonts w:hint="eastAsia" w:cs="宋体" w:asciiTheme="minorEastAsia" w:hAnsiTheme="minorEastAsia" w:eastAsiaTheme="minorEastAsia"/>
          <w:szCs w:val="21"/>
          <w:highlight w:val="none"/>
        </w:rPr>
        <w:t>分，价格</w:t>
      </w:r>
      <w:r>
        <w:rPr>
          <w:rFonts w:hint="eastAsia" w:cs="宋体" w:asciiTheme="minorEastAsia" w:hAnsiTheme="minorEastAsia" w:eastAsiaTheme="minorEastAsia"/>
          <w:szCs w:val="21"/>
          <w:highlight w:val="none"/>
          <w:lang w:val="en-US" w:eastAsia="zh-CN"/>
        </w:rPr>
        <w:t>40</w:t>
      </w:r>
      <w:r>
        <w:rPr>
          <w:rFonts w:hint="eastAsia" w:cs="宋体" w:asciiTheme="minorEastAsia" w:hAnsiTheme="minorEastAsia" w:eastAsiaTheme="minorEastAsia"/>
          <w:szCs w:val="21"/>
          <w:highlight w:val="none"/>
        </w:rPr>
        <w:t>分。评标时，评标委员会按照招标文件规定的量化因素和权重比值打分，</w:t>
      </w:r>
      <w:r>
        <w:rPr>
          <w:rFonts w:hint="eastAsia" w:cs="宋体" w:asciiTheme="minorEastAsia" w:hAnsiTheme="minorEastAsia" w:eastAsiaTheme="minorEastAsia"/>
          <w:kern w:val="0"/>
          <w:szCs w:val="21"/>
        </w:rPr>
        <w:t>按照</w:t>
      </w:r>
      <w:r>
        <w:rPr>
          <w:rFonts w:hint="eastAsia" w:cs="宋体" w:asciiTheme="minorEastAsia" w:hAnsiTheme="minorEastAsia" w:eastAsiaTheme="minorEastAsia"/>
          <w:color w:val="000000" w:themeColor="text1"/>
          <w:szCs w:val="21"/>
          <w14:textFill>
            <w14:solidFill>
              <w14:schemeClr w14:val="tx1"/>
            </w14:solidFill>
          </w14:textFill>
        </w:rPr>
        <w:t>中国电信供应商不良行为处理结果及《中国电信供应商不良行为管理规则》的结果执行规则[如涉及联合采购，请同时明确其他联合采购方的不良行为处理结果及相关规则]</w:t>
      </w:r>
      <w:r>
        <w:rPr>
          <w:rFonts w:hint="eastAsia" w:cs="宋体" w:asciiTheme="minorEastAsia" w:hAnsiTheme="minorEastAsia" w:eastAsiaTheme="minorEastAsia"/>
          <w:kern w:val="0"/>
          <w:szCs w:val="21"/>
        </w:rPr>
        <w:t>，应对投标人的本次投标执行限制采购处理措施的</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评标委员会应按照该管理处理结果及规则扣减相应分值</w:t>
      </w:r>
      <w:r>
        <w:rPr>
          <w:rFonts w:hint="eastAsia" w:cs="宋体" w:asciiTheme="minorEastAsia" w:hAnsiTheme="minorEastAsia" w:eastAsiaTheme="minorEastAsia"/>
          <w:kern w:val="0"/>
          <w:szCs w:val="21"/>
          <w:highlight w:val="none"/>
        </w:rPr>
        <w:t>。</w:t>
      </w:r>
      <w:r>
        <w:rPr>
          <w:rFonts w:hint="eastAsia" w:cs="宋体" w:asciiTheme="minorEastAsia" w:hAnsiTheme="minorEastAsia" w:eastAsiaTheme="minorEastAsia"/>
          <w:szCs w:val="21"/>
          <w:highlight w:val="none"/>
        </w:rPr>
        <w:t>评标委员会全体成员对该投标人打分的算术平均值为该投标人的最终得分。</w:t>
      </w:r>
    </w:p>
    <w:tbl>
      <w:tblPr>
        <w:tblStyle w:val="85"/>
        <w:tblW w:w="91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6"/>
        <w:gridCol w:w="1120"/>
        <w:gridCol w:w="1735"/>
        <w:gridCol w:w="784"/>
        <w:gridCol w:w="3346"/>
      </w:tblGrid>
      <w:tr w14:paraId="2661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2127" w:type="dxa"/>
            <w:gridSpan w:val="2"/>
            <w:vAlign w:val="center"/>
          </w:tcPr>
          <w:p w14:paraId="34AE74CD">
            <w:pPr>
              <w:snapToGrid w:val="0"/>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szCs w:val="21"/>
                <w:highlight w:val="none"/>
              </w:rPr>
              <w:t>条款号</w:t>
            </w:r>
          </w:p>
        </w:tc>
        <w:tc>
          <w:tcPr>
            <w:tcW w:w="1120" w:type="dxa"/>
            <w:vAlign w:val="center"/>
          </w:tcPr>
          <w:p w14:paraId="0564645C">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评审内容</w:t>
            </w:r>
          </w:p>
        </w:tc>
        <w:tc>
          <w:tcPr>
            <w:tcW w:w="1735" w:type="dxa"/>
            <w:vAlign w:val="center"/>
          </w:tcPr>
          <w:p w14:paraId="1A56B3DE">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评审因素</w:t>
            </w:r>
          </w:p>
        </w:tc>
        <w:tc>
          <w:tcPr>
            <w:tcW w:w="4130" w:type="dxa"/>
            <w:gridSpan w:val="2"/>
            <w:vAlign w:val="center"/>
          </w:tcPr>
          <w:p w14:paraId="1FCA96BC">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评审标准</w:t>
            </w:r>
          </w:p>
        </w:tc>
      </w:tr>
      <w:tr w14:paraId="4B248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restart"/>
            <w:vAlign w:val="center"/>
          </w:tcPr>
          <w:p w14:paraId="0B4F293F">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2.1</w:t>
            </w:r>
          </w:p>
        </w:tc>
        <w:tc>
          <w:tcPr>
            <w:tcW w:w="1276" w:type="dxa"/>
            <w:vMerge w:val="restart"/>
            <w:vAlign w:val="center"/>
          </w:tcPr>
          <w:p w14:paraId="7B80AAD9">
            <w:pPr>
              <w:snapToGrid w:val="0"/>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初步评审标准</w:t>
            </w:r>
          </w:p>
        </w:tc>
        <w:tc>
          <w:tcPr>
            <w:tcW w:w="1120" w:type="dxa"/>
            <w:vMerge w:val="restart"/>
            <w:vAlign w:val="center"/>
          </w:tcPr>
          <w:p w14:paraId="31D62D40">
            <w:pPr>
              <w:snapToGrid w:val="0"/>
              <w:jc w:val="left"/>
              <w:rPr>
                <w:rFonts w:cs="宋体"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形式评审</w:t>
            </w:r>
          </w:p>
        </w:tc>
        <w:tc>
          <w:tcPr>
            <w:tcW w:w="1735" w:type="dxa"/>
            <w:vAlign w:val="center"/>
          </w:tcPr>
          <w:p w14:paraId="17CEF851">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投标人名称</w:t>
            </w:r>
          </w:p>
        </w:tc>
        <w:tc>
          <w:tcPr>
            <w:tcW w:w="4130" w:type="dxa"/>
            <w:gridSpan w:val="2"/>
            <w:vAlign w:val="center"/>
          </w:tcPr>
          <w:p w14:paraId="3E49746E">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与营业执照一致</w:t>
            </w:r>
          </w:p>
        </w:tc>
      </w:tr>
      <w:tr w14:paraId="55AC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Merge w:val="continue"/>
            <w:vAlign w:val="center"/>
          </w:tcPr>
          <w:p w14:paraId="554741CD">
            <w:pPr>
              <w:snapToGrid w:val="0"/>
              <w:jc w:val="center"/>
              <w:rPr>
                <w:rFonts w:cs="宋体" w:asciiTheme="minorEastAsia" w:hAnsiTheme="minorEastAsia" w:eastAsiaTheme="minorEastAsia"/>
                <w:szCs w:val="21"/>
                <w:highlight w:val="none"/>
              </w:rPr>
            </w:pPr>
          </w:p>
        </w:tc>
        <w:tc>
          <w:tcPr>
            <w:tcW w:w="1276" w:type="dxa"/>
            <w:vMerge w:val="continue"/>
          </w:tcPr>
          <w:p w14:paraId="54158292">
            <w:pPr>
              <w:snapToGrid w:val="0"/>
              <w:jc w:val="center"/>
              <w:rPr>
                <w:rFonts w:cs="宋体" w:asciiTheme="minorEastAsia" w:hAnsiTheme="minorEastAsia" w:eastAsiaTheme="minorEastAsia"/>
                <w:szCs w:val="21"/>
                <w:highlight w:val="none"/>
              </w:rPr>
            </w:pPr>
          </w:p>
        </w:tc>
        <w:tc>
          <w:tcPr>
            <w:tcW w:w="1120" w:type="dxa"/>
            <w:vMerge w:val="continue"/>
            <w:vAlign w:val="center"/>
          </w:tcPr>
          <w:p w14:paraId="5D53A1F9">
            <w:pPr>
              <w:snapToGrid w:val="0"/>
              <w:jc w:val="left"/>
              <w:rPr>
                <w:rFonts w:cs="宋体" w:asciiTheme="minorEastAsia" w:hAnsiTheme="minorEastAsia" w:eastAsiaTheme="minorEastAsia"/>
                <w:szCs w:val="21"/>
                <w:highlight w:val="none"/>
              </w:rPr>
            </w:pPr>
          </w:p>
        </w:tc>
        <w:tc>
          <w:tcPr>
            <w:tcW w:w="1735" w:type="dxa"/>
            <w:vAlign w:val="center"/>
          </w:tcPr>
          <w:p w14:paraId="088D54BD">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投标函</w:t>
            </w:r>
          </w:p>
        </w:tc>
        <w:tc>
          <w:tcPr>
            <w:tcW w:w="4130" w:type="dxa"/>
            <w:gridSpan w:val="2"/>
            <w:vAlign w:val="center"/>
          </w:tcPr>
          <w:p w14:paraId="3BF1E40A">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符合第二章“投标人须知”和第六章“投标文件格式”规定</w:t>
            </w:r>
          </w:p>
        </w:tc>
      </w:tr>
      <w:tr w14:paraId="6833B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44924B67">
            <w:pPr>
              <w:snapToGrid w:val="0"/>
              <w:jc w:val="center"/>
              <w:rPr>
                <w:rFonts w:cs="宋体" w:asciiTheme="minorEastAsia" w:hAnsiTheme="minorEastAsia" w:eastAsiaTheme="minorEastAsia"/>
                <w:szCs w:val="21"/>
                <w:highlight w:val="none"/>
              </w:rPr>
            </w:pPr>
          </w:p>
        </w:tc>
        <w:tc>
          <w:tcPr>
            <w:tcW w:w="1276" w:type="dxa"/>
            <w:vMerge w:val="continue"/>
          </w:tcPr>
          <w:p w14:paraId="333CD0EF">
            <w:pPr>
              <w:snapToGrid w:val="0"/>
              <w:jc w:val="center"/>
              <w:rPr>
                <w:rFonts w:cs="宋体" w:asciiTheme="minorEastAsia" w:hAnsiTheme="minorEastAsia" w:eastAsiaTheme="minorEastAsia"/>
                <w:szCs w:val="21"/>
                <w:highlight w:val="none"/>
              </w:rPr>
            </w:pPr>
          </w:p>
        </w:tc>
        <w:tc>
          <w:tcPr>
            <w:tcW w:w="1120" w:type="dxa"/>
            <w:vMerge w:val="continue"/>
            <w:vAlign w:val="center"/>
          </w:tcPr>
          <w:p w14:paraId="3ED5DFE5">
            <w:pPr>
              <w:snapToGrid w:val="0"/>
              <w:jc w:val="left"/>
              <w:rPr>
                <w:rFonts w:cs="宋体" w:asciiTheme="minorEastAsia" w:hAnsiTheme="minorEastAsia" w:eastAsiaTheme="minorEastAsia"/>
                <w:szCs w:val="21"/>
                <w:highlight w:val="none"/>
              </w:rPr>
            </w:pPr>
          </w:p>
        </w:tc>
        <w:tc>
          <w:tcPr>
            <w:tcW w:w="1735" w:type="dxa"/>
            <w:vAlign w:val="center"/>
          </w:tcPr>
          <w:p w14:paraId="07DD57FF">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营业执照和资质证书</w:t>
            </w:r>
          </w:p>
        </w:tc>
        <w:tc>
          <w:tcPr>
            <w:tcW w:w="4130" w:type="dxa"/>
            <w:gridSpan w:val="2"/>
            <w:vAlign w:val="center"/>
          </w:tcPr>
          <w:p w14:paraId="7F303624">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提供最新有效证明文件</w:t>
            </w:r>
          </w:p>
        </w:tc>
      </w:tr>
      <w:tr w14:paraId="6E0B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51" w:type="dxa"/>
            <w:vMerge w:val="continue"/>
            <w:vAlign w:val="center"/>
          </w:tcPr>
          <w:p w14:paraId="73E86F56">
            <w:pPr>
              <w:snapToGrid w:val="0"/>
              <w:ind w:firstLine="420" w:firstLineChars="200"/>
              <w:jc w:val="center"/>
              <w:rPr>
                <w:rFonts w:cs="宋体" w:asciiTheme="minorEastAsia" w:hAnsiTheme="minorEastAsia" w:eastAsiaTheme="minorEastAsia"/>
                <w:szCs w:val="21"/>
                <w:highlight w:val="none"/>
              </w:rPr>
            </w:pPr>
          </w:p>
        </w:tc>
        <w:tc>
          <w:tcPr>
            <w:tcW w:w="1276" w:type="dxa"/>
            <w:vMerge w:val="continue"/>
          </w:tcPr>
          <w:p w14:paraId="64CE3D7D">
            <w:pPr>
              <w:snapToGrid w:val="0"/>
              <w:jc w:val="center"/>
              <w:rPr>
                <w:rFonts w:cs="宋体" w:asciiTheme="minorEastAsia" w:hAnsiTheme="minorEastAsia" w:eastAsiaTheme="minorEastAsia"/>
                <w:szCs w:val="21"/>
                <w:highlight w:val="none"/>
              </w:rPr>
            </w:pPr>
          </w:p>
        </w:tc>
        <w:tc>
          <w:tcPr>
            <w:tcW w:w="1120" w:type="dxa"/>
            <w:vMerge w:val="continue"/>
            <w:vAlign w:val="center"/>
          </w:tcPr>
          <w:p w14:paraId="652A4A52">
            <w:pPr>
              <w:snapToGrid w:val="0"/>
              <w:jc w:val="left"/>
              <w:rPr>
                <w:rFonts w:cs="宋体" w:asciiTheme="minorEastAsia" w:hAnsiTheme="minorEastAsia" w:eastAsiaTheme="minorEastAsia"/>
                <w:szCs w:val="21"/>
                <w:highlight w:val="none"/>
              </w:rPr>
            </w:pPr>
          </w:p>
        </w:tc>
        <w:tc>
          <w:tcPr>
            <w:tcW w:w="1735" w:type="dxa"/>
            <w:vAlign w:val="center"/>
          </w:tcPr>
          <w:p w14:paraId="1842CEFC">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投标文件签字盖章</w:t>
            </w:r>
          </w:p>
        </w:tc>
        <w:tc>
          <w:tcPr>
            <w:tcW w:w="4130" w:type="dxa"/>
            <w:gridSpan w:val="2"/>
            <w:vAlign w:val="center"/>
          </w:tcPr>
          <w:p w14:paraId="371E1C0D">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符合第二章“投标须知前附表”第</w:t>
            </w:r>
            <w:r>
              <w:rPr>
                <w:rFonts w:cs="宋体" w:asciiTheme="minorEastAsia" w:hAnsiTheme="minorEastAsia" w:eastAsiaTheme="minorEastAsia"/>
                <w:kern w:val="0"/>
                <w:szCs w:val="21"/>
                <w:highlight w:val="none"/>
              </w:rPr>
              <w:t>3.2.5项的要求</w:t>
            </w:r>
          </w:p>
        </w:tc>
      </w:tr>
      <w:tr w14:paraId="2D3B4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628BECBE">
            <w:pPr>
              <w:snapToGrid w:val="0"/>
              <w:ind w:firstLine="420" w:firstLineChars="200"/>
              <w:jc w:val="center"/>
              <w:rPr>
                <w:rFonts w:cs="宋体" w:asciiTheme="minorEastAsia" w:hAnsiTheme="minorEastAsia" w:eastAsiaTheme="minorEastAsia"/>
                <w:szCs w:val="21"/>
                <w:highlight w:val="none"/>
              </w:rPr>
            </w:pPr>
          </w:p>
        </w:tc>
        <w:tc>
          <w:tcPr>
            <w:tcW w:w="1276" w:type="dxa"/>
            <w:vMerge w:val="continue"/>
          </w:tcPr>
          <w:p w14:paraId="393562DB">
            <w:pPr>
              <w:snapToGrid w:val="0"/>
              <w:jc w:val="center"/>
              <w:rPr>
                <w:rFonts w:cs="宋体" w:asciiTheme="minorEastAsia" w:hAnsiTheme="minorEastAsia" w:eastAsiaTheme="minorEastAsia"/>
                <w:szCs w:val="21"/>
                <w:highlight w:val="none"/>
              </w:rPr>
            </w:pPr>
          </w:p>
        </w:tc>
        <w:tc>
          <w:tcPr>
            <w:tcW w:w="1120" w:type="dxa"/>
            <w:vMerge w:val="continue"/>
            <w:vAlign w:val="center"/>
          </w:tcPr>
          <w:p w14:paraId="2A3ABA58">
            <w:pPr>
              <w:snapToGrid w:val="0"/>
              <w:jc w:val="left"/>
              <w:rPr>
                <w:rFonts w:cs="宋体" w:asciiTheme="minorEastAsia" w:hAnsiTheme="minorEastAsia" w:eastAsiaTheme="minorEastAsia"/>
                <w:szCs w:val="21"/>
                <w:highlight w:val="none"/>
              </w:rPr>
            </w:pPr>
          </w:p>
        </w:tc>
        <w:tc>
          <w:tcPr>
            <w:tcW w:w="1735" w:type="dxa"/>
            <w:vAlign w:val="center"/>
          </w:tcPr>
          <w:p w14:paraId="77D21AE8">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法定代表人/负责人授权书</w:t>
            </w:r>
          </w:p>
        </w:tc>
        <w:tc>
          <w:tcPr>
            <w:tcW w:w="4130" w:type="dxa"/>
            <w:gridSpan w:val="2"/>
            <w:vAlign w:val="center"/>
          </w:tcPr>
          <w:p w14:paraId="2BEB681A">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符合第二章“投标人须知前附表”规定和第六章“投标文件格式”规定</w:t>
            </w:r>
          </w:p>
        </w:tc>
      </w:tr>
      <w:tr w14:paraId="71AB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2579C824">
            <w:pPr>
              <w:snapToGrid w:val="0"/>
              <w:ind w:firstLine="420" w:firstLineChars="200"/>
              <w:jc w:val="center"/>
              <w:rPr>
                <w:rFonts w:cs="宋体" w:asciiTheme="minorEastAsia" w:hAnsiTheme="minorEastAsia" w:eastAsiaTheme="minorEastAsia"/>
                <w:szCs w:val="21"/>
                <w:highlight w:val="none"/>
              </w:rPr>
            </w:pPr>
          </w:p>
        </w:tc>
        <w:tc>
          <w:tcPr>
            <w:tcW w:w="1276" w:type="dxa"/>
            <w:vMerge w:val="continue"/>
          </w:tcPr>
          <w:p w14:paraId="33C6BC5B">
            <w:pPr>
              <w:snapToGrid w:val="0"/>
              <w:jc w:val="center"/>
              <w:rPr>
                <w:rFonts w:cs="宋体" w:asciiTheme="minorEastAsia" w:hAnsiTheme="minorEastAsia" w:eastAsiaTheme="minorEastAsia"/>
                <w:szCs w:val="21"/>
                <w:highlight w:val="none"/>
              </w:rPr>
            </w:pPr>
          </w:p>
        </w:tc>
        <w:tc>
          <w:tcPr>
            <w:tcW w:w="1120" w:type="dxa"/>
            <w:vMerge w:val="continue"/>
            <w:vAlign w:val="center"/>
          </w:tcPr>
          <w:p w14:paraId="773BA51E">
            <w:pPr>
              <w:snapToGrid w:val="0"/>
              <w:jc w:val="left"/>
              <w:rPr>
                <w:rFonts w:cs="宋体" w:asciiTheme="minorEastAsia" w:hAnsiTheme="minorEastAsia" w:eastAsiaTheme="minorEastAsia"/>
                <w:szCs w:val="21"/>
                <w:highlight w:val="none"/>
              </w:rPr>
            </w:pPr>
          </w:p>
        </w:tc>
        <w:tc>
          <w:tcPr>
            <w:tcW w:w="1735" w:type="dxa"/>
            <w:vAlign w:val="center"/>
          </w:tcPr>
          <w:p w14:paraId="6A6F567C">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投标文件格式</w:t>
            </w:r>
          </w:p>
        </w:tc>
        <w:tc>
          <w:tcPr>
            <w:tcW w:w="4130" w:type="dxa"/>
            <w:gridSpan w:val="2"/>
            <w:vAlign w:val="center"/>
          </w:tcPr>
          <w:p w14:paraId="7939BA0B">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符合第二章“投标人须知前附表”规定和第六章“投标文件格式”规定</w:t>
            </w:r>
          </w:p>
        </w:tc>
      </w:tr>
      <w:tr w14:paraId="50130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79FF33B8">
            <w:pPr>
              <w:snapToGrid w:val="0"/>
              <w:ind w:firstLine="420" w:firstLineChars="200"/>
              <w:jc w:val="center"/>
              <w:rPr>
                <w:rFonts w:cs="宋体" w:asciiTheme="minorEastAsia" w:hAnsiTheme="minorEastAsia" w:eastAsiaTheme="minorEastAsia"/>
                <w:szCs w:val="21"/>
                <w:highlight w:val="none"/>
              </w:rPr>
            </w:pPr>
          </w:p>
        </w:tc>
        <w:tc>
          <w:tcPr>
            <w:tcW w:w="1276" w:type="dxa"/>
            <w:vMerge w:val="continue"/>
          </w:tcPr>
          <w:p w14:paraId="1F764621">
            <w:pPr>
              <w:snapToGrid w:val="0"/>
              <w:jc w:val="center"/>
              <w:rPr>
                <w:rFonts w:cs="宋体" w:asciiTheme="minorEastAsia" w:hAnsiTheme="minorEastAsia" w:eastAsiaTheme="minorEastAsia"/>
                <w:szCs w:val="21"/>
                <w:highlight w:val="none"/>
              </w:rPr>
            </w:pPr>
          </w:p>
        </w:tc>
        <w:tc>
          <w:tcPr>
            <w:tcW w:w="1120" w:type="dxa"/>
            <w:vMerge w:val="continue"/>
            <w:vAlign w:val="center"/>
          </w:tcPr>
          <w:p w14:paraId="62820C49">
            <w:pPr>
              <w:snapToGrid w:val="0"/>
              <w:jc w:val="left"/>
              <w:rPr>
                <w:rFonts w:cs="宋体" w:asciiTheme="minorEastAsia" w:hAnsiTheme="minorEastAsia" w:eastAsiaTheme="minorEastAsia"/>
                <w:szCs w:val="21"/>
                <w:highlight w:val="none"/>
              </w:rPr>
            </w:pPr>
          </w:p>
        </w:tc>
        <w:tc>
          <w:tcPr>
            <w:tcW w:w="1735" w:type="dxa"/>
            <w:vAlign w:val="center"/>
          </w:tcPr>
          <w:p w14:paraId="583DCB7C">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投标保证金</w:t>
            </w:r>
          </w:p>
        </w:tc>
        <w:tc>
          <w:tcPr>
            <w:tcW w:w="4130" w:type="dxa"/>
            <w:gridSpan w:val="2"/>
            <w:vAlign w:val="center"/>
          </w:tcPr>
          <w:p w14:paraId="75839DDC">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符合第二章“投标人须知前附表”关于投标保证金的规定</w:t>
            </w:r>
          </w:p>
        </w:tc>
      </w:tr>
      <w:tr w14:paraId="2857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59ABB696">
            <w:pPr>
              <w:snapToGrid w:val="0"/>
              <w:ind w:firstLine="420" w:firstLineChars="200"/>
              <w:jc w:val="center"/>
              <w:rPr>
                <w:rFonts w:cs="宋体" w:asciiTheme="minorEastAsia" w:hAnsiTheme="minorEastAsia" w:eastAsiaTheme="minorEastAsia"/>
                <w:szCs w:val="21"/>
                <w:highlight w:val="none"/>
              </w:rPr>
            </w:pPr>
          </w:p>
        </w:tc>
        <w:tc>
          <w:tcPr>
            <w:tcW w:w="1276" w:type="dxa"/>
            <w:vMerge w:val="continue"/>
          </w:tcPr>
          <w:p w14:paraId="06A95ADB">
            <w:pPr>
              <w:snapToGrid w:val="0"/>
              <w:jc w:val="center"/>
              <w:rPr>
                <w:rFonts w:cs="宋体" w:asciiTheme="minorEastAsia" w:hAnsiTheme="minorEastAsia" w:eastAsiaTheme="minorEastAsia"/>
                <w:szCs w:val="21"/>
                <w:highlight w:val="none"/>
              </w:rPr>
            </w:pPr>
          </w:p>
        </w:tc>
        <w:tc>
          <w:tcPr>
            <w:tcW w:w="1120" w:type="dxa"/>
            <w:vMerge w:val="restart"/>
            <w:vAlign w:val="center"/>
          </w:tcPr>
          <w:p w14:paraId="504A5A6A">
            <w:pPr>
              <w:snapToGrid w:val="0"/>
              <w:jc w:val="left"/>
              <w:rPr>
                <w:rFonts w:cs="宋体"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资格评审</w:t>
            </w:r>
          </w:p>
        </w:tc>
        <w:tc>
          <w:tcPr>
            <w:tcW w:w="1735" w:type="dxa"/>
            <w:vAlign w:val="center"/>
          </w:tcPr>
          <w:p w14:paraId="188FB3C1">
            <w:pPr>
              <w:snapToGrid w:val="0"/>
              <w:jc w:val="left"/>
              <w:rPr>
                <w:rFonts w:cs="宋体"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资格条件</w:t>
            </w:r>
          </w:p>
        </w:tc>
        <w:tc>
          <w:tcPr>
            <w:tcW w:w="4130" w:type="dxa"/>
            <w:gridSpan w:val="2"/>
            <w:vAlign w:val="center"/>
          </w:tcPr>
          <w:p w14:paraId="19453219">
            <w:pPr>
              <w:snapToGrid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（1）投标人应为中华人民共和国境内法律上和财务上独立的法人或依法登记注册的其他组织，合法运作并独立于招标人和招标代理机构。</w:t>
            </w:r>
          </w:p>
          <w:p w14:paraId="774B6136">
            <w:pPr>
              <w:snapToGrid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（2）单位负责人为同一人或者存在控股、管理关系的不同单位，不得参加同一标包投标或者未划分标包的同一招标项目投标。</w:t>
            </w:r>
          </w:p>
          <w:p w14:paraId="7D9DA5FE">
            <w:pPr>
              <w:snapToGrid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（3）须承诺为本项目开具增值税专用发票。（提供承诺）</w:t>
            </w:r>
          </w:p>
          <w:p w14:paraId="4A2F6180">
            <w:pPr>
              <w:snapToGrid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（4）本项目不接受联合体投标。</w:t>
            </w:r>
          </w:p>
          <w:p w14:paraId="0C47289B">
            <w:pPr>
              <w:snapToGrid w:val="0"/>
              <w:jc w:val="lef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（5）本项目接受代理商投标。代理商投标的须提供制造商针对本项目采购的数据库出具</w:t>
            </w:r>
            <w:r>
              <w:rPr>
                <w:rFonts w:hint="eastAsia" w:cs="宋体" w:asciiTheme="minorEastAsia" w:hAnsiTheme="minorEastAsia" w:eastAsiaTheme="minorEastAsia"/>
                <w:szCs w:val="21"/>
                <w:highlight w:val="none"/>
                <w:lang w:val="en-US" w:eastAsia="zh-CN"/>
              </w:rPr>
              <w:t>的</w:t>
            </w:r>
            <w:r>
              <w:rPr>
                <w:rFonts w:hint="eastAsia" w:cs="宋体" w:asciiTheme="minorEastAsia" w:hAnsiTheme="minorEastAsia" w:eastAsiaTheme="minorEastAsia"/>
                <w:szCs w:val="21"/>
                <w:highlight w:val="none"/>
              </w:rPr>
              <w:t>授权函，制造商与其代理商不得同时参与本项目的投标 。</w:t>
            </w:r>
          </w:p>
        </w:tc>
      </w:tr>
      <w:tr w14:paraId="6F9E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06AF5C3D">
            <w:pPr>
              <w:snapToGrid w:val="0"/>
              <w:ind w:firstLine="420" w:firstLineChars="200"/>
              <w:jc w:val="center"/>
              <w:rPr>
                <w:rFonts w:cs="宋体" w:asciiTheme="minorEastAsia" w:hAnsiTheme="minorEastAsia" w:eastAsiaTheme="minorEastAsia"/>
                <w:szCs w:val="21"/>
                <w:highlight w:val="none"/>
              </w:rPr>
            </w:pPr>
          </w:p>
        </w:tc>
        <w:tc>
          <w:tcPr>
            <w:tcW w:w="1276" w:type="dxa"/>
            <w:vMerge w:val="continue"/>
          </w:tcPr>
          <w:p w14:paraId="53676F31">
            <w:pPr>
              <w:snapToGrid w:val="0"/>
              <w:jc w:val="center"/>
              <w:rPr>
                <w:rFonts w:cs="宋体" w:asciiTheme="minorEastAsia" w:hAnsiTheme="minorEastAsia" w:eastAsiaTheme="minorEastAsia"/>
                <w:szCs w:val="21"/>
                <w:highlight w:val="none"/>
              </w:rPr>
            </w:pPr>
          </w:p>
        </w:tc>
        <w:tc>
          <w:tcPr>
            <w:tcW w:w="1120" w:type="dxa"/>
            <w:vMerge w:val="continue"/>
            <w:vAlign w:val="center"/>
          </w:tcPr>
          <w:p w14:paraId="20E8C34E">
            <w:pPr>
              <w:snapToGrid w:val="0"/>
              <w:jc w:val="left"/>
              <w:rPr>
                <w:rFonts w:cs="宋体" w:asciiTheme="minorEastAsia" w:hAnsiTheme="minorEastAsia" w:eastAsiaTheme="minorEastAsia"/>
                <w:kern w:val="0"/>
                <w:szCs w:val="21"/>
                <w:highlight w:val="none"/>
              </w:rPr>
            </w:pPr>
          </w:p>
        </w:tc>
        <w:tc>
          <w:tcPr>
            <w:tcW w:w="1735" w:type="dxa"/>
            <w:vAlign w:val="center"/>
          </w:tcPr>
          <w:p w14:paraId="69E049F6">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不得存在的情形</w:t>
            </w:r>
          </w:p>
        </w:tc>
        <w:tc>
          <w:tcPr>
            <w:tcW w:w="4130" w:type="dxa"/>
            <w:gridSpan w:val="2"/>
            <w:vAlign w:val="center"/>
          </w:tcPr>
          <w:p w14:paraId="3762B45E">
            <w:pPr>
              <w:snapToGrid w:val="0"/>
              <w:jc w:val="left"/>
              <w:rPr>
                <w:rFonts w:cs="宋体" w:asciiTheme="minorEastAsia" w:hAnsiTheme="minorEastAsia" w:eastAsiaTheme="minorEastAsia"/>
                <w:kern w:val="0"/>
                <w:szCs w:val="21"/>
                <w:highlight w:val="none"/>
              </w:rPr>
            </w:pPr>
            <w:r>
              <w:rPr>
                <w:rFonts w:hint="eastAsia" w:ascii="宋体" w:hAnsi="宋体"/>
                <w:color w:val="000000" w:themeColor="text1"/>
                <w:szCs w:val="21"/>
                <w:highlight w:val="none"/>
                <w14:textFill>
                  <w14:solidFill>
                    <w14:schemeClr w14:val="tx1"/>
                  </w14:solidFill>
                </w14:textFill>
              </w:rPr>
              <w:t>详见第二章投标人须知1.8条款规定，投标人应提供不得存在的情形承诺函。</w:t>
            </w:r>
          </w:p>
        </w:tc>
      </w:tr>
      <w:tr w14:paraId="6802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3C0D1787">
            <w:pPr>
              <w:snapToGrid w:val="0"/>
              <w:ind w:firstLine="420" w:firstLineChars="200"/>
              <w:jc w:val="center"/>
              <w:rPr>
                <w:rFonts w:cs="宋体" w:asciiTheme="minorEastAsia" w:hAnsiTheme="minorEastAsia" w:eastAsiaTheme="minorEastAsia"/>
                <w:szCs w:val="21"/>
                <w:highlight w:val="none"/>
              </w:rPr>
            </w:pPr>
          </w:p>
        </w:tc>
        <w:tc>
          <w:tcPr>
            <w:tcW w:w="1276" w:type="dxa"/>
            <w:vMerge w:val="continue"/>
          </w:tcPr>
          <w:p w14:paraId="7B410660">
            <w:pPr>
              <w:snapToGrid w:val="0"/>
              <w:jc w:val="center"/>
              <w:rPr>
                <w:rFonts w:cs="宋体" w:asciiTheme="minorEastAsia" w:hAnsiTheme="minorEastAsia" w:eastAsiaTheme="minorEastAsia"/>
                <w:szCs w:val="21"/>
                <w:highlight w:val="none"/>
              </w:rPr>
            </w:pPr>
          </w:p>
        </w:tc>
        <w:tc>
          <w:tcPr>
            <w:tcW w:w="1120" w:type="dxa"/>
            <w:vMerge w:val="restart"/>
            <w:vAlign w:val="center"/>
          </w:tcPr>
          <w:p w14:paraId="349A753C">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响应性评审</w:t>
            </w:r>
          </w:p>
        </w:tc>
        <w:tc>
          <w:tcPr>
            <w:tcW w:w="1735" w:type="dxa"/>
            <w:vAlign w:val="center"/>
          </w:tcPr>
          <w:p w14:paraId="78D6F518">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投标有效期</w:t>
            </w:r>
          </w:p>
        </w:tc>
        <w:tc>
          <w:tcPr>
            <w:tcW w:w="4130" w:type="dxa"/>
            <w:gridSpan w:val="2"/>
            <w:vAlign w:val="center"/>
          </w:tcPr>
          <w:p w14:paraId="7D48AA3B">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符合第二章“投标人须知前附表”关于投标有效期的规定</w:t>
            </w:r>
          </w:p>
        </w:tc>
      </w:tr>
      <w:tr w14:paraId="20382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Merge w:val="continue"/>
            <w:vAlign w:val="center"/>
          </w:tcPr>
          <w:p w14:paraId="0A19A5D5">
            <w:pPr>
              <w:snapToGrid w:val="0"/>
              <w:ind w:firstLine="420" w:firstLineChars="200"/>
              <w:jc w:val="center"/>
              <w:rPr>
                <w:rFonts w:cs="宋体" w:asciiTheme="minorEastAsia" w:hAnsiTheme="minorEastAsia" w:eastAsiaTheme="minorEastAsia"/>
                <w:szCs w:val="21"/>
                <w:highlight w:val="none"/>
              </w:rPr>
            </w:pPr>
          </w:p>
        </w:tc>
        <w:tc>
          <w:tcPr>
            <w:tcW w:w="1276" w:type="dxa"/>
            <w:vMerge w:val="continue"/>
          </w:tcPr>
          <w:p w14:paraId="437FC632">
            <w:pPr>
              <w:snapToGrid w:val="0"/>
              <w:jc w:val="center"/>
              <w:rPr>
                <w:rFonts w:cs="宋体" w:asciiTheme="minorEastAsia" w:hAnsiTheme="minorEastAsia" w:eastAsiaTheme="minorEastAsia"/>
                <w:szCs w:val="21"/>
                <w:highlight w:val="none"/>
              </w:rPr>
            </w:pPr>
          </w:p>
        </w:tc>
        <w:tc>
          <w:tcPr>
            <w:tcW w:w="1120" w:type="dxa"/>
            <w:vMerge w:val="continue"/>
            <w:vAlign w:val="center"/>
          </w:tcPr>
          <w:p w14:paraId="1483BF67">
            <w:pPr>
              <w:snapToGrid w:val="0"/>
              <w:jc w:val="left"/>
              <w:rPr>
                <w:rFonts w:cs="宋体" w:asciiTheme="minorEastAsia" w:hAnsiTheme="minorEastAsia" w:eastAsiaTheme="minorEastAsia"/>
                <w:szCs w:val="21"/>
                <w:highlight w:val="none"/>
              </w:rPr>
            </w:pPr>
          </w:p>
        </w:tc>
        <w:tc>
          <w:tcPr>
            <w:tcW w:w="1735" w:type="dxa"/>
            <w:vAlign w:val="center"/>
          </w:tcPr>
          <w:p w14:paraId="692A577B">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实质性响应</w:t>
            </w:r>
          </w:p>
        </w:tc>
        <w:tc>
          <w:tcPr>
            <w:tcW w:w="4130" w:type="dxa"/>
            <w:gridSpan w:val="2"/>
            <w:vAlign w:val="center"/>
          </w:tcPr>
          <w:p w14:paraId="1B5FAB72">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满足全部实质性指标规定</w:t>
            </w:r>
          </w:p>
        </w:tc>
      </w:tr>
      <w:tr w14:paraId="03AB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55B61744">
            <w:pPr>
              <w:snapToGrid w:val="0"/>
              <w:ind w:firstLine="420" w:firstLineChars="200"/>
              <w:jc w:val="center"/>
              <w:rPr>
                <w:rFonts w:cs="宋体" w:asciiTheme="minorEastAsia" w:hAnsiTheme="minorEastAsia" w:eastAsiaTheme="minorEastAsia"/>
                <w:szCs w:val="21"/>
                <w:highlight w:val="none"/>
              </w:rPr>
            </w:pPr>
          </w:p>
        </w:tc>
        <w:tc>
          <w:tcPr>
            <w:tcW w:w="1276" w:type="dxa"/>
            <w:vMerge w:val="continue"/>
          </w:tcPr>
          <w:p w14:paraId="35849AE3">
            <w:pPr>
              <w:snapToGrid w:val="0"/>
              <w:jc w:val="center"/>
              <w:rPr>
                <w:rFonts w:cs="宋体" w:asciiTheme="minorEastAsia" w:hAnsiTheme="minorEastAsia" w:eastAsiaTheme="minorEastAsia"/>
                <w:szCs w:val="21"/>
                <w:highlight w:val="none"/>
              </w:rPr>
            </w:pPr>
          </w:p>
        </w:tc>
        <w:tc>
          <w:tcPr>
            <w:tcW w:w="1120" w:type="dxa"/>
            <w:vMerge w:val="continue"/>
            <w:vAlign w:val="center"/>
          </w:tcPr>
          <w:p w14:paraId="12795B20">
            <w:pPr>
              <w:snapToGrid w:val="0"/>
              <w:jc w:val="left"/>
              <w:rPr>
                <w:rFonts w:cs="宋体" w:asciiTheme="minorEastAsia" w:hAnsiTheme="minorEastAsia" w:eastAsiaTheme="minorEastAsia"/>
                <w:szCs w:val="21"/>
                <w:highlight w:val="none"/>
              </w:rPr>
            </w:pPr>
          </w:p>
        </w:tc>
        <w:tc>
          <w:tcPr>
            <w:tcW w:w="1735" w:type="dxa"/>
            <w:vAlign w:val="center"/>
          </w:tcPr>
          <w:p w14:paraId="7563F084">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商务报价</w:t>
            </w:r>
          </w:p>
        </w:tc>
        <w:tc>
          <w:tcPr>
            <w:tcW w:w="4130" w:type="dxa"/>
            <w:gridSpan w:val="2"/>
            <w:vAlign w:val="center"/>
          </w:tcPr>
          <w:p w14:paraId="2B725000">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符合第二章“投标人须知前附表”关于投标报价的规定</w:t>
            </w:r>
          </w:p>
        </w:tc>
      </w:tr>
      <w:tr w14:paraId="4714D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66A72D99">
            <w:pPr>
              <w:snapToGrid w:val="0"/>
              <w:ind w:firstLine="420" w:firstLineChars="200"/>
              <w:jc w:val="center"/>
              <w:rPr>
                <w:rFonts w:cs="宋体" w:asciiTheme="minorEastAsia" w:hAnsiTheme="minorEastAsia" w:eastAsiaTheme="minorEastAsia"/>
                <w:szCs w:val="21"/>
                <w:highlight w:val="none"/>
              </w:rPr>
            </w:pPr>
          </w:p>
        </w:tc>
        <w:tc>
          <w:tcPr>
            <w:tcW w:w="1276" w:type="dxa"/>
            <w:vMerge w:val="continue"/>
          </w:tcPr>
          <w:p w14:paraId="6562FBA2">
            <w:pPr>
              <w:snapToGrid w:val="0"/>
              <w:jc w:val="center"/>
              <w:rPr>
                <w:rFonts w:cs="宋体" w:asciiTheme="minorEastAsia" w:hAnsiTheme="minorEastAsia" w:eastAsiaTheme="minorEastAsia"/>
                <w:szCs w:val="21"/>
                <w:highlight w:val="none"/>
              </w:rPr>
            </w:pPr>
          </w:p>
        </w:tc>
        <w:tc>
          <w:tcPr>
            <w:tcW w:w="1120" w:type="dxa"/>
            <w:vMerge w:val="continue"/>
            <w:vAlign w:val="center"/>
          </w:tcPr>
          <w:p w14:paraId="680E1D1D">
            <w:pPr>
              <w:snapToGrid w:val="0"/>
              <w:jc w:val="left"/>
              <w:rPr>
                <w:rFonts w:cs="宋体" w:asciiTheme="minorEastAsia" w:hAnsiTheme="minorEastAsia" w:eastAsiaTheme="minorEastAsia"/>
                <w:szCs w:val="21"/>
                <w:highlight w:val="none"/>
              </w:rPr>
            </w:pPr>
          </w:p>
        </w:tc>
        <w:tc>
          <w:tcPr>
            <w:tcW w:w="1735" w:type="dxa"/>
            <w:vAlign w:val="center"/>
          </w:tcPr>
          <w:p w14:paraId="177F97E5">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廉洁投标承诺书</w:t>
            </w:r>
          </w:p>
        </w:tc>
        <w:tc>
          <w:tcPr>
            <w:tcW w:w="4130" w:type="dxa"/>
            <w:gridSpan w:val="2"/>
            <w:vAlign w:val="center"/>
          </w:tcPr>
          <w:p w14:paraId="28843BA5">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按招标文件第六章“投标文件格式”提供廉洁投标承诺书</w:t>
            </w:r>
          </w:p>
        </w:tc>
      </w:tr>
      <w:tr w14:paraId="2E75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069BE61F">
            <w:pPr>
              <w:snapToGrid w:val="0"/>
              <w:ind w:firstLine="420" w:firstLineChars="200"/>
              <w:jc w:val="center"/>
              <w:rPr>
                <w:rFonts w:cs="宋体" w:asciiTheme="minorEastAsia" w:hAnsiTheme="minorEastAsia" w:eastAsiaTheme="minorEastAsia"/>
                <w:szCs w:val="21"/>
                <w:highlight w:val="none"/>
              </w:rPr>
            </w:pPr>
          </w:p>
        </w:tc>
        <w:tc>
          <w:tcPr>
            <w:tcW w:w="1276" w:type="dxa"/>
            <w:vMerge w:val="continue"/>
          </w:tcPr>
          <w:p w14:paraId="08EC6124">
            <w:pPr>
              <w:snapToGrid w:val="0"/>
              <w:jc w:val="center"/>
              <w:rPr>
                <w:rFonts w:cs="宋体" w:asciiTheme="minorEastAsia" w:hAnsiTheme="minorEastAsia" w:eastAsiaTheme="minorEastAsia"/>
                <w:szCs w:val="21"/>
                <w:highlight w:val="none"/>
              </w:rPr>
            </w:pPr>
          </w:p>
        </w:tc>
        <w:tc>
          <w:tcPr>
            <w:tcW w:w="1120" w:type="dxa"/>
            <w:vMerge w:val="continue"/>
            <w:vAlign w:val="center"/>
          </w:tcPr>
          <w:p w14:paraId="40BEC8EE">
            <w:pPr>
              <w:snapToGrid w:val="0"/>
              <w:jc w:val="left"/>
              <w:rPr>
                <w:rFonts w:cs="宋体" w:asciiTheme="minorEastAsia" w:hAnsiTheme="minorEastAsia" w:eastAsiaTheme="minorEastAsia"/>
                <w:szCs w:val="21"/>
                <w:highlight w:val="none"/>
              </w:rPr>
            </w:pPr>
          </w:p>
        </w:tc>
        <w:tc>
          <w:tcPr>
            <w:tcW w:w="1735" w:type="dxa"/>
            <w:vAlign w:val="center"/>
          </w:tcPr>
          <w:p w14:paraId="61FA6AF8">
            <w:pPr>
              <w:snapToGrid w:val="0"/>
              <w:jc w:val="left"/>
              <w:rPr>
                <w:rFonts w:cs="宋体" w:asciiTheme="minorEastAsia" w:hAnsiTheme="minorEastAsia" w:eastAsiaTheme="minorEastAsia"/>
                <w:kern w:val="0"/>
                <w:szCs w:val="21"/>
                <w:highlight w:val="none"/>
              </w:rPr>
            </w:pPr>
            <w:r>
              <w:rPr>
                <w:rFonts w:hint="eastAsia" w:ascii="宋体" w:hAnsi="宋体" w:cs="宋体"/>
                <w:color w:val="000000" w:themeColor="text1"/>
                <w:kern w:val="0"/>
                <w:szCs w:val="21"/>
                <w:lang w:val="en-US" w:eastAsia="zh-CN"/>
                <w14:textFill>
                  <w14:solidFill>
                    <w14:schemeClr w14:val="tx1"/>
                  </w14:solidFill>
                </w14:textFill>
              </w:rPr>
              <w:t>商务及</w:t>
            </w:r>
            <w:r>
              <w:rPr>
                <w:rFonts w:hint="eastAsia" w:ascii="宋体" w:hAnsi="宋体" w:cs="宋体"/>
                <w:color w:val="000000" w:themeColor="text1"/>
                <w:kern w:val="0"/>
                <w:szCs w:val="21"/>
                <w14:textFill>
                  <w14:solidFill>
                    <w14:schemeClr w14:val="tx1"/>
                  </w14:solidFill>
                </w14:textFill>
              </w:rPr>
              <w:t>合同条款</w:t>
            </w:r>
          </w:p>
        </w:tc>
        <w:tc>
          <w:tcPr>
            <w:tcW w:w="4130" w:type="dxa"/>
            <w:gridSpan w:val="2"/>
            <w:vAlign w:val="center"/>
          </w:tcPr>
          <w:p w14:paraId="1263CAF2">
            <w:pPr>
              <w:snapToGrid w:val="0"/>
              <w:jc w:val="left"/>
              <w:rPr>
                <w:rFonts w:cs="宋体" w:asciiTheme="minorEastAsia" w:hAnsiTheme="minorEastAsia" w:eastAsiaTheme="minorEastAsia"/>
                <w:kern w:val="0"/>
                <w:szCs w:val="21"/>
                <w:highlight w:val="none"/>
              </w:rPr>
            </w:pPr>
            <w:r>
              <w:rPr>
                <w:rFonts w:hint="eastAsia" w:ascii="宋体" w:hAnsi="宋体" w:cs="宋体"/>
                <w:szCs w:val="21"/>
              </w:rPr>
              <w:t>商务及合同条款必须全部满足或正偏离，按招标文件第六章“投标文件格式”要求提供商务条款偏离表、合同条款偏离表。</w:t>
            </w:r>
          </w:p>
        </w:tc>
      </w:tr>
      <w:tr w14:paraId="3441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4988CDAA">
            <w:pPr>
              <w:snapToGrid w:val="0"/>
              <w:ind w:firstLine="420" w:firstLineChars="200"/>
              <w:jc w:val="center"/>
              <w:rPr>
                <w:rFonts w:cs="宋体" w:asciiTheme="minorEastAsia" w:hAnsiTheme="minorEastAsia" w:eastAsiaTheme="minorEastAsia"/>
                <w:szCs w:val="21"/>
                <w:highlight w:val="none"/>
              </w:rPr>
            </w:pPr>
          </w:p>
        </w:tc>
        <w:tc>
          <w:tcPr>
            <w:tcW w:w="1276" w:type="dxa"/>
            <w:vMerge w:val="continue"/>
          </w:tcPr>
          <w:p w14:paraId="297FC55E">
            <w:pPr>
              <w:snapToGrid w:val="0"/>
              <w:jc w:val="center"/>
              <w:rPr>
                <w:rFonts w:cs="宋体" w:asciiTheme="minorEastAsia" w:hAnsiTheme="minorEastAsia" w:eastAsiaTheme="minorEastAsia"/>
                <w:szCs w:val="21"/>
                <w:highlight w:val="none"/>
              </w:rPr>
            </w:pPr>
          </w:p>
        </w:tc>
        <w:tc>
          <w:tcPr>
            <w:tcW w:w="1120" w:type="dxa"/>
            <w:vMerge w:val="continue"/>
            <w:vAlign w:val="center"/>
          </w:tcPr>
          <w:p w14:paraId="0B0D94A7">
            <w:pPr>
              <w:snapToGrid w:val="0"/>
              <w:jc w:val="left"/>
              <w:rPr>
                <w:rFonts w:cs="宋体" w:asciiTheme="minorEastAsia" w:hAnsiTheme="minorEastAsia" w:eastAsiaTheme="minorEastAsia"/>
                <w:kern w:val="0"/>
                <w:szCs w:val="21"/>
                <w:highlight w:val="none"/>
              </w:rPr>
            </w:pPr>
          </w:p>
        </w:tc>
        <w:tc>
          <w:tcPr>
            <w:tcW w:w="1735" w:type="dxa"/>
            <w:vAlign w:val="center"/>
          </w:tcPr>
          <w:p w14:paraId="6456F7EA">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技术条款</w:t>
            </w:r>
          </w:p>
        </w:tc>
        <w:tc>
          <w:tcPr>
            <w:tcW w:w="4130" w:type="dxa"/>
            <w:gridSpan w:val="2"/>
            <w:vAlign w:val="center"/>
          </w:tcPr>
          <w:p w14:paraId="548EB8EF">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按招标文件第六章“投标文件格式”要求提供技术条款偏离表</w:t>
            </w:r>
          </w:p>
        </w:tc>
      </w:tr>
      <w:tr w14:paraId="518D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260CEF62">
            <w:pPr>
              <w:snapToGrid w:val="0"/>
              <w:ind w:firstLine="420" w:firstLineChars="200"/>
              <w:jc w:val="center"/>
              <w:rPr>
                <w:rFonts w:cs="宋体" w:asciiTheme="minorEastAsia" w:hAnsiTheme="minorEastAsia" w:eastAsiaTheme="minorEastAsia"/>
                <w:szCs w:val="21"/>
                <w:highlight w:val="none"/>
              </w:rPr>
            </w:pPr>
          </w:p>
        </w:tc>
        <w:tc>
          <w:tcPr>
            <w:tcW w:w="1276" w:type="dxa"/>
            <w:vMerge w:val="continue"/>
          </w:tcPr>
          <w:p w14:paraId="36602208">
            <w:pPr>
              <w:snapToGrid w:val="0"/>
              <w:jc w:val="center"/>
              <w:rPr>
                <w:rFonts w:cs="宋体" w:asciiTheme="minorEastAsia" w:hAnsiTheme="minorEastAsia" w:eastAsiaTheme="minorEastAsia"/>
                <w:szCs w:val="21"/>
                <w:highlight w:val="none"/>
              </w:rPr>
            </w:pPr>
          </w:p>
        </w:tc>
        <w:tc>
          <w:tcPr>
            <w:tcW w:w="1120" w:type="dxa"/>
            <w:vMerge w:val="continue"/>
            <w:vAlign w:val="center"/>
          </w:tcPr>
          <w:p w14:paraId="767FA92E">
            <w:pPr>
              <w:snapToGrid w:val="0"/>
              <w:jc w:val="left"/>
              <w:rPr>
                <w:rFonts w:cs="宋体" w:asciiTheme="minorEastAsia" w:hAnsiTheme="minorEastAsia" w:eastAsiaTheme="minorEastAsia"/>
                <w:szCs w:val="21"/>
                <w:highlight w:val="none"/>
              </w:rPr>
            </w:pPr>
          </w:p>
        </w:tc>
        <w:tc>
          <w:tcPr>
            <w:tcW w:w="1735" w:type="dxa"/>
            <w:vAlign w:val="center"/>
          </w:tcPr>
          <w:p w14:paraId="2B81FDDB">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其它要求</w:t>
            </w:r>
          </w:p>
        </w:tc>
        <w:tc>
          <w:tcPr>
            <w:tcW w:w="4130" w:type="dxa"/>
            <w:gridSpan w:val="2"/>
            <w:vAlign w:val="center"/>
          </w:tcPr>
          <w:p w14:paraId="56DCB2A1">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无招标文件或相关法律法规规定的无效投标或否决投标项。</w:t>
            </w:r>
          </w:p>
        </w:tc>
      </w:tr>
      <w:tr w14:paraId="30FD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restart"/>
            <w:vAlign w:val="center"/>
          </w:tcPr>
          <w:p w14:paraId="3D428040">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2.2</w:t>
            </w:r>
          </w:p>
        </w:tc>
        <w:tc>
          <w:tcPr>
            <w:tcW w:w="1276" w:type="dxa"/>
            <w:vMerge w:val="restart"/>
            <w:vAlign w:val="center"/>
          </w:tcPr>
          <w:p w14:paraId="2026981E">
            <w:pPr>
              <w:snapToGrid w:val="0"/>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详细评审标准</w:t>
            </w:r>
          </w:p>
        </w:tc>
        <w:tc>
          <w:tcPr>
            <w:tcW w:w="1120" w:type="dxa"/>
            <w:vAlign w:val="center"/>
          </w:tcPr>
          <w:p w14:paraId="2442B4B5">
            <w:pPr>
              <w:snapToGrid w:val="0"/>
              <w:jc w:val="left"/>
              <w:rPr>
                <w:rFonts w:cs="宋体" w:asciiTheme="minorEastAsia" w:hAnsiTheme="minorEastAsia" w:eastAsiaTheme="minorEastAsia"/>
                <w:szCs w:val="21"/>
                <w:highlight w:val="none"/>
              </w:rPr>
            </w:pPr>
            <w:r>
              <w:rPr>
                <w:rFonts w:hint="eastAsia" w:ascii="宋体" w:hAnsi="宋体" w:cs="宋体"/>
                <w:color w:val="000000" w:themeColor="text1"/>
                <w:kern w:val="0"/>
                <w:szCs w:val="21"/>
                <w:highlight w:val="none"/>
                <w14:textFill>
                  <w14:solidFill>
                    <w14:schemeClr w14:val="tx1"/>
                  </w14:solidFill>
                </w14:textFill>
              </w:rPr>
              <w:t>商务</w:t>
            </w:r>
          </w:p>
        </w:tc>
        <w:tc>
          <w:tcPr>
            <w:tcW w:w="1735" w:type="dxa"/>
            <w:vAlign w:val="center"/>
          </w:tcPr>
          <w:p w14:paraId="4FB0177C">
            <w:pPr>
              <w:snapToGrid w:val="0"/>
              <w:jc w:val="center"/>
              <w:rPr>
                <w:rFonts w:cs="宋体" w:asciiTheme="minorEastAsia" w:hAnsiTheme="minorEastAsia" w:eastAsiaTheme="minorEastAsia"/>
                <w:kern w:val="0"/>
                <w:szCs w:val="21"/>
                <w:highlight w:val="none"/>
              </w:rPr>
            </w:pPr>
            <w:r>
              <w:rPr>
                <w:rFonts w:hint="eastAsia" w:ascii="宋体" w:hAnsi="宋体" w:cs="宋体"/>
                <w:color w:val="000000" w:themeColor="text1"/>
                <w:kern w:val="0"/>
                <w:szCs w:val="21"/>
                <w:highlight w:val="none"/>
                <w14:textFill>
                  <w14:solidFill>
                    <w14:schemeClr w14:val="tx1"/>
                  </w14:solidFill>
                </w14:textFill>
              </w:rPr>
              <w:t>商务</w:t>
            </w:r>
          </w:p>
        </w:tc>
        <w:tc>
          <w:tcPr>
            <w:tcW w:w="784" w:type="dxa"/>
            <w:vAlign w:val="center"/>
          </w:tcPr>
          <w:p w14:paraId="4D2581B4">
            <w:pPr>
              <w:snapToGrid w:val="0"/>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lang w:val="en-US" w:eastAsia="zh-CN"/>
              </w:rPr>
              <w:t>5</w:t>
            </w:r>
            <w:r>
              <w:rPr>
                <w:rFonts w:hint="eastAsia" w:cs="宋体" w:asciiTheme="minorEastAsia" w:hAnsiTheme="minorEastAsia" w:eastAsiaTheme="minorEastAsia"/>
                <w:kern w:val="0"/>
                <w:szCs w:val="21"/>
                <w:highlight w:val="none"/>
              </w:rPr>
              <w:t>分</w:t>
            </w:r>
          </w:p>
        </w:tc>
        <w:tc>
          <w:tcPr>
            <w:tcW w:w="3346" w:type="dxa"/>
            <w:vAlign w:val="center"/>
          </w:tcPr>
          <w:p w14:paraId="6C522C1A">
            <w:pPr>
              <w:snapToGrid w:val="0"/>
              <w:jc w:val="center"/>
              <w:rPr>
                <w:rFonts w:cs="宋体" w:asciiTheme="minorEastAsia" w:hAnsiTheme="minorEastAsia" w:eastAsiaTheme="minorEastAsia"/>
                <w:kern w:val="0"/>
                <w:szCs w:val="21"/>
                <w:highlight w:val="none"/>
              </w:rPr>
            </w:pPr>
            <w:r>
              <w:rPr>
                <w:rFonts w:hint="eastAsia" w:ascii="宋体" w:hAnsi="宋体" w:cs="宋体"/>
                <w:szCs w:val="21"/>
                <w:highlight w:val="none"/>
              </w:rPr>
              <w:t>详细评审标准表附后</w:t>
            </w:r>
          </w:p>
        </w:tc>
      </w:tr>
      <w:tr w14:paraId="20E5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1CF5FA75">
            <w:pPr>
              <w:snapToGrid w:val="0"/>
              <w:jc w:val="center"/>
              <w:rPr>
                <w:rFonts w:cs="宋体" w:asciiTheme="minorEastAsia" w:hAnsiTheme="minorEastAsia" w:eastAsiaTheme="minorEastAsia"/>
                <w:kern w:val="0"/>
                <w:szCs w:val="21"/>
                <w:highlight w:val="none"/>
              </w:rPr>
            </w:pPr>
          </w:p>
        </w:tc>
        <w:tc>
          <w:tcPr>
            <w:tcW w:w="1276" w:type="dxa"/>
            <w:vMerge w:val="continue"/>
          </w:tcPr>
          <w:p w14:paraId="471CEEE6">
            <w:pPr>
              <w:snapToGrid w:val="0"/>
              <w:jc w:val="center"/>
              <w:rPr>
                <w:rFonts w:cs="宋体" w:asciiTheme="minorEastAsia" w:hAnsiTheme="minorEastAsia" w:eastAsiaTheme="minorEastAsia"/>
                <w:kern w:val="0"/>
                <w:szCs w:val="21"/>
                <w:highlight w:val="none"/>
              </w:rPr>
            </w:pPr>
          </w:p>
        </w:tc>
        <w:tc>
          <w:tcPr>
            <w:tcW w:w="1120" w:type="dxa"/>
            <w:vAlign w:val="center"/>
          </w:tcPr>
          <w:p w14:paraId="5C337905">
            <w:pPr>
              <w:snapToGrid w:val="0"/>
              <w:jc w:val="left"/>
              <w:rPr>
                <w:rFonts w:cs="宋体" w:asciiTheme="minorEastAsia" w:hAnsiTheme="minorEastAsia" w:eastAsiaTheme="minorEastAsia"/>
                <w:kern w:val="0"/>
                <w:szCs w:val="21"/>
                <w:highlight w:val="none"/>
              </w:rPr>
            </w:pPr>
            <w:r>
              <w:rPr>
                <w:rFonts w:hint="eastAsia" w:ascii="宋体" w:hAnsi="宋体" w:cs="宋体"/>
                <w:color w:val="000000" w:themeColor="text1"/>
                <w:kern w:val="0"/>
                <w:szCs w:val="21"/>
                <w:highlight w:val="none"/>
                <w14:textFill>
                  <w14:solidFill>
                    <w14:schemeClr w14:val="tx1"/>
                  </w14:solidFill>
                </w14:textFill>
              </w:rPr>
              <w:t>服务</w:t>
            </w:r>
          </w:p>
        </w:tc>
        <w:tc>
          <w:tcPr>
            <w:tcW w:w="1735" w:type="dxa"/>
            <w:vAlign w:val="center"/>
          </w:tcPr>
          <w:p w14:paraId="6D76E6F0">
            <w:pPr>
              <w:snapToGrid w:val="0"/>
              <w:jc w:val="center"/>
              <w:rPr>
                <w:rFonts w:cs="宋体" w:asciiTheme="minorEastAsia" w:hAnsiTheme="minorEastAsia" w:eastAsiaTheme="minorEastAsia"/>
                <w:kern w:val="0"/>
                <w:szCs w:val="21"/>
                <w:highlight w:val="none"/>
              </w:rPr>
            </w:pPr>
            <w:r>
              <w:rPr>
                <w:rFonts w:hint="eastAsia" w:ascii="宋体" w:hAnsi="宋体" w:cs="宋体"/>
                <w:color w:val="000000" w:themeColor="text1"/>
                <w:kern w:val="0"/>
                <w:szCs w:val="21"/>
                <w:highlight w:val="none"/>
                <w14:textFill>
                  <w14:solidFill>
                    <w14:schemeClr w14:val="tx1"/>
                  </w14:solidFill>
                </w14:textFill>
              </w:rPr>
              <w:t>服务</w:t>
            </w:r>
          </w:p>
        </w:tc>
        <w:tc>
          <w:tcPr>
            <w:tcW w:w="784" w:type="dxa"/>
            <w:vAlign w:val="center"/>
          </w:tcPr>
          <w:p w14:paraId="63487870">
            <w:pPr>
              <w:snapToGrid w:val="0"/>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lang w:val="en-US" w:eastAsia="zh-CN"/>
              </w:rPr>
              <w:t>5</w:t>
            </w:r>
            <w:r>
              <w:rPr>
                <w:rFonts w:hint="eastAsia" w:cs="宋体" w:asciiTheme="minorEastAsia" w:hAnsiTheme="minorEastAsia" w:eastAsiaTheme="minorEastAsia"/>
                <w:kern w:val="0"/>
                <w:szCs w:val="21"/>
                <w:highlight w:val="none"/>
              </w:rPr>
              <w:t>分</w:t>
            </w:r>
          </w:p>
        </w:tc>
        <w:tc>
          <w:tcPr>
            <w:tcW w:w="3346" w:type="dxa"/>
            <w:vAlign w:val="center"/>
          </w:tcPr>
          <w:p w14:paraId="1F3FEE83">
            <w:pPr>
              <w:snapToGrid w:val="0"/>
              <w:jc w:val="center"/>
              <w:rPr>
                <w:rFonts w:cs="宋体" w:asciiTheme="minorEastAsia" w:hAnsiTheme="minorEastAsia" w:eastAsiaTheme="minorEastAsia"/>
                <w:kern w:val="0"/>
                <w:szCs w:val="21"/>
                <w:highlight w:val="none"/>
              </w:rPr>
            </w:pPr>
            <w:r>
              <w:rPr>
                <w:rFonts w:hint="eastAsia" w:ascii="宋体" w:hAnsi="宋体" w:cs="宋体"/>
                <w:szCs w:val="21"/>
                <w:highlight w:val="none"/>
              </w:rPr>
              <w:t>详细评审标准表附后</w:t>
            </w:r>
          </w:p>
        </w:tc>
      </w:tr>
      <w:tr w14:paraId="54D8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770BE9E6">
            <w:pPr>
              <w:snapToGrid w:val="0"/>
              <w:jc w:val="center"/>
              <w:rPr>
                <w:rFonts w:cs="宋体" w:asciiTheme="minorEastAsia" w:hAnsiTheme="minorEastAsia" w:eastAsiaTheme="minorEastAsia"/>
                <w:kern w:val="0"/>
                <w:szCs w:val="21"/>
                <w:highlight w:val="none"/>
              </w:rPr>
            </w:pPr>
          </w:p>
        </w:tc>
        <w:tc>
          <w:tcPr>
            <w:tcW w:w="1276" w:type="dxa"/>
            <w:vMerge w:val="continue"/>
          </w:tcPr>
          <w:p w14:paraId="4A51C881">
            <w:pPr>
              <w:snapToGrid w:val="0"/>
              <w:jc w:val="center"/>
              <w:rPr>
                <w:rFonts w:cs="宋体" w:asciiTheme="minorEastAsia" w:hAnsiTheme="minorEastAsia" w:eastAsiaTheme="minorEastAsia"/>
                <w:kern w:val="0"/>
                <w:szCs w:val="21"/>
                <w:highlight w:val="none"/>
              </w:rPr>
            </w:pPr>
          </w:p>
        </w:tc>
        <w:tc>
          <w:tcPr>
            <w:tcW w:w="1120" w:type="dxa"/>
            <w:vAlign w:val="center"/>
          </w:tcPr>
          <w:p w14:paraId="70C3AA5E">
            <w:pPr>
              <w:snapToGrid w:val="0"/>
              <w:jc w:val="left"/>
              <w:rPr>
                <w:rFonts w:cs="宋体" w:asciiTheme="minorEastAsia" w:hAnsiTheme="minorEastAsia" w:eastAsiaTheme="minorEastAsia"/>
                <w:kern w:val="0"/>
                <w:szCs w:val="21"/>
                <w:highlight w:val="none"/>
              </w:rPr>
            </w:pPr>
            <w:r>
              <w:rPr>
                <w:rFonts w:hint="eastAsia" w:ascii="宋体" w:hAnsi="宋体" w:cs="宋体"/>
                <w:color w:val="000000" w:themeColor="text1"/>
                <w:kern w:val="0"/>
                <w:szCs w:val="21"/>
                <w:highlight w:val="none"/>
                <w14:textFill>
                  <w14:solidFill>
                    <w14:schemeClr w14:val="tx1"/>
                  </w14:solidFill>
                </w14:textFill>
              </w:rPr>
              <w:t>技术</w:t>
            </w:r>
          </w:p>
        </w:tc>
        <w:tc>
          <w:tcPr>
            <w:tcW w:w="1735" w:type="dxa"/>
            <w:vAlign w:val="center"/>
          </w:tcPr>
          <w:p w14:paraId="75A4F532">
            <w:pPr>
              <w:snapToGrid w:val="0"/>
              <w:jc w:val="center"/>
              <w:rPr>
                <w:rFonts w:cs="宋体" w:asciiTheme="minorEastAsia" w:hAnsiTheme="minorEastAsia" w:eastAsiaTheme="minorEastAsia"/>
                <w:kern w:val="0"/>
                <w:szCs w:val="21"/>
                <w:highlight w:val="none"/>
              </w:rPr>
            </w:pPr>
            <w:r>
              <w:rPr>
                <w:rFonts w:hint="eastAsia" w:ascii="宋体" w:hAnsi="宋体" w:cs="宋体"/>
                <w:color w:val="000000" w:themeColor="text1"/>
                <w:kern w:val="0"/>
                <w:szCs w:val="21"/>
                <w:highlight w:val="none"/>
                <w14:textFill>
                  <w14:solidFill>
                    <w14:schemeClr w14:val="tx1"/>
                  </w14:solidFill>
                </w14:textFill>
              </w:rPr>
              <w:t>技术</w:t>
            </w:r>
          </w:p>
        </w:tc>
        <w:tc>
          <w:tcPr>
            <w:tcW w:w="784" w:type="dxa"/>
            <w:vAlign w:val="center"/>
          </w:tcPr>
          <w:p w14:paraId="42ABE65B">
            <w:pPr>
              <w:snapToGrid w:val="0"/>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lang w:val="en-US" w:eastAsia="zh-CN"/>
              </w:rPr>
              <w:t>50</w:t>
            </w:r>
            <w:r>
              <w:rPr>
                <w:rFonts w:hint="eastAsia" w:cs="宋体" w:asciiTheme="minorEastAsia" w:hAnsiTheme="minorEastAsia" w:eastAsiaTheme="minorEastAsia"/>
                <w:kern w:val="0"/>
                <w:szCs w:val="21"/>
                <w:highlight w:val="none"/>
              </w:rPr>
              <w:t>分</w:t>
            </w:r>
          </w:p>
        </w:tc>
        <w:tc>
          <w:tcPr>
            <w:tcW w:w="3346" w:type="dxa"/>
            <w:vAlign w:val="center"/>
          </w:tcPr>
          <w:p w14:paraId="05940B45">
            <w:pPr>
              <w:snapToGrid w:val="0"/>
              <w:jc w:val="center"/>
              <w:rPr>
                <w:rFonts w:cs="宋体" w:asciiTheme="minorEastAsia" w:hAnsiTheme="minorEastAsia" w:eastAsiaTheme="minorEastAsia"/>
                <w:kern w:val="0"/>
                <w:szCs w:val="21"/>
                <w:highlight w:val="none"/>
              </w:rPr>
            </w:pPr>
            <w:r>
              <w:rPr>
                <w:rFonts w:hint="eastAsia" w:ascii="宋体" w:hAnsi="宋体" w:cs="宋体"/>
                <w:szCs w:val="21"/>
                <w:highlight w:val="none"/>
              </w:rPr>
              <w:t>详细评审标准表附后</w:t>
            </w:r>
          </w:p>
        </w:tc>
      </w:tr>
      <w:tr w14:paraId="01749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Merge w:val="continue"/>
            <w:vAlign w:val="center"/>
          </w:tcPr>
          <w:p w14:paraId="3CF5DF3C">
            <w:pPr>
              <w:snapToGrid w:val="0"/>
              <w:jc w:val="center"/>
              <w:rPr>
                <w:rFonts w:cs="宋体" w:asciiTheme="minorEastAsia" w:hAnsiTheme="minorEastAsia" w:eastAsiaTheme="minorEastAsia"/>
                <w:kern w:val="0"/>
                <w:szCs w:val="21"/>
                <w:highlight w:val="none"/>
              </w:rPr>
            </w:pPr>
          </w:p>
        </w:tc>
        <w:tc>
          <w:tcPr>
            <w:tcW w:w="1276" w:type="dxa"/>
            <w:vMerge w:val="continue"/>
          </w:tcPr>
          <w:p w14:paraId="144F253F">
            <w:pPr>
              <w:snapToGrid w:val="0"/>
              <w:jc w:val="center"/>
              <w:rPr>
                <w:rFonts w:cs="宋体" w:asciiTheme="minorEastAsia" w:hAnsiTheme="minorEastAsia" w:eastAsiaTheme="minorEastAsia"/>
                <w:kern w:val="0"/>
                <w:szCs w:val="21"/>
                <w:highlight w:val="none"/>
              </w:rPr>
            </w:pPr>
          </w:p>
        </w:tc>
        <w:tc>
          <w:tcPr>
            <w:tcW w:w="1120" w:type="dxa"/>
            <w:vAlign w:val="center"/>
          </w:tcPr>
          <w:p w14:paraId="7239D024">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价格</w:t>
            </w:r>
          </w:p>
        </w:tc>
        <w:tc>
          <w:tcPr>
            <w:tcW w:w="1735" w:type="dxa"/>
            <w:vAlign w:val="center"/>
          </w:tcPr>
          <w:p w14:paraId="575597CD">
            <w:pPr>
              <w:snapToGrid w:val="0"/>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价格</w:t>
            </w:r>
          </w:p>
        </w:tc>
        <w:tc>
          <w:tcPr>
            <w:tcW w:w="784" w:type="dxa"/>
            <w:vAlign w:val="center"/>
          </w:tcPr>
          <w:p w14:paraId="2819A188">
            <w:pPr>
              <w:snapToGrid w:val="0"/>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lang w:val="en-US" w:eastAsia="zh-CN"/>
              </w:rPr>
              <w:t>40</w:t>
            </w:r>
            <w:r>
              <w:rPr>
                <w:rFonts w:hint="eastAsia" w:cs="宋体" w:asciiTheme="minorEastAsia" w:hAnsiTheme="minorEastAsia" w:eastAsiaTheme="minorEastAsia"/>
                <w:kern w:val="0"/>
                <w:szCs w:val="21"/>
                <w:highlight w:val="none"/>
              </w:rPr>
              <w:t>分</w:t>
            </w:r>
          </w:p>
        </w:tc>
        <w:tc>
          <w:tcPr>
            <w:tcW w:w="3346" w:type="dxa"/>
            <w:vAlign w:val="center"/>
          </w:tcPr>
          <w:p w14:paraId="7EEDFCA8">
            <w:pPr>
              <w:snapToGrid w:val="0"/>
              <w:jc w:val="left"/>
              <w:rPr>
                <w:rFonts w:hint="eastAsia" w:cs="宋体" w:asciiTheme="minorEastAsia" w:hAnsiTheme="minorEastAsia" w:eastAsiaTheme="minorEastAsia"/>
                <w:kern w:val="0"/>
                <w:szCs w:val="21"/>
                <w:highlight w:val="none"/>
                <w:lang w:eastAsia="zh-CN"/>
              </w:rPr>
            </w:pPr>
            <w:r>
              <w:rPr>
                <w:rFonts w:hint="eastAsia" w:cs="宋体" w:asciiTheme="minorEastAsia" w:hAnsiTheme="minorEastAsia" w:eastAsiaTheme="minorEastAsia"/>
                <w:kern w:val="0"/>
                <w:szCs w:val="21"/>
                <w:highlight w:val="none"/>
              </w:rPr>
              <w:t>评分方法</w:t>
            </w:r>
            <w:r>
              <w:rPr>
                <w:rFonts w:hint="eastAsia" w:cs="宋体" w:asciiTheme="minorEastAsia" w:hAnsiTheme="minorEastAsia" w:eastAsiaTheme="minorEastAsia"/>
                <w:kern w:val="0"/>
                <w:szCs w:val="21"/>
                <w:highlight w:val="none"/>
                <w:lang w:eastAsia="zh-CN"/>
              </w:rPr>
              <w:t>：价格评审以不含税总价</w:t>
            </w:r>
            <w:r>
              <w:rPr>
                <w:rFonts w:hint="eastAsia" w:cs="宋体" w:asciiTheme="minorEastAsia" w:hAnsiTheme="minorEastAsia" w:eastAsiaTheme="minorEastAsia"/>
                <w:kern w:val="0"/>
                <w:szCs w:val="21"/>
                <w:highlight w:val="none"/>
                <w:lang w:val="en-US" w:eastAsia="zh-CN"/>
              </w:rPr>
              <w:t>报价合计</w:t>
            </w:r>
            <w:r>
              <w:rPr>
                <w:rFonts w:hint="eastAsia" w:cs="宋体" w:asciiTheme="minorEastAsia" w:hAnsiTheme="minorEastAsia" w:eastAsiaTheme="minorEastAsia"/>
                <w:kern w:val="0"/>
                <w:szCs w:val="21"/>
                <w:highlight w:val="none"/>
                <w:lang w:eastAsia="zh-CN"/>
              </w:rPr>
              <w:t>进行评审。</w:t>
            </w:r>
          </w:p>
          <w:p w14:paraId="62501CA7">
            <w:pPr>
              <w:snapToGrid w:val="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本项目采用基准价系数调整法进行价格评分：</w:t>
            </w:r>
          </w:p>
          <w:p w14:paraId="2BA6D7F0">
            <w:pPr>
              <w:snapToGrid w:val="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价格基准价：在所有有效报价中，以去掉（有效响应人数量÷6后向下取整）个最高价和最低价后其余报价的算术平均值作为基准价，各响应人报价价格得分以偏离基准价的多少计算，最高得40分，最低得0分。Q值为0.8。</w:t>
            </w:r>
          </w:p>
          <w:p w14:paraId="797C01CA">
            <w:pPr>
              <w:snapToGrid w:val="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采用线性方式计算，小数点后保留两位，第三位四舍五入。</w:t>
            </w:r>
          </w:p>
          <w:p w14:paraId="542B7594">
            <w:pPr>
              <w:snapToGrid w:val="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价格得分：</w:t>
            </w:r>
          </w:p>
          <w:p w14:paraId="1ECFD08B">
            <w:pPr>
              <w:snapToGrid w:val="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偏离度＝（各投标人报价－基准价）/基准价</w:t>
            </w:r>
          </w:p>
          <w:p w14:paraId="298848B0">
            <w:pPr>
              <w:snapToGrid w:val="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最终得分：</w:t>
            </w:r>
          </w:p>
          <w:p w14:paraId="0F72B9B2">
            <w:pPr>
              <w:snapToGrid w:val="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负偏离得分＝40*0.8+|0.3×偏离度/1%|</w:t>
            </w:r>
          </w:p>
          <w:p w14:paraId="1D4783E1">
            <w:pPr>
              <w:snapToGrid w:val="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正偏离得分＝40*0.8-|0.3×偏离度/1%|</w:t>
            </w:r>
          </w:p>
          <w:p w14:paraId="4017B089">
            <w:pPr>
              <w:snapToGrid w:val="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高于基准价为正偏离，低于基准价为负偏离</w:t>
            </w:r>
          </w:p>
          <w:p w14:paraId="1A1818A2">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价格评审依据：若出现增值税税率不一致的情形，价格评审以</w:t>
            </w:r>
            <w:r>
              <w:rPr>
                <w:rFonts w:hint="eastAsia" w:cs="宋体" w:asciiTheme="minorEastAsia" w:hAnsiTheme="minorEastAsia" w:eastAsiaTheme="minorEastAsia"/>
                <w:kern w:val="0"/>
                <w:szCs w:val="21"/>
                <w:highlight w:val="none"/>
                <w:lang w:val="en-US" w:eastAsia="zh-CN"/>
              </w:rPr>
              <w:t>不含税价</w:t>
            </w:r>
            <w:r>
              <w:rPr>
                <w:rFonts w:hint="eastAsia" w:cs="宋体" w:asciiTheme="minorEastAsia" w:hAnsiTheme="minorEastAsia" w:eastAsiaTheme="minorEastAsia"/>
                <w:kern w:val="0"/>
                <w:szCs w:val="21"/>
                <w:highlight w:val="none"/>
              </w:rPr>
              <w:t>作为评审依据。</w:t>
            </w:r>
          </w:p>
          <w:p w14:paraId="0645597F">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是否以单项报价核定低于成本：</w:t>
            </w:r>
            <w:r>
              <w:rPr>
                <w:rFonts w:hint="eastAsia" w:cs="宋体" w:asciiTheme="minorEastAsia" w:hAnsiTheme="minorEastAsia" w:eastAsiaTheme="minorEastAsia"/>
                <w:kern w:val="0"/>
                <w:szCs w:val="21"/>
                <w:highlight w:val="none"/>
                <w:lang w:val="en-US" w:eastAsia="zh-CN"/>
              </w:rPr>
              <w:t>要求，具体要求如下：评标委员会发现投标人的单项报价明显低于其他投标报价，认为投标报价可能低于成本的，将书面要求该投标人做出书面说明并提供相关证明材料。投标人不能合理说明或者不能提供相应证明材料的，由评标委员会认定该投标人以低于成本报价竞标，评标委员会将否决其投标。</w:t>
            </w:r>
          </w:p>
        </w:tc>
      </w:tr>
      <w:tr w14:paraId="35A4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312CFADF">
            <w:pPr>
              <w:snapToGrid w:val="0"/>
              <w:jc w:val="center"/>
              <w:rPr>
                <w:rFonts w:cs="宋体" w:asciiTheme="minorEastAsia" w:hAnsiTheme="minorEastAsia" w:eastAsiaTheme="minorEastAsia"/>
                <w:kern w:val="0"/>
                <w:szCs w:val="21"/>
                <w:highlight w:val="none"/>
              </w:rPr>
            </w:pPr>
          </w:p>
        </w:tc>
        <w:tc>
          <w:tcPr>
            <w:tcW w:w="1276" w:type="dxa"/>
            <w:vMerge w:val="continue"/>
          </w:tcPr>
          <w:p w14:paraId="4F2DAA8B">
            <w:pPr>
              <w:snapToGrid w:val="0"/>
              <w:jc w:val="center"/>
              <w:rPr>
                <w:rFonts w:cs="宋体" w:asciiTheme="minorEastAsia" w:hAnsiTheme="minorEastAsia" w:eastAsiaTheme="minorEastAsia"/>
                <w:kern w:val="0"/>
                <w:szCs w:val="21"/>
                <w:highlight w:val="none"/>
              </w:rPr>
            </w:pPr>
          </w:p>
        </w:tc>
        <w:tc>
          <w:tcPr>
            <w:tcW w:w="1120" w:type="dxa"/>
            <w:vAlign w:val="center"/>
          </w:tcPr>
          <w:p w14:paraId="3FF76D13">
            <w:pPr>
              <w:snapToGrid w:val="0"/>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投标人不良行为</w:t>
            </w:r>
          </w:p>
        </w:tc>
        <w:tc>
          <w:tcPr>
            <w:tcW w:w="1735" w:type="dxa"/>
            <w:vAlign w:val="center"/>
          </w:tcPr>
          <w:p w14:paraId="727480CB">
            <w:pPr>
              <w:snapToGrid w:val="0"/>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《中国电信供应商不良行为管理规则》及处理结果执行</w:t>
            </w:r>
          </w:p>
        </w:tc>
        <w:tc>
          <w:tcPr>
            <w:tcW w:w="784" w:type="dxa"/>
            <w:vAlign w:val="center"/>
          </w:tcPr>
          <w:p w14:paraId="04E5C7A9">
            <w:pPr>
              <w:snapToGrid w:val="0"/>
              <w:jc w:val="center"/>
              <w:rPr>
                <w:rFonts w:cs="宋体" w:asciiTheme="minorEastAsia" w:hAnsiTheme="minorEastAsia" w:eastAsiaTheme="minorEastAsia"/>
                <w:kern w:val="0"/>
                <w:szCs w:val="21"/>
                <w:highlight w:val="none"/>
              </w:rPr>
            </w:pPr>
            <w:r>
              <w:rPr>
                <w:rFonts w:cs="宋体" w:asciiTheme="minorEastAsia" w:hAnsiTheme="minorEastAsia" w:eastAsiaTheme="minorEastAsia"/>
                <w:kern w:val="0"/>
                <w:szCs w:val="21"/>
                <w:highlight w:val="none"/>
              </w:rPr>
              <w:t>-</w:t>
            </w:r>
          </w:p>
        </w:tc>
        <w:tc>
          <w:tcPr>
            <w:tcW w:w="3346" w:type="dxa"/>
            <w:vAlign w:val="center"/>
          </w:tcPr>
          <w:p w14:paraId="4CB45ED6">
            <w:pPr>
              <w:snapToGrid w:val="0"/>
              <w:rPr>
                <w:rFonts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按照中国电信供应商不良行为处理结果及《中国电信供应商不良行为管理规则》的结果执行规则[如涉及联合采购，请同时明确其他联合采购方的不良行为处理结果及相关规则]，应对投标人的本次投标执行限制采购处理措施的</w:t>
            </w:r>
            <w:r>
              <w:rPr>
                <w:rFonts w:cs="宋体" w:asciiTheme="minorEastAsia" w:hAnsiTheme="minorEastAsia" w:eastAsiaTheme="minorEastAsia"/>
                <w:color w:val="000000" w:themeColor="text1"/>
                <w:szCs w:val="21"/>
                <w14:textFill>
                  <w14:solidFill>
                    <w14:schemeClr w14:val="tx1"/>
                  </w14:solidFill>
                </w14:textFill>
              </w:rPr>
              <w:t>,</w:t>
            </w:r>
            <w:r>
              <w:rPr>
                <w:rFonts w:hint="eastAsia" w:cs="宋体" w:asciiTheme="minorEastAsia" w:hAnsiTheme="minorEastAsia" w:eastAsiaTheme="minorEastAsia"/>
                <w:color w:val="000000" w:themeColor="text1"/>
                <w:kern w:val="0"/>
                <w:szCs w:val="21"/>
                <w14:textFill>
                  <w14:solidFill>
                    <w14:schemeClr w14:val="tx1"/>
                  </w14:solidFill>
                </w14:textFill>
              </w:rPr>
              <w:t>评标委员会应按照</w:t>
            </w:r>
            <w:r>
              <w:rPr>
                <w:rFonts w:cs="宋体" w:asciiTheme="minorEastAsia" w:hAnsiTheme="minorEastAsia" w:eastAsiaTheme="minorEastAsia"/>
                <w:color w:val="000000" w:themeColor="text1"/>
                <w:kern w:val="0"/>
                <w:szCs w:val="21"/>
                <w14:textFill>
                  <w14:solidFill>
                    <w14:schemeClr w14:val="tx1"/>
                  </w14:solidFill>
                </w14:textFill>
              </w:rPr>
              <w:t>处理结果</w:t>
            </w:r>
            <w:r>
              <w:rPr>
                <w:rFonts w:hint="eastAsia" w:cs="宋体" w:asciiTheme="minorEastAsia" w:hAnsiTheme="minorEastAsia" w:eastAsiaTheme="minorEastAsia"/>
                <w:color w:val="000000" w:themeColor="text1"/>
                <w:kern w:val="0"/>
                <w:szCs w:val="21"/>
                <w14:textFill>
                  <w14:solidFill>
                    <w14:schemeClr w14:val="tx1"/>
                  </w14:solidFill>
                </w14:textFill>
              </w:rPr>
              <w:t>及规则扣减相应分值</w:t>
            </w:r>
            <w:r>
              <w:rPr>
                <w:rFonts w:hint="eastAsia" w:asciiTheme="minorEastAsia" w:hAnsiTheme="minorEastAsia" w:eastAsiaTheme="minorEastAsia"/>
                <w:color w:val="000000" w:themeColor="text1"/>
                <w:szCs w:val="21"/>
                <w14:textFill>
                  <w14:solidFill>
                    <w14:schemeClr w14:val="tx1"/>
                  </w14:solidFill>
                </w14:textFill>
              </w:rPr>
              <w:t>。</w:t>
            </w:r>
          </w:p>
          <w:p w14:paraId="7E1A5A1F">
            <w:pPr>
              <w:snapToGrid w:val="0"/>
              <w:jc w:val="left"/>
              <w:rPr>
                <w:rFonts w:cs="宋体" w:asciiTheme="minorEastAsia" w:hAnsiTheme="minorEastAsia" w:eastAsiaTheme="minorEastAsia"/>
                <w:kern w:val="0"/>
                <w:szCs w:val="21"/>
                <w:highlight w:val="none"/>
              </w:rPr>
            </w:pPr>
            <w:r>
              <w:rPr>
                <w:rFonts w:hint="eastAsia" w:ascii="宋体" w:hAnsi="宋体"/>
                <w:color w:val="000000" w:themeColor="text1"/>
                <w:szCs w:val="21"/>
                <w:highlight w:val="none"/>
                <w14:textFill>
                  <w14:solidFill>
                    <w14:schemeClr w14:val="tx1"/>
                  </w14:solidFill>
                </w14:textFill>
              </w:rPr>
              <w:t>同一标包或未划分标包的同一招标项目涉及多个产品评估品类的，投标</w:t>
            </w:r>
            <w:r>
              <w:rPr>
                <w:rFonts w:ascii="宋体" w:hAnsi="宋体"/>
                <w:color w:val="000000" w:themeColor="text1"/>
                <w:szCs w:val="21"/>
                <w:highlight w:val="none"/>
                <w14:textFill>
                  <w14:solidFill>
                    <w14:schemeClr w14:val="tx1"/>
                  </w14:solidFill>
                </w14:textFill>
              </w:rPr>
              <w:t>人及其</w:t>
            </w:r>
            <w:r>
              <w:rPr>
                <w:rFonts w:hint="eastAsia" w:ascii="宋体" w:hAnsi="宋体"/>
                <w:color w:val="000000" w:themeColor="text1"/>
                <w:szCs w:val="21"/>
                <w:highlight w:val="none"/>
                <w14:textFill>
                  <w14:solidFill>
                    <w14:schemeClr w14:val="tx1"/>
                  </w14:solidFill>
                </w14:textFill>
              </w:rPr>
              <w:t>任一产品品类</w:t>
            </w:r>
            <w:r>
              <w:rPr>
                <w:rFonts w:hint="eastAsia" w:ascii="宋体" w:hAnsi="宋体" w:cs="宋体"/>
                <w:color w:val="000000" w:themeColor="text1"/>
                <w:kern w:val="0"/>
                <w:szCs w:val="21"/>
                <w:highlight w:val="none"/>
                <w14:textFill>
                  <w14:solidFill>
                    <w14:schemeClr w14:val="tx1"/>
                  </w14:solidFill>
                </w14:textFill>
              </w:rPr>
              <w:t>涉及相关限制采购处理</w:t>
            </w:r>
            <w:r>
              <w:rPr>
                <w:rFonts w:ascii="宋体" w:hAnsi="宋体" w:cs="宋体"/>
                <w:color w:val="000000" w:themeColor="text1"/>
                <w:kern w:val="0"/>
                <w:szCs w:val="21"/>
                <w:highlight w:val="none"/>
                <w14:textFill>
                  <w14:solidFill>
                    <w14:schemeClr w14:val="tx1"/>
                  </w14:solidFill>
                </w14:textFill>
              </w:rPr>
              <w:t>结果的</w:t>
            </w:r>
            <w:r>
              <w:rPr>
                <w:rFonts w:hint="eastAsia" w:ascii="宋体" w:hAnsi="宋体" w:cs="宋体"/>
                <w:color w:val="000000" w:themeColor="text1"/>
                <w:kern w:val="0"/>
                <w:szCs w:val="21"/>
                <w:highlight w:val="none"/>
                <w14:textFill>
                  <w14:solidFill>
                    <w14:schemeClr w14:val="tx1"/>
                  </w14:solidFill>
                </w14:textFill>
              </w:rPr>
              <w:t>，该标包或招标项目均应适用相关的限制</w:t>
            </w:r>
            <w:r>
              <w:rPr>
                <w:rFonts w:ascii="宋体" w:hAnsi="宋体" w:cs="宋体"/>
                <w:color w:val="000000" w:themeColor="text1"/>
                <w:kern w:val="0"/>
                <w:szCs w:val="21"/>
                <w:highlight w:val="none"/>
                <w14:textFill>
                  <w14:solidFill>
                    <w14:schemeClr w14:val="tx1"/>
                  </w14:solidFill>
                </w14:textFill>
              </w:rPr>
              <w:t>采购处理措施</w:t>
            </w:r>
            <w:r>
              <w:rPr>
                <w:rFonts w:hint="eastAsia" w:ascii="宋体" w:hAnsi="宋体" w:cs="宋体"/>
                <w:color w:val="000000" w:themeColor="text1"/>
                <w:kern w:val="0"/>
                <w:szCs w:val="21"/>
                <w:highlight w:val="none"/>
                <w14:textFill>
                  <w14:solidFill>
                    <w14:schemeClr w14:val="tx1"/>
                  </w14:solidFill>
                </w14:textFill>
              </w:rPr>
              <w:t>。</w:t>
            </w:r>
          </w:p>
        </w:tc>
      </w:tr>
      <w:tr w14:paraId="578A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6485B027">
            <w:pPr>
              <w:snapToGrid w:val="0"/>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3.2．2</w:t>
            </w:r>
          </w:p>
        </w:tc>
        <w:tc>
          <w:tcPr>
            <w:tcW w:w="1276" w:type="dxa"/>
            <w:vAlign w:val="center"/>
          </w:tcPr>
          <w:p w14:paraId="6573A39A">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评分计算原则</w:t>
            </w:r>
          </w:p>
        </w:tc>
        <w:tc>
          <w:tcPr>
            <w:tcW w:w="6985" w:type="dxa"/>
            <w:gridSpan w:val="4"/>
            <w:vAlign w:val="center"/>
          </w:tcPr>
          <w:p w14:paraId="56820EB9">
            <w:pPr>
              <w:snapToGrid w:val="0"/>
              <w:rPr>
                <w:rFonts w:cs="宋体" w:asciiTheme="minorEastAsia" w:hAnsiTheme="minorEastAsia" w:eastAsiaTheme="minorEastAsia"/>
                <w:kern w:val="0"/>
                <w:szCs w:val="21"/>
                <w:highlight w:val="none"/>
              </w:rPr>
            </w:pPr>
            <w:r>
              <w:rPr>
                <w:rFonts w:hint="eastAsia" w:ascii="宋体" w:hAnsi="宋体"/>
                <w:color w:val="000000" w:themeColor="text1"/>
                <w:szCs w:val="21"/>
                <w:highlight w:val="none"/>
                <w14:textFill>
                  <w14:solidFill>
                    <w14:schemeClr w14:val="tx1"/>
                  </w14:solidFill>
                </w14:textFill>
              </w:rPr>
              <w:t>按四舍五入保留2位小数。</w:t>
            </w:r>
          </w:p>
        </w:tc>
      </w:tr>
      <w:tr w14:paraId="474E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798D1C8F">
            <w:pPr>
              <w:snapToGrid w:val="0"/>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3.4.1</w:t>
            </w:r>
          </w:p>
        </w:tc>
        <w:tc>
          <w:tcPr>
            <w:tcW w:w="1276" w:type="dxa"/>
            <w:vAlign w:val="center"/>
          </w:tcPr>
          <w:p w14:paraId="1F666F04">
            <w:pPr>
              <w:snapToGrid w:val="0"/>
              <w:jc w:val="left"/>
              <w:rPr>
                <w:rFonts w:cs="宋体" w:asciiTheme="minorEastAsia" w:hAnsiTheme="minorEastAsia" w:eastAsiaTheme="minorEastAsia"/>
                <w:kern w:val="0"/>
                <w:szCs w:val="21"/>
                <w:highlight w:val="none"/>
              </w:rPr>
            </w:pPr>
            <w:r>
              <w:rPr>
                <w:rFonts w:hint="eastAsia" w:asciiTheme="minorEastAsia" w:hAnsiTheme="minorEastAsia" w:eastAsiaTheme="minorEastAsia"/>
                <w:highlight w:val="none"/>
              </w:rPr>
              <w:t>综合评分相同的处理原则</w:t>
            </w:r>
          </w:p>
        </w:tc>
        <w:tc>
          <w:tcPr>
            <w:tcW w:w="6985" w:type="dxa"/>
            <w:gridSpan w:val="4"/>
            <w:vAlign w:val="center"/>
          </w:tcPr>
          <w:p w14:paraId="59BF1F6F">
            <w:pPr>
              <w:pStyle w:val="101"/>
              <w:snapToGrid w:val="0"/>
              <w:ind w:left="14" w:firstLine="0" w:firstLineChars="0"/>
              <w:rPr>
                <w:rFonts w:cs="宋体" w:asciiTheme="minorEastAsia" w:hAnsiTheme="minorEastAsia" w:eastAsiaTheme="minorEastAsia"/>
                <w:kern w:val="0"/>
                <w:szCs w:val="21"/>
                <w:highlight w:val="none"/>
              </w:rPr>
            </w:pPr>
            <w:r>
              <w:rPr>
                <w:rFonts w:hint="eastAsia" w:cs="宋体" w:asciiTheme="minorEastAsia" w:hAnsiTheme="minorEastAsia" w:eastAsiaTheme="minorEastAsia"/>
                <w:szCs w:val="21"/>
                <w:highlight w:val="none"/>
              </w:rPr>
              <w:t>综合得分相同的，价格得分高者排名优先；价格得分相同的，技术得分高者排名优先；技术得分相同的，商务得分高者排名优先；商务得分相同的，业绩累计</w:t>
            </w:r>
            <w:r>
              <w:rPr>
                <w:rFonts w:hint="eastAsia" w:cs="宋体" w:asciiTheme="minorEastAsia" w:hAnsiTheme="minorEastAsia" w:eastAsiaTheme="minorEastAsia"/>
                <w:szCs w:val="21"/>
                <w:highlight w:val="none"/>
                <w:lang w:val="en-US" w:eastAsia="zh-CN"/>
              </w:rPr>
              <w:t>含税金额</w:t>
            </w:r>
            <w:r>
              <w:rPr>
                <w:rFonts w:hint="eastAsia" w:cs="宋体" w:asciiTheme="minorEastAsia" w:hAnsiTheme="minorEastAsia" w:eastAsiaTheme="minorEastAsia"/>
                <w:szCs w:val="21"/>
                <w:highlight w:val="none"/>
              </w:rPr>
              <w:t>高者排名优先。</w:t>
            </w:r>
          </w:p>
        </w:tc>
      </w:tr>
      <w:tr w14:paraId="127F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569AB316">
            <w:pPr>
              <w:snapToGrid w:val="0"/>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3.4.2</w:t>
            </w:r>
          </w:p>
        </w:tc>
        <w:tc>
          <w:tcPr>
            <w:tcW w:w="1276" w:type="dxa"/>
            <w:vAlign w:val="center"/>
          </w:tcPr>
          <w:p w14:paraId="54666F9B">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中标候选人推荐原则</w:t>
            </w:r>
          </w:p>
        </w:tc>
        <w:tc>
          <w:tcPr>
            <w:tcW w:w="6985" w:type="dxa"/>
            <w:gridSpan w:val="4"/>
            <w:vAlign w:val="center"/>
          </w:tcPr>
          <w:p w14:paraId="7E0A7DC9">
            <w:pPr>
              <w:pStyle w:val="101"/>
              <w:snapToGrid w:val="0"/>
              <w:ind w:left="14" w:firstLine="0" w:firstLineChars="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详见第二章投标人须知6.4条款。</w:t>
            </w:r>
          </w:p>
        </w:tc>
      </w:tr>
    </w:tbl>
    <w:p w14:paraId="4C997BEA">
      <w:pPr>
        <w:widowControl/>
        <w:jc w:val="left"/>
        <w:rPr>
          <w:rFonts w:ascii="宋体" w:hAnsi="宋体" w:cs="宋体"/>
          <w:b/>
          <w:bCs/>
          <w:color w:val="000000" w:themeColor="text1"/>
          <w:szCs w:val="21"/>
          <w:highlight w:val="none"/>
          <w14:textFill>
            <w14:solidFill>
              <w14:schemeClr w14:val="tx1"/>
            </w14:solidFill>
          </w14:textFill>
        </w:rPr>
      </w:pPr>
    </w:p>
    <w:p w14:paraId="6041CFBB">
      <w:pPr>
        <w:widowControl/>
        <w:jc w:val="left"/>
        <w:rPr>
          <w:rFonts w:ascii="宋体" w:hAnsi="宋体" w:cs="宋体"/>
          <w:b/>
          <w:bCs/>
          <w:color w:val="000000" w:themeColor="text1"/>
          <w:szCs w:val="21"/>
          <w:highlight w:val="none"/>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t>1.</w:t>
      </w:r>
      <w:r>
        <w:rPr>
          <w:rFonts w:hint="eastAsia" w:ascii="宋体" w:hAnsi="宋体" w:cs="宋体"/>
          <w:b/>
          <w:bCs/>
          <w:color w:val="000000" w:themeColor="text1"/>
          <w:szCs w:val="21"/>
          <w:highlight w:val="none"/>
          <w14:textFill>
            <w14:solidFill>
              <w14:schemeClr w14:val="tx1"/>
            </w14:solidFill>
          </w14:textFill>
        </w:rPr>
        <w:t>商务</w:t>
      </w:r>
      <w:r>
        <w:rPr>
          <w:rFonts w:ascii="宋体" w:hAnsi="宋体" w:cs="宋体"/>
          <w:b/>
          <w:bCs/>
          <w:color w:val="000000" w:themeColor="text1"/>
          <w:szCs w:val="21"/>
          <w:highlight w:val="none"/>
          <w14:textFill>
            <w14:solidFill>
              <w14:schemeClr w14:val="tx1"/>
            </w14:solidFill>
          </w14:textFill>
        </w:rPr>
        <w:t>详细评审标准表</w:t>
      </w: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5</w:t>
      </w:r>
      <w:r>
        <w:rPr>
          <w:rFonts w:hint="eastAsia" w:ascii="宋体" w:hAnsi="宋体" w:cs="宋体"/>
          <w:b/>
          <w:bCs/>
          <w:color w:val="000000" w:themeColor="text1"/>
          <w:szCs w:val="21"/>
          <w:highlight w:val="none"/>
          <w14:textFill>
            <w14:solidFill>
              <w14:schemeClr w14:val="tx1"/>
            </w14:solidFill>
          </w14:textFill>
        </w:rPr>
        <w:t>分）</w:t>
      </w:r>
    </w:p>
    <w:tbl>
      <w:tblPr>
        <w:tblStyle w:val="85"/>
        <w:tblW w:w="5379" w:type="pct"/>
        <w:tblInd w:w="0" w:type="dxa"/>
        <w:tblLayout w:type="autofit"/>
        <w:tblCellMar>
          <w:top w:w="0" w:type="dxa"/>
          <w:left w:w="108" w:type="dxa"/>
          <w:bottom w:w="0" w:type="dxa"/>
          <w:right w:w="108" w:type="dxa"/>
        </w:tblCellMar>
      </w:tblPr>
      <w:tblGrid>
        <w:gridCol w:w="799"/>
        <w:gridCol w:w="1418"/>
        <w:gridCol w:w="5471"/>
        <w:gridCol w:w="1480"/>
      </w:tblGrid>
      <w:tr w14:paraId="5636F067">
        <w:tblPrEx>
          <w:tblCellMar>
            <w:top w:w="0" w:type="dxa"/>
            <w:left w:w="108" w:type="dxa"/>
            <w:bottom w:w="0" w:type="dxa"/>
            <w:right w:w="108" w:type="dxa"/>
          </w:tblCellMar>
        </w:tblPrEx>
        <w:trPr>
          <w:trHeight w:val="430" w:hRule="atLeast"/>
        </w:trPr>
        <w:tc>
          <w:tcPr>
            <w:tcW w:w="436" w:type="pct"/>
            <w:tcBorders>
              <w:top w:val="single" w:color="auto" w:sz="4" w:space="0"/>
              <w:left w:val="single" w:color="auto" w:sz="4" w:space="0"/>
              <w:bottom w:val="single" w:color="auto" w:sz="4" w:space="0"/>
              <w:right w:val="single" w:color="auto" w:sz="4" w:space="0"/>
            </w:tcBorders>
            <w:shd w:val="clear" w:color="000000" w:fill="auto"/>
            <w:vAlign w:val="center"/>
          </w:tcPr>
          <w:p w14:paraId="7060709A">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序号</w:t>
            </w:r>
          </w:p>
        </w:tc>
        <w:tc>
          <w:tcPr>
            <w:tcW w:w="773" w:type="pct"/>
            <w:tcBorders>
              <w:top w:val="single" w:color="auto" w:sz="4" w:space="0"/>
              <w:left w:val="single" w:color="auto" w:sz="4" w:space="0"/>
              <w:bottom w:val="single" w:color="auto" w:sz="4" w:space="0"/>
              <w:right w:val="single" w:color="auto" w:sz="4" w:space="0"/>
            </w:tcBorders>
            <w:shd w:val="clear" w:color="000000" w:fill="auto"/>
            <w:vAlign w:val="center"/>
          </w:tcPr>
          <w:p w14:paraId="624D9C9F">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评审因素</w:t>
            </w:r>
          </w:p>
        </w:tc>
        <w:tc>
          <w:tcPr>
            <w:tcW w:w="2982" w:type="pct"/>
            <w:tcBorders>
              <w:top w:val="single" w:color="auto" w:sz="4" w:space="0"/>
              <w:left w:val="nil"/>
              <w:bottom w:val="single" w:color="auto" w:sz="4" w:space="0"/>
              <w:right w:val="single" w:color="auto" w:sz="4" w:space="0"/>
            </w:tcBorders>
            <w:shd w:val="clear" w:color="000000" w:fill="auto"/>
            <w:vAlign w:val="center"/>
          </w:tcPr>
          <w:p w14:paraId="5F53B6CF">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详细评分规则</w:t>
            </w:r>
          </w:p>
        </w:tc>
        <w:tc>
          <w:tcPr>
            <w:tcW w:w="807" w:type="pct"/>
            <w:tcBorders>
              <w:top w:val="single" w:color="auto" w:sz="4" w:space="0"/>
              <w:left w:val="nil"/>
              <w:bottom w:val="single" w:color="auto" w:sz="4" w:space="0"/>
              <w:right w:val="single" w:color="auto" w:sz="4" w:space="0"/>
            </w:tcBorders>
            <w:shd w:val="clear" w:color="auto" w:fill="auto"/>
            <w:vAlign w:val="center"/>
          </w:tcPr>
          <w:p w14:paraId="469E4F49">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权重比值</w:t>
            </w:r>
          </w:p>
        </w:tc>
      </w:tr>
      <w:tr w14:paraId="3B4E1A71">
        <w:tblPrEx>
          <w:tblCellMar>
            <w:top w:w="0" w:type="dxa"/>
            <w:left w:w="108" w:type="dxa"/>
            <w:bottom w:w="0" w:type="dxa"/>
            <w:right w:w="108" w:type="dxa"/>
          </w:tblCellMar>
        </w:tblPrEx>
        <w:trPr>
          <w:trHeight w:val="90" w:hRule="atLeast"/>
        </w:trPr>
        <w:tc>
          <w:tcPr>
            <w:tcW w:w="436" w:type="pct"/>
            <w:tcBorders>
              <w:top w:val="single" w:color="auto" w:sz="4" w:space="0"/>
              <w:left w:val="single" w:color="auto" w:sz="4" w:space="0"/>
              <w:bottom w:val="single" w:color="auto" w:sz="4" w:space="0"/>
              <w:right w:val="single" w:color="auto" w:sz="4" w:space="0"/>
            </w:tcBorders>
            <w:shd w:val="clear" w:color="000000" w:fill="auto"/>
            <w:vAlign w:val="center"/>
          </w:tcPr>
          <w:p w14:paraId="324896DF">
            <w:pPr>
              <w:widowControl/>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w:t>
            </w:r>
          </w:p>
        </w:tc>
        <w:tc>
          <w:tcPr>
            <w:tcW w:w="773" w:type="pct"/>
            <w:tcBorders>
              <w:top w:val="single" w:color="auto" w:sz="4" w:space="0"/>
              <w:left w:val="single" w:color="auto" w:sz="4" w:space="0"/>
              <w:bottom w:val="single" w:color="auto" w:sz="4" w:space="0"/>
              <w:right w:val="single" w:color="auto" w:sz="4" w:space="0"/>
            </w:tcBorders>
            <w:shd w:val="clear" w:color="000000" w:fill="auto"/>
            <w:vAlign w:val="center"/>
          </w:tcPr>
          <w:p w14:paraId="6366940D">
            <w:pPr>
              <w:widowControl/>
              <w:jc w:val="center"/>
              <w:rPr>
                <w:kern w:val="0"/>
                <w:sz w:val="20"/>
                <w:szCs w:val="20"/>
                <w:highlight w:val="none"/>
              </w:rPr>
            </w:pPr>
            <w:r>
              <w:rPr>
                <w:rFonts w:hint="eastAsia"/>
                <w:sz w:val="20"/>
                <w:szCs w:val="20"/>
                <w:highlight w:val="none"/>
              </w:rPr>
              <w:t>案例与业绩</w:t>
            </w:r>
          </w:p>
        </w:tc>
        <w:tc>
          <w:tcPr>
            <w:tcW w:w="2982" w:type="pct"/>
            <w:tcBorders>
              <w:top w:val="single" w:color="auto" w:sz="4" w:space="0"/>
              <w:left w:val="nil"/>
              <w:bottom w:val="single" w:color="auto" w:sz="4" w:space="0"/>
              <w:right w:val="single" w:color="auto" w:sz="4" w:space="0"/>
            </w:tcBorders>
            <w:shd w:val="clear" w:color="000000" w:fill="auto"/>
            <w:vAlign w:val="center"/>
          </w:tcPr>
          <w:p w14:paraId="433EA06A">
            <w:pPr>
              <w:keepNext w:val="0"/>
              <w:keepLines w:val="0"/>
              <w:widowControl/>
              <w:suppressLineNumbers w:val="0"/>
              <w:jc w:val="both"/>
              <w:textAlignment w:val="center"/>
              <w:rPr>
                <w:rFonts w:hint="eastAsia"/>
                <w:b/>
                <w:bCs/>
              </w:rPr>
            </w:pPr>
            <w:r>
              <w:rPr>
                <w:rFonts w:hint="eastAsia"/>
                <w:b/>
                <w:bCs/>
              </w:rPr>
              <w:t>案例和业绩评分（</w:t>
            </w:r>
            <w:r>
              <w:rPr>
                <w:rFonts w:hint="eastAsia"/>
                <w:b/>
                <w:bCs/>
                <w:lang w:val="en-US" w:eastAsia="zh-CN"/>
              </w:rPr>
              <w:t>4</w:t>
            </w:r>
            <w:r>
              <w:rPr>
                <w:rFonts w:hint="eastAsia"/>
                <w:b/>
                <w:bCs/>
              </w:rPr>
              <w:t>分）：</w:t>
            </w:r>
          </w:p>
          <w:p w14:paraId="66A7E903">
            <w:pPr>
              <w:keepNext w:val="0"/>
              <w:keepLines w:val="0"/>
              <w:widowControl/>
              <w:suppressLineNumbers w:val="0"/>
              <w:jc w:val="both"/>
              <w:textAlignment w:val="center"/>
              <w:rPr>
                <w:rFonts w:hint="eastAsia" w:ascii="Times New Roman" w:hAnsi="Times New Roman" w:eastAsia="宋体" w:cs="Times New Roman"/>
                <w:b w:val="0"/>
                <w:bCs w:val="0"/>
              </w:rPr>
            </w:pPr>
            <w:r>
              <w:rPr>
                <w:rFonts w:hint="eastAsia" w:ascii="Times New Roman" w:hAnsi="Times New Roman" w:eastAsia="宋体" w:cs="Times New Roman"/>
                <w:b w:val="0"/>
                <w:bCs w:val="0"/>
              </w:rPr>
              <w:t>根据投标人2021年1月1日至今完成的类似项目（数据库授权类）业绩累计含税金额进行评分。100万以下不得分，100万（含）得1分，在100万基础上每增加30万加1分，最多加3分，本项满分4分；未提供或其他情况不得分。</w:t>
            </w:r>
          </w:p>
          <w:p w14:paraId="1068929A">
            <w:pPr>
              <w:keepNext w:val="0"/>
              <w:keepLines w:val="0"/>
              <w:widowControl/>
              <w:suppressLineNumbers w:val="0"/>
              <w:jc w:val="both"/>
              <w:textAlignment w:val="center"/>
              <w:rPr>
                <w:sz w:val="20"/>
                <w:szCs w:val="20"/>
                <w:highlight w:val="none"/>
              </w:rPr>
            </w:pPr>
            <w:r>
              <w:rPr>
                <w:rFonts w:hint="eastAsia" w:ascii="Times New Roman" w:hAnsi="Times New Roman" w:eastAsia="宋体" w:cs="Times New Roman"/>
                <w:b w:val="0"/>
                <w:bCs w:val="0"/>
              </w:rPr>
              <w:t xml:space="preserve">注：投标人须提供合同证明材料，证明材料如为单项合同，须提供合同首页、服务内容页、金额页、双方签字盖章页等关键页；若提供的是框架合同，须提供合同首页、采购清单页、双方签字盖章页等关键页，同时还需提供合同订单或结算单等相关证明，否则不得分。框架合同金额按订单或结算单累计金额计算，合同扫描不清晰无法辨别或提供资料不完整的，不能作为证明材料。    </w:t>
            </w:r>
          </w:p>
        </w:tc>
        <w:tc>
          <w:tcPr>
            <w:tcW w:w="807" w:type="pct"/>
            <w:tcBorders>
              <w:top w:val="single" w:color="auto" w:sz="4" w:space="0"/>
              <w:left w:val="nil"/>
              <w:bottom w:val="single" w:color="auto" w:sz="4" w:space="0"/>
              <w:right w:val="single" w:color="auto" w:sz="4" w:space="0"/>
            </w:tcBorders>
            <w:shd w:val="clear" w:color="auto" w:fill="auto"/>
            <w:vAlign w:val="center"/>
          </w:tcPr>
          <w:p w14:paraId="12AF0913">
            <w:pPr>
              <w:keepNext w:val="0"/>
              <w:keepLines w:val="0"/>
              <w:widowControl/>
              <w:suppressLineNumbers w:val="0"/>
              <w:jc w:val="center"/>
              <w:textAlignment w:val="center"/>
              <w:rPr>
                <w:rFonts w:hint="default"/>
                <w:kern w:val="0"/>
                <w:sz w:val="20"/>
                <w:szCs w:val="20"/>
                <w:highlight w:val="none"/>
                <w:lang w:val="en-US"/>
              </w:rPr>
            </w:pPr>
            <w:r>
              <w:rPr>
                <w:rFonts w:hint="eastAsia" w:ascii="宋体" w:hAnsi="宋体" w:cs="宋体"/>
                <w:i w:val="0"/>
                <w:iCs w:val="0"/>
                <w:color w:val="000000"/>
                <w:kern w:val="0"/>
                <w:sz w:val="20"/>
                <w:szCs w:val="20"/>
                <w:u w:val="none"/>
                <w:lang w:val="en-US" w:eastAsia="zh-CN" w:bidi="ar"/>
              </w:rPr>
              <w:t>4</w:t>
            </w:r>
          </w:p>
        </w:tc>
      </w:tr>
      <w:tr w14:paraId="73EFF407">
        <w:tblPrEx>
          <w:tblCellMar>
            <w:top w:w="0" w:type="dxa"/>
            <w:left w:w="108" w:type="dxa"/>
            <w:bottom w:w="0" w:type="dxa"/>
            <w:right w:w="108" w:type="dxa"/>
          </w:tblCellMar>
        </w:tblPrEx>
        <w:trPr>
          <w:trHeight w:val="740" w:hRule="atLeast"/>
        </w:trPr>
        <w:tc>
          <w:tcPr>
            <w:tcW w:w="436" w:type="pct"/>
            <w:tcBorders>
              <w:top w:val="single" w:color="auto" w:sz="4" w:space="0"/>
              <w:left w:val="single" w:color="auto" w:sz="4" w:space="0"/>
              <w:bottom w:val="single" w:color="auto" w:sz="4" w:space="0"/>
              <w:right w:val="single" w:color="auto" w:sz="4" w:space="0"/>
            </w:tcBorders>
            <w:shd w:val="clear" w:color="000000" w:fill="auto"/>
            <w:vAlign w:val="center"/>
          </w:tcPr>
          <w:p w14:paraId="69A0F6DC">
            <w:pPr>
              <w:widowControl/>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2</w:t>
            </w:r>
          </w:p>
        </w:tc>
        <w:tc>
          <w:tcPr>
            <w:tcW w:w="773" w:type="pct"/>
            <w:tcBorders>
              <w:top w:val="single" w:color="auto" w:sz="4" w:space="0"/>
              <w:left w:val="single" w:color="auto" w:sz="4" w:space="0"/>
              <w:bottom w:val="single" w:color="auto" w:sz="4" w:space="0"/>
              <w:right w:val="single" w:color="auto" w:sz="4" w:space="0"/>
            </w:tcBorders>
            <w:shd w:val="clear" w:color="000000" w:fill="auto"/>
            <w:vAlign w:val="center"/>
          </w:tcPr>
          <w:p w14:paraId="0EED31AD">
            <w:pPr>
              <w:widowControl/>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sz w:val="20"/>
                <w:szCs w:val="20"/>
                <w:highlight w:val="none"/>
              </w:rPr>
              <w:t>技术条款满足度</w:t>
            </w:r>
          </w:p>
        </w:tc>
        <w:tc>
          <w:tcPr>
            <w:tcW w:w="2982" w:type="pct"/>
            <w:tcBorders>
              <w:top w:val="single" w:color="auto" w:sz="4" w:space="0"/>
              <w:left w:val="nil"/>
              <w:bottom w:val="single" w:color="auto" w:sz="4" w:space="0"/>
              <w:right w:val="single" w:color="auto" w:sz="4" w:space="0"/>
            </w:tcBorders>
            <w:shd w:val="clear" w:color="000000" w:fill="auto"/>
            <w:vAlign w:val="center"/>
          </w:tcPr>
          <w:p w14:paraId="6A0B81FE">
            <w:pPr>
              <w:keepNext w:val="0"/>
              <w:keepLines w:val="0"/>
              <w:widowControl/>
              <w:suppressLineNumbers w:val="0"/>
              <w:jc w:val="both"/>
              <w:textAlignment w:val="center"/>
              <w:rPr>
                <w:sz w:val="20"/>
                <w:szCs w:val="20"/>
                <w:highlight w:val="none"/>
              </w:rPr>
            </w:pPr>
            <w:r>
              <w:rPr>
                <w:rFonts w:hint="eastAsia" w:ascii="宋体" w:hAnsi="宋体" w:eastAsia="宋体" w:cs="宋体"/>
                <w:b/>
                <w:bCs/>
                <w:i w:val="0"/>
                <w:iCs w:val="0"/>
                <w:color w:val="000000"/>
                <w:kern w:val="0"/>
                <w:sz w:val="20"/>
                <w:szCs w:val="20"/>
                <w:u w:val="none"/>
                <w:lang w:val="en-US" w:eastAsia="zh-CN" w:bidi="ar"/>
              </w:rPr>
              <w:t>非实质性条款的偏离情况评分（0.5分）：</w:t>
            </w:r>
            <w:r>
              <w:rPr>
                <w:rFonts w:hint="eastAsia" w:ascii="宋体" w:hAnsi="宋体" w:eastAsia="宋体" w:cs="宋体"/>
                <w:b w:val="0"/>
                <w:bCs w:val="0"/>
                <w:i w:val="0"/>
                <w:iCs w:val="0"/>
                <w:color w:val="000000"/>
                <w:kern w:val="0"/>
                <w:sz w:val="20"/>
                <w:szCs w:val="20"/>
                <w:u w:val="none"/>
                <w:lang w:val="en-US" w:eastAsia="zh-CN" w:bidi="ar"/>
              </w:rPr>
              <w:t>招标文件中未标注“★”的技术条款负偏离达到6项将被否决投标，低于6项的负偏离每项扣0.1分，扣完0.5分为止。</w:t>
            </w:r>
          </w:p>
        </w:tc>
        <w:tc>
          <w:tcPr>
            <w:tcW w:w="807" w:type="pct"/>
            <w:tcBorders>
              <w:top w:val="single" w:color="auto" w:sz="4" w:space="0"/>
              <w:left w:val="nil"/>
              <w:bottom w:val="single" w:color="auto" w:sz="4" w:space="0"/>
              <w:right w:val="single" w:color="auto" w:sz="4" w:space="0"/>
            </w:tcBorders>
            <w:shd w:val="clear" w:color="auto" w:fill="auto"/>
            <w:vAlign w:val="center"/>
          </w:tcPr>
          <w:p w14:paraId="4FE99F9F">
            <w:pPr>
              <w:keepNext w:val="0"/>
              <w:keepLines w:val="0"/>
              <w:widowControl/>
              <w:suppressLineNumbers w:val="0"/>
              <w:jc w:val="center"/>
              <w:textAlignment w:val="center"/>
              <w:rPr>
                <w:rFonts w:hint="default" w:ascii="宋体" w:hAnsi="宋体" w:cs="宋体"/>
                <w:color w:val="000000" w:themeColor="text1"/>
                <w:kern w:val="0"/>
                <w:szCs w:val="21"/>
                <w:highlight w:val="none"/>
                <w:lang w:val="en-US"/>
                <w14:textFill>
                  <w14:solidFill>
                    <w14:schemeClr w14:val="tx1"/>
                  </w14:solidFill>
                </w14:textFill>
              </w:rPr>
            </w:pPr>
            <w:r>
              <w:rPr>
                <w:rFonts w:hint="eastAsia" w:ascii="宋体" w:hAnsi="宋体" w:cs="宋体"/>
                <w:i w:val="0"/>
                <w:iCs w:val="0"/>
                <w:color w:val="000000"/>
                <w:kern w:val="0"/>
                <w:sz w:val="20"/>
                <w:szCs w:val="20"/>
                <w:u w:val="none"/>
                <w:lang w:val="en-US" w:eastAsia="zh-CN" w:bidi="ar"/>
              </w:rPr>
              <w:t>0.5</w:t>
            </w:r>
          </w:p>
        </w:tc>
      </w:tr>
      <w:tr w14:paraId="513EA25E">
        <w:tblPrEx>
          <w:tblCellMar>
            <w:top w:w="0" w:type="dxa"/>
            <w:left w:w="108" w:type="dxa"/>
            <w:bottom w:w="0" w:type="dxa"/>
            <w:right w:w="108" w:type="dxa"/>
          </w:tblCellMar>
        </w:tblPrEx>
        <w:trPr>
          <w:trHeight w:val="1380" w:hRule="atLeast"/>
        </w:trPr>
        <w:tc>
          <w:tcPr>
            <w:tcW w:w="436" w:type="pct"/>
            <w:tcBorders>
              <w:top w:val="nil"/>
              <w:left w:val="single" w:color="auto" w:sz="4" w:space="0"/>
              <w:bottom w:val="single" w:color="auto" w:sz="4" w:space="0"/>
              <w:right w:val="single" w:color="auto" w:sz="4" w:space="0"/>
            </w:tcBorders>
            <w:shd w:val="clear" w:color="000000" w:fill="auto"/>
            <w:vAlign w:val="center"/>
          </w:tcPr>
          <w:p w14:paraId="32D46764">
            <w:pPr>
              <w:widowControl/>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3</w:t>
            </w:r>
          </w:p>
        </w:tc>
        <w:tc>
          <w:tcPr>
            <w:tcW w:w="773" w:type="pct"/>
            <w:tcBorders>
              <w:top w:val="nil"/>
              <w:left w:val="single" w:color="auto" w:sz="4" w:space="0"/>
              <w:bottom w:val="single" w:color="auto" w:sz="4" w:space="0"/>
              <w:right w:val="single" w:color="auto" w:sz="4" w:space="0"/>
            </w:tcBorders>
            <w:shd w:val="clear" w:color="000000" w:fill="auto"/>
            <w:vAlign w:val="center"/>
          </w:tcPr>
          <w:p w14:paraId="1315176F">
            <w:pPr>
              <w:widowControl/>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sz w:val="20"/>
                <w:szCs w:val="20"/>
                <w:highlight w:val="none"/>
              </w:rPr>
              <w:t>投标文件应答和制作情况</w:t>
            </w:r>
          </w:p>
        </w:tc>
        <w:tc>
          <w:tcPr>
            <w:tcW w:w="2982" w:type="pct"/>
            <w:tcBorders>
              <w:top w:val="nil"/>
              <w:left w:val="nil"/>
              <w:bottom w:val="single" w:color="auto" w:sz="4" w:space="0"/>
              <w:right w:val="single" w:color="auto" w:sz="4" w:space="0"/>
            </w:tcBorders>
            <w:shd w:val="clear" w:color="000000" w:fill="auto"/>
            <w:vAlign w:val="center"/>
          </w:tcPr>
          <w:p w14:paraId="00FCC45B">
            <w:pPr>
              <w:keepNext w:val="0"/>
              <w:keepLines w:val="0"/>
              <w:widowControl/>
              <w:suppressLineNumbers w:val="0"/>
              <w:jc w:val="left"/>
              <w:textAlignment w:val="center"/>
              <w:rPr>
                <w:sz w:val="20"/>
                <w:szCs w:val="20"/>
                <w:highlight w:val="none"/>
              </w:rPr>
            </w:pPr>
            <w:r>
              <w:rPr>
                <w:rFonts w:hint="eastAsia" w:ascii="宋体" w:hAnsi="宋体" w:eastAsia="宋体" w:cs="宋体"/>
                <w:b/>
                <w:bCs/>
                <w:i w:val="0"/>
                <w:iCs w:val="0"/>
                <w:color w:val="000000"/>
                <w:kern w:val="0"/>
                <w:sz w:val="20"/>
                <w:szCs w:val="20"/>
                <w:u w:val="none"/>
                <w:lang w:val="en-US" w:eastAsia="zh-CN" w:bidi="ar"/>
              </w:rPr>
              <w:t>投标文件制作情况评分（</w:t>
            </w:r>
            <w:r>
              <w:rPr>
                <w:rFonts w:hint="eastAsia" w:ascii="宋体" w:hAnsi="宋体" w:cs="宋体"/>
                <w:b/>
                <w:bCs/>
                <w:i w:val="0"/>
                <w:iCs w:val="0"/>
                <w:color w:val="000000"/>
                <w:kern w:val="0"/>
                <w:sz w:val="20"/>
                <w:szCs w:val="20"/>
                <w:u w:val="none"/>
                <w:lang w:val="en-US" w:eastAsia="zh-CN" w:bidi="ar"/>
              </w:rPr>
              <w:t>0.5</w:t>
            </w:r>
            <w:r>
              <w:rPr>
                <w:rFonts w:hint="eastAsia" w:ascii="宋体" w:hAnsi="宋体" w:eastAsia="宋体" w:cs="宋体"/>
                <w:b/>
                <w:bCs/>
                <w:i w:val="0"/>
                <w:iCs w:val="0"/>
                <w:color w:val="000000"/>
                <w:kern w:val="0"/>
                <w:sz w:val="20"/>
                <w:szCs w:val="20"/>
                <w:u w:val="none"/>
                <w:lang w:val="en-US" w:eastAsia="zh-CN" w:bidi="ar"/>
              </w:rPr>
              <w:t>分）：</w:t>
            </w:r>
            <w:r>
              <w:rPr>
                <w:rFonts w:hint="eastAsia" w:ascii="宋体" w:hAnsi="宋体" w:eastAsia="宋体" w:cs="宋体"/>
                <w:i w:val="0"/>
                <w:iCs w:val="0"/>
                <w:color w:val="000000"/>
                <w:kern w:val="0"/>
                <w:sz w:val="20"/>
                <w:szCs w:val="20"/>
                <w:u w:val="none"/>
                <w:lang w:val="en-US" w:eastAsia="zh-CN" w:bidi="ar"/>
              </w:rPr>
              <w:t>对投标文件的制作质量（字迹、目录和页码、文件编排合理性、内容的充实程度等方面）进行比较。文字及证件复印件清晰、内容完整而充实、文件编排合理、目录清晰、有正文和页码，图纸表格等有编号。完全满足得满分，一项不满足扣0.1分，扣完为止。</w:t>
            </w:r>
          </w:p>
        </w:tc>
        <w:tc>
          <w:tcPr>
            <w:tcW w:w="807" w:type="pct"/>
            <w:tcBorders>
              <w:top w:val="nil"/>
              <w:left w:val="nil"/>
              <w:bottom w:val="single" w:color="auto" w:sz="4" w:space="0"/>
              <w:right w:val="single" w:color="auto" w:sz="4" w:space="0"/>
            </w:tcBorders>
            <w:shd w:val="clear" w:color="auto" w:fill="auto"/>
            <w:vAlign w:val="center"/>
          </w:tcPr>
          <w:p w14:paraId="6B88AC7D">
            <w:pPr>
              <w:keepNext w:val="0"/>
              <w:keepLines w:val="0"/>
              <w:widowControl/>
              <w:suppressLineNumbers w:val="0"/>
              <w:jc w:val="center"/>
              <w:textAlignment w:val="center"/>
              <w:rPr>
                <w:rFonts w:hint="default" w:ascii="宋体" w:hAnsi="宋体" w:cs="宋体"/>
                <w:color w:val="000000" w:themeColor="text1"/>
                <w:kern w:val="0"/>
                <w:szCs w:val="21"/>
                <w:highlight w:val="none"/>
                <w:lang w:val="en-US"/>
                <w14:textFill>
                  <w14:solidFill>
                    <w14:schemeClr w14:val="tx1"/>
                  </w14:solidFill>
                </w14:textFill>
              </w:rPr>
            </w:pPr>
            <w:r>
              <w:rPr>
                <w:rFonts w:hint="eastAsia" w:ascii="宋体" w:hAnsi="宋体" w:cs="宋体"/>
                <w:i w:val="0"/>
                <w:iCs w:val="0"/>
                <w:color w:val="000000"/>
                <w:kern w:val="0"/>
                <w:sz w:val="20"/>
                <w:szCs w:val="20"/>
                <w:u w:val="none"/>
                <w:lang w:val="en-US" w:eastAsia="zh-CN" w:bidi="ar"/>
              </w:rPr>
              <w:t>0.5</w:t>
            </w:r>
          </w:p>
        </w:tc>
      </w:tr>
      <w:tr w14:paraId="0DF550A7">
        <w:tblPrEx>
          <w:tblCellMar>
            <w:top w:w="0" w:type="dxa"/>
            <w:left w:w="108" w:type="dxa"/>
            <w:bottom w:w="0" w:type="dxa"/>
            <w:right w:w="108" w:type="dxa"/>
          </w:tblCellMar>
        </w:tblPrEx>
        <w:trPr>
          <w:trHeight w:val="429" w:hRule="atLeast"/>
        </w:trPr>
        <w:tc>
          <w:tcPr>
            <w:tcW w:w="4192" w:type="pct"/>
            <w:gridSpan w:val="3"/>
            <w:tcBorders>
              <w:top w:val="single" w:color="auto" w:sz="4" w:space="0"/>
              <w:left w:val="single" w:color="auto" w:sz="4" w:space="0"/>
              <w:bottom w:val="single" w:color="auto" w:sz="4" w:space="0"/>
              <w:right w:val="single" w:color="auto" w:sz="4" w:space="0"/>
            </w:tcBorders>
            <w:shd w:val="clear" w:color="000000" w:fill="auto"/>
            <w:vAlign w:val="center"/>
          </w:tcPr>
          <w:p w14:paraId="6BDBB150">
            <w:pPr>
              <w:widowControl/>
              <w:shd w:val="clea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shd w:val="clear"/>
                <w14:textFill>
                  <w14:solidFill>
                    <w14:schemeClr w14:val="tx1"/>
                  </w14:solidFill>
                </w14:textFill>
              </w:rPr>
              <w:t>合计</w:t>
            </w:r>
          </w:p>
        </w:tc>
        <w:tc>
          <w:tcPr>
            <w:tcW w:w="807" w:type="pct"/>
            <w:tcBorders>
              <w:top w:val="single" w:color="auto" w:sz="4" w:space="0"/>
              <w:left w:val="nil"/>
              <w:bottom w:val="single" w:color="auto" w:sz="4" w:space="0"/>
              <w:right w:val="single" w:color="auto" w:sz="4" w:space="0"/>
            </w:tcBorders>
            <w:shd w:val="clear" w:color="auto" w:fill="auto"/>
            <w:vAlign w:val="center"/>
          </w:tcPr>
          <w:p w14:paraId="7C1D35D7">
            <w:pPr>
              <w:widowControl/>
              <w:shd w:val="clear"/>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5</w:t>
            </w:r>
          </w:p>
        </w:tc>
      </w:tr>
    </w:tbl>
    <w:p w14:paraId="643C52E6">
      <w:pPr>
        <w:widowControl/>
        <w:jc w:val="left"/>
        <w:rPr>
          <w:rFonts w:hint="default"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2.服务</w:t>
      </w:r>
      <w:r>
        <w:rPr>
          <w:rFonts w:ascii="宋体" w:hAnsi="宋体" w:cs="宋体"/>
          <w:b/>
          <w:bCs/>
          <w:color w:val="000000" w:themeColor="text1"/>
          <w:szCs w:val="21"/>
          <w:highlight w:val="none"/>
          <w14:textFill>
            <w14:solidFill>
              <w14:schemeClr w14:val="tx1"/>
            </w14:solidFill>
          </w14:textFill>
        </w:rPr>
        <w:t>详细评审标准表</w:t>
      </w: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5</w:t>
      </w:r>
      <w:r>
        <w:rPr>
          <w:rFonts w:hint="eastAsia" w:ascii="宋体" w:hAnsi="宋体" w:cs="宋体"/>
          <w:b/>
          <w:bCs/>
          <w:color w:val="000000" w:themeColor="text1"/>
          <w:szCs w:val="21"/>
          <w:highlight w:val="none"/>
          <w14:textFill>
            <w14:solidFill>
              <w14:schemeClr w14:val="tx1"/>
            </w14:solidFill>
          </w14:textFill>
        </w:rPr>
        <w:t>分）</w:t>
      </w:r>
    </w:p>
    <w:tbl>
      <w:tblPr>
        <w:tblStyle w:val="85"/>
        <w:tblW w:w="5379" w:type="pct"/>
        <w:tblInd w:w="0" w:type="dxa"/>
        <w:tblLayout w:type="autofit"/>
        <w:tblCellMar>
          <w:top w:w="0" w:type="dxa"/>
          <w:left w:w="108" w:type="dxa"/>
          <w:bottom w:w="0" w:type="dxa"/>
          <w:right w:w="108" w:type="dxa"/>
        </w:tblCellMar>
      </w:tblPr>
      <w:tblGrid>
        <w:gridCol w:w="799"/>
        <w:gridCol w:w="1418"/>
        <w:gridCol w:w="5471"/>
        <w:gridCol w:w="1480"/>
      </w:tblGrid>
      <w:tr w14:paraId="3AE7F2B3">
        <w:trPr>
          <w:trHeight w:val="407" w:hRule="atLeast"/>
        </w:trPr>
        <w:tc>
          <w:tcPr>
            <w:tcW w:w="436" w:type="pct"/>
            <w:tcBorders>
              <w:top w:val="single" w:color="auto" w:sz="4" w:space="0"/>
              <w:left w:val="single" w:color="auto" w:sz="4" w:space="0"/>
              <w:bottom w:val="single" w:color="auto" w:sz="4" w:space="0"/>
              <w:right w:val="single" w:color="auto" w:sz="4" w:space="0"/>
            </w:tcBorders>
            <w:shd w:val="clear" w:color="000000" w:fill="auto"/>
            <w:vAlign w:val="center"/>
          </w:tcPr>
          <w:p w14:paraId="69B77B79">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序号</w:t>
            </w:r>
          </w:p>
        </w:tc>
        <w:tc>
          <w:tcPr>
            <w:tcW w:w="773" w:type="pct"/>
            <w:tcBorders>
              <w:top w:val="single" w:color="auto" w:sz="4" w:space="0"/>
              <w:left w:val="single" w:color="auto" w:sz="4" w:space="0"/>
              <w:bottom w:val="single" w:color="auto" w:sz="4" w:space="0"/>
              <w:right w:val="single" w:color="auto" w:sz="4" w:space="0"/>
            </w:tcBorders>
            <w:shd w:val="clear" w:color="000000" w:fill="auto"/>
            <w:vAlign w:val="center"/>
          </w:tcPr>
          <w:p w14:paraId="6DD9A823">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评审因素</w:t>
            </w:r>
          </w:p>
        </w:tc>
        <w:tc>
          <w:tcPr>
            <w:tcW w:w="2982" w:type="pct"/>
            <w:tcBorders>
              <w:top w:val="single" w:color="auto" w:sz="4" w:space="0"/>
              <w:left w:val="nil"/>
              <w:bottom w:val="single" w:color="auto" w:sz="4" w:space="0"/>
              <w:right w:val="single" w:color="auto" w:sz="4" w:space="0"/>
            </w:tcBorders>
            <w:shd w:val="clear" w:color="000000" w:fill="auto"/>
            <w:vAlign w:val="center"/>
          </w:tcPr>
          <w:p w14:paraId="0C558254">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详细评分规则</w:t>
            </w:r>
          </w:p>
        </w:tc>
        <w:tc>
          <w:tcPr>
            <w:tcW w:w="807" w:type="pct"/>
            <w:tcBorders>
              <w:top w:val="single" w:color="auto" w:sz="4" w:space="0"/>
              <w:left w:val="nil"/>
              <w:bottom w:val="single" w:color="auto" w:sz="4" w:space="0"/>
              <w:right w:val="single" w:color="auto" w:sz="4" w:space="0"/>
            </w:tcBorders>
            <w:shd w:val="clear" w:color="auto" w:fill="auto"/>
            <w:vAlign w:val="center"/>
          </w:tcPr>
          <w:p w14:paraId="564D56D3">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权重比值</w:t>
            </w:r>
          </w:p>
        </w:tc>
      </w:tr>
      <w:tr w14:paraId="22D510ED">
        <w:tblPrEx>
          <w:tblCellMar>
            <w:top w:w="0" w:type="dxa"/>
            <w:left w:w="108" w:type="dxa"/>
            <w:bottom w:w="0" w:type="dxa"/>
            <w:right w:w="108" w:type="dxa"/>
          </w:tblCellMar>
        </w:tblPrEx>
        <w:trPr>
          <w:trHeight w:val="320" w:hRule="atLeast"/>
        </w:trPr>
        <w:tc>
          <w:tcPr>
            <w:tcW w:w="436" w:type="pct"/>
            <w:tcBorders>
              <w:top w:val="single" w:color="auto" w:sz="4" w:space="0"/>
              <w:left w:val="single" w:color="auto" w:sz="4" w:space="0"/>
              <w:bottom w:val="single" w:color="auto" w:sz="4" w:space="0"/>
              <w:right w:val="single" w:color="auto" w:sz="4" w:space="0"/>
            </w:tcBorders>
            <w:shd w:val="clear" w:color="000000" w:fill="auto"/>
            <w:vAlign w:val="center"/>
          </w:tcPr>
          <w:p w14:paraId="0E80A486">
            <w:pPr>
              <w:widowControl/>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w:t>
            </w:r>
          </w:p>
        </w:tc>
        <w:tc>
          <w:tcPr>
            <w:tcW w:w="773" w:type="pct"/>
            <w:tcBorders>
              <w:top w:val="single" w:color="auto" w:sz="4" w:space="0"/>
              <w:left w:val="single" w:color="auto" w:sz="4" w:space="0"/>
              <w:bottom w:val="single" w:color="auto" w:sz="4" w:space="0"/>
              <w:right w:val="single" w:color="auto" w:sz="4" w:space="0"/>
            </w:tcBorders>
            <w:shd w:val="clear" w:color="000000" w:fill="auto"/>
            <w:vAlign w:val="center"/>
          </w:tcPr>
          <w:p w14:paraId="53420346">
            <w:pPr>
              <w:widowControl/>
              <w:jc w:val="center"/>
              <w:rPr>
                <w:kern w:val="0"/>
                <w:sz w:val="20"/>
                <w:szCs w:val="20"/>
                <w:highlight w:val="none"/>
              </w:rPr>
            </w:pPr>
            <w:r>
              <w:rPr>
                <w:rFonts w:hint="eastAsia"/>
                <w:sz w:val="20"/>
                <w:szCs w:val="20"/>
                <w:highlight w:val="none"/>
              </w:rPr>
              <w:t>服务团队覆盖、服务人员数量、原厂服务能力</w:t>
            </w:r>
          </w:p>
        </w:tc>
        <w:tc>
          <w:tcPr>
            <w:tcW w:w="2982" w:type="pct"/>
            <w:tcBorders>
              <w:top w:val="single" w:color="auto" w:sz="4" w:space="0"/>
              <w:left w:val="nil"/>
              <w:bottom w:val="single" w:color="auto" w:sz="4" w:space="0"/>
              <w:right w:val="single" w:color="auto" w:sz="4" w:space="0"/>
            </w:tcBorders>
            <w:shd w:val="clear" w:color="000000" w:fill="auto"/>
            <w:vAlign w:val="center"/>
          </w:tcPr>
          <w:p w14:paraId="322B174C">
            <w:pPr>
              <w:keepNext w:val="0"/>
              <w:keepLines w:val="0"/>
              <w:widowControl/>
              <w:suppressLineNumbers w:val="0"/>
              <w:jc w:val="both"/>
              <w:textAlignment w:val="center"/>
              <w:rPr>
                <w:rFonts w:hint="eastAsia"/>
                <w:b/>
                <w:bCs/>
              </w:rPr>
            </w:pPr>
            <w:r>
              <w:rPr>
                <w:rFonts w:hint="eastAsia"/>
                <w:b/>
                <w:bCs/>
              </w:rPr>
              <w:t>服务支撑人员评分（</w:t>
            </w:r>
            <w:r>
              <w:rPr>
                <w:rFonts w:hint="eastAsia"/>
                <w:b/>
                <w:bCs/>
                <w:lang w:val="en-US" w:eastAsia="zh-CN"/>
              </w:rPr>
              <w:t>2</w:t>
            </w:r>
            <w:r>
              <w:rPr>
                <w:rFonts w:hint="eastAsia"/>
                <w:b/>
                <w:bCs/>
              </w:rPr>
              <w:t>分）：</w:t>
            </w:r>
          </w:p>
          <w:p w14:paraId="30DE8A2C">
            <w:pPr>
              <w:keepNext w:val="0"/>
              <w:keepLines w:val="0"/>
              <w:widowControl/>
              <w:suppressLineNumbers w:val="0"/>
              <w:jc w:val="both"/>
              <w:textAlignment w:val="center"/>
              <w:rPr>
                <w:rFonts w:hint="eastAsia"/>
                <w:b w:val="0"/>
                <w:bCs w:val="0"/>
              </w:rPr>
            </w:pPr>
            <w:r>
              <w:rPr>
                <w:rFonts w:hint="eastAsia"/>
                <w:b w:val="0"/>
                <w:bCs w:val="0"/>
              </w:rPr>
              <w:t>（1）针对本项目，</w:t>
            </w:r>
            <w:r>
              <w:rPr>
                <w:rFonts w:hint="eastAsia"/>
                <w:b w:val="0"/>
                <w:bCs w:val="0"/>
                <w:lang w:val="en-US" w:eastAsia="zh-CN"/>
              </w:rPr>
              <w:t>投标</w:t>
            </w:r>
            <w:r>
              <w:rPr>
                <w:rFonts w:hint="eastAsia"/>
                <w:b w:val="0"/>
                <w:bCs w:val="0"/>
              </w:rPr>
              <w:t>人拟提供售后服务支撑人员为2人（不含项目负责人和团队成员）得0.5分；</w:t>
            </w:r>
          </w:p>
          <w:p w14:paraId="54CB3BA5">
            <w:pPr>
              <w:keepNext w:val="0"/>
              <w:keepLines w:val="0"/>
              <w:widowControl/>
              <w:suppressLineNumbers w:val="0"/>
              <w:jc w:val="both"/>
              <w:textAlignment w:val="center"/>
              <w:rPr>
                <w:rFonts w:hint="eastAsia"/>
                <w:b w:val="0"/>
                <w:bCs w:val="0"/>
              </w:rPr>
            </w:pPr>
            <w:r>
              <w:rPr>
                <w:rFonts w:hint="eastAsia"/>
                <w:b w:val="0"/>
                <w:bCs w:val="0"/>
              </w:rPr>
              <w:t>（2）配备1名项目负责人（不含服务支撑人员和团队成员），具备系统架构设计师或信息系统项目管理师或系统规划与管理师得1分，不满足或未提供不得分；</w:t>
            </w:r>
          </w:p>
          <w:p w14:paraId="2AD4A5B0">
            <w:pPr>
              <w:keepNext w:val="0"/>
              <w:keepLines w:val="0"/>
              <w:widowControl/>
              <w:suppressLineNumbers w:val="0"/>
              <w:jc w:val="both"/>
              <w:textAlignment w:val="center"/>
              <w:rPr>
                <w:rFonts w:hint="eastAsia"/>
                <w:b w:val="0"/>
                <w:bCs w:val="0"/>
              </w:rPr>
            </w:pPr>
            <w:r>
              <w:rPr>
                <w:rFonts w:hint="eastAsia"/>
                <w:b w:val="0"/>
                <w:bCs w:val="0"/>
              </w:rPr>
              <w:t>（3）配备1名团队成员（不含服务支撑人员和项目负责人），具备软件设计师或软件评测师或软件过程能力评估师或信息系统管理工程师得0.5分，不满足或未提供不得分；</w:t>
            </w:r>
          </w:p>
          <w:p w14:paraId="636E910A">
            <w:pPr>
              <w:keepNext w:val="0"/>
              <w:keepLines w:val="0"/>
              <w:widowControl/>
              <w:suppressLineNumbers w:val="0"/>
              <w:jc w:val="both"/>
              <w:textAlignment w:val="center"/>
              <w:rPr>
                <w:sz w:val="20"/>
                <w:szCs w:val="20"/>
                <w:highlight w:val="none"/>
              </w:rPr>
            </w:pPr>
            <w:r>
              <w:rPr>
                <w:rFonts w:hint="eastAsia"/>
                <w:b w:val="0"/>
                <w:bCs w:val="0"/>
              </w:rPr>
              <w:t>注：（须提供人员名单、身份证正反面扫描件或复印件及响应单位为其缴纳的2025年1月1日至今任意连续3个月社保缴纳证明材料及与其签订的劳动合同扫描件证明材料，否则不得分）。</w:t>
            </w:r>
          </w:p>
        </w:tc>
        <w:tc>
          <w:tcPr>
            <w:tcW w:w="807" w:type="pct"/>
            <w:tcBorders>
              <w:top w:val="single" w:color="auto" w:sz="4" w:space="0"/>
              <w:left w:val="nil"/>
              <w:bottom w:val="single" w:color="auto" w:sz="4" w:space="0"/>
              <w:right w:val="single" w:color="auto" w:sz="4" w:space="0"/>
            </w:tcBorders>
            <w:shd w:val="clear" w:color="auto" w:fill="auto"/>
            <w:vAlign w:val="center"/>
          </w:tcPr>
          <w:p w14:paraId="0CB6883B">
            <w:pPr>
              <w:keepNext w:val="0"/>
              <w:keepLines w:val="0"/>
              <w:widowControl/>
              <w:suppressLineNumbers w:val="0"/>
              <w:jc w:val="center"/>
              <w:textAlignment w:val="center"/>
              <w:rPr>
                <w:rFonts w:hint="default"/>
                <w:kern w:val="0"/>
                <w:sz w:val="20"/>
                <w:szCs w:val="20"/>
                <w:highlight w:val="none"/>
                <w:lang w:val="en-US"/>
              </w:rPr>
            </w:pPr>
            <w:r>
              <w:rPr>
                <w:rFonts w:hint="eastAsia" w:ascii="宋体" w:hAnsi="宋体" w:cs="宋体"/>
                <w:i w:val="0"/>
                <w:iCs w:val="0"/>
                <w:color w:val="000000"/>
                <w:kern w:val="0"/>
                <w:sz w:val="20"/>
                <w:szCs w:val="20"/>
                <w:u w:val="none"/>
                <w:lang w:val="en-US" w:eastAsia="zh-CN" w:bidi="ar"/>
              </w:rPr>
              <w:t>2</w:t>
            </w:r>
          </w:p>
        </w:tc>
      </w:tr>
      <w:tr w14:paraId="08A14BE0">
        <w:tblPrEx>
          <w:tblCellMar>
            <w:top w:w="0" w:type="dxa"/>
            <w:left w:w="108" w:type="dxa"/>
            <w:bottom w:w="0" w:type="dxa"/>
            <w:right w:w="108" w:type="dxa"/>
          </w:tblCellMar>
        </w:tblPrEx>
        <w:trPr>
          <w:trHeight w:val="740" w:hRule="atLeast"/>
        </w:trPr>
        <w:tc>
          <w:tcPr>
            <w:tcW w:w="436" w:type="pct"/>
            <w:tcBorders>
              <w:top w:val="single" w:color="auto" w:sz="4" w:space="0"/>
              <w:left w:val="single" w:color="auto" w:sz="4" w:space="0"/>
              <w:bottom w:val="single" w:color="auto" w:sz="4" w:space="0"/>
              <w:right w:val="single" w:color="auto" w:sz="4" w:space="0"/>
            </w:tcBorders>
            <w:shd w:val="clear" w:color="000000" w:fill="auto"/>
            <w:vAlign w:val="center"/>
          </w:tcPr>
          <w:p w14:paraId="72D9430A">
            <w:pPr>
              <w:widowControl/>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2</w:t>
            </w:r>
          </w:p>
        </w:tc>
        <w:tc>
          <w:tcPr>
            <w:tcW w:w="773" w:type="pct"/>
            <w:tcBorders>
              <w:top w:val="single" w:color="auto" w:sz="4" w:space="0"/>
              <w:left w:val="single" w:color="auto" w:sz="4" w:space="0"/>
              <w:bottom w:val="single" w:color="auto" w:sz="4" w:space="0"/>
              <w:right w:val="single" w:color="auto" w:sz="4" w:space="0"/>
            </w:tcBorders>
            <w:shd w:val="clear" w:color="000000" w:fill="auto"/>
            <w:vAlign w:val="center"/>
          </w:tcPr>
          <w:p w14:paraId="2607D70F">
            <w:pPr>
              <w:widowControl/>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sz w:val="20"/>
                <w:szCs w:val="20"/>
                <w:highlight w:val="none"/>
              </w:rPr>
              <w:t>服务与支持</w:t>
            </w:r>
          </w:p>
        </w:tc>
        <w:tc>
          <w:tcPr>
            <w:tcW w:w="2982" w:type="pct"/>
            <w:tcBorders>
              <w:top w:val="single" w:color="auto" w:sz="4" w:space="0"/>
              <w:left w:val="nil"/>
              <w:bottom w:val="single" w:color="auto" w:sz="4" w:space="0"/>
              <w:right w:val="single" w:color="auto" w:sz="4" w:space="0"/>
            </w:tcBorders>
            <w:shd w:val="clear" w:color="000000" w:fill="auto"/>
            <w:vAlign w:val="center"/>
          </w:tcPr>
          <w:p w14:paraId="70BE204A">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服务与支持评分（1分）：</w:t>
            </w:r>
          </w:p>
          <w:p w14:paraId="7EA85708">
            <w:pPr>
              <w:keepNext w:val="0"/>
              <w:keepLines w:val="0"/>
              <w:widowControl/>
              <w:suppressLineNumbers w:val="0"/>
              <w:jc w:val="both"/>
              <w:textAlignment w:val="center"/>
              <w:rPr>
                <w:sz w:val="20"/>
                <w:szCs w:val="20"/>
                <w:highlight w:val="none"/>
              </w:rPr>
            </w:pPr>
            <w:r>
              <w:rPr>
                <w:rFonts w:hint="eastAsia" w:ascii="宋体" w:hAnsi="宋体" w:eastAsia="宋体" w:cs="宋体"/>
                <w:b w:val="0"/>
                <w:bCs w:val="0"/>
                <w:i w:val="0"/>
                <w:iCs w:val="0"/>
                <w:color w:val="000000"/>
                <w:kern w:val="0"/>
                <w:sz w:val="20"/>
                <w:szCs w:val="20"/>
                <w:u w:val="none"/>
                <w:lang w:val="en-US" w:eastAsia="zh-CN" w:bidi="ar"/>
              </w:rPr>
              <w:t>承诺在发生故障的情况下，乙方承诺发生故障维修到达现场时间≤2小时的得1分，不承诺或者承诺不满足不得分。（承诺格式自拟）</w:t>
            </w:r>
          </w:p>
        </w:tc>
        <w:tc>
          <w:tcPr>
            <w:tcW w:w="807" w:type="pct"/>
            <w:tcBorders>
              <w:top w:val="single" w:color="auto" w:sz="4" w:space="0"/>
              <w:left w:val="nil"/>
              <w:bottom w:val="single" w:color="auto" w:sz="4" w:space="0"/>
              <w:right w:val="single" w:color="auto" w:sz="4" w:space="0"/>
            </w:tcBorders>
            <w:shd w:val="clear" w:color="auto" w:fill="auto"/>
            <w:vAlign w:val="center"/>
          </w:tcPr>
          <w:p w14:paraId="0499C665">
            <w:pPr>
              <w:keepNext w:val="0"/>
              <w:keepLines w:val="0"/>
              <w:widowControl/>
              <w:suppressLineNumbers w:val="0"/>
              <w:jc w:val="center"/>
              <w:textAlignment w:val="center"/>
              <w:rPr>
                <w:rFonts w:hint="default" w:ascii="宋体" w:hAnsi="宋体" w:cs="宋体"/>
                <w:color w:val="000000" w:themeColor="text1"/>
                <w:kern w:val="0"/>
                <w:szCs w:val="21"/>
                <w:highlight w:val="none"/>
                <w:lang w:val="en-US"/>
                <w14:textFill>
                  <w14:solidFill>
                    <w14:schemeClr w14:val="tx1"/>
                  </w14:solidFill>
                </w14:textFill>
              </w:rPr>
            </w:pPr>
            <w:r>
              <w:rPr>
                <w:rFonts w:hint="eastAsia" w:ascii="宋体" w:hAnsi="宋体" w:cs="宋体"/>
                <w:i w:val="0"/>
                <w:iCs w:val="0"/>
                <w:color w:val="000000"/>
                <w:kern w:val="0"/>
                <w:sz w:val="20"/>
                <w:szCs w:val="20"/>
                <w:u w:val="none"/>
                <w:lang w:val="en-US" w:eastAsia="zh-CN" w:bidi="ar"/>
              </w:rPr>
              <w:t>1</w:t>
            </w:r>
          </w:p>
        </w:tc>
      </w:tr>
      <w:tr w14:paraId="1E396C1E">
        <w:tblPrEx>
          <w:tblCellMar>
            <w:top w:w="0" w:type="dxa"/>
            <w:left w:w="108" w:type="dxa"/>
            <w:bottom w:w="0" w:type="dxa"/>
            <w:right w:w="108" w:type="dxa"/>
          </w:tblCellMar>
        </w:tblPrEx>
        <w:trPr>
          <w:trHeight w:val="1380" w:hRule="atLeast"/>
        </w:trPr>
        <w:tc>
          <w:tcPr>
            <w:tcW w:w="436" w:type="pct"/>
            <w:tcBorders>
              <w:top w:val="nil"/>
              <w:left w:val="single" w:color="auto" w:sz="4" w:space="0"/>
              <w:bottom w:val="single" w:color="auto" w:sz="4" w:space="0"/>
              <w:right w:val="single" w:color="auto" w:sz="4" w:space="0"/>
            </w:tcBorders>
            <w:shd w:val="clear" w:color="000000" w:fill="auto"/>
            <w:vAlign w:val="center"/>
          </w:tcPr>
          <w:p w14:paraId="2B5B7DD6">
            <w:pPr>
              <w:widowControl/>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3</w:t>
            </w:r>
          </w:p>
        </w:tc>
        <w:tc>
          <w:tcPr>
            <w:tcW w:w="773" w:type="pct"/>
            <w:tcBorders>
              <w:top w:val="nil"/>
              <w:left w:val="single" w:color="auto" w:sz="4" w:space="0"/>
              <w:bottom w:val="single" w:color="auto" w:sz="4" w:space="0"/>
              <w:right w:val="single" w:color="auto" w:sz="4" w:space="0"/>
            </w:tcBorders>
            <w:shd w:val="clear" w:color="000000" w:fill="auto"/>
            <w:vAlign w:val="center"/>
          </w:tcPr>
          <w:p w14:paraId="51ACA55E">
            <w:pPr>
              <w:widowControl/>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sz w:val="20"/>
                <w:szCs w:val="20"/>
                <w:highlight w:val="none"/>
              </w:rPr>
              <w:t>交付满足度</w:t>
            </w:r>
          </w:p>
        </w:tc>
        <w:tc>
          <w:tcPr>
            <w:tcW w:w="2982" w:type="pct"/>
            <w:tcBorders>
              <w:top w:val="nil"/>
              <w:left w:val="nil"/>
              <w:bottom w:val="single" w:color="auto" w:sz="4" w:space="0"/>
              <w:right w:val="single" w:color="auto" w:sz="4" w:space="0"/>
            </w:tcBorders>
            <w:shd w:val="clear" w:color="000000" w:fill="auto"/>
            <w:vAlign w:val="center"/>
          </w:tcPr>
          <w:p w14:paraId="4A366BE6">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进度要求评分（</w:t>
            </w:r>
            <w:r>
              <w:rPr>
                <w:rFonts w:hint="eastAsia" w:ascii="宋体" w:hAnsi="宋体" w:cs="宋体"/>
                <w:b/>
                <w:bCs/>
                <w:i w:val="0"/>
                <w:iCs w:val="0"/>
                <w:color w:val="000000"/>
                <w:kern w:val="0"/>
                <w:sz w:val="20"/>
                <w:szCs w:val="20"/>
                <w:u w:val="none"/>
                <w:lang w:val="en-US" w:eastAsia="zh-CN" w:bidi="ar"/>
              </w:rPr>
              <w:t>1</w:t>
            </w:r>
            <w:r>
              <w:rPr>
                <w:rFonts w:hint="eastAsia" w:ascii="宋体" w:hAnsi="宋体" w:eastAsia="宋体" w:cs="宋体"/>
                <w:b/>
                <w:bCs/>
                <w:i w:val="0"/>
                <w:iCs w:val="0"/>
                <w:color w:val="000000"/>
                <w:kern w:val="0"/>
                <w:sz w:val="20"/>
                <w:szCs w:val="20"/>
                <w:u w:val="none"/>
                <w:lang w:val="en-US" w:eastAsia="zh-CN" w:bidi="ar"/>
              </w:rPr>
              <w:t>分）：</w:t>
            </w:r>
          </w:p>
          <w:p w14:paraId="56CCB410">
            <w:pPr>
              <w:keepNext w:val="0"/>
              <w:keepLines w:val="0"/>
              <w:widowControl/>
              <w:suppressLineNumbers w:val="0"/>
              <w:jc w:val="left"/>
              <w:textAlignment w:val="center"/>
              <w:rPr>
                <w:sz w:val="20"/>
                <w:szCs w:val="20"/>
                <w:highlight w:val="none"/>
              </w:rPr>
            </w:pPr>
            <w:r>
              <w:rPr>
                <w:rFonts w:hint="eastAsia" w:ascii="宋体" w:hAnsi="宋体" w:cs="宋体"/>
                <w:b w:val="0"/>
                <w:bCs w:val="0"/>
                <w:i w:val="0"/>
                <w:iCs w:val="0"/>
                <w:color w:val="000000"/>
                <w:kern w:val="0"/>
                <w:sz w:val="20"/>
                <w:szCs w:val="20"/>
                <w:u w:val="none"/>
                <w:lang w:val="en-US" w:eastAsia="zh-CN" w:bidi="ar"/>
              </w:rPr>
              <w:t>投标</w:t>
            </w:r>
            <w:r>
              <w:rPr>
                <w:rFonts w:hint="eastAsia" w:ascii="宋体" w:hAnsi="宋体" w:eastAsia="宋体" w:cs="宋体"/>
                <w:b w:val="0"/>
                <w:bCs w:val="0"/>
                <w:i w:val="0"/>
                <w:iCs w:val="0"/>
                <w:color w:val="000000"/>
                <w:kern w:val="0"/>
                <w:sz w:val="20"/>
                <w:szCs w:val="20"/>
                <w:u w:val="none"/>
                <w:lang w:val="en-US" w:eastAsia="zh-CN" w:bidi="ar"/>
              </w:rPr>
              <w:t>人承诺接到甲方订单后30个工作日内完成软件的部署交付的不得分，</w:t>
            </w:r>
            <w:r>
              <w:rPr>
                <w:rFonts w:hint="eastAsia" w:ascii="宋体" w:hAnsi="宋体" w:cs="宋体"/>
                <w:b w:val="0"/>
                <w:bCs w:val="0"/>
                <w:i w:val="0"/>
                <w:iCs w:val="0"/>
                <w:color w:val="000000"/>
                <w:kern w:val="0"/>
                <w:sz w:val="20"/>
                <w:szCs w:val="20"/>
                <w:u w:val="none"/>
                <w:lang w:val="en-US" w:eastAsia="zh-CN" w:bidi="ar"/>
              </w:rPr>
              <w:t>在此基础上</w:t>
            </w:r>
            <w:r>
              <w:rPr>
                <w:rFonts w:hint="eastAsia" w:ascii="宋体" w:hAnsi="宋体" w:eastAsia="宋体" w:cs="宋体"/>
                <w:b w:val="0"/>
                <w:bCs w:val="0"/>
                <w:i w:val="0"/>
                <w:iCs w:val="0"/>
                <w:color w:val="000000"/>
                <w:kern w:val="0"/>
                <w:sz w:val="20"/>
                <w:szCs w:val="20"/>
                <w:u w:val="none"/>
                <w:lang w:val="en-US" w:eastAsia="zh-CN" w:bidi="ar"/>
              </w:rPr>
              <w:t>每提前5</w:t>
            </w:r>
            <w:r>
              <w:rPr>
                <w:rFonts w:hint="eastAsia" w:ascii="宋体" w:hAnsi="宋体" w:cs="宋体"/>
                <w:b w:val="0"/>
                <w:bCs w:val="0"/>
                <w:i w:val="0"/>
                <w:iCs w:val="0"/>
                <w:color w:val="000000"/>
                <w:kern w:val="0"/>
                <w:sz w:val="20"/>
                <w:szCs w:val="20"/>
                <w:u w:val="none"/>
                <w:lang w:val="en-US" w:eastAsia="zh-CN" w:bidi="ar"/>
              </w:rPr>
              <w:t>个工作日</w:t>
            </w:r>
            <w:r>
              <w:rPr>
                <w:rFonts w:hint="eastAsia" w:ascii="宋体" w:hAnsi="宋体" w:eastAsia="宋体" w:cs="宋体"/>
                <w:b w:val="0"/>
                <w:bCs w:val="0"/>
                <w:i w:val="0"/>
                <w:iCs w:val="0"/>
                <w:color w:val="000000"/>
                <w:kern w:val="0"/>
                <w:sz w:val="20"/>
                <w:szCs w:val="20"/>
                <w:u w:val="none"/>
                <w:lang w:val="en-US" w:eastAsia="zh-CN" w:bidi="ar"/>
              </w:rPr>
              <w:t>加0.5分，最多得1分。（承诺格式自拟）</w:t>
            </w:r>
          </w:p>
        </w:tc>
        <w:tc>
          <w:tcPr>
            <w:tcW w:w="807" w:type="pct"/>
            <w:tcBorders>
              <w:top w:val="nil"/>
              <w:left w:val="nil"/>
              <w:bottom w:val="single" w:color="auto" w:sz="4" w:space="0"/>
              <w:right w:val="single" w:color="auto" w:sz="4" w:space="0"/>
            </w:tcBorders>
            <w:shd w:val="clear" w:color="auto" w:fill="auto"/>
            <w:vAlign w:val="center"/>
          </w:tcPr>
          <w:p w14:paraId="23F65BE9">
            <w:pPr>
              <w:keepNext w:val="0"/>
              <w:keepLines w:val="0"/>
              <w:widowControl/>
              <w:suppressLineNumbers w:val="0"/>
              <w:jc w:val="center"/>
              <w:textAlignment w:val="center"/>
              <w:rPr>
                <w:rFonts w:hint="default" w:ascii="宋体" w:hAnsi="宋体" w:cs="宋体"/>
                <w:color w:val="000000" w:themeColor="text1"/>
                <w:kern w:val="0"/>
                <w:szCs w:val="21"/>
                <w:highlight w:val="none"/>
                <w:lang w:val="en-US"/>
                <w14:textFill>
                  <w14:solidFill>
                    <w14:schemeClr w14:val="tx1"/>
                  </w14:solidFill>
                </w14:textFill>
              </w:rPr>
            </w:pPr>
            <w:r>
              <w:rPr>
                <w:rFonts w:hint="eastAsia" w:ascii="宋体" w:hAnsi="宋体" w:cs="宋体"/>
                <w:i w:val="0"/>
                <w:iCs w:val="0"/>
                <w:color w:val="000000"/>
                <w:kern w:val="0"/>
                <w:sz w:val="20"/>
                <w:szCs w:val="20"/>
                <w:u w:val="none"/>
                <w:lang w:val="en-US" w:eastAsia="zh-CN" w:bidi="ar"/>
              </w:rPr>
              <w:t>1</w:t>
            </w:r>
          </w:p>
        </w:tc>
      </w:tr>
      <w:tr w14:paraId="29A4E18B">
        <w:tblPrEx>
          <w:tblCellMar>
            <w:top w:w="0" w:type="dxa"/>
            <w:left w:w="108" w:type="dxa"/>
            <w:bottom w:w="0" w:type="dxa"/>
            <w:right w:w="108" w:type="dxa"/>
          </w:tblCellMar>
        </w:tblPrEx>
        <w:trPr>
          <w:trHeight w:val="1380" w:hRule="atLeast"/>
        </w:trPr>
        <w:tc>
          <w:tcPr>
            <w:tcW w:w="436" w:type="pct"/>
            <w:tcBorders>
              <w:top w:val="nil"/>
              <w:left w:val="single" w:color="auto" w:sz="4" w:space="0"/>
              <w:bottom w:val="single" w:color="auto" w:sz="4" w:space="0"/>
              <w:right w:val="single" w:color="auto" w:sz="4" w:space="0"/>
            </w:tcBorders>
            <w:shd w:val="clear" w:color="000000" w:fill="auto"/>
            <w:vAlign w:val="center"/>
          </w:tcPr>
          <w:p w14:paraId="0FA47793">
            <w:pPr>
              <w:widowControl/>
              <w:jc w:val="center"/>
              <w:rPr>
                <w:rFonts w:hint="default"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4</w:t>
            </w:r>
          </w:p>
        </w:tc>
        <w:tc>
          <w:tcPr>
            <w:tcW w:w="773" w:type="pct"/>
            <w:tcBorders>
              <w:top w:val="nil"/>
              <w:left w:val="single" w:color="auto" w:sz="4" w:space="0"/>
              <w:bottom w:val="single" w:color="auto" w:sz="4" w:space="0"/>
              <w:right w:val="single" w:color="auto" w:sz="4" w:space="0"/>
            </w:tcBorders>
            <w:shd w:val="clear" w:color="000000" w:fill="auto"/>
            <w:vAlign w:val="center"/>
          </w:tcPr>
          <w:p w14:paraId="315601DB">
            <w:pPr>
              <w:widowControl/>
              <w:jc w:val="center"/>
              <w:textAlignment w:val="center"/>
              <w:rPr>
                <w:rFonts w:hint="eastAsia"/>
                <w:sz w:val="20"/>
                <w:szCs w:val="20"/>
                <w:highlight w:val="none"/>
              </w:rPr>
            </w:pPr>
            <w:r>
              <w:rPr>
                <w:rFonts w:hint="eastAsia"/>
                <w:sz w:val="20"/>
                <w:szCs w:val="20"/>
                <w:highlight w:val="none"/>
              </w:rPr>
              <w:t>供应链数字化供需协同</w:t>
            </w:r>
          </w:p>
        </w:tc>
        <w:tc>
          <w:tcPr>
            <w:tcW w:w="2982" w:type="pct"/>
            <w:tcBorders>
              <w:top w:val="nil"/>
              <w:left w:val="nil"/>
              <w:bottom w:val="single" w:color="auto" w:sz="4" w:space="0"/>
              <w:right w:val="single" w:color="auto" w:sz="4" w:space="0"/>
            </w:tcBorders>
            <w:shd w:val="clear" w:color="000000" w:fill="auto"/>
            <w:vAlign w:val="center"/>
          </w:tcPr>
          <w:p w14:paraId="7D60787B">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供应链数字化配合评分（1分）：</w:t>
            </w:r>
          </w:p>
          <w:p w14:paraId="5D07E397">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 xml:space="preserve">    为推进供应链数字化转型，对响应人提交的供应链数字化配合说明进行评分，说明主要包括电子印章应用等情况，说明模板见响应文件格式。首次承诺、已承诺未签订合同、已开通电子印章功能并在合同或订单签署中运用的得1分；说明内容不全、已承诺并已签订采购合同但未应用电子印章功能的不得分。</w:t>
            </w:r>
          </w:p>
          <w:p w14:paraId="7AF2417F">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 xml:space="preserve">    注：合同及订单电子印章功能三年使用费1100元</w:t>
            </w:r>
          </w:p>
        </w:tc>
        <w:tc>
          <w:tcPr>
            <w:tcW w:w="807" w:type="pct"/>
            <w:tcBorders>
              <w:top w:val="nil"/>
              <w:left w:val="nil"/>
              <w:bottom w:val="single" w:color="auto" w:sz="4" w:space="0"/>
              <w:right w:val="single" w:color="auto" w:sz="4" w:space="0"/>
            </w:tcBorders>
            <w:shd w:val="clear" w:color="auto" w:fill="auto"/>
            <w:vAlign w:val="center"/>
          </w:tcPr>
          <w:p w14:paraId="4025DA49">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r>
      <w:tr w14:paraId="78AEDCDF">
        <w:tblPrEx>
          <w:tblCellMar>
            <w:top w:w="0" w:type="dxa"/>
            <w:left w:w="108" w:type="dxa"/>
            <w:bottom w:w="0" w:type="dxa"/>
            <w:right w:w="108" w:type="dxa"/>
          </w:tblCellMar>
        </w:tblPrEx>
        <w:trPr>
          <w:trHeight w:val="429" w:hRule="atLeast"/>
        </w:trPr>
        <w:tc>
          <w:tcPr>
            <w:tcW w:w="4192" w:type="pct"/>
            <w:gridSpan w:val="3"/>
            <w:tcBorders>
              <w:top w:val="single" w:color="auto" w:sz="4" w:space="0"/>
              <w:left w:val="single" w:color="auto" w:sz="4" w:space="0"/>
              <w:bottom w:val="single" w:color="auto" w:sz="4" w:space="0"/>
              <w:right w:val="single" w:color="auto" w:sz="4" w:space="0"/>
            </w:tcBorders>
            <w:shd w:val="clear" w:color="000000" w:fill="auto"/>
            <w:vAlign w:val="center"/>
          </w:tcPr>
          <w:p w14:paraId="511EC229">
            <w:pPr>
              <w:widowControl/>
              <w:shd w:val="clea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shd w:val="clear"/>
                <w14:textFill>
                  <w14:solidFill>
                    <w14:schemeClr w14:val="tx1"/>
                  </w14:solidFill>
                </w14:textFill>
              </w:rPr>
              <w:t>合计</w:t>
            </w:r>
          </w:p>
        </w:tc>
        <w:tc>
          <w:tcPr>
            <w:tcW w:w="807" w:type="pct"/>
            <w:tcBorders>
              <w:top w:val="single" w:color="auto" w:sz="4" w:space="0"/>
              <w:left w:val="nil"/>
              <w:bottom w:val="single" w:color="auto" w:sz="4" w:space="0"/>
              <w:right w:val="single" w:color="auto" w:sz="4" w:space="0"/>
            </w:tcBorders>
            <w:shd w:val="clear" w:color="auto" w:fill="auto"/>
            <w:vAlign w:val="center"/>
          </w:tcPr>
          <w:p w14:paraId="7BB72D0B">
            <w:pPr>
              <w:widowControl/>
              <w:shd w:val="clear"/>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5</w:t>
            </w:r>
          </w:p>
        </w:tc>
      </w:tr>
    </w:tbl>
    <w:p w14:paraId="0D063D54">
      <w:pPr>
        <w:widowControl/>
        <w:shd w:val="clear"/>
        <w:jc w:val="left"/>
        <w:rPr>
          <w:rFonts w:ascii="宋体" w:hAnsi="宋体" w:cs="宋体"/>
          <w:b/>
          <w:bCs/>
          <w:color w:val="000000" w:themeColor="text1"/>
          <w:szCs w:val="21"/>
          <w:highlight w:val="none"/>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14:textFill>
            <w14:solidFill>
              <w14:schemeClr w14:val="tx1"/>
            </w14:solidFill>
          </w14:textFill>
        </w:rPr>
        <w:t>技术</w:t>
      </w:r>
      <w:r>
        <w:rPr>
          <w:rFonts w:ascii="宋体" w:hAnsi="宋体" w:cs="宋体"/>
          <w:b/>
          <w:bCs/>
          <w:color w:val="000000" w:themeColor="text1"/>
          <w:szCs w:val="21"/>
          <w:highlight w:val="none"/>
          <w14:textFill>
            <w14:solidFill>
              <w14:schemeClr w14:val="tx1"/>
            </w14:solidFill>
          </w14:textFill>
        </w:rPr>
        <w:t>详细评审标准表</w:t>
      </w: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50</w:t>
      </w:r>
      <w:r>
        <w:rPr>
          <w:rFonts w:hint="eastAsia" w:ascii="宋体" w:hAnsi="宋体" w:cs="宋体"/>
          <w:b/>
          <w:bCs/>
          <w:color w:val="000000" w:themeColor="text1"/>
          <w:szCs w:val="21"/>
          <w:highlight w:val="none"/>
          <w14:textFill>
            <w14:solidFill>
              <w14:schemeClr w14:val="tx1"/>
            </w14:solidFill>
          </w14:textFill>
        </w:rPr>
        <w:t>分）</w:t>
      </w:r>
    </w:p>
    <w:tbl>
      <w:tblPr>
        <w:tblStyle w:val="85"/>
        <w:tblW w:w="5370" w:type="pct"/>
        <w:tblInd w:w="0" w:type="dxa"/>
        <w:tblLayout w:type="fixed"/>
        <w:tblCellMar>
          <w:top w:w="0" w:type="dxa"/>
          <w:left w:w="108" w:type="dxa"/>
          <w:bottom w:w="0" w:type="dxa"/>
          <w:right w:w="108" w:type="dxa"/>
        </w:tblCellMar>
      </w:tblPr>
      <w:tblGrid>
        <w:gridCol w:w="700"/>
        <w:gridCol w:w="1406"/>
        <w:gridCol w:w="5779"/>
        <w:gridCol w:w="1268"/>
      </w:tblGrid>
      <w:tr w14:paraId="515FEF72">
        <w:tblPrEx>
          <w:tblCellMar>
            <w:top w:w="0" w:type="dxa"/>
            <w:left w:w="108" w:type="dxa"/>
            <w:bottom w:w="0" w:type="dxa"/>
            <w:right w:w="108" w:type="dxa"/>
          </w:tblCellMar>
        </w:tblPrEx>
        <w:trPr>
          <w:trHeight w:val="465" w:hRule="atLeast"/>
        </w:trPr>
        <w:tc>
          <w:tcPr>
            <w:tcW w:w="382" w:type="pct"/>
            <w:tcBorders>
              <w:top w:val="single" w:color="auto" w:sz="4" w:space="0"/>
              <w:left w:val="single" w:color="auto" w:sz="4" w:space="0"/>
              <w:bottom w:val="single" w:color="auto" w:sz="4" w:space="0"/>
              <w:right w:val="single" w:color="auto" w:sz="4" w:space="0"/>
            </w:tcBorders>
            <w:shd w:val="clear" w:color="000000" w:fill="auto"/>
            <w:vAlign w:val="center"/>
          </w:tcPr>
          <w:p w14:paraId="17228890">
            <w:pPr>
              <w:widowControl/>
              <w:shd w:val="clea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序号</w:t>
            </w:r>
          </w:p>
        </w:tc>
        <w:tc>
          <w:tcPr>
            <w:tcW w:w="768" w:type="pct"/>
            <w:tcBorders>
              <w:top w:val="single" w:color="auto" w:sz="4" w:space="0"/>
              <w:left w:val="single" w:color="auto" w:sz="4" w:space="0"/>
              <w:bottom w:val="single" w:color="auto" w:sz="4" w:space="0"/>
              <w:right w:val="single" w:color="auto" w:sz="4" w:space="0"/>
            </w:tcBorders>
            <w:shd w:val="clear" w:color="000000" w:fill="auto"/>
            <w:vAlign w:val="center"/>
          </w:tcPr>
          <w:p w14:paraId="65C80810">
            <w:pPr>
              <w:widowControl/>
              <w:shd w:val="clea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评审因素</w:t>
            </w:r>
          </w:p>
        </w:tc>
        <w:tc>
          <w:tcPr>
            <w:tcW w:w="3156" w:type="pct"/>
            <w:tcBorders>
              <w:top w:val="single" w:color="auto" w:sz="4" w:space="0"/>
              <w:left w:val="nil"/>
              <w:bottom w:val="single" w:color="auto" w:sz="4" w:space="0"/>
              <w:right w:val="single" w:color="auto" w:sz="4" w:space="0"/>
            </w:tcBorders>
            <w:shd w:val="clear" w:color="000000" w:fill="auto"/>
            <w:vAlign w:val="center"/>
          </w:tcPr>
          <w:p w14:paraId="40E8B10F">
            <w:pPr>
              <w:widowControl/>
              <w:shd w:val="clea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详细评分规则</w:t>
            </w:r>
          </w:p>
        </w:tc>
        <w:tc>
          <w:tcPr>
            <w:tcW w:w="692" w:type="pct"/>
            <w:tcBorders>
              <w:top w:val="single" w:color="auto" w:sz="4" w:space="0"/>
              <w:left w:val="nil"/>
              <w:bottom w:val="single" w:color="auto" w:sz="4" w:space="0"/>
              <w:right w:val="single" w:color="auto" w:sz="4" w:space="0"/>
            </w:tcBorders>
            <w:shd w:val="clear" w:color="auto" w:fill="auto"/>
            <w:vAlign w:val="center"/>
          </w:tcPr>
          <w:p w14:paraId="7CC6A448">
            <w:pPr>
              <w:widowControl/>
              <w:shd w:val="clea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权重比值</w:t>
            </w:r>
          </w:p>
        </w:tc>
      </w:tr>
      <w:tr w14:paraId="439F89D6">
        <w:tblPrEx>
          <w:tblCellMar>
            <w:top w:w="0" w:type="dxa"/>
            <w:left w:w="108" w:type="dxa"/>
            <w:bottom w:w="0" w:type="dxa"/>
            <w:right w:w="108" w:type="dxa"/>
          </w:tblCellMar>
        </w:tblPrEx>
        <w:trPr>
          <w:trHeight w:val="280" w:hRule="atLeast"/>
        </w:trPr>
        <w:tc>
          <w:tcPr>
            <w:tcW w:w="382" w:type="pct"/>
            <w:tcBorders>
              <w:top w:val="nil"/>
              <w:left w:val="single" w:color="auto" w:sz="4" w:space="0"/>
              <w:bottom w:val="single" w:color="auto" w:sz="4" w:space="0"/>
              <w:right w:val="single" w:color="auto" w:sz="4" w:space="0"/>
            </w:tcBorders>
            <w:shd w:val="clear" w:color="auto" w:fill="auto"/>
            <w:vAlign w:val="center"/>
          </w:tcPr>
          <w:p w14:paraId="0C7A2B57">
            <w:pPr>
              <w:widowControl/>
              <w:shd w:val="clea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768" w:type="pct"/>
            <w:tcBorders>
              <w:top w:val="nil"/>
              <w:left w:val="single" w:color="auto" w:sz="4" w:space="0"/>
              <w:bottom w:val="single" w:color="auto" w:sz="4" w:space="0"/>
              <w:right w:val="single" w:color="auto" w:sz="4" w:space="0"/>
            </w:tcBorders>
            <w:shd w:val="clear" w:color="auto" w:fill="auto"/>
            <w:vAlign w:val="center"/>
          </w:tcPr>
          <w:p w14:paraId="3AFFEC71">
            <w:pPr>
              <w:widowControl/>
              <w:shd w:val="clear"/>
              <w:jc w:val="center"/>
              <w:rPr>
                <w:kern w:val="0"/>
                <w:sz w:val="20"/>
                <w:szCs w:val="20"/>
                <w:highlight w:val="none"/>
              </w:rPr>
            </w:pPr>
            <w:r>
              <w:rPr>
                <w:rFonts w:hint="eastAsia"/>
                <w:sz w:val="20"/>
                <w:szCs w:val="20"/>
                <w:highlight w:val="none"/>
              </w:rPr>
              <w:t>软件产品功能和性能</w:t>
            </w:r>
          </w:p>
          <w:p w14:paraId="6F598376">
            <w:pPr>
              <w:widowControl/>
              <w:shd w:val="clear"/>
              <w:jc w:val="center"/>
              <w:rPr>
                <w:kern w:val="0"/>
                <w:sz w:val="20"/>
                <w:szCs w:val="20"/>
                <w:highlight w:val="none"/>
              </w:rPr>
            </w:pPr>
          </w:p>
        </w:tc>
        <w:tc>
          <w:tcPr>
            <w:tcW w:w="3156" w:type="pct"/>
            <w:tcBorders>
              <w:top w:val="nil"/>
              <w:left w:val="nil"/>
              <w:bottom w:val="single" w:color="auto" w:sz="4" w:space="0"/>
              <w:right w:val="nil"/>
            </w:tcBorders>
            <w:shd w:val="clear" w:color="auto" w:fill="auto"/>
            <w:vAlign w:val="center"/>
          </w:tcPr>
          <w:p w14:paraId="52C139AB">
            <w:pPr>
              <w:keepNext w:val="0"/>
              <w:keepLines w:val="0"/>
              <w:widowControl/>
              <w:suppressLineNumbers w:val="0"/>
              <w:shd w:val="clear"/>
              <w:jc w:val="left"/>
              <w:textAlignment w:val="center"/>
              <w:rPr>
                <w:rFonts w:hint="eastAsia"/>
                <w:b/>
                <w:bCs/>
                <w:kern w:val="0"/>
                <w:sz w:val="20"/>
                <w:szCs w:val="20"/>
                <w:highlight w:val="none"/>
              </w:rPr>
            </w:pPr>
            <w:r>
              <w:rPr>
                <w:rFonts w:hint="eastAsia"/>
                <w:b/>
                <w:bCs/>
                <w:kern w:val="0"/>
                <w:sz w:val="20"/>
                <w:szCs w:val="20"/>
                <w:highlight w:val="none"/>
                <w:lang w:eastAsia="zh-CN"/>
              </w:rPr>
              <w:t>（</w:t>
            </w:r>
            <w:r>
              <w:rPr>
                <w:rFonts w:hint="eastAsia"/>
                <w:b/>
                <w:bCs/>
                <w:kern w:val="0"/>
                <w:sz w:val="20"/>
                <w:szCs w:val="20"/>
                <w:highlight w:val="none"/>
              </w:rPr>
              <w:t>一）数据库2（</w:t>
            </w:r>
            <w:r>
              <w:rPr>
                <w:rFonts w:hint="eastAsia"/>
                <w:b/>
                <w:bCs/>
                <w:kern w:val="0"/>
                <w:sz w:val="20"/>
                <w:szCs w:val="20"/>
                <w:highlight w:val="none"/>
                <w:lang w:eastAsia="zh-CN"/>
              </w:rPr>
              <w:t>企业版</w:t>
            </w:r>
            <w:r>
              <w:rPr>
                <w:rFonts w:hint="eastAsia"/>
                <w:b/>
                <w:bCs/>
                <w:kern w:val="0"/>
                <w:sz w:val="20"/>
                <w:szCs w:val="20"/>
                <w:highlight w:val="none"/>
              </w:rPr>
              <w:t>）软件产品功能和性能分（10分）</w:t>
            </w:r>
          </w:p>
          <w:p w14:paraId="68E35190">
            <w:pPr>
              <w:keepNext w:val="0"/>
              <w:keepLines w:val="0"/>
              <w:widowControl/>
              <w:suppressLineNumbers w:val="0"/>
              <w:shd w:val="clear"/>
              <w:jc w:val="left"/>
              <w:textAlignment w:val="center"/>
              <w:rPr>
                <w:rFonts w:hint="eastAsia"/>
                <w:kern w:val="0"/>
                <w:sz w:val="20"/>
                <w:szCs w:val="20"/>
                <w:highlight w:val="none"/>
              </w:rPr>
            </w:pPr>
            <w:r>
              <w:rPr>
                <w:rFonts w:hint="eastAsia"/>
                <w:kern w:val="0"/>
                <w:sz w:val="20"/>
                <w:szCs w:val="20"/>
                <w:highlight w:val="none"/>
              </w:rPr>
              <w:t>(1)支持多种语言字符集，如：GB18030、 GB2312、GBK、 UNICODE等并支持编码互相转换不得分，在此基础上每增加一种语言字符集加2分，本项最多加2分。须</w:t>
            </w:r>
            <w:r>
              <w:rPr>
                <w:rFonts w:hint="eastAsia"/>
                <w:kern w:val="0"/>
                <w:sz w:val="20"/>
                <w:szCs w:val="20"/>
                <w:highlight w:val="none"/>
                <w:lang w:val="en-US" w:eastAsia="zh-CN"/>
              </w:rPr>
              <w:t>提供</w:t>
            </w:r>
            <w:r>
              <w:rPr>
                <w:rFonts w:hint="eastAsia"/>
                <w:kern w:val="0"/>
                <w:sz w:val="20"/>
                <w:szCs w:val="20"/>
                <w:highlight w:val="none"/>
              </w:rPr>
              <w:t>功能截图证明并加盖公章，不提供证明材料的或证明材料不能证明满足功能要求的，该项不得分。</w:t>
            </w:r>
          </w:p>
          <w:p w14:paraId="5E4341C4">
            <w:pPr>
              <w:keepNext w:val="0"/>
              <w:keepLines w:val="0"/>
              <w:widowControl/>
              <w:suppressLineNumbers w:val="0"/>
              <w:shd w:val="clear"/>
              <w:jc w:val="left"/>
              <w:textAlignment w:val="center"/>
              <w:rPr>
                <w:rFonts w:hint="eastAsia"/>
                <w:kern w:val="0"/>
                <w:sz w:val="20"/>
                <w:szCs w:val="20"/>
                <w:highlight w:val="none"/>
              </w:rPr>
            </w:pPr>
            <w:r>
              <w:rPr>
                <w:rFonts w:hint="eastAsia"/>
                <w:kern w:val="0"/>
                <w:sz w:val="20"/>
                <w:szCs w:val="20"/>
                <w:highlight w:val="none"/>
              </w:rPr>
              <w:t>（2）支持基础数据类型：DATE\NUMBER\RAW\CHAR\VARCHAR2\VARCHAR\BLOB\BFILE\CLOBTIMESTAMP\TIMESTAMP_TZ\INTERVAL\NCHAR\NVARCHAR2\NCLOB\FLOAT\DOUBLE等。满足</w:t>
            </w:r>
            <w:r>
              <w:rPr>
                <w:rFonts w:hint="eastAsia"/>
                <w:kern w:val="0"/>
                <w:sz w:val="20"/>
                <w:szCs w:val="20"/>
                <w:highlight w:val="none"/>
                <w:lang w:val="en-US" w:eastAsia="zh-CN"/>
              </w:rPr>
              <w:t>以上</w:t>
            </w:r>
            <w:r>
              <w:rPr>
                <w:rFonts w:hint="eastAsia"/>
                <w:kern w:val="0"/>
                <w:sz w:val="20"/>
                <w:szCs w:val="20"/>
                <w:highlight w:val="none"/>
              </w:rPr>
              <w:t>基本要求不得分，在此基础上每增加一项基础数据类型加2分，本项满分2分。须</w:t>
            </w:r>
            <w:r>
              <w:rPr>
                <w:rFonts w:hint="eastAsia"/>
                <w:kern w:val="0"/>
                <w:sz w:val="20"/>
                <w:szCs w:val="20"/>
                <w:highlight w:val="none"/>
                <w:lang w:val="en-US" w:eastAsia="zh-CN"/>
              </w:rPr>
              <w:t>提供</w:t>
            </w:r>
            <w:r>
              <w:rPr>
                <w:rFonts w:hint="eastAsia"/>
                <w:kern w:val="0"/>
                <w:sz w:val="20"/>
                <w:szCs w:val="20"/>
                <w:highlight w:val="none"/>
              </w:rPr>
              <w:t>功能截图证明并加盖公章，不提供证明材料的或证明材料不能证明满足功能要求的，该项不得分。</w:t>
            </w:r>
          </w:p>
          <w:p w14:paraId="23884507">
            <w:pPr>
              <w:keepNext w:val="0"/>
              <w:keepLines w:val="0"/>
              <w:widowControl/>
              <w:suppressLineNumbers w:val="0"/>
              <w:shd w:val="clear"/>
              <w:jc w:val="left"/>
              <w:textAlignment w:val="center"/>
              <w:rPr>
                <w:rFonts w:hint="eastAsia"/>
                <w:kern w:val="0"/>
                <w:sz w:val="20"/>
                <w:szCs w:val="20"/>
                <w:highlight w:val="none"/>
              </w:rPr>
            </w:pPr>
            <w:r>
              <w:rPr>
                <w:rFonts w:hint="eastAsia"/>
                <w:kern w:val="0"/>
                <w:sz w:val="20"/>
                <w:szCs w:val="20"/>
                <w:highlight w:val="none"/>
              </w:rPr>
              <w:t>（3）支持 XML 数据类型、支持JSON数据类型、支持bytea、oid、clob、blob等数据类型、支持RANGE数据类型、支持枚举类型、范围类型、数组类型、间数据类型 GIS Object、Gengraphy、支持自定义数据类型。满足</w:t>
            </w:r>
            <w:r>
              <w:rPr>
                <w:rFonts w:hint="eastAsia"/>
                <w:kern w:val="0"/>
                <w:sz w:val="20"/>
                <w:szCs w:val="20"/>
                <w:highlight w:val="none"/>
                <w:lang w:val="en-US" w:eastAsia="zh-CN"/>
              </w:rPr>
              <w:t>以上</w:t>
            </w:r>
            <w:r>
              <w:rPr>
                <w:rFonts w:hint="eastAsia"/>
                <w:kern w:val="0"/>
                <w:sz w:val="20"/>
                <w:szCs w:val="20"/>
                <w:highlight w:val="none"/>
              </w:rPr>
              <w:t>基本要求不得分，在此基础上每增加一项基础数据类型加2分，本项满分2分。须</w:t>
            </w:r>
            <w:r>
              <w:rPr>
                <w:rFonts w:hint="eastAsia"/>
                <w:kern w:val="0"/>
                <w:sz w:val="20"/>
                <w:szCs w:val="20"/>
                <w:highlight w:val="none"/>
                <w:lang w:val="en-US" w:eastAsia="zh-CN"/>
              </w:rPr>
              <w:t>提供</w:t>
            </w:r>
            <w:r>
              <w:rPr>
                <w:rFonts w:hint="eastAsia"/>
                <w:kern w:val="0"/>
                <w:sz w:val="20"/>
                <w:szCs w:val="20"/>
                <w:highlight w:val="none"/>
              </w:rPr>
              <w:t>功能截图证明并加盖公章，不提供证明材料的或证明材料不能证明满足功能要求的，该项不得分。</w:t>
            </w:r>
          </w:p>
          <w:p w14:paraId="1D07B1B0">
            <w:pPr>
              <w:keepNext w:val="0"/>
              <w:keepLines w:val="0"/>
              <w:widowControl/>
              <w:suppressLineNumbers w:val="0"/>
              <w:shd w:val="clear"/>
              <w:jc w:val="left"/>
              <w:textAlignment w:val="center"/>
              <w:rPr>
                <w:rFonts w:hint="eastAsia"/>
                <w:kern w:val="0"/>
                <w:sz w:val="20"/>
                <w:szCs w:val="20"/>
                <w:highlight w:val="none"/>
              </w:rPr>
            </w:pPr>
            <w:r>
              <w:rPr>
                <w:rFonts w:hint="eastAsia"/>
                <w:kern w:val="0"/>
                <w:sz w:val="20"/>
                <w:szCs w:val="20"/>
                <w:highlight w:val="none"/>
              </w:rPr>
              <w:t>（4）支持AVG、MAX、MIN、COUNT、EVERY、BOOL_OR、BOOL_AND、BIT_OR、BIT_AND等不少于20种窗口函数，可以支持distinct用法不得分，在此基础上每增加一种窗口函数加2分，本项满分2分。须</w:t>
            </w:r>
            <w:r>
              <w:rPr>
                <w:rFonts w:hint="eastAsia"/>
                <w:kern w:val="0"/>
                <w:sz w:val="20"/>
                <w:szCs w:val="20"/>
                <w:highlight w:val="none"/>
                <w:lang w:val="en-US" w:eastAsia="zh-CN"/>
              </w:rPr>
              <w:t>提供</w:t>
            </w:r>
            <w:r>
              <w:rPr>
                <w:rFonts w:hint="eastAsia"/>
                <w:kern w:val="0"/>
                <w:sz w:val="20"/>
                <w:szCs w:val="20"/>
                <w:highlight w:val="none"/>
              </w:rPr>
              <w:t>功能截图证明并加盖公章，不提供证明材料的或证明材料不能证明满足功能要求的，该项不得分。</w:t>
            </w:r>
          </w:p>
          <w:p w14:paraId="5254B274">
            <w:pPr>
              <w:keepNext w:val="0"/>
              <w:keepLines w:val="0"/>
              <w:widowControl/>
              <w:suppressLineNumbers w:val="0"/>
              <w:shd w:val="clear"/>
              <w:jc w:val="left"/>
              <w:textAlignment w:val="center"/>
              <w:rPr>
                <w:rFonts w:hint="eastAsia"/>
                <w:kern w:val="0"/>
                <w:sz w:val="20"/>
                <w:szCs w:val="20"/>
                <w:highlight w:val="none"/>
              </w:rPr>
            </w:pPr>
            <w:r>
              <w:rPr>
                <w:rFonts w:hint="eastAsia"/>
                <w:kern w:val="0"/>
                <w:sz w:val="20"/>
                <w:szCs w:val="20"/>
                <w:highlight w:val="none"/>
              </w:rPr>
              <w:t>（5）数据库全量数据迁移速度不低于40MB/秒：在不少于5次迁移过程中，创建100万条任务记录的数据库增量数据迁移，迁移过程中无报错，且迁移速度不得低于全量迁移速度的 70%。满足</w:t>
            </w:r>
            <w:r>
              <w:rPr>
                <w:rFonts w:hint="eastAsia"/>
                <w:kern w:val="0"/>
                <w:sz w:val="20"/>
                <w:szCs w:val="20"/>
                <w:highlight w:val="none"/>
                <w:lang w:val="en-US" w:eastAsia="zh-CN"/>
              </w:rPr>
              <w:t>以上</w:t>
            </w:r>
            <w:r>
              <w:rPr>
                <w:rFonts w:hint="eastAsia"/>
                <w:kern w:val="0"/>
                <w:sz w:val="20"/>
                <w:szCs w:val="20"/>
                <w:highlight w:val="none"/>
              </w:rPr>
              <w:t>基本功能</w:t>
            </w:r>
            <w:r>
              <w:rPr>
                <w:rFonts w:hint="eastAsia"/>
                <w:kern w:val="0"/>
                <w:sz w:val="20"/>
                <w:szCs w:val="20"/>
                <w:highlight w:val="none"/>
                <w:lang w:val="en-US" w:eastAsia="zh-CN"/>
              </w:rPr>
              <w:t>要求</w:t>
            </w:r>
            <w:r>
              <w:rPr>
                <w:rFonts w:hint="eastAsia"/>
                <w:kern w:val="0"/>
                <w:sz w:val="20"/>
                <w:szCs w:val="20"/>
                <w:highlight w:val="none"/>
              </w:rPr>
              <w:t>不得分，在此基础上数据库全量数据迁移速度每降低1MB/s，迁移速度每高于全量迁移速度的1%加1分，本项满分1分。须提供具备CMA资质或CNAS认可的检测机构出具</w:t>
            </w:r>
            <w:r>
              <w:rPr>
                <w:rFonts w:hint="eastAsia"/>
                <w:kern w:val="0"/>
                <w:sz w:val="20"/>
                <w:szCs w:val="20"/>
                <w:highlight w:val="none"/>
                <w:lang w:val="en-US" w:eastAsia="zh-CN"/>
              </w:rPr>
              <w:t>的有效期内的</w:t>
            </w:r>
            <w:r>
              <w:rPr>
                <w:rFonts w:hint="eastAsia"/>
                <w:kern w:val="0"/>
                <w:sz w:val="20"/>
                <w:szCs w:val="20"/>
                <w:highlight w:val="none"/>
              </w:rPr>
              <w:t>并加盖对应资质标识的测试报告，不提供或提供的检测报告不能证明满足功能要求的，该项不得分。</w:t>
            </w:r>
          </w:p>
          <w:p w14:paraId="45A5AFA5">
            <w:pPr>
              <w:keepNext w:val="0"/>
              <w:keepLines w:val="0"/>
              <w:widowControl/>
              <w:suppressLineNumbers w:val="0"/>
              <w:shd w:val="clear"/>
              <w:jc w:val="left"/>
              <w:textAlignment w:val="center"/>
              <w:rPr>
                <w:rFonts w:hint="eastAsia"/>
                <w:kern w:val="0"/>
                <w:sz w:val="20"/>
                <w:szCs w:val="20"/>
                <w:highlight w:val="none"/>
              </w:rPr>
            </w:pPr>
            <w:r>
              <w:rPr>
                <w:rFonts w:hint="eastAsia"/>
                <w:kern w:val="0"/>
                <w:sz w:val="20"/>
                <w:szCs w:val="20"/>
                <w:highlight w:val="none"/>
              </w:rPr>
              <w:t>(6)支持对敏感数据的动态脱敏功能，包括默认脱敏、随机脱敏、部分脱敏、邮件脱敏。满足</w:t>
            </w:r>
            <w:r>
              <w:rPr>
                <w:rFonts w:hint="eastAsia"/>
                <w:kern w:val="0"/>
                <w:sz w:val="20"/>
                <w:szCs w:val="20"/>
                <w:highlight w:val="none"/>
                <w:lang w:val="en-US" w:eastAsia="zh-CN"/>
              </w:rPr>
              <w:t>以上</w:t>
            </w:r>
            <w:r>
              <w:rPr>
                <w:rFonts w:hint="eastAsia"/>
                <w:kern w:val="0"/>
                <w:sz w:val="20"/>
                <w:szCs w:val="20"/>
                <w:highlight w:val="none"/>
              </w:rPr>
              <w:t>基本功</w:t>
            </w:r>
            <w:r>
              <w:rPr>
                <w:rFonts w:hint="eastAsia"/>
                <w:kern w:val="0"/>
                <w:sz w:val="20"/>
                <w:szCs w:val="20"/>
                <w:highlight w:val="none"/>
                <w:lang w:val="en-US" w:eastAsia="zh-CN"/>
              </w:rPr>
              <w:t>要求</w:t>
            </w:r>
            <w:r>
              <w:rPr>
                <w:rFonts w:hint="eastAsia"/>
                <w:kern w:val="0"/>
                <w:sz w:val="20"/>
                <w:szCs w:val="20"/>
                <w:highlight w:val="none"/>
              </w:rPr>
              <w:t>能不得分，在此基础上每增加一项功能加1分，本项满分1分。须</w:t>
            </w:r>
            <w:r>
              <w:rPr>
                <w:rFonts w:hint="eastAsia"/>
                <w:kern w:val="0"/>
                <w:sz w:val="20"/>
                <w:szCs w:val="20"/>
                <w:highlight w:val="none"/>
                <w:lang w:val="en-US" w:eastAsia="zh-CN"/>
              </w:rPr>
              <w:t>提供</w:t>
            </w:r>
            <w:r>
              <w:rPr>
                <w:rFonts w:hint="eastAsia"/>
                <w:kern w:val="0"/>
                <w:sz w:val="20"/>
                <w:szCs w:val="20"/>
                <w:highlight w:val="none"/>
              </w:rPr>
              <w:t>功能截图证明并加盖公章，不提供证明材料的或证明材料不能证明满足功能要求的，该项不得分。</w:t>
            </w:r>
          </w:p>
          <w:p w14:paraId="7002A486">
            <w:pPr>
              <w:keepNext w:val="0"/>
              <w:keepLines w:val="0"/>
              <w:widowControl/>
              <w:suppressLineNumbers w:val="0"/>
              <w:shd w:val="clear"/>
              <w:jc w:val="left"/>
              <w:textAlignment w:val="center"/>
              <w:rPr>
                <w:rFonts w:hint="eastAsia"/>
                <w:b/>
                <w:bCs/>
                <w:kern w:val="0"/>
                <w:sz w:val="20"/>
                <w:szCs w:val="20"/>
                <w:highlight w:val="none"/>
              </w:rPr>
            </w:pPr>
            <w:r>
              <w:rPr>
                <w:rFonts w:hint="eastAsia"/>
                <w:b/>
                <w:bCs/>
                <w:kern w:val="0"/>
                <w:sz w:val="20"/>
                <w:szCs w:val="20"/>
                <w:highlight w:val="none"/>
              </w:rPr>
              <w:t>(二）数据库2（集群版）产品功能和性能分（4分）</w:t>
            </w:r>
          </w:p>
          <w:p w14:paraId="1D94CCAA">
            <w:pPr>
              <w:keepNext w:val="0"/>
              <w:keepLines w:val="0"/>
              <w:widowControl/>
              <w:suppressLineNumbers w:val="0"/>
              <w:shd w:val="clear"/>
              <w:jc w:val="left"/>
              <w:textAlignment w:val="center"/>
              <w:rPr>
                <w:rFonts w:hint="eastAsia"/>
                <w:kern w:val="0"/>
                <w:sz w:val="20"/>
                <w:szCs w:val="20"/>
                <w:highlight w:val="none"/>
              </w:rPr>
            </w:pPr>
            <w:r>
              <w:rPr>
                <w:rFonts w:hint="eastAsia"/>
                <w:kern w:val="0"/>
                <w:sz w:val="20"/>
                <w:szCs w:val="20"/>
                <w:highlight w:val="none"/>
              </w:rPr>
              <w:t>（1）数据库具有集群管理功能，可以做到一键部署集群，一键启动、停止集群；一键修改集群密码。满足</w:t>
            </w:r>
            <w:r>
              <w:rPr>
                <w:rFonts w:hint="eastAsia"/>
                <w:kern w:val="0"/>
                <w:sz w:val="20"/>
                <w:szCs w:val="20"/>
                <w:highlight w:val="none"/>
                <w:lang w:val="en-US" w:eastAsia="zh-CN"/>
              </w:rPr>
              <w:t>以上</w:t>
            </w:r>
            <w:r>
              <w:rPr>
                <w:rFonts w:hint="eastAsia"/>
                <w:kern w:val="0"/>
                <w:sz w:val="20"/>
                <w:szCs w:val="20"/>
                <w:highlight w:val="none"/>
              </w:rPr>
              <w:t>基本功能</w:t>
            </w:r>
            <w:r>
              <w:rPr>
                <w:rFonts w:hint="eastAsia"/>
                <w:kern w:val="0"/>
                <w:sz w:val="20"/>
                <w:szCs w:val="20"/>
                <w:highlight w:val="none"/>
                <w:lang w:val="en-US" w:eastAsia="zh-CN"/>
              </w:rPr>
              <w:t>要求</w:t>
            </w:r>
            <w:r>
              <w:rPr>
                <w:rFonts w:hint="eastAsia"/>
                <w:kern w:val="0"/>
                <w:sz w:val="20"/>
                <w:szCs w:val="20"/>
                <w:highlight w:val="none"/>
              </w:rPr>
              <w:t>不得分，在此基础上每优于或增加一项功能加2分，本项满分2分。须提供证明材料（提供功能截图证明并加盖公章或提供具备CMA资质或CNAS认可的检测机构出具</w:t>
            </w:r>
            <w:r>
              <w:rPr>
                <w:rFonts w:hint="eastAsia" w:ascii="Times New Roman" w:eastAsia="宋体"/>
                <w:kern w:val="0"/>
                <w:sz w:val="20"/>
                <w:szCs w:val="20"/>
                <w:highlight w:val="none"/>
                <w:lang w:val="en-US" w:eastAsia="zh-CN"/>
              </w:rPr>
              <w:t>的有效期内的</w:t>
            </w:r>
            <w:r>
              <w:rPr>
                <w:rFonts w:hint="eastAsia"/>
                <w:kern w:val="0"/>
                <w:sz w:val="20"/>
                <w:szCs w:val="20"/>
                <w:highlight w:val="none"/>
              </w:rPr>
              <w:t>并加盖对应资质标识的测试报告），不提供证明材料的或证明材料不能证明满足功能要求的，该项不得分。</w:t>
            </w:r>
          </w:p>
          <w:p w14:paraId="0FA1FC34">
            <w:pPr>
              <w:keepNext w:val="0"/>
              <w:keepLines w:val="0"/>
              <w:widowControl/>
              <w:suppressLineNumbers w:val="0"/>
              <w:shd w:val="clear"/>
              <w:jc w:val="left"/>
              <w:textAlignment w:val="center"/>
              <w:rPr>
                <w:kern w:val="0"/>
                <w:sz w:val="20"/>
                <w:szCs w:val="20"/>
                <w:highlight w:val="none"/>
              </w:rPr>
            </w:pPr>
            <w:r>
              <w:rPr>
                <w:rFonts w:hint="eastAsia"/>
                <w:kern w:val="0"/>
                <w:sz w:val="20"/>
                <w:szCs w:val="20"/>
                <w:highlight w:val="none"/>
              </w:rPr>
              <w:t>（2）主备集群支持基于备机的主机数据坏块修复，当主机数据块损坏时，可以自动从备机复制对应数据块对损坏的主机数据块进行实时修复；满足</w:t>
            </w:r>
            <w:r>
              <w:rPr>
                <w:rFonts w:hint="eastAsia"/>
                <w:kern w:val="0"/>
                <w:sz w:val="20"/>
                <w:szCs w:val="20"/>
                <w:highlight w:val="none"/>
                <w:lang w:val="en-US" w:eastAsia="zh-CN"/>
              </w:rPr>
              <w:t>以上</w:t>
            </w:r>
            <w:r>
              <w:rPr>
                <w:rFonts w:hint="eastAsia"/>
                <w:kern w:val="0"/>
                <w:sz w:val="20"/>
                <w:szCs w:val="20"/>
                <w:highlight w:val="none"/>
              </w:rPr>
              <w:t>基本功能</w:t>
            </w:r>
            <w:r>
              <w:rPr>
                <w:rFonts w:hint="eastAsia"/>
                <w:kern w:val="0"/>
                <w:sz w:val="20"/>
                <w:szCs w:val="20"/>
                <w:highlight w:val="none"/>
                <w:lang w:val="en-US" w:eastAsia="zh-CN"/>
              </w:rPr>
              <w:t>要求</w:t>
            </w:r>
            <w:r>
              <w:rPr>
                <w:rFonts w:hint="eastAsia"/>
                <w:kern w:val="0"/>
                <w:sz w:val="20"/>
                <w:szCs w:val="20"/>
                <w:highlight w:val="none"/>
              </w:rPr>
              <w:t>不得分，在此基础上每优于或增加一项功能加2分，本项满分2分。须提供证明材料（提供功能截图证明并加盖公章或提供具备CMA资质或CNAS认可的检测机构出具</w:t>
            </w:r>
            <w:r>
              <w:rPr>
                <w:rFonts w:hint="eastAsia" w:ascii="Times New Roman" w:eastAsia="宋体"/>
                <w:kern w:val="0"/>
                <w:sz w:val="20"/>
                <w:szCs w:val="20"/>
                <w:highlight w:val="none"/>
                <w:lang w:val="en-US" w:eastAsia="zh-CN"/>
              </w:rPr>
              <w:t>的有效期内的</w:t>
            </w:r>
            <w:r>
              <w:rPr>
                <w:rFonts w:hint="eastAsia"/>
                <w:kern w:val="0"/>
                <w:sz w:val="20"/>
                <w:szCs w:val="20"/>
                <w:highlight w:val="none"/>
              </w:rPr>
              <w:t>并加盖对应资质标识的测试报告），不提供证明材料的或证明材料不能证明满足功能要求的，该项不得分。</w:t>
            </w:r>
          </w:p>
        </w:tc>
        <w:tc>
          <w:tcPr>
            <w:tcW w:w="692" w:type="pct"/>
            <w:tcBorders>
              <w:top w:val="nil"/>
              <w:left w:val="single" w:color="auto" w:sz="4" w:space="0"/>
              <w:bottom w:val="single" w:color="auto" w:sz="4" w:space="0"/>
              <w:right w:val="single" w:color="auto" w:sz="4" w:space="0"/>
            </w:tcBorders>
            <w:shd w:val="clear" w:color="auto" w:fill="auto"/>
            <w:vAlign w:val="center"/>
          </w:tcPr>
          <w:p w14:paraId="1F54D075">
            <w:pPr>
              <w:keepNext w:val="0"/>
              <w:keepLines w:val="0"/>
              <w:widowControl/>
              <w:suppressLineNumbers w:val="0"/>
              <w:shd w:val="clear"/>
              <w:jc w:val="center"/>
              <w:textAlignment w:val="center"/>
              <w:rPr>
                <w:rFonts w:hint="default"/>
                <w:kern w:val="0"/>
                <w:sz w:val="20"/>
                <w:szCs w:val="20"/>
                <w:highlight w:val="none"/>
                <w:lang w:val="en-US"/>
              </w:rPr>
            </w:pPr>
            <w:r>
              <w:rPr>
                <w:rFonts w:hint="eastAsia" w:ascii="宋体" w:hAnsi="宋体" w:cs="宋体"/>
                <w:i w:val="0"/>
                <w:iCs w:val="0"/>
                <w:color w:val="000000"/>
                <w:kern w:val="0"/>
                <w:sz w:val="20"/>
                <w:szCs w:val="20"/>
                <w:u w:val="none"/>
                <w:lang w:val="en-US" w:eastAsia="zh-CN" w:bidi="ar"/>
              </w:rPr>
              <w:t>14</w:t>
            </w:r>
          </w:p>
        </w:tc>
      </w:tr>
      <w:tr w14:paraId="72572886">
        <w:tblPrEx>
          <w:tblCellMar>
            <w:top w:w="0" w:type="dxa"/>
            <w:left w:w="108" w:type="dxa"/>
            <w:bottom w:w="0" w:type="dxa"/>
            <w:right w:w="108" w:type="dxa"/>
          </w:tblCellMar>
        </w:tblPrEx>
        <w:trPr>
          <w:trHeight w:val="470" w:hRule="atLeast"/>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632F0752">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3A371AD8">
            <w:pPr>
              <w:widowControl/>
              <w:jc w:val="center"/>
              <w:rPr>
                <w:rFonts w:hint="eastAsia"/>
                <w:sz w:val="20"/>
                <w:szCs w:val="20"/>
                <w:highlight w:val="none"/>
              </w:rPr>
            </w:pPr>
            <w:r>
              <w:rPr>
                <w:rFonts w:hint="eastAsia"/>
                <w:sz w:val="20"/>
                <w:szCs w:val="20"/>
                <w:highlight w:val="none"/>
              </w:rPr>
              <w:t>产品原型展示</w:t>
            </w:r>
          </w:p>
          <w:p w14:paraId="2AC5F83A">
            <w:pPr>
              <w:widowControl/>
              <w:jc w:val="center"/>
              <w:rPr>
                <w:kern w:val="0"/>
                <w:sz w:val="20"/>
                <w:szCs w:val="20"/>
                <w:highlight w:val="none"/>
              </w:rPr>
            </w:pPr>
          </w:p>
        </w:tc>
        <w:tc>
          <w:tcPr>
            <w:tcW w:w="3156" w:type="pct"/>
            <w:tcBorders>
              <w:top w:val="single" w:color="auto" w:sz="4" w:space="0"/>
              <w:left w:val="single" w:color="auto" w:sz="4" w:space="0"/>
              <w:bottom w:val="single" w:color="auto" w:sz="4" w:space="0"/>
              <w:right w:val="single" w:color="auto" w:sz="4" w:space="0"/>
            </w:tcBorders>
            <w:shd w:val="clear" w:color="auto" w:fill="auto"/>
            <w:vAlign w:val="center"/>
          </w:tcPr>
          <w:p w14:paraId="4C47D2A8">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2"/>
                <w:sz w:val="20"/>
                <w:szCs w:val="20"/>
                <w:u w:val="none"/>
                <w:lang w:val="en-US" w:eastAsia="zh-CN" w:bidi="ar-SA"/>
              </w:rPr>
              <w:t>一、产品原型展示评分（1分）：</w:t>
            </w:r>
          </w:p>
          <w:p w14:paraId="7E780C22">
            <w:pPr>
              <w:keepNext w:val="0"/>
              <w:keepLines w:val="0"/>
              <w:widowControl/>
              <w:suppressLineNumbers w:val="0"/>
              <w:jc w:val="left"/>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2"/>
                <w:sz w:val="20"/>
                <w:szCs w:val="20"/>
                <w:u w:val="none"/>
                <w:lang w:val="en-US" w:eastAsia="zh-CN" w:bidi="ar-SA"/>
              </w:rPr>
              <w:t>供应商响应时提供本项目的数据库（企业版和集群版）的功能和性能介绍视频，按照技术规范书中对上述系统的具体功能要求进行评审。根据响应人按要求提供的演示视频，判断产品功能满足程度。分为A（全部满足，功能优秀）、B（基本满足，功能一般）、C（部分满足）三等级评分，A＝(0.6，1]、B＝(0.3，0.6]、C＝[0，0.3]。</w:t>
            </w:r>
          </w:p>
          <w:p w14:paraId="0BBFFAFD">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2"/>
                <w:sz w:val="20"/>
                <w:szCs w:val="20"/>
                <w:u w:val="none"/>
                <w:lang w:val="en-US" w:eastAsia="zh-CN" w:bidi="ar-SA"/>
              </w:rPr>
              <w:t>二、安全测试演示评分（1分）：</w:t>
            </w:r>
          </w:p>
          <w:p w14:paraId="3F9235A4">
            <w:pPr>
              <w:keepNext w:val="0"/>
              <w:keepLines w:val="0"/>
              <w:widowControl/>
              <w:suppressLineNumbers w:val="0"/>
              <w:jc w:val="left"/>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2"/>
                <w:sz w:val="20"/>
                <w:szCs w:val="20"/>
                <w:u w:val="none"/>
                <w:lang w:val="en-US" w:eastAsia="zh-CN" w:bidi="ar-SA"/>
              </w:rPr>
              <w:t xml:space="preserve">   </w:t>
            </w:r>
            <w:r>
              <w:rPr>
                <w:rFonts w:hint="eastAsia" w:ascii="宋体" w:hAnsi="宋体" w:eastAsia="宋体" w:cs="宋体"/>
                <w:b w:val="0"/>
                <w:bCs w:val="0"/>
                <w:i w:val="0"/>
                <w:iCs w:val="0"/>
                <w:color w:val="000000"/>
                <w:kern w:val="2"/>
                <w:sz w:val="20"/>
                <w:szCs w:val="20"/>
                <w:u w:val="none"/>
                <w:lang w:val="en-US" w:eastAsia="zh-CN" w:bidi="ar-SA"/>
              </w:rPr>
              <w:t>提供原型产品阶段的软件成分信息清单，按照清单提供软件安全测试结果截图（包括漏洞扫描、代码审计、源代码成分检测、渗透测试、病毒扫描等）， 确保当前环节软件无病毒、无漏洞、无后门，验证当前软件成分的安全性。分为A（测试全面、安全性高）、B（测试少量缺失、安全性一般）、C（测试缺失较多、安全性差）三等级评分，A＝(0.6，1]、B＝(0.3，0.6]、C＝[0，0.3]。</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37F90681">
            <w:pPr>
              <w:keepNext w:val="0"/>
              <w:keepLines w:val="0"/>
              <w:widowControl/>
              <w:suppressLineNumbers w:val="0"/>
              <w:jc w:val="center"/>
              <w:textAlignment w:val="center"/>
              <w:rPr>
                <w:rFonts w:ascii="宋体" w:hAnsi="宋体" w:cs="宋体"/>
                <w:kern w:val="0"/>
                <w:szCs w:val="21"/>
                <w:highlight w:val="none"/>
              </w:rPr>
            </w:pPr>
            <w:r>
              <w:rPr>
                <w:rFonts w:hint="eastAsia" w:ascii="宋体" w:hAnsi="宋体" w:cs="宋体"/>
                <w:i w:val="0"/>
                <w:iCs w:val="0"/>
                <w:color w:val="000000"/>
                <w:kern w:val="0"/>
                <w:sz w:val="20"/>
                <w:szCs w:val="20"/>
                <w:u w:val="none"/>
                <w:lang w:val="en-US" w:eastAsia="zh-CN" w:bidi="ar"/>
              </w:rPr>
              <w:t>2</w:t>
            </w:r>
          </w:p>
        </w:tc>
      </w:tr>
      <w:tr w14:paraId="1609FA93">
        <w:tblPrEx>
          <w:tblCellMar>
            <w:top w:w="0" w:type="dxa"/>
            <w:left w:w="108" w:type="dxa"/>
            <w:bottom w:w="0" w:type="dxa"/>
            <w:right w:w="108" w:type="dxa"/>
          </w:tblCellMar>
        </w:tblPrEx>
        <w:trPr>
          <w:trHeight w:val="699" w:hRule="atLeast"/>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1203855C">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58FA60D6">
            <w:pPr>
              <w:widowControl/>
              <w:jc w:val="center"/>
              <w:textAlignment w:val="center"/>
              <w:rPr>
                <w:rFonts w:hint="eastAsia"/>
                <w:sz w:val="20"/>
                <w:szCs w:val="20"/>
                <w:highlight w:val="none"/>
              </w:rPr>
            </w:pPr>
            <w:r>
              <w:rPr>
                <w:rFonts w:hint="eastAsia"/>
                <w:sz w:val="20"/>
                <w:szCs w:val="20"/>
                <w:highlight w:val="none"/>
              </w:rPr>
              <w:t>交付质量水平</w:t>
            </w:r>
          </w:p>
          <w:p w14:paraId="0D60DC7E">
            <w:pPr>
              <w:widowControl/>
              <w:jc w:val="center"/>
              <w:textAlignment w:val="center"/>
              <w:rPr>
                <w:rFonts w:ascii="宋体" w:hAnsi="宋体" w:cs="宋体"/>
                <w:kern w:val="0"/>
                <w:szCs w:val="21"/>
                <w:highlight w:val="none"/>
              </w:rPr>
            </w:pPr>
          </w:p>
        </w:tc>
        <w:tc>
          <w:tcPr>
            <w:tcW w:w="3156" w:type="pct"/>
            <w:tcBorders>
              <w:top w:val="single" w:color="auto" w:sz="4" w:space="0"/>
              <w:left w:val="single" w:color="auto" w:sz="4" w:space="0"/>
              <w:bottom w:val="single" w:color="auto" w:sz="4" w:space="0"/>
              <w:right w:val="single" w:color="auto" w:sz="4" w:space="0"/>
            </w:tcBorders>
            <w:shd w:val="clear" w:color="auto" w:fill="auto"/>
            <w:vAlign w:val="center"/>
          </w:tcPr>
          <w:p w14:paraId="542154FE">
            <w:pPr>
              <w:keepNext w:val="0"/>
              <w:keepLines w:val="0"/>
              <w:widowControl/>
              <w:suppressLineNumbers w:val="0"/>
              <w:jc w:val="both"/>
              <w:textAlignment w:val="center"/>
              <w:rPr>
                <w:rFonts w:hint="eastAsia"/>
                <w:b w:val="0"/>
                <w:bCs w:val="0"/>
                <w:kern w:val="0"/>
                <w:sz w:val="20"/>
                <w:szCs w:val="20"/>
                <w:highlight w:val="none"/>
              </w:rPr>
            </w:pPr>
            <w:r>
              <w:rPr>
                <w:rFonts w:hint="eastAsia"/>
                <w:b/>
                <w:bCs/>
                <w:kern w:val="0"/>
                <w:sz w:val="20"/>
                <w:szCs w:val="20"/>
                <w:highlight w:val="none"/>
              </w:rPr>
              <w:t>验收报告评分（2分）：</w:t>
            </w:r>
            <w:r>
              <w:rPr>
                <w:rFonts w:hint="eastAsia"/>
                <w:b w:val="0"/>
                <w:bCs w:val="0"/>
                <w:kern w:val="0"/>
                <w:sz w:val="20"/>
                <w:szCs w:val="20"/>
                <w:highlight w:val="none"/>
              </w:rPr>
              <w:t>投标人提供数据库授权类项目合格的验收报告，提供1份得1分，每增加1份得1分，满分2分。</w:t>
            </w:r>
          </w:p>
          <w:p w14:paraId="344A9153">
            <w:pPr>
              <w:keepNext w:val="0"/>
              <w:keepLines w:val="0"/>
              <w:widowControl/>
              <w:suppressLineNumbers w:val="0"/>
              <w:jc w:val="both"/>
              <w:textAlignment w:val="center"/>
              <w:rPr>
                <w:kern w:val="0"/>
                <w:sz w:val="20"/>
                <w:szCs w:val="20"/>
                <w:highlight w:val="none"/>
              </w:rPr>
            </w:pPr>
            <w:r>
              <w:rPr>
                <w:rFonts w:hint="eastAsia"/>
                <w:b w:val="0"/>
                <w:bCs w:val="0"/>
                <w:kern w:val="0"/>
                <w:sz w:val="20"/>
                <w:szCs w:val="20"/>
                <w:highlight w:val="none"/>
              </w:rPr>
              <w:t>注：提供验收报告复印件加盖供应商公章。</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701D4D35">
            <w:pPr>
              <w:keepNext w:val="0"/>
              <w:keepLines w:val="0"/>
              <w:widowControl/>
              <w:suppressLineNumbers w:val="0"/>
              <w:jc w:val="center"/>
              <w:textAlignment w:val="center"/>
              <w:rPr>
                <w:kern w:val="0"/>
                <w:sz w:val="20"/>
                <w:szCs w:val="20"/>
                <w:highlight w:val="none"/>
              </w:rPr>
            </w:pPr>
            <w:r>
              <w:rPr>
                <w:rFonts w:hint="eastAsia" w:ascii="宋体" w:hAnsi="宋体" w:cs="宋体"/>
                <w:i w:val="0"/>
                <w:iCs w:val="0"/>
                <w:color w:val="000000"/>
                <w:kern w:val="0"/>
                <w:sz w:val="20"/>
                <w:szCs w:val="20"/>
                <w:u w:val="none"/>
                <w:lang w:val="en-US" w:eastAsia="zh-CN" w:bidi="ar"/>
              </w:rPr>
              <w:t>2</w:t>
            </w:r>
          </w:p>
        </w:tc>
      </w:tr>
      <w:tr w14:paraId="226EDC0A">
        <w:tblPrEx>
          <w:tblCellMar>
            <w:top w:w="0" w:type="dxa"/>
            <w:left w:w="108" w:type="dxa"/>
            <w:bottom w:w="0" w:type="dxa"/>
            <w:right w:w="108" w:type="dxa"/>
          </w:tblCellMar>
        </w:tblPrEx>
        <w:trPr>
          <w:trHeight w:val="557" w:hRule="atLeast"/>
        </w:trPr>
        <w:tc>
          <w:tcPr>
            <w:tcW w:w="382" w:type="pct"/>
            <w:tcBorders>
              <w:top w:val="nil"/>
              <w:left w:val="single" w:color="auto" w:sz="4" w:space="0"/>
              <w:bottom w:val="single" w:color="auto" w:sz="4" w:space="0"/>
              <w:right w:val="single" w:color="auto" w:sz="4" w:space="0"/>
            </w:tcBorders>
            <w:shd w:val="clear" w:color="auto" w:fill="auto"/>
            <w:vAlign w:val="center"/>
          </w:tcPr>
          <w:p w14:paraId="678A7B29">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768" w:type="pct"/>
            <w:tcBorders>
              <w:top w:val="nil"/>
              <w:left w:val="single" w:color="auto" w:sz="4" w:space="0"/>
              <w:bottom w:val="single" w:color="auto" w:sz="4" w:space="0"/>
              <w:right w:val="single" w:color="auto" w:sz="4" w:space="0"/>
            </w:tcBorders>
            <w:shd w:val="clear" w:color="auto" w:fill="auto"/>
            <w:vAlign w:val="center"/>
          </w:tcPr>
          <w:p w14:paraId="0EF4508C">
            <w:pPr>
              <w:widowControl/>
              <w:jc w:val="center"/>
              <w:textAlignment w:val="center"/>
              <w:rPr>
                <w:rFonts w:ascii="宋体" w:hAnsi="宋体" w:cs="宋体"/>
                <w:kern w:val="0"/>
                <w:szCs w:val="21"/>
                <w:highlight w:val="none"/>
              </w:rPr>
            </w:pPr>
            <w:r>
              <w:rPr>
                <w:rFonts w:hint="eastAsia"/>
                <w:sz w:val="20"/>
                <w:szCs w:val="20"/>
                <w:highlight w:val="none"/>
              </w:rPr>
              <w:t>在网运行质量水平</w:t>
            </w:r>
          </w:p>
        </w:tc>
        <w:tc>
          <w:tcPr>
            <w:tcW w:w="3156" w:type="pct"/>
            <w:tcBorders>
              <w:top w:val="single" w:color="auto" w:sz="4" w:space="0"/>
              <w:left w:val="single" w:color="auto" w:sz="4" w:space="0"/>
              <w:bottom w:val="single" w:color="auto" w:sz="4" w:space="0"/>
              <w:right w:val="single" w:color="auto" w:sz="4" w:space="0"/>
            </w:tcBorders>
            <w:shd w:val="clear" w:color="auto" w:fill="auto"/>
            <w:vAlign w:val="center"/>
          </w:tcPr>
          <w:p w14:paraId="0F418D8C">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在网运行质量水平评分（2分）：</w:t>
            </w:r>
            <w:r>
              <w:rPr>
                <w:rFonts w:hint="eastAsia" w:ascii="宋体" w:hAnsi="宋体" w:eastAsia="宋体" w:cs="宋体"/>
                <w:b w:val="0"/>
                <w:bCs w:val="0"/>
                <w:i w:val="0"/>
                <w:iCs w:val="0"/>
                <w:color w:val="000000"/>
                <w:kern w:val="0"/>
                <w:sz w:val="20"/>
                <w:szCs w:val="20"/>
                <w:u w:val="none"/>
                <w:lang w:val="en-US" w:eastAsia="zh-CN" w:bidi="ar"/>
              </w:rPr>
              <w:t>供应商提供类似数据库授权类项目应用客户的运行情况证明（或报告、说明等，须提供近3年（2022年9月至响应截止时间）内的运行情况证明），运行情况良好（或正常、稳定等）得满分2分，否则不得分。</w:t>
            </w:r>
          </w:p>
          <w:p w14:paraId="6F93F74A">
            <w:pPr>
              <w:keepNext w:val="0"/>
              <w:keepLines w:val="0"/>
              <w:widowControl/>
              <w:suppressLineNumbers w:val="0"/>
              <w:jc w:val="left"/>
              <w:textAlignment w:val="center"/>
              <w:rPr>
                <w:rFonts w:ascii="宋体" w:hAnsi="宋体" w:cs="宋体"/>
                <w:kern w:val="0"/>
                <w:szCs w:val="21"/>
                <w:highlight w:val="none"/>
              </w:rPr>
            </w:pPr>
            <w:r>
              <w:rPr>
                <w:rFonts w:hint="eastAsia" w:ascii="宋体" w:hAnsi="宋体" w:eastAsia="宋体" w:cs="宋体"/>
                <w:b w:val="0"/>
                <w:bCs w:val="0"/>
                <w:i w:val="0"/>
                <w:iCs w:val="0"/>
                <w:color w:val="000000"/>
                <w:kern w:val="0"/>
                <w:sz w:val="20"/>
                <w:szCs w:val="20"/>
                <w:u w:val="none"/>
                <w:lang w:val="en-US" w:eastAsia="zh-CN" w:bidi="ar"/>
              </w:rPr>
              <w:t>注：建设单位或业主单位须在运行情况证明上盖章。</w:t>
            </w:r>
          </w:p>
        </w:tc>
        <w:tc>
          <w:tcPr>
            <w:tcW w:w="692" w:type="pct"/>
            <w:tcBorders>
              <w:top w:val="single" w:color="auto" w:sz="4" w:space="0"/>
              <w:left w:val="nil"/>
              <w:bottom w:val="single" w:color="auto" w:sz="4" w:space="0"/>
              <w:right w:val="single" w:color="auto" w:sz="4" w:space="0"/>
            </w:tcBorders>
            <w:shd w:val="clear" w:color="auto" w:fill="auto"/>
            <w:vAlign w:val="center"/>
          </w:tcPr>
          <w:p w14:paraId="57352E9A">
            <w:pPr>
              <w:keepNext w:val="0"/>
              <w:keepLines w:val="0"/>
              <w:widowControl/>
              <w:suppressLineNumbers w:val="0"/>
              <w:jc w:val="center"/>
              <w:textAlignment w:val="center"/>
              <w:rPr>
                <w:rFonts w:ascii="宋体" w:hAnsi="宋体" w:cs="宋体"/>
                <w:kern w:val="0"/>
                <w:szCs w:val="21"/>
                <w:highlight w:val="none"/>
              </w:rPr>
            </w:pPr>
            <w:r>
              <w:rPr>
                <w:rFonts w:hint="eastAsia" w:ascii="宋体" w:hAnsi="宋体" w:cs="宋体"/>
                <w:i w:val="0"/>
                <w:iCs w:val="0"/>
                <w:color w:val="000000"/>
                <w:kern w:val="0"/>
                <w:sz w:val="20"/>
                <w:szCs w:val="20"/>
                <w:u w:val="none"/>
                <w:lang w:val="en-US" w:eastAsia="zh-CN" w:bidi="ar"/>
              </w:rPr>
              <w:t>2</w:t>
            </w:r>
          </w:p>
        </w:tc>
      </w:tr>
      <w:tr w14:paraId="6FC5285A">
        <w:tblPrEx>
          <w:tblCellMar>
            <w:top w:w="0" w:type="dxa"/>
            <w:left w:w="108" w:type="dxa"/>
            <w:bottom w:w="0" w:type="dxa"/>
            <w:right w:w="108" w:type="dxa"/>
          </w:tblCellMar>
        </w:tblPrEx>
        <w:trPr>
          <w:trHeight w:val="855" w:hRule="atLeast"/>
        </w:trPr>
        <w:tc>
          <w:tcPr>
            <w:tcW w:w="382" w:type="pct"/>
            <w:tcBorders>
              <w:top w:val="nil"/>
              <w:left w:val="single" w:color="auto" w:sz="4" w:space="0"/>
              <w:bottom w:val="single" w:color="auto" w:sz="4" w:space="0"/>
              <w:right w:val="single" w:color="auto" w:sz="4" w:space="0"/>
            </w:tcBorders>
            <w:shd w:val="clear" w:color="000000" w:fill="auto"/>
            <w:vAlign w:val="center"/>
          </w:tcPr>
          <w:p w14:paraId="037FF642">
            <w:pPr>
              <w:widowControl/>
              <w:jc w:val="center"/>
              <w:rPr>
                <w:rFonts w:hint="default"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5</w:t>
            </w:r>
          </w:p>
        </w:tc>
        <w:tc>
          <w:tcPr>
            <w:tcW w:w="768" w:type="pct"/>
            <w:tcBorders>
              <w:top w:val="single" w:color="auto" w:sz="4" w:space="0"/>
              <w:left w:val="single" w:color="auto" w:sz="4" w:space="0"/>
              <w:bottom w:val="single" w:color="auto" w:sz="4" w:space="0"/>
              <w:right w:val="single" w:color="auto" w:sz="4" w:space="0"/>
            </w:tcBorders>
            <w:shd w:val="clear" w:color="000000" w:fill="auto"/>
            <w:vAlign w:val="center"/>
          </w:tcPr>
          <w:p w14:paraId="7A8065A3">
            <w:pPr>
              <w:widowControl/>
              <w:jc w:val="center"/>
              <w:textAlignment w:val="center"/>
              <w:rPr>
                <w:rFonts w:hint="eastAsia"/>
                <w:sz w:val="20"/>
                <w:szCs w:val="20"/>
                <w:highlight w:val="none"/>
              </w:rPr>
            </w:pPr>
            <w:r>
              <w:rPr>
                <w:rFonts w:hint="eastAsia"/>
                <w:sz w:val="20"/>
                <w:szCs w:val="20"/>
                <w:highlight w:val="none"/>
              </w:rPr>
              <w:t>技术方案建议</w:t>
            </w:r>
          </w:p>
          <w:p w14:paraId="2E9F8AA4">
            <w:pPr>
              <w:widowControl/>
              <w:jc w:val="center"/>
              <w:textAlignment w:val="center"/>
              <w:rPr>
                <w:rFonts w:hint="eastAsia"/>
                <w:sz w:val="20"/>
                <w:szCs w:val="20"/>
                <w:highlight w:val="none"/>
              </w:rPr>
            </w:pPr>
          </w:p>
        </w:tc>
        <w:tc>
          <w:tcPr>
            <w:tcW w:w="3156" w:type="pct"/>
            <w:tcBorders>
              <w:top w:val="single" w:color="auto" w:sz="4" w:space="0"/>
              <w:left w:val="nil"/>
              <w:bottom w:val="single" w:color="auto" w:sz="4" w:space="0"/>
              <w:right w:val="nil"/>
            </w:tcBorders>
            <w:shd w:val="clear" w:color="auto" w:fill="auto"/>
            <w:vAlign w:val="center"/>
          </w:tcPr>
          <w:p w14:paraId="71B5095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技术方案评分（10分）：</w:t>
            </w:r>
            <w:r>
              <w:rPr>
                <w:rFonts w:hint="eastAsia" w:ascii="宋体" w:hAnsi="宋体" w:eastAsia="宋体" w:cs="宋体"/>
                <w:b w:val="0"/>
                <w:bCs w:val="0"/>
                <w:i w:val="0"/>
                <w:iCs w:val="0"/>
                <w:color w:val="000000"/>
                <w:kern w:val="0"/>
                <w:sz w:val="20"/>
                <w:szCs w:val="20"/>
                <w:u w:val="none"/>
                <w:lang w:val="en-US" w:eastAsia="zh-CN" w:bidi="ar"/>
              </w:rPr>
              <w:t>投标人根据项目实际情况，编制针对性的技术方案，包含：1、系统总体架构；2、功能设计；3、安全性措施；4、可靠性措施；5、兼容性措施等5项内容。根据每项内容进行评审，每项分值为2分，5项合计满分10分，每项分为A（优良，方案详细、合理、针对性强）、B（一般，方案较详细、较合理、针对性一般）、C（较差，方案简单、合理性较差、无针对性）三个等级评分，A＝（1.4，2]、B＝（0.7，1.4]、C＝[0，0.7]。</w:t>
            </w:r>
          </w:p>
        </w:tc>
        <w:tc>
          <w:tcPr>
            <w:tcW w:w="692" w:type="pct"/>
            <w:tcBorders>
              <w:top w:val="nil"/>
              <w:left w:val="single" w:color="auto" w:sz="4" w:space="0"/>
              <w:bottom w:val="single" w:color="auto" w:sz="4" w:space="0"/>
              <w:right w:val="single" w:color="auto" w:sz="4" w:space="0"/>
            </w:tcBorders>
            <w:shd w:val="clear" w:color="auto" w:fill="auto"/>
            <w:vAlign w:val="center"/>
          </w:tcPr>
          <w:p w14:paraId="03A9A543">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r>
      <w:tr w14:paraId="279292E9">
        <w:tblPrEx>
          <w:tblCellMar>
            <w:top w:w="0" w:type="dxa"/>
            <w:left w:w="108" w:type="dxa"/>
            <w:bottom w:w="0" w:type="dxa"/>
            <w:right w:w="108" w:type="dxa"/>
          </w:tblCellMar>
        </w:tblPrEx>
        <w:trPr>
          <w:trHeight w:val="855" w:hRule="atLeast"/>
        </w:trPr>
        <w:tc>
          <w:tcPr>
            <w:tcW w:w="382" w:type="pct"/>
            <w:tcBorders>
              <w:top w:val="nil"/>
              <w:left w:val="single" w:color="auto" w:sz="4" w:space="0"/>
              <w:bottom w:val="single" w:color="auto" w:sz="4" w:space="0"/>
              <w:right w:val="single" w:color="auto" w:sz="4" w:space="0"/>
            </w:tcBorders>
            <w:shd w:val="clear" w:color="000000" w:fill="auto"/>
            <w:vAlign w:val="center"/>
          </w:tcPr>
          <w:p w14:paraId="27B5B1DC">
            <w:pPr>
              <w:widowControl/>
              <w:jc w:val="center"/>
              <w:rPr>
                <w:rFonts w:hint="default"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6</w:t>
            </w:r>
          </w:p>
        </w:tc>
        <w:tc>
          <w:tcPr>
            <w:tcW w:w="768" w:type="pct"/>
            <w:tcBorders>
              <w:top w:val="single" w:color="auto" w:sz="4" w:space="0"/>
              <w:left w:val="single" w:color="auto" w:sz="4" w:space="0"/>
              <w:bottom w:val="single" w:color="auto" w:sz="4" w:space="0"/>
              <w:right w:val="single" w:color="auto" w:sz="4" w:space="0"/>
            </w:tcBorders>
            <w:shd w:val="clear" w:color="000000" w:fill="auto"/>
            <w:vAlign w:val="center"/>
          </w:tcPr>
          <w:p w14:paraId="6361F65A">
            <w:pPr>
              <w:widowControl/>
              <w:jc w:val="center"/>
              <w:textAlignment w:val="center"/>
              <w:rPr>
                <w:rFonts w:hint="eastAsia"/>
                <w:sz w:val="20"/>
                <w:szCs w:val="20"/>
                <w:highlight w:val="none"/>
              </w:rPr>
            </w:pPr>
            <w:r>
              <w:rPr>
                <w:rFonts w:hint="eastAsia"/>
                <w:sz w:val="20"/>
                <w:szCs w:val="20"/>
                <w:highlight w:val="none"/>
              </w:rPr>
              <w:t>开发过程管理</w:t>
            </w:r>
          </w:p>
          <w:p w14:paraId="37E64D89">
            <w:pPr>
              <w:widowControl/>
              <w:jc w:val="center"/>
              <w:textAlignment w:val="center"/>
              <w:rPr>
                <w:rFonts w:hint="eastAsia"/>
                <w:sz w:val="20"/>
                <w:szCs w:val="20"/>
                <w:highlight w:val="none"/>
              </w:rPr>
            </w:pPr>
          </w:p>
        </w:tc>
        <w:tc>
          <w:tcPr>
            <w:tcW w:w="3156" w:type="pct"/>
            <w:tcBorders>
              <w:top w:val="single" w:color="auto" w:sz="4" w:space="0"/>
              <w:left w:val="nil"/>
              <w:bottom w:val="single" w:color="auto" w:sz="4" w:space="0"/>
              <w:right w:val="nil"/>
            </w:tcBorders>
            <w:shd w:val="clear" w:color="auto" w:fill="auto"/>
            <w:vAlign w:val="center"/>
          </w:tcPr>
          <w:p w14:paraId="5CD31DA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开发过程管理评分（4分）：</w:t>
            </w:r>
            <w:r>
              <w:rPr>
                <w:rFonts w:hint="eastAsia" w:ascii="宋体" w:hAnsi="宋体" w:eastAsia="宋体" w:cs="宋体"/>
                <w:b w:val="0"/>
                <w:bCs w:val="0"/>
                <w:i w:val="0"/>
                <w:iCs w:val="0"/>
                <w:color w:val="000000"/>
                <w:kern w:val="0"/>
                <w:sz w:val="20"/>
                <w:szCs w:val="20"/>
                <w:u w:val="none"/>
                <w:lang w:val="en-US" w:eastAsia="zh-CN" w:bidi="ar"/>
              </w:rPr>
              <w:t>投标人根据项目实际情况，编制针对性的开发过程管理方案，包含：包含但不限于1、需求管理；2、架构设计；3、实施管理、4、运营维护管理等内容。根据管理方案内容进行评审，分为A（优良，方案详细、合理、针对性强）、B（一般，方案较详细、较合理、针对性一般）、C（较差，方案简单、合理性较差、无针对性）三个等级评分，A＝（2，4]、B＝（1，2]、C＝[0，1]。</w:t>
            </w:r>
          </w:p>
        </w:tc>
        <w:tc>
          <w:tcPr>
            <w:tcW w:w="692" w:type="pct"/>
            <w:tcBorders>
              <w:top w:val="nil"/>
              <w:left w:val="single" w:color="auto" w:sz="4" w:space="0"/>
              <w:bottom w:val="single" w:color="auto" w:sz="4" w:space="0"/>
              <w:right w:val="single" w:color="auto" w:sz="4" w:space="0"/>
            </w:tcBorders>
            <w:shd w:val="clear" w:color="auto" w:fill="auto"/>
            <w:vAlign w:val="center"/>
          </w:tcPr>
          <w:p w14:paraId="1042A63A">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p>
        </w:tc>
      </w:tr>
      <w:tr w14:paraId="67CF7AC7">
        <w:tblPrEx>
          <w:tblCellMar>
            <w:top w:w="0" w:type="dxa"/>
            <w:left w:w="108" w:type="dxa"/>
            <w:bottom w:w="0" w:type="dxa"/>
            <w:right w:w="108" w:type="dxa"/>
          </w:tblCellMar>
        </w:tblPrEx>
        <w:trPr>
          <w:trHeight w:val="855" w:hRule="atLeast"/>
        </w:trPr>
        <w:tc>
          <w:tcPr>
            <w:tcW w:w="382" w:type="pct"/>
            <w:tcBorders>
              <w:top w:val="nil"/>
              <w:left w:val="single" w:color="auto" w:sz="4" w:space="0"/>
              <w:bottom w:val="single" w:color="auto" w:sz="4" w:space="0"/>
              <w:right w:val="single" w:color="auto" w:sz="4" w:space="0"/>
            </w:tcBorders>
            <w:shd w:val="clear" w:color="000000" w:fill="auto"/>
            <w:vAlign w:val="center"/>
          </w:tcPr>
          <w:p w14:paraId="0DF5823F">
            <w:pPr>
              <w:widowControl/>
              <w:jc w:val="center"/>
              <w:rPr>
                <w:rFonts w:hint="default"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7</w:t>
            </w:r>
          </w:p>
        </w:tc>
        <w:tc>
          <w:tcPr>
            <w:tcW w:w="768" w:type="pct"/>
            <w:tcBorders>
              <w:top w:val="single" w:color="auto" w:sz="4" w:space="0"/>
              <w:left w:val="single" w:color="auto" w:sz="4" w:space="0"/>
              <w:bottom w:val="single" w:color="auto" w:sz="4" w:space="0"/>
              <w:right w:val="single" w:color="auto" w:sz="4" w:space="0"/>
            </w:tcBorders>
            <w:shd w:val="clear" w:color="000000" w:fill="auto"/>
            <w:vAlign w:val="center"/>
          </w:tcPr>
          <w:p w14:paraId="1FDBC556">
            <w:pPr>
              <w:widowControl/>
              <w:jc w:val="center"/>
              <w:textAlignment w:val="center"/>
              <w:rPr>
                <w:rFonts w:hint="eastAsia"/>
                <w:sz w:val="20"/>
                <w:szCs w:val="20"/>
                <w:highlight w:val="none"/>
              </w:rPr>
            </w:pPr>
            <w:r>
              <w:rPr>
                <w:rFonts w:hint="eastAsia"/>
                <w:sz w:val="20"/>
                <w:szCs w:val="20"/>
                <w:highlight w:val="none"/>
              </w:rPr>
              <w:t>服务保障措施</w:t>
            </w:r>
          </w:p>
          <w:p w14:paraId="34CE41DA">
            <w:pPr>
              <w:widowControl/>
              <w:jc w:val="center"/>
              <w:textAlignment w:val="center"/>
              <w:rPr>
                <w:rFonts w:hint="eastAsia"/>
                <w:sz w:val="20"/>
                <w:szCs w:val="20"/>
                <w:highlight w:val="none"/>
              </w:rPr>
            </w:pPr>
          </w:p>
        </w:tc>
        <w:tc>
          <w:tcPr>
            <w:tcW w:w="3156" w:type="pct"/>
            <w:tcBorders>
              <w:top w:val="single" w:color="auto" w:sz="4" w:space="0"/>
              <w:left w:val="nil"/>
              <w:bottom w:val="single" w:color="auto" w:sz="4" w:space="0"/>
              <w:right w:val="nil"/>
            </w:tcBorders>
            <w:shd w:val="clear" w:color="auto" w:fill="auto"/>
            <w:vAlign w:val="center"/>
          </w:tcPr>
          <w:p w14:paraId="5A507324">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保修承诺评分（2分）：</w:t>
            </w:r>
          </w:p>
          <w:p w14:paraId="2DC7D324">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乙方为本项目所提供软件的保修期为[12]个月的不得分，承诺每增加3个月加1分，本项满分2分。（提供承诺）</w:t>
            </w:r>
          </w:p>
          <w:p w14:paraId="3790CD5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免费更新承诺评分（2分):</w:t>
            </w:r>
            <w:r>
              <w:rPr>
                <w:rFonts w:hint="eastAsia" w:ascii="宋体" w:hAnsi="宋体" w:eastAsia="宋体" w:cs="宋体"/>
                <w:b w:val="0"/>
                <w:bCs w:val="0"/>
                <w:i w:val="0"/>
                <w:iCs w:val="0"/>
                <w:color w:val="000000"/>
                <w:kern w:val="0"/>
                <w:sz w:val="20"/>
                <w:szCs w:val="20"/>
                <w:u w:val="none"/>
                <w:lang w:val="en-US" w:eastAsia="zh-CN" w:bidi="ar"/>
              </w:rPr>
              <w:t>根据</w:t>
            </w:r>
            <w:r>
              <w:rPr>
                <w:rFonts w:hint="eastAsia" w:ascii="宋体" w:hAnsi="宋体" w:cs="宋体"/>
                <w:b w:val="0"/>
                <w:bCs w:val="0"/>
                <w:i w:val="0"/>
                <w:iCs w:val="0"/>
                <w:color w:val="000000"/>
                <w:kern w:val="0"/>
                <w:sz w:val="20"/>
                <w:szCs w:val="20"/>
                <w:u w:val="none"/>
                <w:lang w:val="en-US" w:eastAsia="zh-CN" w:bidi="ar"/>
              </w:rPr>
              <w:t>投标人</w:t>
            </w:r>
            <w:r>
              <w:rPr>
                <w:rFonts w:hint="eastAsia" w:ascii="宋体" w:hAnsi="宋体" w:eastAsia="宋体" w:cs="宋体"/>
                <w:b w:val="0"/>
                <w:bCs w:val="0"/>
                <w:i w:val="0"/>
                <w:iCs w:val="0"/>
                <w:color w:val="000000"/>
                <w:kern w:val="0"/>
                <w:sz w:val="20"/>
                <w:szCs w:val="20"/>
                <w:u w:val="none"/>
                <w:lang w:val="en-US" w:eastAsia="zh-CN" w:bidi="ar"/>
              </w:rPr>
              <w:t>承诺提供的数据库（集群版和企业版）免费更新服务进行评审：免费更新服务为12个月不得分，在此基础上每增加3个月加1分，本项最多得2分。</w:t>
            </w:r>
          </w:p>
        </w:tc>
        <w:tc>
          <w:tcPr>
            <w:tcW w:w="692" w:type="pct"/>
            <w:tcBorders>
              <w:top w:val="nil"/>
              <w:left w:val="single" w:color="auto" w:sz="4" w:space="0"/>
              <w:bottom w:val="single" w:color="auto" w:sz="4" w:space="0"/>
              <w:right w:val="single" w:color="auto" w:sz="4" w:space="0"/>
            </w:tcBorders>
            <w:shd w:val="clear" w:color="auto" w:fill="auto"/>
            <w:vAlign w:val="center"/>
          </w:tcPr>
          <w:p w14:paraId="7677ED40">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p>
        </w:tc>
      </w:tr>
      <w:tr w14:paraId="294E96D5">
        <w:tblPrEx>
          <w:tblCellMar>
            <w:top w:w="0" w:type="dxa"/>
            <w:left w:w="108" w:type="dxa"/>
            <w:bottom w:w="0" w:type="dxa"/>
            <w:right w:w="108" w:type="dxa"/>
          </w:tblCellMar>
        </w:tblPrEx>
        <w:trPr>
          <w:trHeight w:val="90" w:hRule="atLeast"/>
        </w:trPr>
        <w:tc>
          <w:tcPr>
            <w:tcW w:w="382" w:type="pct"/>
            <w:tcBorders>
              <w:top w:val="nil"/>
              <w:left w:val="single" w:color="auto" w:sz="4" w:space="0"/>
              <w:bottom w:val="single" w:color="auto" w:sz="4" w:space="0"/>
              <w:right w:val="single" w:color="auto" w:sz="4" w:space="0"/>
            </w:tcBorders>
            <w:shd w:val="clear" w:color="000000" w:fill="auto"/>
            <w:vAlign w:val="center"/>
          </w:tcPr>
          <w:p w14:paraId="6AE757F9">
            <w:pPr>
              <w:widowControl/>
              <w:jc w:val="center"/>
              <w:rPr>
                <w:rFonts w:hint="default"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8</w:t>
            </w:r>
          </w:p>
        </w:tc>
        <w:tc>
          <w:tcPr>
            <w:tcW w:w="768" w:type="pct"/>
            <w:tcBorders>
              <w:top w:val="single" w:color="auto" w:sz="4" w:space="0"/>
              <w:left w:val="single" w:color="auto" w:sz="4" w:space="0"/>
              <w:bottom w:val="single" w:color="auto" w:sz="4" w:space="0"/>
              <w:right w:val="single" w:color="auto" w:sz="4" w:space="0"/>
            </w:tcBorders>
            <w:shd w:val="clear" w:color="000000" w:fill="auto"/>
            <w:vAlign w:val="center"/>
          </w:tcPr>
          <w:p w14:paraId="7B0C4B98">
            <w:pPr>
              <w:pStyle w:val="78"/>
              <w:keepNext w:val="0"/>
              <w:keepLines w:val="0"/>
              <w:widowControl/>
              <w:suppressLineNumbers w:val="0"/>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进度安排</w:t>
            </w:r>
          </w:p>
        </w:tc>
        <w:tc>
          <w:tcPr>
            <w:tcW w:w="3156" w:type="pct"/>
            <w:tcBorders>
              <w:top w:val="single" w:color="auto" w:sz="4" w:space="0"/>
              <w:left w:val="nil"/>
              <w:bottom w:val="single" w:color="auto" w:sz="4" w:space="0"/>
              <w:right w:val="nil"/>
            </w:tcBorders>
            <w:shd w:val="clear" w:color="auto" w:fill="auto"/>
            <w:vAlign w:val="center"/>
          </w:tcPr>
          <w:p w14:paraId="1FE52D84">
            <w:pPr>
              <w:pStyle w:val="78"/>
              <w:keepNext w:val="0"/>
              <w:keepLines w:val="0"/>
              <w:widowControl/>
              <w:suppressLineNumbers w:val="0"/>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进度安排评分（2分）：</w:t>
            </w:r>
            <w:r>
              <w:rPr>
                <w:rFonts w:hint="eastAsia" w:ascii="宋体" w:hAnsi="宋体" w:eastAsia="宋体" w:cs="宋体"/>
                <w:b w:val="0"/>
                <w:bCs w:val="0"/>
                <w:i w:val="0"/>
                <w:iCs w:val="0"/>
                <w:color w:val="000000"/>
                <w:kern w:val="0"/>
                <w:sz w:val="20"/>
                <w:szCs w:val="20"/>
                <w:u w:val="none"/>
                <w:lang w:val="en-US" w:eastAsia="zh-CN" w:bidi="ar"/>
              </w:rPr>
              <w:t>投标人结合本项目特点提出的进度管理方案进行综合评审，进度方案包括总体筹划、项目进度计划与保证措施等。分为A（优良，方案详细、合理、针对性强）、B（一般，方案较详细、较合理、针对性一般）、C（较差，方案简单、合理性较差、无针对性）三个等级评分，A＝（1.5，2]、B＝（0.7，1.5]、C＝[0，0.7]。</w:t>
            </w:r>
          </w:p>
        </w:tc>
        <w:tc>
          <w:tcPr>
            <w:tcW w:w="692" w:type="pct"/>
            <w:tcBorders>
              <w:top w:val="nil"/>
              <w:left w:val="single" w:color="auto" w:sz="4" w:space="0"/>
              <w:bottom w:val="single" w:color="auto" w:sz="4" w:space="0"/>
              <w:right w:val="single" w:color="auto" w:sz="4" w:space="0"/>
            </w:tcBorders>
            <w:shd w:val="clear" w:color="auto" w:fill="auto"/>
            <w:vAlign w:val="center"/>
          </w:tcPr>
          <w:p w14:paraId="41BF94BD">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r>
      <w:tr w14:paraId="546C20AE">
        <w:tblPrEx>
          <w:tblCellMar>
            <w:top w:w="0" w:type="dxa"/>
            <w:left w:w="108" w:type="dxa"/>
            <w:bottom w:w="0" w:type="dxa"/>
            <w:right w:w="108" w:type="dxa"/>
          </w:tblCellMar>
        </w:tblPrEx>
        <w:trPr>
          <w:trHeight w:val="855" w:hRule="atLeast"/>
        </w:trPr>
        <w:tc>
          <w:tcPr>
            <w:tcW w:w="382" w:type="pct"/>
            <w:tcBorders>
              <w:top w:val="nil"/>
              <w:left w:val="single" w:color="auto" w:sz="4" w:space="0"/>
              <w:bottom w:val="single" w:color="auto" w:sz="4" w:space="0"/>
              <w:right w:val="single" w:color="auto" w:sz="4" w:space="0"/>
            </w:tcBorders>
            <w:shd w:val="clear" w:color="000000" w:fill="auto"/>
            <w:vAlign w:val="center"/>
          </w:tcPr>
          <w:p w14:paraId="158C3BB1">
            <w:pPr>
              <w:widowControl/>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9</w:t>
            </w:r>
          </w:p>
        </w:tc>
        <w:tc>
          <w:tcPr>
            <w:tcW w:w="768" w:type="pct"/>
            <w:tcBorders>
              <w:top w:val="single" w:color="auto" w:sz="4" w:space="0"/>
              <w:left w:val="single" w:color="auto" w:sz="4" w:space="0"/>
              <w:bottom w:val="single" w:color="auto" w:sz="4" w:space="0"/>
              <w:right w:val="single" w:color="auto" w:sz="4" w:space="0"/>
            </w:tcBorders>
            <w:shd w:val="clear" w:color="000000" w:fill="auto"/>
            <w:vAlign w:val="center"/>
          </w:tcPr>
          <w:p w14:paraId="35223190">
            <w:pPr>
              <w:widowControl/>
              <w:jc w:val="center"/>
              <w:textAlignment w:val="center"/>
              <w:rPr>
                <w:rFonts w:hint="eastAsia"/>
                <w:sz w:val="20"/>
                <w:szCs w:val="20"/>
                <w:highlight w:val="none"/>
              </w:rPr>
            </w:pPr>
            <w:r>
              <w:rPr>
                <w:rFonts w:hint="eastAsia"/>
                <w:sz w:val="20"/>
                <w:szCs w:val="20"/>
                <w:highlight w:val="none"/>
              </w:rPr>
              <w:t>软件安全管理</w:t>
            </w:r>
          </w:p>
          <w:p w14:paraId="280821C8">
            <w:pPr>
              <w:widowControl/>
              <w:jc w:val="center"/>
              <w:textAlignment w:val="center"/>
              <w:rPr>
                <w:rFonts w:ascii="宋体" w:hAnsi="宋体" w:cs="宋体"/>
                <w:kern w:val="0"/>
                <w:sz w:val="20"/>
                <w:szCs w:val="20"/>
                <w:highlight w:val="none"/>
                <w:lang w:bidi="ar"/>
              </w:rPr>
            </w:pPr>
          </w:p>
        </w:tc>
        <w:tc>
          <w:tcPr>
            <w:tcW w:w="3156" w:type="pct"/>
            <w:tcBorders>
              <w:top w:val="single" w:color="auto" w:sz="4" w:space="0"/>
              <w:left w:val="nil"/>
              <w:bottom w:val="single" w:color="auto" w:sz="4" w:space="0"/>
              <w:right w:val="nil"/>
            </w:tcBorders>
            <w:shd w:val="clear" w:color="auto" w:fill="auto"/>
            <w:vAlign w:val="center"/>
          </w:tcPr>
          <w:p w14:paraId="321E143A">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供应链安全评估评分（</w:t>
            </w:r>
            <w:r>
              <w:rPr>
                <w:rFonts w:hint="eastAsia" w:ascii="宋体" w:hAnsi="宋体" w:cs="宋体"/>
                <w:b/>
                <w:bCs/>
                <w:i w:val="0"/>
                <w:iCs w:val="0"/>
                <w:color w:val="000000"/>
                <w:kern w:val="0"/>
                <w:sz w:val="20"/>
                <w:szCs w:val="20"/>
                <w:u w:val="none"/>
                <w:lang w:val="en-US" w:eastAsia="zh-CN" w:bidi="ar"/>
              </w:rPr>
              <w:t>6</w:t>
            </w:r>
            <w:r>
              <w:rPr>
                <w:rFonts w:hint="eastAsia" w:ascii="宋体" w:hAnsi="宋体" w:eastAsia="宋体" w:cs="宋体"/>
                <w:b/>
                <w:bCs/>
                <w:i w:val="0"/>
                <w:iCs w:val="0"/>
                <w:color w:val="000000"/>
                <w:kern w:val="0"/>
                <w:sz w:val="20"/>
                <w:szCs w:val="20"/>
                <w:u w:val="none"/>
                <w:lang w:val="en-US" w:eastAsia="zh-CN" w:bidi="ar"/>
              </w:rPr>
              <w:t>分）：</w:t>
            </w:r>
          </w:p>
          <w:p w14:paraId="53C7B7D8">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投标人提交外部组件软件成分信息清单（格式见外部组件软件成分信息清单模版），清单包括软件基本信息、软件成分明细（开发工具类、第三方软件类、开源软件类）、合法获取开发工具、开源软件、第三方软件使用权的证明材料等。根据软件成分信息清单对软件供应链风险进行评估，资料齐全、基本不存在供应链安全风险的得(4-6]分；资料少量缺失、可能存在供应链安全风险但可接受的得(2-4]分；资料缺失较多、可能存在较高供应链安全风险的得[0-2]分。</w:t>
            </w:r>
          </w:p>
          <w:p w14:paraId="3C612F54">
            <w:pPr>
              <w:keepNext w:val="0"/>
              <w:keepLines w:val="0"/>
              <w:widowControl/>
              <w:suppressLineNumbers w:val="0"/>
              <w:jc w:val="left"/>
              <w:textAlignment w:val="center"/>
              <w:rPr>
                <w:kern w:val="0"/>
                <w:sz w:val="20"/>
                <w:szCs w:val="20"/>
                <w:highlight w:val="none"/>
              </w:rPr>
            </w:pPr>
            <w:r>
              <w:rPr>
                <w:rFonts w:hint="eastAsia" w:ascii="宋体" w:hAnsi="宋体" w:eastAsia="宋体" w:cs="宋体"/>
                <w:b w:val="0"/>
                <w:bCs w:val="0"/>
                <w:i w:val="0"/>
                <w:iCs w:val="0"/>
                <w:color w:val="000000"/>
                <w:kern w:val="0"/>
                <w:sz w:val="20"/>
                <w:szCs w:val="20"/>
                <w:u w:val="none"/>
                <w:lang w:val="en-US" w:eastAsia="zh-CN" w:bidi="ar"/>
              </w:rPr>
              <w:t>注：需提供证明材料，未提供证明材料视为供应链安全风险程度高；未提供软件成分信息清单的将被否决投标。</w:t>
            </w:r>
          </w:p>
        </w:tc>
        <w:tc>
          <w:tcPr>
            <w:tcW w:w="692" w:type="pct"/>
            <w:tcBorders>
              <w:top w:val="nil"/>
              <w:left w:val="single" w:color="auto" w:sz="4" w:space="0"/>
              <w:bottom w:val="single" w:color="auto" w:sz="4" w:space="0"/>
              <w:right w:val="single" w:color="auto" w:sz="4" w:space="0"/>
            </w:tcBorders>
            <w:shd w:val="clear" w:color="auto" w:fill="auto"/>
            <w:vAlign w:val="center"/>
          </w:tcPr>
          <w:p w14:paraId="6542F706">
            <w:pPr>
              <w:keepNext w:val="0"/>
              <w:keepLines w:val="0"/>
              <w:widowControl/>
              <w:suppressLineNumbers w:val="0"/>
              <w:jc w:val="center"/>
              <w:textAlignment w:val="center"/>
              <w:rPr>
                <w:rFonts w:hint="default" w:ascii="宋体" w:hAnsi="宋体" w:cs="宋体"/>
                <w:kern w:val="0"/>
                <w:sz w:val="20"/>
                <w:szCs w:val="20"/>
                <w:highlight w:val="none"/>
                <w:lang w:val="en-US" w:bidi="ar"/>
              </w:rPr>
            </w:pPr>
            <w:r>
              <w:rPr>
                <w:rFonts w:hint="eastAsia" w:ascii="宋体" w:hAnsi="宋体" w:cs="宋体"/>
                <w:i w:val="0"/>
                <w:iCs w:val="0"/>
                <w:color w:val="000000"/>
                <w:kern w:val="0"/>
                <w:sz w:val="20"/>
                <w:szCs w:val="20"/>
                <w:u w:val="none"/>
                <w:lang w:val="en-US" w:eastAsia="zh-CN" w:bidi="ar"/>
              </w:rPr>
              <w:t>6</w:t>
            </w:r>
          </w:p>
        </w:tc>
      </w:tr>
      <w:tr w14:paraId="311E3E96">
        <w:tblPrEx>
          <w:tblCellMar>
            <w:top w:w="0" w:type="dxa"/>
            <w:left w:w="108" w:type="dxa"/>
            <w:bottom w:w="0" w:type="dxa"/>
            <w:right w:w="108" w:type="dxa"/>
          </w:tblCellMar>
        </w:tblPrEx>
        <w:trPr>
          <w:trHeight w:val="90" w:hRule="atLeast"/>
        </w:trPr>
        <w:tc>
          <w:tcPr>
            <w:tcW w:w="382" w:type="pct"/>
            <w:tcBorders>
              <w:top w:val="nil"/>
              <w:left w:val="single" w:color="auto" w:sz="4" w:space="0"/>
              <w:bottom w:val="single" w:color="auto" w:sz="4" w:space="0"/>
              <w:right w:val="single" w:color="auto" w:sz="4" w:space="0"/>
            </w:tcBorders>
            <w:shd w:val="clear" w:color="000000" w:fill="auto"/>
            <w:vAlign w:val="center"/>
          </w:tcPr>
          <w:p w14:paraId="702D1655">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10</w:t>
            </w:r>
          </w:p>
        </w:tc>
        <w:tc>
          <w:tcPr>
            <w:tcW w:w="768" w:type="pct"/>
            <w:tcBorders>
              <w:top w:val="single" w:color="auto" w:sz="4" w:space="0"/>
              <w:left w:val="single" w:color="auto" w:sz="4" w:space="0"/>
              <w:bottom w:val="single" w:color="auto" w:sz="4" w:space="0"/>
              <w:right w:val="single" w:color="auto" w:sz="4" w:space="0"/>
            </w:tcBorders>
            <w:shd w:val="clear" w:color="000000" w:fill="auto"/>
            <w:vAlign w:val="center"/>
          </w:tcPr>
          <w:p w14:paraId="2E6ED75F">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网络安全管理能力</w:t>
            </w:r>
          </w:p>
        </w:tc>
        <w:tc>
          <w:tcPr>
            <w:tcW w:w="3156" w:type="pct"/>
            <w:tcBorders>
              <w:top w:val="single" w:color="auto" w:sz="4" w:space="0"/>
              <w:left w:val="nil"/>
              <w:bottom w:val="single" w:color="auto" w:sz="4" w:space="0"/>
              <w:right w:val="nil"/>
            </w:tcBorders>
            <w:shd w:val="clear" w:color="auto" w:fill="auto"/>
            <w:vAlign w:val="center"/>
          </w:tcPr>
          <w:p w14:paraId="4946F161">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网络安全管理能力评分（2分）：</w:t>
            </w:r>
          </w:p>
          <w:p w14:paraId="4979124A">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根据投标人提交的网络安全情况报告评分，网络安全情况报告需包括以下两个方面内容：1.网络安全管理制度及安全运营情况，主要针对开发人员安全意识培训、开源组件第三方软件的选型、开发测试工具的选用、对引入组件各类工具的安全漏洞病毒的定位、修复策略、软件安全方面的测试、安全检测工具、风险应急响应机制、是否建立开源组件工具的资产台账，并动态管理、人员保密性要求等。（需提交相关制度正式文件、安全运行检查原始记录文件等证明材料）；2.近3年涉及本次投标相关系统软硬件或服务等被相关安全监督部门书面通报存在网络安全重大隐患或存在可能导致安全事件的风险和行政处罚等情况；3.安全漏洞自查承诺（格式自理）：经自查本次投标产品不存在《工业和信息化部网络安全威胁和漏洞信息共享平台（NVDB）》已公布的互联网暴露面及内网系统系统高、中危漏洞。</w:t>
            </w:r>
          </w:p>
          <w:p w14:paraId="7F1C923F">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 xml:space="preserve">    管理制度不完整、无安全运行情况或安全运行情况较差、得[0-0.5]分；管理制度较完整、运行情况一般的得、被书面通报存在重大隐患但已按按要求整改的（0.5-1]分；管理制度完整、运行情况较好、管理先进的得（1-2]分；未提供报告、近3年内被行政处罚的为0分。（未提供安全漏洞自查承诺、报告隐瞒上述安全隐患、行政处罚的将被否决投标）</w:t>
            </w:r>
          </w:p>
        </w:tc>
        <w:tc>
          <w:tcPr>
            <w:tcW w:w="692" w:type="pct"/>
            <w:tcBorders>
              <w:top w:val="nil"/>
              <w:left w:val="single" w:color="auto" w:sz="4" w:space="0"/>
              <w:bottom w:val="single" w:color="auto" w:sz="4" w:space="0"/>
              <w:right w:val="single" w:color="auto" w:sz="4" w:space="0"/>
            </w:tcBorders>
            <w:shd w:val="clear" w:color="auto" w:fill="auto"/>
            <w:vAlign w:val="center"/>
          </w:tcPr>
          <w:p w14:paraId="5EB57B27">
            <w:pPr>
              <w:keepNext w:val="0"/>
              <w:keepLines w:val="0"/>
              <w:widowControl/>
              <w:suppressLineNumbers w:val="0"/>
              <w:jc w:val="center"/>
              <w:textAlignment w:val="center"/>
              <w:rPr>
                <w:rFonts w:hint="default" w:ascii="宋体" w:hAnsi="宋体" w:cs="宋体"/>
                <w:kern w:val="0"/>
                <w:sz w:val="20"/>
                <w:szCs w:val="20"/>
                <w:highlight w:val="none"/>
                <w:lang w:val="en-US" w:bidi="ar"/>
              </w:rPr>
            </w:pPr>
            <w:r>
              <w:rPr>
                <w:rFonts w:hint="eastAsia" w:ascii="宋体" w:hAnsi="宋体" w:cs="宋体"/>
                <w:i w:val="0"/>
                <w:iCs w:val="0"/>
                <w:color w:val="000000"/>
                <w:kern w:val="0"/>
                <w:sz w:val="20"/>
                <w:szCs w:val="20"/>
                <w:u w:val="none"/>
                <w:lang w:val="en-US" w:eastAsia="zh-CN" w:bidi="ar"/>
              </w:rPr>
              <w:t>2</w:t>
            </w:r>
          </w:p>
        </w:tc>
      </w:tr>
      <w:tr w14:paraId="7E1D4E78">
        <w:tblPrEx>
          <w:tblCellMar>
            <w:top w:w="0" w:type="dxa"/>
            <w:left w:w="108" w:type="dxa"/>
            <w:bottom w:w="0" w:type="dxa"/>
            <w:right w:w="108" w:type="dxa"/>
          </w:tblCellMar>
        </w:tblPrEx>
        <w:trPr>
          <w:trHeight w:val="855" w:hRule="atLeast"/>
        </w:trPr>
        <w:tc>
          <w:tcPr>
            <w:tcW w:w="382" w:type="pct"/>
            <w:tcBorders>
              <w:top w:val="nil"/>
              <w:left w:val="single" w:color="auto" w:sz="4" w:space="0"/>
              <w:bottom w:val="single" w:color="auto" w:sz="4" w:space="0"/>
              <w:right w:val="single" w:color="auto" w:sz="4" w:space="0"/>
            </w:tcBorders>
            <w:shd w:val="clear" w:color="000000" w:fill="auto"/>
            <w:vAlign w:val="center"/>
          </w:tcPr>
          <w:p w14:paraId="674F6EE7">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11</w:t>
            </w:r>
          </w:p>
        </w:tc>
        <w:tc>
          <w:tcPr>
            <w:tcW w:w="768" w:type="pct"/>
            <w:tcBorders>
              <w:top w:val="single" w:color="auto" w:sz="4" w:space="0"/>
              <w:left w:val="single" w:color="auto" w:sz="4" w:space="0"/>
              <w:bottom w:val="single" w:color="auto" w:sz="4" w:space="0"/>
              <w:right w:val="single" w:color="auto" w:sz="4" w:space="0"/>
            </w:tcBorders>
            <w:shd w:val="clear" w:color="000000" w:fill="auto"/>
            <w:vAlign w:val="center"/>
          </w:tcPr>
          <w:p w14:paraId="1BB67D9D">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著作权证书</w:t>
            </w:r>
          </w:p>
        </w:tc>
        <w:tc>
          <w:tcPr>
            <w:tcW w:w="3156" w:type="pct"/>
            <w:tcBorders>
              <w:top w:val="single" w:color="auto" w:sz="4" w:space="0"/>
              <w:left w:val="nil"/>
              <w:bottom w:val="single" w:color="auto" w:sz="4" w:space="0"/>
              <w:right w:val="nil"/>
            </w:tcBorders>
            <w:shd w:val="clear" w:color="auto" w:fill="auto"/>
            <w:vAlign w:val="center"/>
          </w:tcPr>
          <w:p w14:paraId="01592926">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著作权证书评分（2分）：</w:t>
            </w:r>
          </w:p>
          <w:p w14:paraId="2C294B53">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根据</w:t>
            </w:r>
            <w:r>
              <w:rPr>
                <w:rFonts w:hint="eastAsia" w:ascii="宋体" w:hAnsi="宋体" w:cs="宋体"/>
                <w:b w:val="0"/>
                <w:bCs w:val="0"/>
                <w:i w:val="0"/>
                <w:iCs w:val="0"/>
                <w:color w:val="000000"/>
                <w:kern w:val="0"/>
                <w:sz w:val="20"/>
                <w:szCs w:val="20"/>
                <w:u w:val="none"/>
                <w:lang w:val="en-US" w:eastAsia="zh-CN" w:bidi="ar"/>
              </w:rPr>
              <w:t>投标人</w:t>
            </w:r>
            <w:r>
              <w:rPr>
                <w:rFonts w:hint="eastAsia" w:ascii="宋体" w:hAnsi="宋体" w:eastAsia="宋体" w:cs="宋体"/>
                <w:b w:val="0"/>
                <w:bCs w:val="0"/>
                <w:i w:val="0"/>
                <w:iCs w:val="0"/>
                <w:color w:val="000000"/>
                <w:kern w:val="0"/>
                <w:sz w:val="20"/>
                <w:szCs w:val="20"/>
                <w:u w:val="none"/>
                <w:lang w:val="en-US" w:eastAsia="zh-CN" w:bidi="ar"/>
              </w:rPr>
              <w:t>提供的软件著作权进行评分（提供证明文件必须与供应商本公司名称或授权</w:t>
            </w:r>
            <w:r>
              <w:rPr>
                <w:rFonts w:hint="eastAsia" w:ascii="宋体" w:hAnsi="宋体" w:cs="宋体"/>
                <w:b w:val="0"/>
                <w:bCs w:val="0"/>
                <w:i w:val="0"/>
                <w:iCs w:val="0"/>
                <w:color w:val="000000"/>
                <w:kern w:val="0"/>
                <w:sz w:val="20"/>
                <w:szCs w:val="20"/>
                <w:u w:val="none"/>
                <w:lang w:val="en-US" w:eastAsia="zh-CN" w:bidi="ar"/>
              </w:rPr>
              <w:t>投标</w:t>
            </w:r>
            <w:r>
              <w:rPr>
                <w:rFonts w:hint="eastAsia" w:ascii="宋体" w:hAnsi="宋体" w:eastAsia="宋体" w:cs="宋体"/>
                <w:b w:val="0"/>
                <w:bCs w:val="0"/>
                <w:i w:val="0"/>
                <w:iCs w:val="0"/>
                <w:color w:val="000000"/>
                <w:kern w:val="0"/>
                <w:sz w:val="20"/>
                <w:szCs w:val="20"/>
                <w:u w:val="none"/>
                <w:lang w:val="en-US" w:eastAsia="zh-CN" w:bidi="ar"/>
              </w:rPr>
              <w:t>人的产品制造商名称一致，所提供的软件著作权必须与本次</w:t>
            </w:r>
            <w:r>
              <w:rPr>
                <w:rFonts w:hint="eastAsia" w:ascii="宋体" w:hAnsi="宋体" w:cs="宋体"/>
                <w:b w:val="0"/>
                <w:bCs w:val="0"/>
                <w:i w:val="0"/>
                <w:iCs w:val="0"/>
                <w:color w:val="000000"/>
                <w:kern w:val="0"/>
                <w:sz w:val="20"/>
                <w:szCs w:val="20"/>
                <w:u w:val="none"/>
                <w:lang w:val="en-US" w:eastAsia="zh-CN" w:bidi="ar"/>
              </w:rPr>
              <w:t>投标</w:t>
            </w:r>
            <w:r>
              <w:rPr>
                <w:rFonts w:hint="eastAsia" w:ascii="宋体" w:hAnsi="宋体" w:eastAsia="宋体" w:cs="宋体"/>
                <w:b w:val="0"/>
                <w:bCs w:val="0"/>
                <w:i w:val="0"/>
                <w:iCs w:val="0"/>
                <w:color w:val="000000"/>
                <w:kern w:val="0"/>
                <w:sz w:val="20"/>
                <w:szCs w:val="20"/>
                <w:u w:val="none"/>
                <w:lang w:val="en-US" w:eastAsia="zh-CN" w:bidi="ar"/>
              </w:rPr>
              <w:t>产品相关，其他不计算在内），每提供一项有效的著作权或专利得1分，最高不超过2分。</w:t>
            </w:r>
          </w:p>
          <w:p w14:paraId="2E098649">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注：需提供相关证书扫描件，证书需在有效期内，否则不得分。</w:t>
            </w:r>
          </w:p>
        </w:tc>
        <w:tc>
          <w:tcPr>
            <w:tcW w:w="692" w:type="pct"/>
            <w:tcBorders>
              <w:top w:val="nil"/>
              <w:left w:val="single" w:color="auto" w:sz="4" w:space="0"/>
              <w:bottom w:val="single" w:color="auto" w:sz="4" w:space="0"/>
              <w:right w:val="single" w:color="auto" w:sz="4" w:space="0"/>
            </w:tcBorders>
            <w:shd w:val="clear" w:color="auto" w:fill="auto"/>
            <w:vAlign w:val="center"/>
          </w:tcPr>
          <w:p w14:paraId="1A190F65">
            <w:pPr>
              <w:keepNext w:val="0"/>
              <w:keepLines w:val="0"/>
              <w:widowControl/>
              <w:suppressLineNumbers w:val="0"/>
              <w:jc w:val="center"/>
              <w:textAlignment w:val="center"/>
              <w:rPr>
                <w:rFonts w:ascii="宋体" w:hAnsi="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2</w:t>
            </w:r>
          </w:p>
        </w:tc>
      </w:tr>
      <w:tr w14:paraId="06F30CDD">
        <w:tblPrEx>
          <w:tblCellMar>
            <w:top w:w="0" w:type="dxa"/>
            <w:left w:w="108" w:type="dxa"/>
            <w:bottom w:w="0" w:type="dxa"/>
            <w:right w:w="108" w:type="dxa"/>
          </w:tblCellMar>
        </w:tblPrEx>
        <w:trPr>
          <w:trHeight w:val="411" w:hRule="atLeast"/>
        </w:trPr>
        <w:tc>
          <w:tcPr>
            <w:tcW w:w="4307" w:type="pct"/>
            <w:gridSpan w:val="3"/>
            <w:tcBorders>
              <w:top w:val="single" w:color="auto" w:sz="4" w:space="0"/>
              <w:left w:val="single" w:color="auto" w:sz="4" w:space="0"/>
              <w:bottom w:val="single" w:color="auto" w:sz="4" w:space="0"/>
              <w:right w:val="single" w:color="auto" w:sz="4" w:space="0"/>
            </w:tcBorders>
            <w:vAlign w:val="center"/>
          </w:tcPr>
          <w:p w14:paraId="4CF2C1F7">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合计</w:t>
            </w:r>
          </w:p>
        </w:tc>
        <w:tc>
          <w:tcPr>
            <w:tcW w:w="692" w:type="pct"/>
            <w:tcBorders>
              <w:top w:val="single" w:color="auto" w:sz="4" w:space="0"/>
              <w:left w:val="nil"/>
              <w:bottom w:val="single" w:color="auto" w:sz="4" w:space="0"/>
              <w:right w:val="single" w:color="auto" w:sz="4" w:space="0"/>
            </w:tcBorders>
            <w:shd w:val="clear" w:color="auto" w:fill="auto"/>
            <w:vAlign w:val="center"/>
          </w:tcPr>
          <w:p w14:paraId="6719C131">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50</w:t>
            </w:r>
          </w:p>
        </w:tc>
      </w:tr>
    </w:tbl>
    <w:p w14:paraId="4F5FBC86">
      <w:pPr>
        <w:widowControl/>
        <w:jc w:val="left"/>
        <w:rPr>
          <w:rFonts w:cs="宋体" w:asciiTheme="minorEastAsia" w:hAnsiTheme="minorEastAsia" w:eastAsiaTheme="minorEastAsia"/>
          <w:sz w:val="32"/>
          <w:szCs w:val="32"/>
          <w:highlight w:val="none"/>
        </w:rPr>
      </w:pPr>
    </w:p>
    <w:p w14:paraId="747E4759">
      <w:pPr>
        <w:widowControl/>
        <w:jc w:val="left"/>
        <w:rPr>
          <w:rFonts w:cs="宋体" w:asciiTheme="minorEastAsia" w:hAnsiTheme="minorEastAsia" w:eastAsiaTheme="minorEastAsia"/>
          <w:sz w:val="32"/>
          <w:szCs w:val="32"/>
          <w:highlight w:val="none"/>
        </w:rPr>
      </w:pPr>
      <w:r>
        <w:rPr>
          <w:rFonts w:cs="宋体" w:asciiTheme="minorEastAsia" w:hAnsiTheme="minorEastAsia" w:eastAsiaTheme="minorEastAsia"/>
          <w:sz w:val="32"/>
          <w:szCs w:val="32"/>
          <w:highlight w:val="none"/>
        </w:rPr>
        <w:br w:type="page"/>
      </w:r>
    </w:p>
    <w:bookmarkEnd w:id="590"/>
    <w:bookmarkEnd w:id="591"/>
    <w:bookmarkEnd w:id="592"/>
    <w:bookmarkEnd w:id="593"/>
    <w:bookmarkEnd w:id="594"/>
    <w:p w14:paraId="3A9E251C">
      <w:pPr>
        <w:widowControl w:val="0"/>
        <w:numPr>
          <w:ilvl w:val="0"/>
          <w:numId w:val="84"/>
        </w:numPr>
        <w:tabs>
          <w:tab w:val="left" w:pos="602"/>
        </w:tabs>
        <w:snapToGrid w:val="0"/>
        <w:spacing w:before="120" w:after="120" w:line="440" w:lineRule="exact"/>
        <w:ind w:left="425" w:hanging="425"/>
        <w:jc w:val="left"/>
        <w:outlineLvl w:val="1"/>
        <w:rPr>
          <w:rFonts w:ascii="宋体" w:hAnsi="宋体" w:eastAsia="宋体" w:cs="Times New Roman"/>
          <w:b/>
          <w:bCs/>
          <w:kern w:val="2"/>
          <w:sz w:val="28"/>
          <w:szCs w:val="28"/>
          <w:lang w:val="en-US" w:eastAsia="zh-CN" w:bidi="ar-SA"/>
        </w:rPr>
      </w:pPr>
      <w:bookmarkStart w:id="595" w:name="_Toc16544"/>
      <w:bookmarkStart w:id="596" w:name="_Toc27588"/>
      <w:bookmarkStart w:id="597" w:name="_Toc7531"/>
      <w:bookmarkStart w:id="598" w:name="_Toc18704"/>
      <w:bookmarkStart w:id="599" w:name="_Toc38008030"/>
      <w:bookmarkStart w:id="600" w:name="_Toc475472623"/>
      <w:bookmarkStart w:id="601" w:name="_Toc17019"/>
      <w:bookmarkStart w:id="602" w:name="_Toc20787"/>
      <w:bookmarkStart w:id="603" w:name="_Toc9896"/>
      <w:bookmarkStart w:id="604" w:name="_Toc5348"/>
      <w:bookmarkStart w:id="605" w:name="_Toc15046"/>
      <w:bookmarkStart w:id="606" w:name="_Toc28038"/>
      <w:bookmarkStart w:id="607" w:name="_Toc17610"/>
      <w:bookmarkStart w:id="608" w:name="_Toc22978"/>
      <w:bookmarkStart w:id="609" w:name="_Toc447265599"/>
      <w:bookmarkStart w:id="610" w:name="_Toc227057959"/>
      <w:bookmarkStart w:id="611" w:name="_Toc107822570"/>
      <w:bookmarkStart w:id="612" w:name="_Toc447265313"/>
      <w:bookmarkStart w:id="613" w:name="_Toc226969353"/>
      <w:r>
        <w:rPr>
          <w:rFonts w:hint="eastAsia" w:ascii="宋体" w:hAnsi="宋体" w:eastAsia="宋体" w:cs="Times New Roman"/>
          <w:b/>
          <w:bCs/>
          <w:kern w:val="2"/>
          <w:sz w:val="28"/>
          <w:szCs w:val="28"/>
          <w:lang w:val="en-US" w:eastAsia="zh-CN" w:bidi="ar-SA"/>
        </w:rPr>
        <w:t>评标方法</w:t>
      </w:r>
      <w:bookmarkEnd w:id="595"/>
      <w:bookmarkEnd w:id="596"/>
    </w:p>
    <w:p w14:paraId="60028002">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本集中招标项目评标采用综合评估法。评标委员会对满足招标文件实质要求的投标文件，根据本章第2.2款规定的评分因素和评分标准进行评分，按照综合评分由高到低的顺序推荐中标候选人，或者根据招标人授权直接确定中标人，但投标报价低于其成本的除外。</w:t>
      </w:r>
    </w:p>
    <w:p w14:paraId="5AF5A896">
      <w:pPr>
        <w:widowControl w:val="0"/>
        <w:numPr>
          <w:ilvl w:val="0"/>
          <w:numId w:val="84"/>
        </w:numPr>
        <w:tabs>
          <w:tab w:val="left" w:pos="602"/>
        </w:tabs>
        <w:snapToGrid w:val="0"/>
        <w:spacing w:before="120" w:after="120" w:line="440" w:lineRule="exact"/>
        <w:ind w:left="425" w:hanging="425"/>
        <w:jc w:val="left"/>
        <w:outlineLvl w:val="1"/>
        <w:rPr>
          <w:rFonts w:ascii="宋体" w:hAnsi="宋体" w:eastAsia="宋体" w:cs="Times New Roman"/>
          <w:b/>
          <w:bCs/>
          <w:kern w:val="2"/>
          <w:sz w:val="28"/>
          <w:szCs w:val="28"/>
          <w:lang w:val="en-US" w:eastAsia="zh-CN" w:bidi="ar-SA"/>
        </w:rPr>
      </w:pPr>
      <w:bookmarkStart w:id="614" w:name="_Toc3958"/>
      <w:bookmarkStart w:id="615" w:name="_Toc26979"/>
      <w:r>
        <w:rPr>
          <w:rFonts w:hint="eastAsia" w:ascii="宋体" w:hAnsi="宋体" w:eastAsia="宋体" w:cs="Times New Roman"/>
          <w:b/>
          <w:bCs/>
          <w:kern w:val="2"/>
          <w:sz w:val="28"/>
          <w:szCs w:val="28"/>
          <w:lang w:val="en-US" w:eastAsia="zh-CN" w:bidi="ar-SA"/>
        </w:rPr>
        <w:t>评审标准</w:t>
      </w:r>
      <w:bookmarkEnd w:id="614"/>
      <w:bookmarkEnd w:id="615"/>
    </w:p>
    <w:p w14:paraId="1D5176DC">
      <w:pPr>
        <w:widowControl w:val="0"/>
        <w:numPr>
          <w:ilvl w:val="1"/>
          <w:numId w:val="77"/>
        </w:numPr>
        <w:tabs>
          <w:tab w:val="left" w:pos="588"/>
        </w:tabs>
        <w:snapToGrid w:val="0"/>
        <w:spacing w:before="120" w:after="120" w:line="440" w:lineRule="exact"/>
        <w:ind w:left="0" w:firstLine="424" w:firstLineChars="176"/>
        <w:jc w:val="left"/>
        <w:outlineLvl w:val="2"/>
        <w:rPr>
          <w:rFonts w:ascii="宋体" w:hAnsi="宋体" w:eastAsia="宋体" w:cs="Times New Roman"/>
          <w:b/>
          <w:bCs/>
          <w:kern w:val="2"/>
          <w:sz w:val="24"/>
          <w:szCs w:val="24"/>
          <w:lang w:val="en-US" w:eastAsia="zh-CN" w:bidi="ar-SA"/>
        </w:rPr>
      </w:pPr>
      <w:bookmarkStart w:id="616" w:name="_Toc4865"/>
      <w:bookmarkStart w:id="617" w:name="_Toc10623"/>
      <w:r>
        <w:rPr>
          <w:rFonts w:hint="eastAsia" w:ascii="宋体" w:hAnsi="宋体" w:eastAsia="宋体" w:cs="Times New Roman"/>
          <w:b/>
          <w:bCs/>
          <w:kern w:val="2"/>
          <w:sz w:val="24"/>
          <w:szCs w:val="24"/>
          <w:lang w:val="en-US" w:eastAsia="zh-CN" w:bidi="ar-SA"/>
        </w:rPr>
        <w:t>初步评审标准</w:t>
      </w:r>
      <w:bookmarkEnd w:id="616"/>
      <w:bookmarkEnd w:id="617"/>
    </w:p>
    <w:p w14:paraId="59498CC5">
      <w:pPr>
        <w:adjustRightInd w:val="0"/>
        <w:snapToGrid w:val="0"/>
        <w:spacing w:line="440" w:lineRule="exact"/>
        <w:ind w:firstLine="369" w:firstLineChars="176"/>
        <w:rPr>
          <w:rFonts w:ascii="宋体" w:hAnsi="宋体" w:eastAsia="宋体" w:cs="宋体"/>
          <w:szCs w:val="21"/>
        </w:rPr>
      </w:pPr>
      <w:r>
        <w:rPr>
          <w:rFonts w:hint="eastAsia" w:ascii="宋体" w:hAnsi="宋体" w:eastAsia="宋体" w:cs="宋体"/>
          <w:szCs w:val="21"/>
        </w:rPr>
        <w:t>初步评审标准：见评标办法前附表。</w:t>
      </w:r>
    </w:p>
    <w:p w14:paraId="75AA39E7">
      <w:pPr>
        <w:widowControl w:val="0"/>
        <w:numPr>
          <w:ilvl w:val="1"/>
          <w:numId w:val="77"/>
        </w:numPr>
        <w:tabs>
          <w:tab w:val="left" w:pos="588"/>
        </w:tabs>
        <w:snapToGrid w:val="0"/>
        <w:spacing w:before="120" w:after="120" w:line="440" w:lineRule="exact"/>
        <w:ind w:left="0" w:firstLine="424" w:firstLineChars="176"/>
        <w:jc w:val="left"/>
        <w:outlineLvl w:val="2"/>
        <w:rPr>
          <w:rFonts w:ascii="宋体" w:hAnsi="宋体" w:eastAsia="宋体" w:cs="Times New Roman"/>
          <w:b/>
          <w:bCs/>
          <w:kern w:val="2"/>
          <w:sz w:val="24"/>
          <w:szCs w:val="24"/>
          <w:lang w:val="en-US" w:eastAsia="zh-CN" w:bidi="ar-SA"/>
        </w:rPr>
      </w:pPr>
      <w:bookmarkStart w:id="618" w:name="_Toc13749"/>
      <w:bookmarkStart w:id="619" w:name="_Toc18667"/>
      <w:r>
        <w:rPr>
          <w:rFonts w:hint="eastAsia" w:ascii="宋体" w:hAnsi="宋体" w:eastAsia="宋体" w:cs="Times New Roman"/>
          <w:b/>
          <w:bCs/>
          <w:kern w:val="2"/>
          <w:sz w:val="24"/>
          <w:szCs w:val="24"/>
          <w:lang w:val="en-US" w:eastAsia="zh-CN" w:bidi="ar-SA"/>
        </w:rPr>
        <w:t>详细评审标准</w:t>
      </w:r>
      <w:bookmarkEnd w:id="618"/>
      <w:bookmarkEnd w:id="619"/>
    </w:p>
    <w:p w14:paraId="1E7C590B">
      <w:pPr>
        <w:adjustRightInd w:val="0"/>
        <w:snapToGrid w:val="0"/>
        <w:spacing w:line="440" w:lineRule="exact"/>
        <w:ind w:firstLine="369" w:firstLineChars="176"/>
        <w:rPr>
          <w:rFonts w:ascii="宋体" w:hAnsi="宋体" w:eastAsia="宋体" w:cs="宋体"/>
          <w:szCs w:val="21"/>
        </w:rPr>
      </w:pPr>
      <w:r>
        <w:rPr>
          <w:rFonts w:hint="eastAsia" w:ascii="宋体" w:hAnsi="宋体" w:eastAsia="宋体" w:cs="宋体"/>
          <w:szCs w:val="21"/>
        </w:rPr>
        <w:t>详细评审标准：见评标办法前附表。</w:t>
      </w:r>
    </w:p>
    <w:p w14:paraId="2370B3DE">
      <w:pPr>
        <w:widowControl w:val="0"/>
        <w:numPr>
          <w:ilvl w:val="0"/>
          <w:numId w:val="84"/>
        </w:numPr>
        <w:tabs>
          <w:tab w:val="left" w:pos="602"/>
        </w:tabs>
        <w:snapToGrid w:val="0"/>
        <w:spacing w:before="120" w:after="120" w:line="440" w:lineRule="exact"/>
        <w:ind w:left="425" w:hanging="425"/>
        <w:jc w:val="left"/>
        <w:outlineLvl w:val="1"/>
        <w:rPr>
          <w:rFonts w:ascii="宋体" w:hAnsi="宋体" w:eastAsia="宋体" w:cs="Times New Roman"/>
          <w:b/>
          <w:bCs/>
          <w:kern w:val="2"/>
          <w:sz w:val="28"/>
          <w:szCs w:val="28"/>
          <w:lang w:val="en-US" w:eastAsia="zh-CN" w:bidi="ar-SA"/>
        </w:rPr>
      </w:pPr>
      <w:bookmarkStart w:id="620" w:name="_Toc29564"/>
      <w:bookmarkStart w:id="621" w:name="_Toc1316"/>
      <w:r>
        <w:rPr>
          <w:rFonts w:hint="eastAsia" w:ascii="宋体" w:hAnsi="宋体" w:eastAsia="宋体" w:cs="Times New Roman"/>
          <w:b/>
          <w:bCs/>
          <w:kern w:val="2"/>
          <w:sz w:val="28"/>
          <w:szCs w:val="28"/>
          <w:lang w:val="en-US" w:eastAsia="zh-CN" w:bidi="ar-SA"/>
        </w:rPr>
        <w:t>评标程序</w:t>
      </w:r>
      <w:bookmarkEnd w:id="620"/>
      <w:bookmarkEnd w:id="621"/>
    </w:p>
    <w:p w14:paraId="35B12052">
      <w:pPr>
        <w:widowControl w:val="0"/>
        <w:numPr>
          <w:ilvl w:val="1"/>
          <w:numId w:val="77"/>
        </w:numPr>
        <w:tabs>
          <w:tab w:val="left" w:pos="588"/>
        </w:tabs>
        <w:snapToGrid w:val="0"/>
        <w:spacing w:before="120" w:after="120" w:line="440" w:lineRule="exact"/>
        <w:ind w:left="0" w:firstLine="424" w:firstLineChars="176"/>
        <w:jc w:val="left"/>
        <w:outlineLvl w:val="2"/>
        <w:rPr>
          <w:rFonts w:ascii="宋体" w:hAnsi="宋体" w:eastAsia="宋体" w:cs="Times New Roman"/>
          <w:b/>
          <w:bCs/>
          <w:kern w:val="2"/>
          <w:sz w:val="24"/>
          <w:szCs w:val="24"/>
          <w:lang w:val="en-US" w:eastAsia="zh-CN" w:bidi="ar-SA"/>
        </w:rPr>
      </w:pPr>
      <w:bookmarkStart w:id="622" w:name="_Toc9482"/>
      <w:bookmarkStart w:id="623" w:name="_Toc28053"/>
      <w:r>
        <w:rPr>
          <w:rFonts w:hint="eastAsia" w:ascii="宋体" w:hAnsi="宋体" w:eastAsia="宋体" w:cs="Times New Roman"/>
          <w:b/>
          <w:bCs/>
          <w:kern w:val="2"/>
          <w:sz w:val="24"/>
          <w:szCs w:val="24"/>
          <w:lang w:val="en-US" w:eastAsia="zh-CN" w:bidi="ar-SA"/>
        </w:rPr>
        <w:t>初步评审</w:t>
      </w:r>
      <w:bookmarkEnd w:id="622"/>
      <w:bookmarkEnd w:id="623"/>
    </w:p>
    <w:p w14:paraId="6731A701">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评标委员会根据本章第2.1款规定的标准对投标文件进行初步评审。有一项不符合评审标准的，评标委员会应当否决其投标。</w:t>
      </w:r>
    </w:p>
    <w:p w14:paraId="76E0BA8F">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投标人有以下情形之一的，评标委员会应当否决其投标：</w:t>
      </w:r>
    </w:p>
    <w:p w14:paraId="2662010D">
      <w:pPr>
        <w:widowControl w:val="0"/>
        <w:numPr>
          <w:ilvl w:val="0"/>
          <w:numId w:val="85"/>
        </w:numPr>
        <w:tabs>
          <w:tab w:val="left" w:pos="1134"/>
        </w:tabs>
        <w:adjustRightInd w:val="0"/>
        <w:snapToGrid w:val="0"/>
        <w:spacing w:line="440" w:lineRule="exact"/>
        <w:ind w:left="1140" w:hanging="7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第二章“投标人须知”第1.8款规定的任何一种情形；</w:t>
      </w:r>
    </w:p>
    <w:p w14:paraId="18CF285E">
      <w:pPr>
        <w:widowControl w:val="0"/>
        <w:numPr>
          <w:ilvl w:val="0"/>
          <w:numId w:val="85"/>
        </w:numPr>
        <w:tabs>
          <w:tab w:val="left" w:pos="630"/>
          <w:tab w:val="left" w:pos="1134"/>
        </w:tabs>
        <w:adjustRightInd w:val="0"/>
        <w:snapToGrid w:val="0"/>
        <w:spacing w:line="440" w:lineRule="exact"/>
        <w:ind w:left="1140" w:hanging="7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不按照评标委员会要求澄清、说明或者补正；</w:t>
      </w:r>
    </w:p>
    <w:p w14:paraId="5E4C4D0D">
      <w:pPr>
        <w:widowControl w:val="0"/>
        <w:numPr>
          <w:ilvl w:val="0"/>
          <w:numId w:val="85"/>
        </w:numPr>
        <w:tabs>
          <w:tab w:val="left" w:pos="630"/>
          <w:tab w:val="left" w:pos="1134"/>
        </w:tabs>
        <w:adjustRightInd w:val="0"/>
        <w:snapToGrid w:val="0"/>
        <w:spacing w:line="440" w:lineRule="exact"/>
        <w:ind w:left="1140" w:hanging="7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投标文件未经投标单位盖章和单位负责人签字；</w:t>
      </w:r>
    </w:p>
    <w:p w14:paraId="3034E0B0">
      <w:pPr>
        <w:widowControl w:val="0"/>
        <w:numPr>
          <w:ilvl w:val="0"/>
          <w:numId w:val="86"/>
        </w:numPr>
        <w:tabs>
          <w:tab w:val="left" w:pos="630"/>
          <w:tab w:val="left" w:pos="1134"/>
        </w:tabs>
        <w:adjustRightInd w:val="0"/>
        <w:snapToGrid w:val="0"/>
        <w:spacing w:line="440" w:lineRule="exact"/>
        <w:ind w:left="840" w:hanging="4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允许联合体投标的，投标联合体没有递交共同投标协议；</w:t>
      </w:r>
    </w:p>
    <w:p w14:paraId="779C882A">
      <w:pPr>
        <w:widowControl w:val="0"/>
        <w:numPr>
          <w:ilvl w:val="0"/>
          <w:numId w:val="86"/>
        </w:numPr>
        <w:tabs>
          <w:tab w:val="left" w:pos="630"/>
          <w:tab w:val="left" w:pos="1134"/>
        </w:tabs>
        <w:adjustRightInd w:val="0"/>
        <w:snapToGrid w:val="0"/>
        <w:spacing w:line="440" w:lineRule="exact"/>
        <w:ind w:left="0" w:firstLine="4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投标人不符合国家或者招标文件规定的资格条件；</w:t>
      </w:r>
    </w:p>
    <w:p w14:paraId="4B20B75B">
      <w:pPr>
        <w:widowControl w:val="0"/>
        <w:numPr>
          <w:ilvl w:val="0"/>
          <w:numId w:val="86"/>
        </w:numPr>
        <w:tabs>
          <w:tab w:val="left" w:pos="-708"/>
          <w:tab w:val="left" w:pos="1134"/>
        </w:tabs>
        <w:adjustRightInd w:val="0"/>
        <w:snapToGrid w:val="0"/>
        <w:spacing w:line="440" w:lineRule="exact"/>
        <w:ind w:left="0" w:firstLine="4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同一投标人递交两个以上不同的投标文件或者投标报价，但招标文件要求递交备选投标的除外；</w:t>
      </w:r>
    </w:p>
    <w:p w14:paraId="412700E4">
      <w:pPr>
        <w:widowControl w:val="0"/>
        <w:numPr>
          <w:ilvl w:val="0"/>
          <w:numId w:val="86"/>
        </w:numPr>
        <w:tabs>
          <w:tab w:val="left" w:pos="630"/>
          <w:tab w:val="left" w:pos="1134"/>
        </w:tabs>
        <w:adjustRightInd w:val="0"/>
        <w:snapToGrid w:val="0"/>
        <w:spacing w:line="440" w:lineRule="exact"/>
        <w:ind w:left="0" w:firstLine="4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投标报价低于成本或者高于招标文件设定的最高投标限价；</w:t>
      </w:r>
    </w:p>
    <w:p w14:paraId="1059F4B6">
      <w:pPr>
        <w:widowControl w:val="0"/>
        <w:numPr>
          <w:ilvl w:val="0"/>
          <w:numId w:val="86"/>
        </w:numPr>
        <w:tabs>
          <w:tab w:val="left" w:pos="630"/>
          <w:tab w:val="left" w:pos="1134"/>
        </w:tabs>
        <w:adjustRightInd w:val="0"/>
        <w:snapToGrid w:val="0"/>
        <w:spacing w:line="440" w:lineRule="exact"/>
        <w:ind w:left="0" w:firstLine="4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投标文件没有对招标文件的实质性要求和条件做出响应；</w:t>
      </w:r>
    </w:p>
    <w:p w14:paraId="660DA156">
      <w:pPr>
        <w:widowControl w:val="0"/>
        <w:numPr>
          <w:ilvl w:val="0"/>
          <w:numId w:val="86"/>
        </w:numPr>
        <w:tabs>
          <w:tab w:val="left" w:pos="630"/>
          <w:tab w:val="left" w:pos="1134"/>
        </w:tabs>
        <w:adjustRightInd w:val="0"/>
        <w:snapToGrid w:val="0"/>
        <w:spacing w:line="440" w:lineRule="exact"/>
        <w:ind w:left="0" w:firstLine="4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投标人有串通投标、弄虚作假、行贿等违法行为；</w:t>
      </w:r>
    </w:p>
    <w:p w14:paraId="33F35B6D">
      <w:pPr>
        <w:widowControl w:val="0"/>
        <w:numPr>
          <w:ilvl w:val="0"/>
          <w:numId w:val="86"/>
        </w:numPr>
        <w:tabs>
          <w:tab w:val="left" w:pos="630"/>
          <w:tab w:val="left" w:pos="1134"/>
        </w:tabs>
        <w:adjustRightInd w:val="0"/>
        <w:snapToGrid w:val="0"/>
        <w:spacing w:line="440" w:lineRule="exact"/>
        <w:ind w:left="0" w:firstLine="4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投标人以他人名义投标；</w:t>
      </w:r>
    </w:p>
    <w:p w14:paraId="1A072FC1">
      <w:pPr>
        <w:widowControl w:val="0"/>
        <w:numPr>
          <w:ilvl w:val="0"/>
          <w:numId w:val="86"/>
        </w:numPr>
        <w:tabs>
          <w:tab w:val="left" w:pos="630"/>
          <w:tab w:val="left" w:pos="1134"/>
        </w:tabs>
        <w:adjustRightInd w:val="0"/>
        <w:snapToGrid w:val="0"/>
        <w:spacing w:line="440" w:lineRule="exact"/>
        <w:ind w:left="0" w:firstLine="4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没有按照招标文件要求提供投标担保或者所提供的投标担保有瑕疵；</w:t>
      </w:r>
    </w:p>
    <w:p w14:paraId="20BFB9B6">
      <w:pPr>
        <w:widowControl w:val="0"/>
        <w:numPr>
          <w:ilvl w:val="0"/>
          <w:numId w:val="86"/>
        </w:numPr>
        <w:tabs>
          <w:tab w:val="left" w:pos="630"/>
          <w:tab w:val="left" w:pos="1134"/>
        </w:tabs>
        <w:adjustRightInd w:val="0"/>
        <w:snapToGrid w:val="0"/>
        <w:spacing w:line="440" w:lineRule="exact"/>
        <w:ind w:left="0" w:firstLine="4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投标文件载明的招标项目完成期限超过招标文件规定的期限；</w:t>
      </w:r>
    </w:p>
    <w:p w14:paraId="7644303D">
      <w:pPr>
        <w:widowControl w:val="0"/>
        <w:numPr>
          <w:ilvl w:val="0"/>
          <w:numId w:val="86"/>
        </w:numPr>
        <w:tabs>
          <w:tab w:val="left" w:pos="630"/>
          <w:tab w:val="left" w:pos="1134"/>
        </w:tabs>
        <w:adjustRightInd w:val="0"/>
        <w:snapToGrid w:val="0"/>
        <w:spacing w:line="440" w:lineRule="exact"/>
        <w:ind w:left="0" w:firstLine="4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明显不符合技术规格、技术标准的要求；</w:t>
      </w:r>
    </w:p>
    <w:p w14:paraId="30FB8C0C">
      <w:pPr>
        <w:widowControl w:val="0"/>
        <w:numPr>
          <w:ilvl w:val="0"/>
          <w:numId w:val="86"/>
        </w:numPr>
        <w:tabs>
          <w:tab w:val="left" w:pos="630"/>
          <w:tab w:val="left" w:pos="1134"/>
        </w:tabs>
        <w:adjustRightInd w:val="0"/>
        <w:snapToGrid w:val="0"/>
        <w:spacing w:line="440" w:lineRule="exact"/>
        <w:ind w:left="0" w:firstLine="4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投标文件载明的货物包装方式、检验标准和方法等不符合招标文件的要求；</w:t>
      </w:r>
    </w:p>
    <w:p w14:paraId="3D3873D0">
      <w:pPr>
        <w:widowControl w:val="0"/>
        <w:numPr>
          <w:ilvl w:val="0"/>
          <w:numId w:val="86"/>
        </w:numPr>
        <w:tabs>
          <w:tab w:val="left" w:pos="630"/>
          <w:tab w:val="left" w:pos="1134"/>
        </w:tabs>
        <w:adjustRightInd w:val="0"/>
        <w:snapToGrid w:val="0"/>
        <w:spacing w:line="440" w:lineRule="exact"/>
        <w:ind w:left="0" w:firstLine="4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投标文件附有招标人不能接受的条件；</w:t>
      </w:r>
    </w:p>
    <w:p w14:paraId="39BFC908">
      <w:pPr>
        <w:widowControl w:val="0"/>
        <w:numPr>
          <w:ilvl w:val="0"/>
          <w:numId w:val="86"/>
        </w:numPr>
        <w:tabs>
          <w:tab w:val="left" w:pos="630"/>
          <w:tab w:val="left" w:pos="1134"/>
        </w:tabs>
        <w:adjustRightInd w:val="0"/>
        <w:snapToGrid w:val="0"/>
        <w:spacing w:line="440" w:lineRule="exact"/>
        <w:ind w:left="0" w:firstLine="4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不符合招标文件中规定的其他实质性要求。</w:t>
      </w:r>
    </w:p>
    <w:p w14:paraId="0D9002EA">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评标过程中，评标委员会收到低于成本价投标的书面质疑材料、发现投标人的综合报价明显低于其他投标报价或者设有标底时明显低于标底，认为投标报价可能低于其个别成本的，应当书面要求该投标人做出书面说明并提供相关证明材料。投标人不能合理说明或者不能提供相应证明材料的，由评标委员会认定该投标人以低于成本报价竞标，评标委员会应当否决其投标。</w:t>
      </w:r>
    </w:p>
    <w:p w14:paraId="68CC77AA">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投标报价有算术错误的，评标委员会按照以下原则对投标报价进行修正，修正的价格经投标人书面确认后具有约束力。投标人不接受修正价格的，评标委员会应当否决其投标。</w:t>
      </w:r>
    </w:p>
    <w:p w14:paraId="56589DDA">
      <w:pPr>
        <w:widowControl w:val="0"/>
        <w:numPr>
          <w:ilvl w:val="0"/>
          <w:numId w:val="87"/>
        </w:numPr>
        <w:tabs>
          <w:tab w:val="left" w:pos="1134"/>
        </w:tabs>
        <w:adjustRightInd w:val="0"/>
        <w:snapToGrid w:val="0"/>
        <w:spacing w:line="440" w:lineRule="exact"/>
        <w:ind w:left="1140" w:hanging="720"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投标文件中的大写金额与小写金额不一致的，以大写金额为准；</w:t>
      </w:r>
    </w:p>
    <w:p w14:paraId="383AE097">
      <w:pPr>
        <w:widowControl w:val="0"/>
        <w:numPr>
          <w:ilvl w:val="0"/>
          <w:numId w:val="87"/>
        </w:numPr>
        <w:tabs>
          <w:tab w:val="left" w:pos="1134"/>
        </w:tabs>
        <w:adjustRightInd w:val="0"/>
        <w:snapToGrid w:val="0"/>
        <w:spacing w:line="440" w:lineRule="exact"/>
        <w:ind w:left="1140" w:hanging="720"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总价金额与根据单价计算出的结果不一致的，以单价金额为准修正总价，但单价金额小数点有明显错误的除外。</w:t>
      </w:r>
    </w:p>
    <w:p w14:paraId="2F41C42F">
      <w:pPr>
        <w:widowControl w:val="0"/>
        <w:numPr>
          <w:ilvl w:val="0"/>
          <w:numId w:val="87"/>
        </w:numPr>
        <w:tabs>
          <w:tab w:val="left" w:pos="1134"/>
        </w:tabs>
        <w:adjustRightInd w:val="0"/>
        <w:snapToGrid w:val="0"/>
        <w:spacing w:line="440" w:lineRule="exact"/>
        <w:ind w:left="1140" w:hanging="7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含税金额与根据不含税金额计算出的结果不一致的，以不含税金额为准修正含税金额，但不含税金额有明显错误的除外。</w:t>
      </w:r>
    </w:p>
    <w:p w14:paraId="09101193">
      <w:pPr>
        <w:widowControl w:val="0"/>
        <w:numPr>
          <w:ilvl w:val="1"/>
          <w:numId w:val="77"/>
        </w:numPr>
        <w:tabs>
          <w:tab w:val="left" w:pos="588"/>
        </w:tabs>
        <w:snapToGrid w:val="0"/>
        <w:spacing w:before="120" w:after="120" w:line="440" w:lineRule="exact"/>
        <w:ind w:left="0" w:firstLine="424" w:firstLineChars="176"/>
        <w:jc w:val="left"/>
        <w:outlineLvl w:val="2"/>
        <w:rPr>
          <w:rFonts w:ascii="宋体" w:hAnsi="宋体" w:eastAsia="宋体" w:cs="Times New Roman"/>
          <w:b/>
          <w:bCs/>
          <w:kern w:val="2"/>
          <w:sz w:val="24"/>
          <w:szCs w:val="24"/>
          <w:lang w:val="en-US" w:eastAsia="zh-CN" w:bidi="ar-SA"/>
        </w:rPr>
      </w:pPr>
      <w:bookmarkStart w:id="624" w:name="_Toc22322"/>
      <w:bookmarkStart w:id="625" w:name="_Toc31245"/>
      <w:r>
        <w:rPr>
          <w:rFonts w:hint="eastAsia" w:ascii="宋体" w:hAnsi="宋体" w:eastAsia="宋体" w:cs="Times New Roman"/>
          <w:b/>
          <w:bCs/>
          <w:kern w:val="2"/>
          <w:sz w:val="24"/>
          <w:szCs w:val="24"/>
          <w:lang w:val="en-US" w:eastAsia="zh-CN" w:bidi="ar-SA"/>
        </w:rPr>
        <w:t>详细评审</w:t>
      </w:r>
      <w:bookmarkEnd w:id="624"/>
      <w:bookmarkEnd w:id="625"/>
    </w:p>
    <w:p w14:paraId="487EE75A">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评标委员会按照本章第2.2款规定的评审因素和量化标准进行评分，并计算出综合评估得分。</w:t>
      </w:r>
    </w:p>
    <w:p w14:paraId="477E5551">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评分分值计算原则上保留小数点后两位，小数点后第三位“四舍五入”。另有规定的，见评标办法前附表。</w:t>
      </w:r>
    </w:p>
    <w:p w14:paraId="549BD44C">
      <w:pPr>
        <w:widowControl w:val="0"/>
        <w:numPr>
          <w:ilvl w:val="1"/>
          <w:numId w:val="77"/>
        </w:numPr>
        <w:tabs>
          <w:tab w:val="left" w:pos="588"/>
        </w:tabs>
        <w:snapToGrid w:val="0"/>
        <w:spacing w:before="120" w:after="120" w:line="440" w:lineRule="exact"/>
        <w:ind w:left="0" w:firstLine="424" w:firstLineChars="176"/>
        <w:jc w:val="left"/>
        <w:outlineLvl w:val="2"/>
        <w:rPr>
          <w:rFonts w:ascii="宋体" w:hAnsi="宋体" w:eastAsia="宋体" w:cs="Times New Roman"/>
          <w:b/>
          <w:bCs/>
          <w:kern w:val="2"/>
          <w:sz w:val="24"/>
          <w:szCs w:val="24"/>
          <w:lang w:val="en-US" w:eastAsia="zh-CN" w:bidi="ar-SA"/>
        </w:rPr>
      </w:pPr>
      <w:bookmarkStart w:id="626" w:name="_Toc447265561"/>
      <w:bookmarkStart w:id="627" w:name="_Toc31739"/>
      <w:bookmarkStart w:id="628" w:name="_Toc447265275"/>
      <w:bookmarkStart w:id="629" w:name="_Toc1450"/>
      <w:r>
        <w:rPr>
          <w:rFonts w:hint="eastAsia" w:ascii="宋体" w:hAnsi="宋体" w:eastAsia="宋体" w:cs="Times New Roman"/>
          <w:b/>
          <w:bCs/>
          <w:kern w:val="2"/>
          <w:sz w:val="24"/>
          <w:szCs w:val="24"/>
          <w:lang w:val="en-US" w:eastAsia="zh-CN" w:bidi="ar-SA"/>
        </w:rPr>
        <w:t>投标文件的澄清</w:t>
      </w:r>
      <w:bookmarkEnd w:id="626"/>
      <w:bookmarkEnd w:id="627"/>
      <w:bookmarkEnd w:id="628"/>
      <w:bookmarkEnd w:id="629"/>
    </w:p>
    <w:p w14:paraId="792C5992">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在评标过程中，评标委员会应当以书面形式要求投标人对所递交的投标文件中不明确的内容进行书面澄清、说明或者对投标文件中的细微偏差进行补正。评标委员会不接受投标人主动提出的澄清、说明或者补正。</w:t>
      </w:r>
    </w:p>
    <w:p w14:paraId="357540CF">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细微偏差是指投标文件在实质上响应招标文件要求，但个别地方存在漏项或者提供了不完整的技术信息和数据等情况，并且补正这些遗漏或者不完整不会对其他投标人造成不公平的结果。细微偏差不影响投标文件的有效性。</w:t>
      </w:r>
    </w:p>
    <w:p w14:paraId="6E4407F5">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澄清、说明和补正不得改变投标文件的实质性内容（算术性错误修正的除外）。投标人的书面澄清、说明和补正属于投标文件的组成部分。</w:t>
      </w:r>
    </w:p>
    <w:p w14:paraId="42F23C23">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评标委员会对投标人递交的澄清、说明或者补正有疑问的，可以要求投标人进一步澄清、说明或者补正，直至满足评标委员会的要求。</w:t>
      </w:r>
    </w:p>
    <w:p w14:paraId="61F9E78D">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评标委员会必要时可以要求投标人递交有关证明和证件的原件，以便核验。</w:t>
      </w:r>
    </w:p>
    <w:p w14:paraId="4B34E816">
      <w:pPr>
        <w:widowControl w:val="0"/>
        <w:numPr>
          <w:ilvl w:val="1"/>
          <w:numId w:val="77"/>
        </w:numPr>
        <w:tabs>
          <w:tab w:val="left" w:pos="588"/>
        </w:tabs>
        <w:snapToGrid w:val="0"/>
        <w:spacing w:before="120" w:after="120" w:line="440" w:lineRule="exact"/>
        <w:ind w:left="0" w:firstLine="424" w:firstLineChars="176"/>
        <w:jc w:val="left"/>
        <w:outlineLvl w:val="2"/>
        <w:rPr>
          <w:rFonts w:ascii="宋体" w:hAnsi="宋体" w:eastAsia="宋体" w:cs="Times New Roman"/>
          <w:b/>
          <w:bCs/>
          <w:kern w:val="2"/>
          <w:sz w:val="24"/>
          <w:szCs w:val="24"/>
          <w:lang w:val="en-US" w:eastAsia="zh-CN" w:bidi="ar-SA"/>
        </w:rPr>
      </w:pPr>
      <w:bookmarkStart w:id="630" w:name="_Toc18799"/>
      <w:bookmarkStart w:id="631" w:name="_Toc11220"/>
      <w:r>
        <w:rPr>
          <w:rFonts w:hint="eastAsia" w:ascii="宋体" w:hAnsi="宋体" w:eastAsia="宋体" w:cs="Times New Roman"/>
          <w:b/>
          <w:bCs/>
          <w:kern w:val="2"/>
          <w:sz w:val="24"/>
          <w:szCs w:val="24"/>
          <w:lang w:val="en-US" w:eastAsia="zh-CN" w:bidi="ar-SA"/>
        </w:rPr>
        <w:t>中标候选人推荐原则</w:t>
      </w:r>
      <w:bookmarkEnd w:id="630"/>
      <w:bookmarkEnd w:id="631"/>
    </w:p>
    <w:p w14:paraId="47B861FE">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除第二章投标人须知前附表授权直接确定中标人外，评标委员会按照综合评分由高到低的顺序推荐中标候选人。综合评分相同的，处理原则见评标办法前附表。</w:t>
      </w:r>
    </w:p>
    <w:p w14:paraId="07942A7D">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中标候选人推荐原则见评标办法前附表。</w:t>
      </w:r>
    </w:p>
    <w:p w14:paraId="5A2EAF63">
      <w:pPr>
        <w:widowControl w:val="0"/>
        <w:numPr>
          <w:ilvl w:val="1"/>
          <w:numId w:val="77"/>
        </w:numPr>
        <w:tabs>
          <w:tab w:val="left" w:pos="588"/>
        </w:tabs>
        <w:snapToGrid w:val="0"/>
        <w:spacing w:before="120" w:after="120" w:line="440" w:lineRule="exact"/>
        <w:ind w:left="0" w:firstLine="424" w:firstLineChars="176"/>
        <w:jc w:val="left"/>
        <w:outlineLvl w:val="2"/>
        <w:rPr>
          <w:rFonts w:ascii="宋体" w:hAnsi="宋体" w:eastAsia="宋体" w:cs="Times New Roman"/>
          <w:b/>
          <w:bCs/>
          <w:kern w:val="2"/>
          <w:sz w:val="24"/>
          <w:szCs w:val="24"/>
          <w:lang w:val="en-US" w:eastAsia="zh-CN" w:bidi="ar-SA"/>
        </w:rPr>
      </w:pPr>
      <w:bookmarkStart w:id="632" w:name="_Toc25478"/>
      <w:bookmarkStart w:id="633" w:name="_Toc19350"/>
      <w:r>
        <w:rPr>
          <w:rFonts w:hint="eastAsia" w:ascii="宋体" w:hAnsi="宋体" w:eastAsia="宋体" w:cs="Times New Roman"/>
          <w:b/>
          <w:bCs/>
          <w:kern w:val="2"/>
          <w:sz w:val="24"/>
          <w:szCs w:val="24"/>
          <w:lang w:val="en-US" w:eastAsia="zh-CN" w:bidi="ar-SA"/>
        </w:rPr>
        <w:t>评标结果</w:t>
      </w:r>
      <w:bookmarkEnd w:id="632"/>
      <w:bookmarkEnd w:id="633"/>
    </w:p>
    <w:p w14:paraId="4C0B48B9">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评标委员会完成评标后，应当向招标人递交书面评标报告。评标委员会分组评审的，应当形成统一、完整的评标报告。</w:t>
      </w:r>
    </w:p>
    <w:p w14:paraId="67F1C04A">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评标报告应当包括下列内容：</w:t>
      </w:r>
    </w:p>
    <w:p w14:paraId="406AC3FB">
      <w:pPr>
        <w:widowControl w:val="0"/>
        <w:numPr>
          <w:ilvl w:val="0"/>
          <w:numId w:val="88"/>
        </w:numPr>
        <w:tabs>
          <w:tab w:val="left" w:pos="1134"/>
        </w:tabs>
        <w:adjustRightInd w:val="0"/>
        <w:snapToGrid w:val="0"/>
        <w:spacing w:line="440" w:lineRule="exact"/>
        <w:ind w:left="0" w:firstLine="424" w:firstLineChars="202"/>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基本情况；</w:t>
      </w:r>
    </w:p>
    <w:p w14:paraId="5AED39A4">
      <w:pPr>
        <w:widowControl w:val="0"/>
        <w:numPr>
          <w:ilvl w:val="0"/>
          <w:numId w:val="88"/>
        </w:numPr>
        <w:tabs>
          <w:tab w:val="left" w:pos="1134"/>
        </w:tabs>
        <w:adjustRightInd w:val="0"/>
        <w:snapToGrid w:val="0"/>
        <w:spacing w:line="440" w:lineRule="exact"/>
        <w:ind w:left="0" w:firstLine="424" w:firstLineChars="202"/>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开标记录和投标一览表；</w:t>
      </w:r>
    </w:p>
    <w:p w14:paraId="59C93107">
      <w:pPr>
        <w:widowControl w:val="0"/>
        <w:numPr>
          <w:ilvl w:val="0"/>
          <w:numId w:val="88"/>
        </w:numPr>
        <w:tabs>
          <w:tab w:val="left" w:pos="1134"/>
        </w:tabs>
        <w:adjustRightInd w:val="0"/>
        <w:snapToGrid w:val="0"/>
        <w:spacing w:line="440" w:lineRule="exact"/>
        <w:ind w:left="0" w:firstLine="424" w:firstLineChars="202"/>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评标方法、评标标准或者评标因素一览表；</w:t>
      </w:r>
    </w:p>
    <w:p w14:paraId="166ABB54">
      <w:pPr>
        <w:widowControl w:val="0"/>
        <w:numPr>
          <w:ilvl w:val="0"/>
          <w:numId w:val="88"/>
        </w:numPr>
        <w:tabs>
          <w:tab w:val="left" w:pos="1134"/>
        </w:tabs>
        <w:adjustRightInd w:val="0"/>
        <w:snapToGrid w:val="0"/>
        <w:spacing w:line="440" w:lineRule="exact"/>
        <w:ind w:left="0" w:firstLine="424" w:firstLineChars="202"/>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评标专家评分原始记录表和否决投标的情况说明；</w:t>
      </w:r>
    </w:p>
    <w:p w14:paraId="17A13A91">
      <w:pPr>
        <w:widowControl w:val="0"/>
        <w:numPr>
          <w:ilvl w:val="0"/>
          <w:numId w:val="88"/>
        </w:numPr>
        <w:tabs>
          <w:tab w:val="left" w:pos="1134"/>
        </w:tabs>
        <w:adjustRightInd w:val="0"/>
        <w:snapToGrid w:val="0"/>
        <w:spacing w:line="440" w:lineRule="exact"/>
        <w:ind w:left="0" w:firstLine="424" w:firstLineChars="202"/>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经评审的价格或者评分比较一览表和投标人排序；</w:t>
      </w:r>
    </w:p>
    <w:p w14:paraId="1F50973B">
      <w:pPr>
        <w:widowControl w:val="0"/>
        <w:numPr>
          <w:ilvl w:val="0"/>
          <w:numId w:val="88"/>
        </w:numPr>
        <w:tabs>
          <w:tab w:val="left" w:pos="1134"/>
        </w:tabs>
        <w:adjustRightInd w:val="0"/>
        <w:snapToGrid w:val="0"/>
        <w:spacing w:line="440" w:lineRule="exact"/>
        <w:ind w:left="0" w:firstLine="424" w:firstLineChars="202"/>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推荐的中标候选人名单及其排序；</w:t>
      </w:r>
    </w:p>
    <w:p w14:paraId="71C68201">
      <w:pPr>
        <w:widowControl w:val="0"/>
        <w:numPr>
          <w:ilvl w:val="0"/>
          <w:numId w:val="88"/>
        </w:numPr>
        <w:tabs>
          <w:tab w:val="left" w:pos="1134"/>
        </w:tabs>
        <w:adjustRightInd w:val="0"/>
        <w:snapToGrid w:val="0"/>
        <w:spacing w:line="440" w:lineRule="exact"/>
        <w:ind w:left="0" w:firstLine="424" w:firstLineChars="202"/>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签订合同前要处理的事宜；</w:t>
      </w:r>
    </w:p>
    <w:p w14:paraId="4B250C13">
      <w:pPr>
        <w:widowControl w:val="0"/>
        <w:numPr>
          <w:ilvl w:val="0"/>
          <w:numId w:val="88"/>
        </w:numPr>
        <w:tabs>
          <w:tab w:val="left" w:pos="1134"/>
        </w:tabs>
        <w:adjustRightInd w:val="0"/>
        <w:snapToGrid w:val="0"/>
        <w:spacing w:line="440" w:lineRule="exact"/>
        <w:ind w:left="0" w:firstLine="424" w:firstLineChars="202"/>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澄清、说明、补正事项纪要；</w:t>
      </w:r>
    </w:p>
    <w:p w14:paraId="42D3B2E4">
      <w:pPr>
        <w:numPr>
          <w:ilvl w:val="0"/>
          <w:numId w:val="88"/>
        </w:numPr>
        <w:tabs>
          <w:tab w:val="left" w:pos="1134"/>
        </w:tabs>
        <w:adjustRightInd w:val="0"/>
        <w:snapToGrid w:val="0"/>
        <w:spacing w:line="440" w:lineRule="exact"/>
        <w:ind w:left="0" w:firstLine="424" w:firstLineChars="202"/>
        <w:rPr>
          <w:rFonts w:cs="宋体" w:asciiTheme="minorEastAsia" w:hAnsiTheme="minorEastAsia" w:eastAsiaTheme="minorEastAsia"/>
          <w:szCs w:val="21"/>
        </w:rPr>
        <w:sectPr>
          <w:footerReference r:id="rId8"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kern w:val="2"/>
          <w:sz w:val="21"/>
          <w:szCs w:val="21"/>
          <w:lang w:val="en-US" w:eastAsia="zh-CN" w:bidi="ar-SA"/>
        </w:rPr>
        <w:t>评标委员会成员名单及本人签字、拒绝在评标报告上签字的评标委员会成员名单及其陈述的不同意见和理由。</w:t>
      </w:r>
    </w:p>
    <w:p w14:paraId="23617045">
      <w:pPr>
        <w:widowControl w:val="0"/>
        <w:numPr>
          <w:ilvl w:val="0"/>
          <w:numId w:val="0"/>
        </w:numPr>
        <w:tabs>
          <w:tab w:val="left" w:pos="1134"/>
        </w:tabs>
        <w:adjustRightInd w:val="0"/>
        <w:snapToGrid w:val="0"/>
        <w:spacing w:line="440" w:lineRule="exact"/>
        <w:ind w:leftChars="202"/>
        <w:jc w:val="both"/>
        <w:rPr>
          <w:rFonts w:hint="eastAsia"/>
          <w:sz w:val="32"/>
          <w:szCs w:val="32"/>
        </w:rPr>
      </w:pPr>
    </w:p>
    <w:p w14:paraId="7731B98F">
      <w:pPr>
        <w:pStyle w:val="3"/>
        <w:bidi w:val="0"/>
        <w:jc w:val="center"/>
        <w:rPr>
          <w:rFonts w:ascii="仿宋" w:hAnsi="仿宋" w:eastAsia="仿宋"/>
          <w:sz w:val="24"/>
          <w:highlight w:val="none"/>
        </w:rPr>
      </w:pPr>
      <w:bookmarkStart w:id="634" w:name="_Toc27591"/>
      <w:r>
        <w:rPr>
          <w:rFonts w:hint="eastAsia"/>
          <w:sz w:val="32"/>
          <w:szCs w:val="32"/>
        </w:rPr>
        <w:t xml:space="preserve">第四章 </w:t>
      </w:r>
      <w:bookmarkEnd w:id="597"/>
      <w:bookmarkEnd w:id="598"/>
      <w:bookmarkEnd w:id="599"/>
      <w:bookmarkEnd w:id="600"/>
      <w:bookmarkEnd w:id="601"/>
      <w:r>
        <w:rPr>
          <w:rFonts w:hint="eastAsia"/>
          <w:sz w:val="32"/>
          <w:szCs w:val="32"/>
          <w:lang w:val="en-US" w:eastAsia="zh-CN"/>
        </w:rPr>
        <w:t>商务规范书</w:t>
      </w:r>
      <w:bookmarkEnd w:id="602"/>
      <w:bookmarkEnd w:id="603"/>
      <w:bookmarkEnd w:id="604"/>
      <w:bookmarkEnd w:id="605"/>
      <w:bookmarkEnd w:id="606"/>
      <w:bookmarkEnd w:id="607"/>
      <w:bookmarkEnd w:id="608"/>
      <w:bookmarkEnd w:id="634"/>
    </w:p>
    <w:p w14:paraId="4774B0AA">
      <w:pPr>
        <w:widowControl/>
        <w:autoSpaceDE w:val="0"/>
        <w:autoSpaceDN w:val="0"/>
        <w:ind w:firstLine="480" w:firstLineChars="200"/>
        <w:jc w:val="center"/>
        <w:textAlignment w:val="bottom"/>
        <w:rPr>
          <w:rFonts w:ascii="仿宋" w:hAnsi="仿宋" w:eastAsia="仿宋"/>
          <w:sz w:val="24"/>
          <w:highlight w:val="none"/>
        </w:rPr>
      </w:pPr>
    </w:p>
    <w:bookmarkEnd w:id="609"/>
    <w:bookmarkEnd w:id="610"/>
    <w:bookmarkEnd w:id="611"/>
    <w:bookmarkEnd w:id="612"/>
    <w:bookmarkEnd w:id="613"/>
    <w:p w14:paraId="4D1CBAC4">
      <w:pPr>
        <w:spacing w:line="360" w:lineRule="exact"/>
        <w:ind w:left="-108"/>
        <w:jc w:val="center"/>
        <w:rPr>
          <w:rFonts w:ascii="仿宋" w:hAnsi="仿宋" w:eastAsia="仿宋" w:cs="Times New Roman"/>
          <w:b/>
          <w:color w:val="000000"/>
          <w:sz w:val="28"/>
        </w:rPr>
      </w:pPr>
      <w:bookmarkStart w:id="635" w:name="_Toc21063"/>
      <w:bookmarkStart w:id="636" w:name="_Toc32007"/>
      <w:bookmarkStart w:id="637" w:name="_Toc19514"/>
      <w:bookmarkStart w:id="638" w:name="_Toc38008068"/>
      <w:bookmarkStart w:id="639" w:name="_Toc15020"/>
      <w:bookmarkStart w:id="640" w:name="_Toc475472662"/>
      <w:bookmarkStart w:id="641" w:name="_Toc28702"/>
      <w:bookmarkStart w:id="642" w:name="_Toc475472669"/>
      <w:bookmarkStart w:id="643" w:name="_Toc447265316"/>
      <w:bookmarkStart w:id="644" w:name="_Toc447265602"/>
      <w:r>
        <w:rPr>
          <w:rFonts w:ascii="仿宋" w:hAnsi="仿宋" w:eastAsia="仿宋" w:cs="Times New Roman"/>
          <w:b/>
          <w:color w:val="000000"/>
          <w:sz w:val="28"/>
        </w:rPr>
        <w:t xml:space="preserve"> [ </w:t>
      </w:r>
      <w:r>
        <w:rPr>
          <w:rFonts w:hint="eastAsia" w:ascii="仿宋" w:hAnsi="仿宋" w:eastAsia="仿宋" w:cs="Times New Roman"/>
          <w:b/>
          <w:sz w:val="28"/>
          <w:szCs w:val="28"/>
          <w:lang w:eastAsia="zh-CN"/>
        </w:rPr>
        <w:t>2025年中国电信遵义分公司数据库框架物资采购</w:t>
      </w:r>
      <w:r>
        <w:rPr>
          <w:rFonts w:ascii="仿宋" w:hAnsi="仿宋" w:eastAsia="仿宋" w:cs="Times New Roman"/>
          <w:b/>
          <w:color w:val="000000"/>
          <w:sz w:val="28"/>
        </w:rPr>
        <w:t xml:space="preserve"> ]软件</w:t>
      </w:r>
      <w:r>
        <w:rPr>
          <w:rFonts w:hint="eastAsia" w:ascii="仿宋" w:hAnsi="仿宋" w:eastAsia="仿宋" w:cs="Times New Roman"/>
          <w:b/>
          <w:color w:val="000000"/>
          <w:sz w:val="28"/>
        </w:rPr>
        <w:t>许可</w:t>
      </w:r>
      <w:r>
        <w:rPr>
          <w:rFonts w:ascii="仿宋" w:hAnsi="仿宋" w:eastAsia="仿宋" w:cs="Times New Roman"/>
          <w:b/>
          <w:color w:val="000000"/>
          <w:sz w:val="28"/>
        </w:rPr>
        <w:t>框架协议</w:t>
      </w:r>
    </w:p>
    <w:p w14:paraId="6C1629E9">
      <w:pPr>
        <w:widowControl/>
        <w:autoSpaceDE w:val="0"/>
        <w:autoSpaceDN w:val="0"/>
        <w:spacing w:line="360" w:lineRule="exact"/>
        <w:textAlignment w:val="bottom"/>
        <w:rPr>
          <w:rFonts w:ascii="仿宋" w:hAnsi="仿宋" w:eastAsia="仿宋" w:cs="Times New Roman"/>
          <w:color w:val="000000"/>
          <w:sz w:val="24"/>
        </w:rPr>
      </w:pPr>
    </w:p>
    <w:p w14:paraId="7C9C4288">
      <w:pPr>
        <w:spacing w:line="360" w:lineRule="exact"/>
        <w:rPr>
          <w:rFonts w:ascii="仿宋" w:hAnsi="仿宋" w:eastAsia="仿宋" w:cs="Times New Roman"/>
          <w:color w:val="000000"/>
          <w:sz w:val="24"/>
        </w:rPr>
      </w:pPr>
      <w:r>
        <w:rPr>
          <w:rFonts w:hint="eastAsia" w:ascii="仿宋" w:hAnsi="仿宋" w:eastAsia="仿宋" w:cs="Times New Roman"/>
          <w:color w:val="000000"/>
          <w:sz w:val="24"/>
        </w:rPr>
        <w:t>协议签订地：</w:t>
      </w:r>
      <w:r>
        <w:rPr>
          <w:rFonts w:ascii="仿宋" w:hAnsi="仿宋" w:eastAsia="仿宋" w:cs="Times New Roman"/>
          <w:color w:val="000000"/>
          <w:sz w:val="24"/>
        </w:rPr>
        <w:t>[</w:t>
      </w:r>
      <w:r>
        <w:rPr>
          <w:rFonts w:hint="eastAsia" w:ascii="仿宋" w:hAnsi="仿宋" w:eastAsia="仿宋" w:cs="Times New Roman"/>
          <w:color w:val="000000"/>
          <w:sz w:val="24"/>
          <w:lang w:val="en-US" w:eastAsia="zh-CN"/>
        </w:rPr>
        <w:t>遵义市</w:t>
      </w:r>
      <w:r>
        <w:rPr>
          <w:rFonts w:ascii="仿宋" w:hAnsi="仿宋" w:eastAsia="仿宋" w:cs="Times New Roman"/>
          <w:color w:val="000000"/>
          <w:sz w:val="24"/>
        </w:rPr>
        <w:t xml:space="preserve">  ]</w:t>
      </w:r>
    </w:p>
    <w:p w14:paraId="49FB7675">
      <w:pPr>
        <w:spacing w:line="360" w:lineRule="exact"/>
        <w:rPr>
          <w:rFonts w:ascii="仿宋" w:hAnsi="仿宋" w:eastAsia="仿宋" w:cs="Times New Roman"/>
          <w:color w:val="000000"/>
          <w:sz w:val="24"/>
        </w:rPr>
      </w:pPr>
    </w:p>
    <w:p w14:paraId="1997F726">
      <w:pPr>
        <w:spacing w:line="360" w:lineRule="exact"/>
        <w:rPr>
          <w:rFonts w:ascii="仿宋" w:hAnsi="仿宋" w:eastAsia="仿宋" w:cs="Times New Roman"/>
          <w:sz w:val="24"/>
        </w:rPr>
      </w:pPr>
      <w:r>
        <w:rPr>
          <w:rFonts w:hint="eastAsia" w:ascii="仿宋" w:hAnsi="仿宋" w:eastAsia="仿宋" w:cs="Times New Roman"/>
          <w:sz w:val="24"/>
        </w:rPr>
        <w:t>甲方：中国电信</w:t>
      </w:r>
      <w:r>
        <w:rPr>
          <w:rFonts w:ascii="仿宋" w:hAnsi="仿宋" w:eastAsia="仿宋" w:cs="Times New Roman"/>
          <w:sz w:val="24"/>
        </w:rPr>
        <w:t xml:space="preserve">[ </w:t>
      </w:r>
      <w:r>
        <w:rPr>
          <w:rFonts w:hint="eastAsia" w:ascii="仿宋" w:hAnsi="仿宋" w:eastAsia="仿宋" w:cs="Times New Roman"/>
          <w:sz w:val="24"/>
          <w:lang w:val="en-US" w:eastAsia="zh-CN"/>
        </w:rPr>
        <w:t>股份有限公司遵义分</w:t>
      </w:r>
      <w:r>
        <w:rPr>
          <w:rFonts w:ascii="仿宋" w:hAnsi="仿宋" w:eastAsia="仿宋" w:cs="Times New Roman"/>
          <w:sz w:val="24"/>
        </w:rPr>
        <w:t xml:space="preserve"> ]公司</w:t>
      </w:r>
    </w:p>
    <w:p w14:paraId="5E90E998">
      <w:pPr>
        <w:spacing w:line="360" w:lineRule="exact"/>
        <w:rPr>
          <w:rFonts w:ascii="仿宋" w:hAnsi="仿宋" w:eastAsia="仿宋" w:cs="Times New Roman"/>
          <w:sz w:val="24"/>
        </w:rPr>
      </w:pPr>
      <w:r>
        <w:rPr>
          <w:rFonts w:hint="eastAsia" w:ascii="仿宋" w:hAnsi="仿宋" w:eastAsia="仿宋" w:cs="Times New Roman"/>
          <w:sz w:val="24"/>
        </w:rPr>
        <w:t>地址：</w:t>
      </w:r>
      <w:r>
        <w:rPr>
          <w:rFonts w:ascii="仿宋" w:hAnsi="仿宋" w:eastAsia="仿宋" w:cs="Times New Roman"/>
          <w:sz w:val="24"/>
        </w:rPr>
        <w:t xml:space="preserve">[ </w:t>
      </w:r>
      <w:r>
        <w:rPr>
          <w:rFonts w:hint="eastAsia" w:ascii="仿宋" w:hAnsi="仿宋" w:eastAsia="仿宋" w:cs="Times New Roman"/>
          <w:color w:val="000000"/>
          <w:sz w:val="24"/>
        </w:rPr>
        <w:t>贵州省遵义市红花岗区大兴路26号</w:t>
      </w:r>
      <w:r>
        <w:rPr>
          <w:rFonts w:ascii="仿宋" w:hAnsi="仿宋" w:eastAsia="仿宋" w:cs="Times New Roman"/>
          <w:sz w:val="24"/>
        </w:rPr>
        <w:t xml:space="preserve"> ]             </w:t>
      </w:r>
    </w:p>
    <w:p w14:paraId="2A3B5174">
      <w:pPr>
        <w:spacing w:line="360" w:lineRule="exact"/>
        <w:rPr>
          <w:rFonts w:ascii="仿宋" w:hAnsi="仿宋" w:eastAsia="仿宋" w:cs="Times New Roman"/>
          <w:sz w:val="24"/>
        </w:rPr>
      </w:pPr>
      <w:r>
        <w:rPr>
          <w:rFonts w:hint="eastAsia" w:ascii="仿宋" w:hAnsi="仿宋" w:eastAsia="仿宋" w:cs="Times New Roman"/>
          <w:sz w:val="24"/>
        </w:rPr>
        <w:t>法定代表人</w:t>
      </w:r>
      <w:r>
        <w:rPr>
          <w:rFonts w:ascii="仿宋" w:hAnsi="仿宋" w:eastAsia="仿宋" w:cs="Times New Roman"/>
          <w:sz w:val="24"/>
        </w:rPr>
        <w:t xml:space="preserve">/负责人：[ </w:t>
      </w:r>
      <w:r>
        <w:rPr>
          <w:rFonts w:hint="eastAsia" w:ascii="仿宋" w:hAnsi="仿宋" w:eastAsia="仿宋" w:cs="Times New Roman"/>
          <w:sz w:val="24"/>
          <w:lang w:val="en-US" w:eastAsia="zh-CN"/>
        </w:rPr>
        <w:t>任飞</w:t>
      </w:r>
      <w:r>
        <w:rPr>
          <w:rFonts w:ascii="仿宋" w:hAnsi="仿宋" w:eastAsia="仿宋" w:cs="Times New Roman"/>
          <w:sz w:val="24"/>
        </w:rPr>
        <w:t xml:space="preserve"> ] </w:t>
      </w:r>
    </w:p>
    <w:p w14:paraId="28DC27FE">
      <w:pPr>
        <w:spacing w:line="360" w:lineRule="exact"/>
        <w:rPr>
          <w:rFonts w:ascii="仿宋" w:hAnsi="仿宋" w:eastAsia="仿宋" w:cs="Times New Roman"/>
          <w:sz w:val="24"/>
        </w:rPr>
      </w:pPr>
      <w:r>
        <w:rPr>
          <w:rFonts w:hint="eastAsia" w:ascii="仿宋" w:hAnsi="仿宋" w:eastAsia="仿宋" w:cs="Times New Roman"/>
          <w:sz w:val="24"/>
        </w:rPr>
        <w:t>中国电信</w:t>
      </w:r>
      <w:r>
        <w:rPr>
          <w:rFonts w:ascii="仿宋" w:hAnsi="仿宋" w:eastAsia="仿宋" w:cs="Times New Roman"/>
          <w:sz w:val="24"/>
        </w:rPr>
        <w:t xml:space="preserve">[ </w:t>
      </w:r>
      <w:r>
        <w:rPr>
          <w:rFonts w:hint="eastAsia" w:ascii="仿宋" w:hAnsi="仿宋" w:eastAsia="仿宋" w:cs="Times New Roman"/>
          <w:sz w:val="24"/>
          <w:lang w:val="en-US" w:eastAsia="zh-CN"/>
        </w:rPr>
        <w:t>股份有限公司遵义分</w:t>
      </w:r>
      <w:r>
        <w:rPr>
          <w:rFonts w:ascii="仿宋" w:hAnsi="仿宋" w:eastAsia="仿宋" w:cs="Times New Roman"/>
          <w:sz w:val="24"/>
        </w:rPr>
        <w:t xml:space="preserve"> ]公司同时代表其子公司、分公司共同作为“甲方”</w:t>
      </w:r>
      <w:r>
        <w:rPr>
          <w:rFonts w:hint="eastAsia" w:ascii="仿宋" w:hAnsi="仿宋" w:eastAsia="仿宋" w:cs="Times New Roman"/>
          <w:sz w:val="24"/>
        </w:rPr>
        <w:t>。</w:t>
      </w:r>
    </w:p>
    <w:p w14:paraId="75C2ADE4">
      <w:pPr>
        <w:spacing w:line="360" w:lineRule="exact"/>
        <w:rPr>
          <w:rFonts w:ascii="仿宋" w:hAnsi="仿宋" w:eastAsia="仿宋" w:cs="Times New Roman"/>
          <w:color w:val="000000"/>
          <w:sz w:val="24"/>
        </w:rPr>
      </w:pPr>
    </w:p>
    <w:p w14:paraId="651D6547">
      <w:pPr>
        <w:spacing w:line="360" w:lineRule="exact"/>
        <w:rPr>
          <w:rFonts w:ascii="仿宋" w:hAnsi="仿宋" w:eastAsia="仿宋" w:cs="Times New Roman"/>
          <w:color w:val="000000"/>
          <w:sz w:val="24"/>
        </w:rPr>
      </w:pPr>
    </w:p>
    <w:p w14:paraId="298807E0">
      <w:pPr>
        <w:spacing w:line="360" w:lineRule="exact"/>
        <w:rPr>
          <w:rFonts w:ascii="仿宋" w:hAnsi="仿宋" w:eastAsia="仿宋" w:cs="Times New Roman"/>
          <w:color w:val="000000"/>
          <w:sz w:val="24"/>
        </w:rPr>
      </w:pPr>
      <w:r>
        <w:rPr>
          <w:rFonts w:hint="eastAsia" w:ascii="仿宋" w:hAnsi="仿宋" w:eastAsia="仿宋" w:cs="Times New Roman"/>
          <w:color w:val="000000"/>
          <w:sz w:val="24"/>
        </w:rPr>
        <w:t>乙方</w:t>
      </w:r>
      <w:r>
        <w:rPr>
          <w:rFonts w:ascii="仿宋" w:hAnsi="仿宋" w:eastAsia="仿宋" w:cs="Times New Roman"/>
          <w:color w:val="000000"/>
          <w:sz w:val="24"/>
        </w:rPr>
        <w:t>: [  ]</w:t>
      </w:r>
    </w:p>
    <w:p w14:paraId="72F15BD6">
      <w:pPr>
        <w:spacing w:line="360" w:lineRule="exact"/>
        <w:rPr>
          <w:rFonts w:ascii="仿宋" w:hAnsi="仿宋" w:eastAsia="仿宋" w:cs="Times New Roman"/>
          <w:color w:val="000000"/>
          <w:sz w:val="24"/>
        </w:rPr>
      </w:pPr>
      <w:r>
        <w:rPr>
          <w:rFonts w:hint="eastAsia" w:ascii="仿宋" w:hAnsi="仿宋" w:eastAsia="仿宋" w:cs="Times New Roman"/>
          <w:color w:val="000000"/>
          <w:sz w:val="24"/>
        </w:rPr>
        <w:t>地址：</w:t>
      </w:r>
      <w:r>
        <w:rPr>
          <w:rFonts w:ascii="仿宋" w:hAnsi="仿宋" w:eastAsia="仿宋" w:cs="Times New Roman"/>
          <w:color w:val="000000"/>
          <w:sz w:val="24"/>
        </w:rPr>
        <w:t xml:space="preserve">[  ] </w:t>
      </w:r>
    </w:p>
    <w:p w14:paraId="793B8B55">
      <w:pPr>
        <w:spacing w:line="360" w:lineRule="exact"/>
        <w:rPr>
          <w:rFonts w:ascii="仿宋" w:hAnsi="仿宋" w:eastAsia="仿宋" w:cs="Times New Roman"/>
          <w:color w:val="000000"/>
          <w:sz w:val="24"/>
        </w:rPr>
      </w:pPr>
      <w:r>
        <w:rPr>
          <w:rFonts w:hint="eastAsia" w:ascii="仿宋" w:hAnsi="仿宋" w:eastAsia="仿宋" w:cs="Times New Roman"/>
          <w:color w:val="000000"/>
          <w:sz w:val="24"/>
        </w:rPr>
        <w:t>法定代表人</w:t>
      </w:r>
      <w:r>
        <w:rPr>
          <w:rFonts w:ascii="仿宋" w:hAnsi="仿宋" w:eastAsia="仿宋" w:cs="Times New Roman"/>
          <w:color w:val="000000"/>
          <w:sz w:val="24"/>
        </w:rPr>
        <w:t>/负责人：[  ]</w:t>
      </w:r>
    </w:p>
    <w:p w14:paraId="690FEC33">
      <w:pPr>
        <w:spacing w:line="360" w:lineRule="exact"/>
        <w:rPr>
          <w:rFonts w:ascii="仿宋" w:hAnsi="仿宋" w:eastAsia="仿宋" w:cs="Times New Roman"/>
          <w:color w:val="000000"/>
          <w:sz w:val="24"/>
        </w:rPr>
      </w:pPr>
    </w:p>
    <w:p w14:paraId="472CD755">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本着平等互利、诚实信用的原则，甲乙双方签订本协议。</w:t>
      </w:r>
    </w:p>
    <w:p w14:paraId="436E6DC2">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第一条定义</w:t>
      </w:r>
    </w:p>
    <w:p w14:paraId="3CF53146">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1.1“</w:t>
      </w:r>
      <w:r>
        <w:rPr>
          <w:rFonts w:hint="eastAsia" w:ascii="仿宋" w:hAnsi="仿宋" w:eastAsia="仿宋" w:cs="Times New Roman"/>
          <w:color w:val="000000"/>
          <w:sz w:val="24"/>
        </w:rPr>
        <w:t>协议</w:t>
      </w:r>
      <w:r>
        <w:rPr>
          <w:rFonts w:ascii="仿宋" w:hAnsi="仿宋" w:eastAsia="仿宋" w:cs="Times New Roman"/>
          <w:color w:val="000000"/>
          <w:sz w:val="24"/>
        </w:rPr>
        <w:t>软件”或“软件”：甲方依据本协议获得的乙方或乙方已取得软件著作权人同意授权甲方</w:t>
      </w:r>
      <w:r>
        <w:rPr>
          <w:rFonts w:hint="eastAsia" w:ascii="仿宋" w:hAnsi="仿宋" w:eastAsia="仿宋" w:cs="Times New Roman"/>
          <w:color w:val="000000"/>
          <w:sz w:val="24"/>
        </w:rPr>
        <w:t>和采购方</w:t>
      </w:r>
      <w:r>
        <w:rPr>
          <w:rFonts w:ascii="仿宋" w:hAnsi="仿宋" w:eastAsia="仿宋" w:cs="Times New Roman"/>
          <w:color w:val="000000"/>
          <w:sz w:val="24"/>
        </w:rPr>
        <w:t>或其指定的第三方使用的软件。</w:t>
      </w:r>
    </w:p>
    <w:p w14:paraId="0B2FC318">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1.2“服务”：按照协议及附件规定，由乙方向甲方</w:t>
      </w:r>
      <w:r>
        <w:rPr>
          <w:rFonts w:hint="eastAsia" w:ascii="仿宋" w:hAnsi="仿宋" w:eastAsia="仿宋" w:cs="Times New Roman"/>
          <w:color w:val="000000"/>
          <w:sz w:val="24"/>
        </w:rPr>
        <w:t>和采购方</w:t>
      </w:r>
      <w:r>
        <w:rPr>
          <w:rFonts w:ascii="仿宋" w:hAnsi="仿宋" w:eastAsia="仿宋" w:cs="Times New Roman"/>
          <w:color w:val="000000"/>
          <w:sz w:val="24"/>
        </w:rPr>
        <w:t>或其指定的第三方提供的与软件相关的服务。</w:t>
      </w:r>
    </w:p>
    <w:p w14:paraId="48D2F70F">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1.3“保修期”：按照协议规定，乙方为甲方提供免费技术支持和服务</w:t>
      </w:r>
      <w:r>
        <w:rPr>
          <w:rFonts w:hint="eastAsia" w:ascii="仿宋" w:hAnsi="仿宋" w:eastAsia="仿宋" w:cs="Times New Roman"/>
          <w:color w:val="000000"/>
          <w:sz w:val="24"/>
        </w:rPr>
        <w:t>的期间。</w:t>
      </w:r>
    </w:p>
    <w:p w14:paraId="6CA61A26">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w:t>
      </w:r>
      <w:r>
        <w:rPr>
          <w:rFonts w:hint="eastAsia" w:ascii="仿宋" w:hAnsi="仿宋" w:eastAsia="仿宋" w:cs="Times New Roman"/>
          <w:color w:val="000000"/>
          <w:sz w:val="24"/>
        </w:rPr>
        <w:t>4“采购方”：向乙方下达订单的采购单位。根据不同情况，采购单位可以是甲方，也可以是甲方的分公司、子公司。</w:t>
      </w:r>
    </w:p>
    <w:p w14:paraId="4CCF2135">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w:t>
      </w:r>
      <w:r>
        <w:rPr>
          <w:rFonts w:hint="eastAsia" w:ascii="仿宋" w:hAnsi="仿宋" w:eastAsia="仿宋" w:cs="Times New Roman"/>
          <w:color w:val="000000"/>
          <w:sz w:val="24"/>
        </w:rPr>
        <w:t>5“双方”：甲方和</w:t>
      </w:r>
      <w:r>
        <w:rPr>
          <w:rFonts w:ascii="仿宋" w:hAnsi="仿宋" w:eastAsia="仿宋" w:cs="Times New Roman"/>
          <w:color w:val="000000"/>
          <w:sz w:val="24"/>
        </w:rPr>
        <w:t>/或采购方（</w:t>
      </w:r>
      <w:r>
        <w:rPr>
          <w:rFonts w:hint="eastAsia" w:ascii="仿宋" w:hAnsi="仿宋" w:eastAsia="仿宋" w:cs="Times New Roman"/>
          <w:color w:val="000000"/>
          <w:sz w:val="24"/>
        </w:rPr>
        <w:t>作为</w:t>
      </w:r>
      <w:r>
        <w:rPr>
          <w:rFonts w:ascii="仿宋" w:hAnsi="仿宋" w:eastAsia="仿宋" w:cs="Times New Roman"/>
          <w:color w:val="000000"/>
          <w:sz w:val="24"/>
        </w:rPr>
        <w:t>一方）</w:t>
      </w:r>
      <w:r>
        <w:rPr>
          <w:rFonts w:hint="eastAsia" w:ascii="仿宋" w:hAnsi="仿宋" w:eastAsia="仿宋" w:cs="Times New Roman"/>
          <w:color w:val="000000"/>
          <w:sz w:val="24"/>
        </w:rPr>
        <w:t>、</w:t>
      </w:r>
      <w:r>
        <w:rPr>
          <w:rFonts w:ascii="仿宋" w:hAnsi="仿宋" w:eastAsia="仿宋" w:cs="Times New Roman"/>
          <w:color w:val="000000"/>
          <w:sz w:val="24"/>
        </w:rPr>
        <w:t>以及乙方（</w:t>
      </w:r>
      <w:r>
        <w:rPr>
          <w:rFonts w:hint="eastAsia" w:ascii="仿宋" w:hAnsi="仿宋" w:eastAsia="仿宋" w:cs="Times New Roman"/>
          <w:color w:val="000000"/>
          <w:sz w:val="24"/>
        </w:rPr>
        <w:t>作为</w:t>
      </w:r>
      <w:r>
        <w:rPr>
          <w:rFonts w:ascii="仿宋" w:hAnsi="仿宋" w:eastAsia="仿宋" w:cs="Times New Roman"/>
          <w:color w:val="000000"/>
          <w:sz w:val="24"/>
        </w:rPr>
        <w:t>另一方）</w:t>
      </w:r>
      <w:r>
        <w:rPr>
          <w:rFonts w:hint="eastAsia" w:ascii="仿宋" w:hAnsi="仿宋" w:eastAsia="仿宋" w:cs="Times New Roman"/>
          <w:color w:val="000000"/>
          <w:sz w:val="24"/>
        </w:rPr>
        <w:t>。</w:t>
      </w:r>
    </w:p>
    <w:p w14:paraId="587B83B2">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w:t>
      </w:r>
      <w:r>
        <w:rPr>
          <w:rFonts w:hint="eastAsia" w:ascii="仿宋" w:hAnsi="仿宋" w:eastAsia="仿宋" w:cs="Times New Roman"/>
          <w:color w:val="000000"/>
          <w:sz w:val="24"/>
        </w:rPr>
        <w:t>6“软件著作权人”：软件的著作权人，在本协议中指</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数据库</w:t>
      </w:r>
      <w:r>
        <w:rPr>
          <w:rFonts w:hint="eastAsia" w:ascii="仿宋" w:hAnsi="仿宋" w:eastAsia="仿宋" w:cs="Times New Roman"/>
          <w:sz w:val="24"/>
          <w:lang w:val="en-US" w:eastAsia="zh-CN"/>
        </w:rPr>
        <w:t>原厂商</w:t>
      </w:r>
      <w:r>
        <w:rPr>
          <w:rFonts w:ascii="仿宋" w:hAnsi="仿宋" w:eastAsia="仿宋" w:cs="Times New Roman"/>
          <w:color w:val="000000"/>
          <w:sz w:val="24"/>
        </w:rPr>
        <w:t xml:space="preserve"> ]</w:t>
      </w:r>
      <w:r>
        <w:rPr>
          <w:rFonts w:hint="eastAsia" w:ascii="仿宋" w:hAnsi="仿宋" w:eastAsia="仿宋" w:cs="Times New Roman"/>
          <w:color w:val="000000"/>
          <w:sz w:val="24"/>
        </w:rPr>
        <w:t>。</w:t>
      </w:r>
    </w:p>
    <w:p w14:paraId="1A88C53F">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w:t>
      </w:r>
      <w:r>
        <w:rPr>
          <w:rFonts w:hint="eastAsia" w:ascii="仿宋" w:hAnsi="仿宋" w:eastAsia="仿宋" w:cs="Times New Roman"/>
          <w:color w:val="000000"/>
          <w:sz w:val="24"/>
        </w:rPr>
        <w:t>7“中国”：中华人民共和国，为本协议之目的不包括香港特别</w:t>
      </w:r>
      <w:r>
        <w:rPr>
          <w:rFonts w:ascii="仿宋" w:hAnsi="仿宋" w:eastAsia="仿宋" w:cs="Times New Roman"/>
          <w:color w:val="000000"/>
          <w:sz w:val="24"/>
        </w:rPr>
        <w:t>行政区</w:t>
      </w:r>
      <w:r>
        <w:rPr>
          <w:rFonts w:hint="eastAsia" w:ascii="仿宋" w:hAnsi="仿宋" w:eastAsia="仿宋" w:cs="Times New Roman"/>
          <w:color w:val="000000"/>
          <w:sz w:val="24"/>
        </w:rPr>
        <w:t>、澳门特别</w:t>
      </w:r>
      <w:r>
        <w:rPr>
          <w:rFonts w:ascii="仿宋" w:hAnsi="仿宋" w:eastAsia="仿宋" w:cs="Times New Roman"/>
          <w:color w:val="000000"/>
          <w:sz w:val="24"/>
        </w:rPr>
        <w:t>行政区</w:t>
      </w:r>
      <w:r>
        <w:rPr>
          <w:rFonts w:hint="eastAsia" w:ascii="仿宋" w:hAnsi="仿宋" w:eastAsia="仿宋" w:cs="Times New Roman"/>
          <w:color w:val="000000"/>
          <w:sz w:val="24"/>
        </w:rPr>
        <w:t>和台湾地区。</w:t>
      </w:r>
    </w:p>
    <w:p w14:paraId="35C33377">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w:t>
      </w:r>
      <w:r>
        <w:rPr>
          <w:rFonts w:hint="eastAsia" w:ascii="仿宋" w:hAnsi="仿宋" w:eastAsia="仿宋" w:cs="Times New Roman"/>
          <w:color w:val="000000"/>
          <w:sz w:val="24"/>
        </w:rPr>
        <w:t>8 “订单”：由采购方向乙方下达的采购通知。样本见附件三。</w:t>
      </w:r>
    </w:p>
    <w:p w14:paraId="1EA079D4">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第二条协议标的</w:t>
      </w:r>
    </w:p>
    <w:p w14:paraId="5E2A3BB4">
      <w:pPr>
        <w:spacing w:line="360" w:lineRule="exact"/>
        <w:ind w:firstLine="420"/>
        <w:rPr>
          <w:rFonts w:ascii="仿宋" w:hAnsi="仿宋" w:eastAsia="仿宋" w:cs="Times New Roman"/>
          <w:sz w:val="24"/>
        </w:rPr>
      </w:pPr>
      <w:r>
        <w:rPr>
          <w:rFonts w:ascii="仿宋" w:hAnsi="仿宋" w:eastAsia="仿宋" w:cs="Times New Roman"/>
          <w:color w:val="000000"/>
          <w:sz w:val="24"/>
        </w:rPr>
        <w:t>2.1</w:t>
      </w:r>
      <w:r>
        <w:rPr>
          <w:rFonts w:hint="eastAsia" w:ascii="仿宋" w:hAnsi="仿宋" w:eastAsia="仿宋" w:cs="Times New Roman"/>
          <w:sz w:val="24"/>
        </w:rPr>
        <w:t>甲方和乙方同意，由乙方按照本协议和订单约定提供协议软件及服务。</w:t>
      </w:r>
    </w:p>
    <w:p w14:paraId="5766CFDB">
      <w:pPr>
        <w:spacing w:line="360" w:lineRule="exact"/>
        <w:ind w:firstLine="420"/>
        <w:rPr>
          <w:rFonts w:ascii="仿宋" w:hAnsi="仿宋" w:eastAsia="仿宋" w:cs="Times New Roman"/>
          <w:color w:val="000000"/>
          <w:sz w:val="24"/>
        </w:rPr>
      </w:pPr>
      <w:r>
        <w:rPr>
          <w:rFonts w:ascii="仿宋" w:hAnsi="仿宋" w:eastAsia="仿宋" w:cs="Times New Roman"/>
          <w:sz w:val="24"/>
        </w:rPr>
        <w:t>2.2</w:t>
      </w:r>
      <w:r>
        <w:rPr>
          <w:rFonts w:ascii="仿宋" w:hAnsi="仿宋" w:eastAsia="仿宋" w:cs="Times New Roman"/>
          <w:color w:val="000000"/>
          <w:sz w:val="24"/>
        </w:rPr>
        <w:t>乙方所提供</w:t>
      </w:r>
      <w:r>
        <w:rPr>
          <w:rFonts w:hint="eastAsia" w:ascii="仿宋" w:hAnsi="仿宋" w:eastAsia="仿宋" w:cs="Times New Roman"/>
          <w:color w:val="000000"/>
          <w:sz w:val="24"/>
        </w:rPr>
        <w:t>协议软件的具体内容、技术规范和保修条件的内容以及服务详见附件</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二</w:t>
      </w:r>
      <w:r>
        <w:rPr>
          <w:rFonts w:ascii="仿宋" w:hAnsi="仿宋" w:eastAsia="仿宋" w:cs="Times New Roman"/>
          <w:color w:val="000000"/>
          <w:sz w:val="24"/>
        </w:rPr>
        <w:t xml:space="preserve"> ]</w:t>
      </w:r>
      <w:r>
        <w:rPr>
          <w:rFonts w:hint="eastAsia" w:ascii="仿宋" w:hAnsi="仿宋" w:eastAsia="仿宋" w:cs="Times New Roman"/>
          <w:color w:val="000000"/>
          <w:sz w:val="24"/>
        </w:rPr>
        <w:t>。</w:t>
      </w:r>
    </w:p>
    <w:p w14:paraId="4F159F6C">
      <w:pPr>
        <w:spacing w:line="360" w:lineRule="exact"/>
        <w:ind w:firstLine="420"/>
        <w:rPr>
          <w:rFonts w:ascii="仿宋" w:hAnsi="仿宋" w:eastAsia="仿宋" w:cs="Times New Roman"/>
          <w:color w:val="000000"/>
          <w:sz w:val="24"/>
        </w:rPr>
      </w:pPr>
      <w:r>
        <w:rPr>
          <w:rFonts w:ascii="仿宋" w:hAnsi="仿宋" w:eastAsia="仿宋" w:cs="Times New Roman"/>
          <w:color w:val="000000"/>
          <w:sz w:val="24"/>
        </w:rPr>
        <w:t>2.</w:t>
      </w:r>
      <w:r>
        <w:rPr>
          <w:rFonts w:ascii="仿宋" w:hAnsi="仿宋" w:eastAsia="仿宋" w:cs="Times New Roman"/>
          <w:sz w:val="24"/>
        </w:rPr>
        <w:t>3</w:t>
      </w:r>
      <w:r>
        <w:rPr>
          <w:rFonts w:hint="eastAsia" w:ascii="仿宋" w:hAnsi="仿宋" w:eastAsia="仿宋" w:cs="Times New Roman"/>
          <w:color w:val="000000"/>
          <w:sz w:val="24"/>
        </w:rPr>
        <w:t>乙方保证乙方为在本协议项下的软件的著作权人或合法许可使用人（软件著作权属证明文件见附件</w:t>
      </w:r>
      <w:r>
        <w:rPr>
          <w:rFonts w:ascii="仿宋" w:hAnsi="仿宋" w:eastAsia="仿宋" w:cs="Times New Roman"/>
          <w:color w:val="000000"/>
          <w:sz w:val="24"/>
        </w:rPr>
        <w:t>[</w:t>
      </w:r>
      <w:r>
        <w:rPr>
          <w:rFonts w:hint="eastAsia" w:ascii="仿宋" w:hAnsi="仿宋" w:eastAsia="仿宋" w:cs="Times New Roman"/>
          <w:color w:val="000000"/>
          <w:sz w:val="24"/>
        </w:rPr>
        <w:t>十</w:t>
      </w:r>
      <w:r>
        <w:rPr>
          <w:rFonts w:ascii="仿宋" w:hAnsi="仿宋" w:eastAsia="仿宋" w:cs="Times New Roman"/>
          <w:color w:val="000000"/>
          <w:sz w:val="24"/>
        </w:rPr>
        <w:t>]</w:t>
      </w:r>
      <w:r>
        <w:rPr>
          <w:rFonts w:hint="eastAsia" w:ascii="仿宋" w:hAnsi="仿宋" w:eastAsia="仿宋" w:cs="Times New Roman"/>
          <w:color w:val="000000"/>
          <w:sz w:val="24"/>
        </w:rPr>
        <w:t>）。</w:t>
      </w:r>
    </w:p>
    <w:p w14:paraId="28288D9D">
      <w:pPr>
        <w:spacing w:line="360" w:lineRule="exact"/>
        <w:ind w:firstLine="420"/>
        <w:rPr>
          <w:rFonts w:ascii="仿宋" w:hAnsi="仿宋" w:eastAsia="仿宋" w:cs="Times New Roman"/>
          <w:color w:val="000000"/>
          <w:sz w:val="24"/>
        </w:rPr>
      </w:pPr>
      <w:r>
        <w:rPr>
          <w:rFonts w:ascii="仿宋" w:hAnsi="仿宋" w:eastAsia="仿宋" w:cs="Times New Roman"/>
          <w:color w:val="000000"/>
          <w:sz w:val="24"/>
        </w:rPr>
        <w:t>2.</w:t>
      </w:r>
      <w:r>
        <w:rPr>
          <w:rFonts w:ascii="仿宋" w:hAnsi="仿宋" w:eastAsia="仿宋" w:cs="Times New Roman"/>
          <w:sz w:val="24"/>
        </w:rPr>
        <w:t>4</w:t>
      </w:r>
      <w:r>
        <w:rPr>
          <w:rFonts w:hint="eastAsia" w:ascii="仿宋" w:hAnsi="仿宋" w:eastAsia="仿宋" w:cs="Times New Roman"/>
          <w:color w:val="000000"/>
          <w:sz w:val="24"/>
        </w:rPr>
        <w:t>乙方保证使得甲方和</w:t>
      </w:r>
      <w:r>
        <w:rPr>
          <w:rFonts w:ascii="仿宋" w:hAnsi="仿宋" w:eastAsia="仿宋" w:cs="Times New Roman"/>
          <w:color w:val="000000"/>
          <w:sz w:val="24"/>
        </w:rPr>
        <w:t>/</w:t>
      </w:r>
      <w:r>
        <w:rPr>
          <w:rFonts w:hint="eastAsia" w:ascii="仿宋" w:hAnsi="仿宋" w:eastAsia="仿宋" w:cs="Times New Roman"/>
          <w:color w:val="000000"/>
          <w:sz w:val="24"/>
        </w:rPr>
        <w:t>或采购方或其指定的第三方获得软件许可使用权授权，以保证甲方和</w:t>
      </w:r>
      <w:r>
        <w:rPr>
          <w:rFonts w:ascii="仿宋" w:hAnsi="仿宋" w:eastAsia="仿宋" w:cs="Times New Roman"/>
          <w:color w:val="000000"/>
          <w:sz w:val="24"/>
        </w:rPr>
        <w:t>/或</w:t>
      </w:r>
      <w:r>
        <w:rPr>
          <w:rFonts w:hint="eastAsia" w:ascii="仿宋" w:hAnsi="仿宋" w:eastAsia="仿宋" w:cs="Times New Roman"/>
          <w:color w:val="000000"/>
          <w:sz w:val="24"/>
        </w:rPr>
        <w:t>采购方或其指定的第三方能够在中国境内正常地运行协议软件，并向甲方和</w:t>
      </w:r>
      <w:r>
        <w:rPr>
          <w:rFonts w:ascii="仿宋" w:hAnsi="仿宋" w:eastAsia="仿宋" w:cs="Times New Roman"/>
          <w:color w:val="000000"/>
          <w:sz w:val="24"/>
        </w:rPr>
        <w:t>/</w:t>
      </w:r>
      <w:r>
        <w:rPr>
          <w:rFonts w:hint="eastAsia" w:ascii="仿宋" w:hAnsi="仿宋" w:eastAsia="仿宋" w:cs="Times New Roman"/>
          <w:color w:val="000000"/>
          <w:sz w:val="24"/>
        </w:rPr>
        <w:t>或采购方或其指定的第三方提供与软件相关的服务。</w:t>
      </w:r>
    </w:p>
    <w:p w14:paraId="0EE91D2F">
      <w:pPr>
        <w:spacing w:line="360" w:lineRule="exact"/>
        <w:ind w:firstLine="420"/>
        <w:rPr>
          <w:rFonts w:ascii="仿宋" w:hAnsi="仿宋" w:eastAsia="仿宋" w:cs="Times New Roman"/>
          <w:color w:val="000000"/>
          <w:sz w:val="24"/>
        </w:rPr>
      </w:pPr>
      <w:r>
        <w:rPr>
          <w:rFonts w:ascii="仿宋" w:hAnsi="仿宋" w:eastAsia="仿宋" w:cs="Times New Roman"/>
          <w:color w:val="000000"/>
          <w:sz w:val="24"/>
        </w:rPr>
        <w:t>2.4</w:t>
      </w:r>
      <w:r>
        <w:rPr>
          <w:rFonts w:hint="eastAsia" w:ascii="仿宋" w:hAnsi="仿宋" w:eastAsia="仿宋" w:cs="Times New Roman"/>
          <w:color w:val="000000"/>
          <w:sz w:val="24"/>
        </w:rPr>
        <w:t>乙方</w:t>
      </w:r>
      <w:r>
        <w:rPr>
          <w:rFonts w:ascii="仿宋" w:hAnsi="仿宋" w:eastAsia="仿宋" w:cs="Times New Roman"/>
          <w:color w:val="000000"/>
          <w:sz w:val="24"/>
        </w:rPr>
        <w:t>向</w:t>
      </w:r>
      <w:r>
        <w:rPr>
          <w:rFonts w:hint="eastAsia" w:ascii="仿宋" w:hAnsi="仿宋" w:eastAsia="仿宋" w:cs="Times New Roman"/>
          <w:color w:val="000000"/>
          <w:sz w:val="24"/>
        </w:rPr>
        <w:t>甲方和</w:t>
      </w:r>
      <w:r>
        <w:rPr>
          <w:rFonts w:ascii="仿宋" w:hAnsi="仿宋" w:eastAsia="仿宋" w:cs="Times New Roman"/>
          <w:color w:val="000000"/>
          <w:sz w:val="24"/>
        </w:rPr>
        <w:t>/或采购方或其指定的第三方</w:t>
      </w:r>
      <w:r>
        <w:rPr>
          <w:rFonts w:hint="eastAsia" w:ascii="仿宋" w:hAnsi="仿宋" w:eastAsia="仿宋" w:cs="Times New Roman"/>
          <w:color w:val="000000"/>
          <w:sz w:val="24"/>
        </w:rPr>
        <w:t>许可软件使用权的许可方式为以下第（</w:t>
      </w:r>
      <w:r>
        <w:rPr>
          <w:rFonts w:hint="eastAsia" w:ascii="仿宋" w:hAnsi="仿宋" w:eastAsia="仿宋" w:cs="Times New Roman"/>
          <w:color w:val="000000"/>
          <w:sz w:val="24"/>
          <w:lang w:val="en-US" w:eastAsia="zh-CN"/>
        </w:rPr>
        <w:t>1</w:t>
      </w:r>
      <w:r>
        <w:rPr>
          <w:rFonts w:hint="eastAsia" w:ascii="仿宋" w:hAnsi="仿宋" w:eastAsia="仿宋" w:cs="Times New Roman"/>
          <w:color w:val="000000"/>
          <w:sz w:val="24"/>
        </w:rPr>
        <w:t>）</w:t>
      </w:r>
      <w:r>
        <w:rPr>
          <w:rFonts w:ascii="仿宋" w:hAnsi="仿宋" w:eastAsia="仿宋" w:cs="Times New Roman"/>
          <w:color w:val="000000"/>
          <w:sz w:val="24"/>
        </w:rPr>
        <w:t>种：</w:t>
      </w:r>
    </w:p>
    <w:p w14:paraId="7374BC90">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w:t>
      </w:r>
      <w:r>
        <w:rPr>
          <w:rFonts w:hint="eastAsia" w:ascii="仿宋" w:hAnsi="仿宋" w:eastAsia="仿宋" w:cs="Times New Roman"/>
          <w:color w:val="000000"/>
          <w:sz w:val="24"/>
        </w:rPr>
        <w:t>乙方</w:t>
      </w:r>
      <w:r>
        <w:rPr>
          <w:rFonts w:ascii="仿宋" w:hAnsi="仿宋" w:eastAsia="仿宋" w:cs="Times New Roman"/>
          <w:color w:val="000000"/>
          <w:sz w:val="24"/>
        </w:rPr>
        <w:t>将软件许可</w:t>
      </w:r>
      <w:r>
        <w:rPr>
          <w:rFonts w:hint="eastAsia" w:ascii="仿宋" w:hAnsi="仿宋" w:eastAsia="仿宋" w:cs="Times New Roman"/>
          <w:color w:val="000000"/>
          <w:sz w:val="24"/>
        </w:rPr>
        <w:t>合同</w:t>
      </w:r>
      <w:r>
        <w:rPr>
          <w:rFonts w:ascii="仿宋" w:hAnsi="仿宋" w:eastAsia="仿宋" w:cs="Times New Roman"/>
          <w:color w:val="000000"/>
          <w:sz w:val="24"/>
        </w:rPr>
        <w:t>/</w:t>
      </w:r>
      <w:r>
        <w:rPr>
          <w:rFonts w:hint="eastAsia" w:ascii="仿宋" w:hAnsi="仿宋" w:eastAsia="仿宋" w:cs="Times New Roman"/>
          <w:color w:val="000000"/>
          <w:sz w:val="24"/>
        </w:rPr>
        <w:t>协议</w:t>
      </w:r>
      <w:r>
        <w:rPr>
          <w:rFonts w:ascii="仿宋" w:hAnsi="仿宋" w:eastAsia="仿宋" w:cs="Times New Roman"/>
          <w:color w:val="000000"/>
          <w:sz w:val="24"/>
        </w:rPr>
        <w:t>/条款随同软件介质及技术资料和文档一并包装</w:t>
      </w:r>
      <w:r>
        <w:rPr>
          <w:rFonts w:hint="eastAsia" w:ascii="仿宋" w:hAnsi="仿宋" w:eastAsia="仿宋" w:cs="Times New Roman"/>
          <w:color w:val="000000"/>
          <w:sz w:val="24"/>
        </w:rPr>
        <w:t>并</w:t>
      </w:r>
      <w:r>
        <w:rPr>
          <w:rFonts w:ascii="仿宋" w:hAnsi="仿宋" w:eastAsia="仿宋" w:cs="Times New Roman"/>
          <w:color w:val="000000"/>
          <w:sz w:val="24"/>
        </w:rPr>
        <w:t>向</w:t>
      </w:r>
      <w:r>
        <w:rPr>
          <w:rFonts w:hint="eastAsia" w:ascii="仿宋" w:hAnsi="仿宋" w:eastAsia="仿宋" w:cs="Times New Roman"/>
          <w:color w:val="000000"/>
          <w:sz w:val="24"/>
        </w:rPr>
        <w:t>甲方和</w:t>
      </w:r>
      <w:r>
        <w:rPr>
          <w:rFonts w:ascii="仿宋" w:hAnsi="仿宋" w:eastAsia="仿宋" w:cs="Times New Roman"/>
          <w:color w:val="000000"/>
          <w:sz w:val="24"/>
        </w:rPr>
        <w:t>/或采购方</w:t>
      </w:r>
      <w:r>
        <w:rPr>
          <w:rFonts w:hint="eastAsia" w:ascii="仿宋" w:hAnsi="仿宋" w:eastAsia="仿宋" w:cs="Times New Roman"/>
          <w:color w:val="000000"/>
          <w:sz w:val="24"/>
        </w:rPr>
        <w:t>或其指定的第三方提供，甲方和</w:t>
      </w:r>
      <w:r>
        <w:rPr>
          <w:rFonts w:ascii="仿宋" w:hAnsi="仿宋" w:eastAsia="仿宋" w:cs="Times New Roman"/>
          <w:color w:val="000000"/>
          <w:sz w:val="24"/>
        </w:rPr>
        <w:t>/</w:t>
      </w:r>
      <w:r>
        <w:rPr>
          <w:rFonts w:hint="eastAsia" w:ascii="仿宋" w:hAnsi="仿宋" w:eastAsia="仿宋" w:cs="Times New Roman"/>
          <w:color w:val="000000"/>
          <w:sz w:val="24"/>
        </w:rPr>
        <w:t>或采购方或其指定的第三方拆开包装即被视为同意该软件许可条款和条件（软件许可合同</w:t>
      </w:r>
      <w:r>
        <w:rPr>
          <w:rFonts w:ascii="仿宋" w:hAnsi="仿宋" w:eastAsia="仿宋" w:cs="Times New Roman"/>
          <w:color w:val="000000"/>
          <w:sz w:val="24"/>
        </w:rPr>
        <w:t>/</w:t>
      </w:r>
      <w:r>
        <w:rPr>
          <w:rFonts w:hint="eastAsia" w:ascii="仿宋" w:hAnsi="仿宋" w:eastAsia="仿宋" w:cs="Times New Roman"/>
          <w:color w:val="000000"/>
          <w:sz w:val="24"/>
        </w:rPr>
        <w:t>协议</w:t>
      </w:r>
      <w:r>
        <w:rPr>
          <w:rFonts w:ascii="仿宋" w:hAnsi="仿宋" w:eastAsia="仿宋" w:cs="Times New Roman"/>
          <w:color w:val="000000"/>
          <w:sz w:val="24"/>
        </w:rPr>
        <w:t>/</w:t>
      </w:r>
      <w:r>
        <w:rPr>
          <w:rFonts w:hint="eastAsia" w:ascii="仿宋" w:hAnsi="仿宋" w:eastAsia="仿宋" w:cs="Times New Roman"/>
          <w:color w:val="000000"/>
          <w:sz w:val="24"/>
        </w:rPr>
        <w:t>条款见附件十）、获得软件著作权人</w:t>
      </w:r>
      <w:r>
        <w:rPr>
          <w:rFonts w:ascii="仿宋" w:hAnsi="仿宋" w:eastAsia="仿宋" w:cs="Times New Roman"/>
          <w:color w:val="000000"/>
          <w:sz w:val="24"/>
        </w:rPr>
        <w:t>的</w:t>
      </w:r>
      <w:r>
        <w:rPr>
          <w:rFonts w:hint="eastAsia" w:ascii="仿宋" w:hAnsi="仿宋" w:eastAsia="仿宋" w:cs="Times New Roman"/>
          <w:color w:val="000000"/>
          <w:sz w:val="24"/>
        </w:rPr>
        <w:t>授权。（“拆封许可方式”）</w:t>
      </w:r>
    </w:p>
    <w:p w14:paraId="4C676A23">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2）由</w:t>
      </w:r>
      <w:r>
        <w:rPr>
          <w:rFonts w:hint="eastAsia" w:ascii="仿宋" w:hAnsi="仿宋" w:eastAsia="仿宋" w:cs="Times New Roman"/>
          <w:color w:val="000000"/>
          <w:sz w:val="24"/>
        </w:rPr>
        <w:t>甲方和</w:t>
      </w:r>
      <w:r>
        <w:rPr>
          <w:rFonts w:ascii="仿宋" w:hAnsi="仿宋" w:eastAsia="仿宋" w:cs="Times New Roman"/>
          <w:color w:val="000000"/>
          <w:sz w:val="24"/>
        </w:rPr>
        <w:t>/或采购方</w:t>
      </w:r>
      <w:r>
        <w:rPr>
          <w:rFonts w:hint="eastAsia" w:ascii="仿宋" w:hAnsi="仿宋" w:eastAsia="仿宋" w:cs="Times New Roman"/>
          <w:color w:val="000000"/>
          <w:sz w:val="24"/>
        </w:rPr>
        <w:t>或其指定的第三方自乙方获得软件产品的许可证号及密码并按照提示自行访问相应网址（网址见附件十）下载软件，下载软件并在线签署软件许可合同</w:t>
      </w:r>
      <w:r>
        <w:rPr>
          <w:rFonts w:ascii="仿宋" w:hAnsi="仿宋" w:eastAsia="仿宋" w:cs="Times New Roman"/>
          <w:color w:val="000000"/>
          <w:sz w:val="24"/>
        </w:rPr>
        <w:t>/</w:t>
      </w:r>
      <w:r>
        <w:rPr>
          <w:rFonts w:hint="eastAsia" w:ascii="仿宋" w:hAnsi="仿宋" w:eastAsia="仿宋" w:cs="Times New Roman"/>
          <w:color w:val="000000"/>
          <w:sz w:val="24"/>
        </w:rPr>
        <w:t>协议</w:t>
      </w:r>
      <w:r>
        <w:rPr>
          <w:rFonts w:ascii="仿宋" w:hAnsi="仿宋" w:eastAsia="仿宋" w:cs="Times New Roman"/>
          <w:color w:val="000000"/>
          <w:sz w:val="24"/>
        </w:rPr>
        <w:t>/</w:t>
      </w:r>
      <w:r>
        <w:rPr>
          <w:rFonts w:hint="eastAsia" w:ascii="仿宋" w:hAnsi="仿宋" w:eastAsia="仿宋" w:cs="Times New Roman"/>
          <w:color w:val="000000"/>
          <w:sz w:val="24"/>
        </w:rPr>
        <w:t>条款即被视为同意该软件许可条款和条件、获得软件著作权人的授权。（“提供许可证号方式”）</w:t>
      </w:r>
    </w:p>
    <w:p w14:paraId="7B4C8BC3">
      <w:pPr>
        <w:spacing w:line="360" w:lineRule="exact"/>
        <w:ind w:firstLine="420"/>
        <w:rPr>
          <w:rFonts w:ascii="仿宋" w:hAnsi="仿宋" w:eastAsia="仿宋" w:cs="Times New Roman"/>
          <w:color w:val="000000"/>
          <w:sz w:val="24"/>
        </w:rPr>
      </w:pPr>
      <w:r>
        <w:rPr>
          <w:rFonts w:ascii="仿宋" w:hAnsi="仿宋" w:eastAsia="仿宋" w:cs="Times New Roman"/>
          <w:color w:val="000000"/>
          <w:sz w:val="24"/>
        </w:rPr>
        <w:t>2.</w:t>
      </w:r>
      <w:r>
        <w:rPr>
          <w:rFonts w:ascii="仿宋" w:hAnsi="仿宋" w:eastAsia="仿宋" w:cs="Times New Roman"/>
          <w:sz w:val="24"/>
        </w:rPr>
        <w:t>6</w:t>
      </w:r>
      <w:r>
        <w:rPr>
          <w:rFonts w:hint="eastAsia" w:ascii="仿宋" w:hAnsi="仿宋" w:eastAsia="仿宋" w:cs="Times New Roman"/>
          <w:color w:val="000000"/>
          <w:sz w:val="24"/>
        </w:rPr>
        <w:t>乙方提供软件与服务应当符合网络安全等相关国家标准的强制性要求，不得设置恶意程序；如发现软件、服务存在安全缺陷、漏洞等风险时，乙方应当立即采取补救措施。乙方应当为其软件、服务持续提供安全维护。</w:t>
      </w:r>
    </w:p>
    <w:p w14:paraId="0A9B6BCC">
      <w:pPr>
        <w:spacing w:line="360" w:lineRule="exact"/>
        <w:ind w:firstLine="420"/>
        <w:rPr>
          <w:rFonts w:ascii="仿宋" w:hAnsi="仿宋" w:eastAsia="仿宋" w:cs="Times New Roman"/>
          <w:color w:val="000000"/>
          <w:sz w:val="24"/>
        </w:rPr>
      </w:pPr>
      <w:r>
        <w:rPr>
          <w:rFonts w:ascii="仿宋" w:hAnsi="仿宋" w:eastAsia="仿宋" w:cs="Times New Roman"/>
          <w:color w:val="000000"/>
          <w:sz w:val="24"/>
        </w:rPr>
        <w:t>2.</w:t>
      </w:r>
      <w:r>
        <w:rPr>
          <w:rFonts w:ascii="仿宋" w:hAnsi="仿宋" w:eastAsia="仿宋" w:cs="Times New Roman"/>
          <w:sz w:val="24"/>
        </w:rPr>
        <w:t>7</w:t>
      </w:r>
      <w:r>
        <w:rPr>
          <w:rFonts w:hint="eastAsia" w:ascii="仿宋" w:hAnsi="仿宋" w:eastAsia="仿宋" w:cs="Times New Roman"/>
          <w:color w:val="000000"/>
          <w:sz w:val="24"/>
        </w:rPr>
        <w:t>乙方保证软件及软件介质能够满足甲方和</w:t>
      </w:r>
      <w:r>
        <w:rPr>
          <w:rFonts w:ascii="仿宋" w:hAnsi="仿宋" w:eastAsia="仿宋" w:cs="Times New Roman"/>
          <w:color w:val="000000"/>
          <w:sz w:val="24"/>
        </w:rPr>
        <w:t>/或采购方或其指定的第三方要求</w:t>
      </w:r>
      <w:r>
        <w:rPr>
          <w:rFonts w:hint="eastAsia" w:ascii="仿宋" w:hAnsi="仿宋" w:eastAsia="仿宋" w:cs="Times New Roman"/>
          <w:color w:val="000000"/>
          <w:sz w:val="24"/>
        </w:rPr>
        <w:t>，并且不存在任何权利瑕疵和质量瑕疵。如果软件升级，乙方使得甲方和</w:t>
      </w:r>
      <w:r>
        <w:rPr>
          <w:rFonts w:ascii="仿宋" w:hAnsi="仿宋" w:eastAsia="仿宋" w:cs="Times New Roman"/>
          <w:color w:val="000000"/>
          <w:sz w:val="24"/>
        </w:rPr>
        <w:t>/或采购方或其指定的第三方免费获得升级软件的许可使用权。</w:t>
      </w:r>
    </w:p>
    <w:p w14:paraId="087E8352">
      <w:pPr>
        <w:spacing w:line="360" w:lineRule="exact"/>
        <w:ind w:firstLine="420"/>
        <w:rPr>
          <w:rFonts w:ascii="仿宋" w:hAnsi="仿宋" w:eastAsia="仿宋" w:cs="Times New Roman"/>
          <w:color w:val="000000"/>
          <w:sz w:val="24"/>
        </w:rPr>
      </w:pPr>
      <w:r>
        <w:rPr>
          <w:rFonts w:ascii="仿宋" w:hAnsi="仿宋" w:eastAsia="仿宋" w:cs="Times New Roman"/>
          <w:color w:val="000000"/>
          <w:sz w:val="24"/>
        </w:rPr>
        <w:t>2.</w:t>
      </w:r>
      <w:r>
        <w:rPr>
          <w:rFonts w:ascii="仿宋" w:hAnsi="仿宋" w:eastAsia="仿宋" w:cs="Times New Roman"/>
          <w:sz w:val="24"/>
        </w:rPr>
        <w:t>8</w:t>
      </w:r>
      <w:r>
        <w:rPr>
          <w:rFonts w:hint="eastAsia" w:ascii="仿宋" w:hAnsi="仿宋" w:eastAsia="仿宋" w:cs="Times New Roman"/>
          <w:color w:val="000000"/>
          <w:sz w:val="24"/>
        </w:rPr>
        <w:t>甲方和乙方确认，未经甲方和采购方书面同意，乙方不得将协议及</w:t>
      </w:r>
      <w:r>
        <w:rPr>
          <w:rFonts w:ascii="仿宋" w:hAnsi="仿宋" w:eastAsia="仿宋" w:cs="Times New Roman"/>
          <w:color w:val="000000"/>
          <w:sz w:val="24"/>
        </w:rPr>
        <w:t>/或订单分包或转包给第三方。</w:t>
      </w:r>
    </w:p>
    <w:p w14:paraId="2325E309">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第三条具体采购安排</w:t>
      </w:r>
    </w:p>
    <w:p w14:paraId="5588A9CC">
      <w:pPr>
        <w:spacing w:line="360" w:lineRule="exact"/>
        <w:ind w:firstLine="420"/>
        <w:rPr>
          <w:rFonts w:ascii="仿宋" w:hAnsi="仿宋" w:eastAsia="仿宋" w:cs="Times New Roman"/>
          <w:color w:val="000000"/>
          <w:sz w:val="24"/>
        </w:rPr>
      </w:pPr>
      <w:r>
        <w:rPr>
          <w:rFonts w:ascii="仿宋" w:hAnsi="仿宋" w:eastAsia="仿宋" w:cs="Times New Roman"/>
          <w:color w:val="000000"/>
          <w:sz w:val="24"/>
        </w:rPr>
        <w:t>3.1</w:t>
      </w:r>
      <w:r>
        <w:rPr>
          <w:rFonts w:hint="eastAsia" w:ascii="仿宋" w:hAnsi="仿宋" w:eastAsia="仿宋" w:cs="Times New Roman"/>
          <w:color w:val="000000"/>
          <w:sz w:val="24"/>
        </w:rPr>
        <w:t>双方同意由乙方作为甲方和</w:t>
      </w:r>
      <w:r>
        <w:rPr>
          <w:rFonts w:ascii="仿宋" w:hAnsi="仿宋" w:eastAsia="仿宋" w:cs="Times New Roman"/>
          <w:color w:val="000000"/>
          <w:sz w:val="24"/>
        </w:rPr>
        <w:t>/</w:t>
      </w:r>
      <w:r>
        <w:rPr>
          <w:rFonts w:hint="eastAsia" w:ascii="仿宋" w:hAnsi="仿宋" w:eastAsia="仿宋" w:cs="Times New Roman"/>
          <w:color w:val="000000"/>
          <w:sz w:val="24"/>
        </w:rPr>
        <w:t>或采购方的供应商的期限（“有效期”）为本协议生效之日至</w:t>
      </w:r>
      <w:r>
        <w:rPr>
          <w:rFonts w:hint="eastAsia" w:ascii="仿宋" w:hAnsi="仿宋" w:eastAsia="仿宋" w:cs="Times New Roman"/>
          <w:color w:val="000000"/>
          <w:sz w:val="24"/>
          <w:lang w:val="en-US" w:eastAsia="zh-CN"/>
        </w:rPr>
        <w:t>12个月内</w:t>
      </w:r>
      <w:r>
        <w:rPr>
          <w:rFonts w:hint="eastAsia" w:ascii="仿宋" w:hAnsi="仿宋" w:eastAsia="仿宋" w:cs="Times New Roman"/>
          <w:color w:val="000000"/>
          <w:sz w:val="24"/>
        </w:rPr>
        <w:t>。如在有效期内出现以下任一情形的，有效期在以下任一日期到达时提前终止：</w:t>
      </w:r>
    </w:p>
    <w:p w14:paraId="672AD4F4">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w:t>
      </w:r>
      <w:r>
        <w:rPr>
          <w:rFonts w:hint="eastAsia" w:ascii="仿宋" w:hAnsi="仿宋" w:eastAsia="仿宋" w:cs="Times New Roman"/>
          <w:color w:val="000000"/>
          <w:sz w:val="24"/>
        </w:rPr>
        <w:t>）甲方与</w:t>
      </w:r>
      <w:r>
        <w:rPr>
          <w:rFonts w:ascii="仿宋" w:hAnsi="仿宋" w:eastAsia="仿宋" w:cs="Times New Roman"/>
          <w:color w:val="000000"/>
          <w:sz w:val="24"/>
        </w:rPr>
        <w:t>乙方</w:t>
      </w:r>
      <w:r>
        <w:rPr>
          <w:rFonts w:hint="eastAsia" w:ascii="仿宋" w:hAnsi="仿宋" w:eastAsia="仿宋" w:cs="Times New Roman"/>
          <w:color w:val="000000"/>
          <w:sz w:val="24"/>
        </w:rPr>
        <w:t>就下一批</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w:t>
      </w:r>
      <w:r>
        <w:rPr>
          <w:rFonts w:hint="eastAsia" w:ascii="仿宋" w:hAnsi="仿宋" w:eastAsia="仿宋" w:cs="Times New Roman"/>
          <w:color w:val="000000"/>
          <w:sz w:val="24"/>
        </w:rPr>
        <w:t>软件许可再次签订框架协议之日；</w:t>
      </w:r>
    </w:p>
    <w:p w14:paraId="7DCC6124">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w:t>
      </w:r>
      <w:r>
        <w:rPr>
          <w:rFonts w:hint="eastAsia" w:ascii="仿宋" w:hAnsi="仿宋" w:eastAsia="仿宋" w:cs="Times New Roman"/>
          <w:color w:val="000000"/>
          <w:sz w:val="24"/>
        </w:rPr>
        <w:t>）甲方就再次采购</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 </w:t>
      </w:r>
      <w:r>
        <w:rPr>
          <w:rFonts w:hint="eastAsia" w:ascii="仿宋" w:hAnsi="仿宋" w:eastAsia="仿宋" w:cs="Times New Roman"/>
          <w:color w:val="000000"/>
          <w:sz w:val="24"/>
        </w:rPr>
        <w:t>软件许可发出中标结果通知书之日；</w:t>
      </w:r>
    </w:p>
    <w:p w14:paraId="5887C014">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w:t>
      </w:r>
      <w:r>
        <w:rPr>
          <w:rFonts w:hint="eastAsia" w:ascii="仿宋" w:hAnsi="仿宋" w:eastAsia="仿宋" w:cs="Times New Roman"/>
          <w:color w:val="000000"/>
          <w:sz w:val="24"/>
        </w:rPr>
        <w:t>）甲方向</w:t>
      </w:r>
      <w:r>
        <w:rPr>
          <w:rFonts w:ascii="仿宋" w:hAnsi="仿宋" w:eastAsia="仿宋" w:cs="Times New Roman"/>
          <w:color w:val="000000"/>
          <w:sz w:val="24"/>
        </w:rPr>
        <w:t>乙方</w:t>
      </w:r>
      <w:r>
        <w:rPr>
          <w:rFonts w:hint="eastAsia" w:ascii="仿宋" w:hAnsi="仿宋" w:eastAsia="仿宋" w:cs="Times New Roman"/>
          <w:color w:val="000000"/>
          <w:sz w:val="24"/>
        </w:rPr>
        <w:t>发出停止供货通知书之日；</w:t>
      </w:r>
    </w:p>
    <w:p w14:paraId="7B3D82A7">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4</w:t>
      </w:r>
      <w:r>
        <w:rPr>
          <w:rFonts w:hint="eastAsia" w:ascii="仿宋" w:hAnsi="仿宋" w:eastAsia="仿宋" w:cs="Times New Roman"/>
          <w:color w:val="000000"/>
          <w:sz w:val="24"/>
        </w:rPr>
        <w:t>）供货份额使用完毕之日；</w:t>
      </w:r>
    </w:p>
    <w:p w14:paraId="5FA0D18D">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5</w:t>
      </w:r>
      <w:r>
        <w:rPr>
          <w:rFonts w:hint="eastAsia" w:ascii="仿宋" w:hAnsi="仿宋" w:eastAsia="仿宋" w:cs="Times New Roman"/>
          <w:color w:val="000000"/>
          <w:sz w:val="24"/>
        </w:rPr>
        <w:t>）本协议终止或解除之日。</w:t>
      </w:r>
    </w:p>
    <w:p w14:paraId="45940251">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有效期内如未发生以上任一情形，则有效期于届满后自动延续至以下任一日期到达时终止：</w:t>
      </w:r>
    </w:p>
    <w:p w14:paraId="44236E44">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w:t>
      </w:r>
      <w:r>
        <w:rPr>
          <w:rFonts w:hint="eastAsia" w:ascii="仿宋" w:hAnsi="仿宋" w:eastAsia="仿宋" w:cs="Times New Roman"/>
          <w:color w:val="000000"/>
          <w:sz w:val="24"/>
        </w:rPr>
        <w:t>）甲方与乙方就下一批</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 </w:t>
      </w:r>
      <w:r>
        <w:rPr>
          <w:rFonts w:hint="eastAsia" w:ascii="仿宋" w:hAnsi="仿宋" w:eastAsia="仿宋" w:cs="Times New Roman"/>
          <w:color w:val="000000"/>
          <w:sz w:val="24"/>
        </w:rPr>
        <w:t>软件许可再次签订框架协议之日；</w:t>
      </w:r>
    </w:p>
    <w:p w14:paraId="5D9CE04E">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w:t>
      </w:r>
      <w:r>
        <w:rPr>
          <w:rFonts w:hint="eastAsia" w:ascii="仿宋" w:hAnsi="仿宋" w:eastAsia="仿宋" w:cs="Times New Roman"/>
          <w:color w:val="000000"/>
          <w:sz w:val="24"/>
        </w:rPr>
        <w:t>）甲方就再次采购</w:t>
      </w:r>
      <w:r>
        <w:rPr>
          <w:rFonts w:ascii="仿宋" w:hAnsi="仿宋" w:eastAsia="仿宋" w:cs="Times New Roman"/>
          <w:color w:val="000000"/>
          <w:sz w:val="24"/>
        </w:rPr>
        <w:t>[</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 </w:t>
      </w:r>
      <w:r>
        <w:rPr>
          <w:rFonts w:hint="eastAsia" w:ascii="仿宋" w:hAnsi="仿宋" w:eastAsia="仿宋" w:cs="Times New Roman"/>
          <w:color w:val="000000"/>
          <w:sz w:val="24"/>
        </w:rPr>
        <w:t>软件许可发出中标结果通知书之日；</w:t>
      </w:r>
    </w:p>
    <w:p w14:paraId="7E279C7A">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w:t>
      </w:r>
      <w:r>
        <w:rPr>
          <w:rFonts w:hint="eastAsia" w:ascii="仿宋" w:hAnsi="仿宋" w:eastAsia="仿宋" w:cs="Times New Roman"/>
          <w:color w:val="000000"/>
          <w:sz w:val="24"/>
        </w:rPr>
        <w:t>）甲方向乙方发出停止供货通知书之日；</w:t>
      </w:r>
    </w:p>
    <w:p w14:paraId="22BEBBE8">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4</w:t>
      </w:r>
      <w:r>
        <w:rPr>
          <w:rFonts w:hint="eastAsia" w:ascii="仿宋" w:hAnsi="仿宋" w:eastAsia="仿宋" w:cs="Times New Roman"/>
          <w:color w:val="000000"/>
          <w:sz w:val="24"/>
        </w:rPr>
        <w:t>）供货份额使用完毕之日；</w:t>
      </w:r>
    </w:p>
    <w:p w14:paraId="190F360A">
      <w:pPr>
        <w:spacing w:line="360" w:lineRule="exact"/>
        <w:ind w:firstLine="420"/>
        <w:rPr>
          <w:rFonts w:ascii="仿宋" w:hAnsi="仿宋" w:eastAsia="仿宋" w:cs="Times New Roman"/>
          <w:b/>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5</w:t>
      </w:r>
      <w:r>
        <w:rPr>
          <w:rFonts w:hint="eastAsia" w:ascii="仿宋" w:hAnsi="仿宋" w:eastAsia="仿宋" w:cs="Times New Roman"/>
          <w:color w:val="000000"/>
          <w:sz w:val="24"/>
        </w:rPr>
        <w:t>）本协议终止或解除之日。</w:t>
      </w:r>
    </w:p>
    <w:p w14:paraId="573BBD08">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3.2本协议</w:t>
      </w:r>
      <w:r>
        <w:rPr>
          <w:rFonts w:hint="eastAsia" w:ascii="仿宋" w:hAnsi="仿宋" w:eastAsia="仿宋" w:cs="Times New Roman"/>
          <w:color w:val="000000"/>
          <w:sz w:val="24"/>
        </w:rPr>
        <w:t>有效</w:t>
      </w:r>
      <w:r>
        <w:rPr>
          <w:rFonts w:ascii="仿宋" w:hAnsi="仿宋" w:eastAsia="仿宋" w:cs="Times New Roman"/>
          <w:color w:val="000000"/>
          <w:sz w:val="24"/>
        </w:rPr>
        <w:t>期</w:t>
      </w:r>
      <w:r>
        <w:rPr>
          <w:rFonts w:hint="eastAsia" w:ascii="仿宋" w:hAnsi="仿宋" w:eastAsia="仿宋" w:cs="Times New Roman"/>
          <w:color w:val="000000"/>
          <w:sz w:val="24"/>
        </w:rPr>
        <w:t>和协议约定的供货份额</w:t>
      </w:r>
      <w:r>
        <w:rPr>
          <w:rFonts w:ascii="仿宋" w:hAnsi="仿宋" w:eastAsia="仿宋" w:cs="Times New Roman"/>
          <w:color w:val="000000"/>
          <w:sz w:val="24"/>
        </w:rPr>
        <w:t>内，甲方和/或采购方通过</w:t>
      </w:r>
      <w:r>
        <w:rPr>
          <w:rFonts w:hint="eastAsia" w:ascii="仿宋" w:hAnsi="仿宋" w:eastAsia="仿宋" w:cs="Times New Roman"/>
          <w:color w:val="000000"/>
          <w:sz w:val="24"/>
        </w:rPr>
        <w:t>向乙方下达订单的方式采购协议软件以及服务。</w:t>
      </w:r>
    </w:p>
    <w:p w14:paraId="55548E46">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3.3本协议附件一约定的供货份额为预估值,甲方和/或采购方有权按照实际采购需求向乙方下达订单。</w:t>
      </w:r>
    </w:p>
    <w:p w14:paraId="0C17EE06">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3.4双方约定按第3.4.1条的方式对订单的法律效力进行确认并由</w:t>
      </w:r>
      <w:r>
        <w:rPr>
          <w:rFonts w:hint="eastAsia" w:ascii="仿宋" w:hAnsi="仿宋" w:eastAsia="仿宋" w:cs="Times New Roman"/>
          <w:color w:val="000000"/>
          <w:sz w:val="24"/>
        </w:rPr>
        <w:t>乙</w:t>
      </w:r>
      <w:r>
        <w:rPr>
          <w:rFonts w:ascii="仿宋" w:hAnsi="仿宋" w:eastAsia="仿宋" w:cs="Times New Roman"/>
          <w:color w:val="000000"/>
          <w:sz w:val="24"/>
        </w:rPr>
        <w:t>方传回</w:t>
      </w:r>
      <w:r>
        <w:rPr>
          <w:rFonts w:hint="eastAsia" w:ascii="仿宋" w:hAnsi="仿宋" w:eastAsia="仿宋" w:cs="Times New Roman"/>
          <w:color w:val="000000"/>
          <w:sz w:val="24"/>
        </w:rPr>
        <w:t>甲方和</w:t>
      </w:r>
      <w:r>
        <w:rPr>
          <w:rFonts w:ascii="仿宋" w:hAnsi="仿宋" w:eastAsia="仿宋" w:cs="Times New Roman"/>
          <w:color w:val="000000"/>
          <w:sz w:val="24"/>
        </w:rPr>
        <w:t>/或采购方。如</w:t>
      </w:r>
      <w:r>
        <w:rPr>
          <w:rFonts w:hint="eastAsia" w:ascii="仿宋" w:hAnsi="仿宋" w:eastAsia="仿宋" w:cs="Times New Roman"/>
          <w:color w:val="000000"/>
          <w:sz w:val="24"/>
        </w:rPr>
        <w:t>乙方在订单发出后</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24</w:t>
      </w:r>
      <w:r>
        <w:rPr>
          <w:rFonts w:ascii="仿宋" w:hAnsi="仿宋" w:eastAsia="仿宋" w:cs="Times New Roman"/>
          <w:color w:val="000000"/>
          <w:sz w:val="24"/>
        </w:rPr>
        <w:t xml:space="preserve"> ]小时内未传回订单，则视为</w:t>
      </w:r>
      <w:r>
        <w:rPr>
          <w:rFonts w:hint="eastAsia" w:ascii="仿宋" w:hAnsi="仿宋" w:eastAsia="仿宋" w:cs="Times New Roman"/>
          <w:color w:val="000000"/>
          <w:sz w:val="24"/>
        </w:rPr>
        <w:t>乙</w:t>
      </w:r>
      <w:r>
        <w:rPr>
          <w:rFonts w:ascii="仿宋" w:hAnsi="仿宋" w:eastAsia="仿宋" w:cs="Times New Roman"/>
          <w:color w:val="000000"/>
          <w:sz w:val="24"/>
        </w:rPr>
        <w:t>方已确认订单并同意接受订单约束，除非</w:t>
      </w:r>
      <w:r>
        <w:rPr>
          <w:rFonts w:hint="eastAsia" w:ascii="仿宋" w:hAnsi="仿宋" w:eastAsia="仿宋" w:cs="Times New Roman"/>
          <w:color w:val="000000"/>
          <w:sz w:val="24"/>
        </w:rPr>
        <w:t>甲方和</w:t>
      </w:r>
      <w:r>
        <w:rPr>
          <w:rFonts w:ascii="仿宋" w:hAnsi="仿宋" w:eastAsia="仿宋" w:cs="Times New Roman"/>
          <w:color w:val="000000"/>
          <w:sz w:val="24"/>
        </w:rPr>
        <w:t>/或采购方撤销订单；如果</w:t>
      </w:r>
      <w:r>
        <w:rPr>
          <w:rFonts w:hint="eastAsia" w:ascii="仿宋" w:hAnsi="仿宋" w:eastAsia="仿宋" w:cs="Times New Roman"/>
          <w:color w:val="000000"/>
          <w:sz w:val="24"/>
        </w:rPr>
        <w:t>乙方对传回的订单进行了任何修改，甲</w:t>
      </w:r>
      <w:r>
        <w:rPr>
          <w:rFonts w:ascii="仿宋" w:hAnsi="仿宋" w:eastAsia="仿宋" w:cs="Times New Roman"/>
          <w:color w:val="000000"/>
          <w:sz w:val="24"/>
        </w:rPr>
        <w:t>方和/或采购方有权</w:t>
      </w:r>
      <w:r>
        <w:rPr>
          <w:rFonts w:hint="eastAsia" w:ascii="仿宋" w:hAnsi="仿宋" w:eastAsia="仿宋" w:cs="Times New Roman"/>
          <w:color w:val="000000"/>
          <w:sz w:val="24"/>
        </w:rPr>
        <w:t>不同意修改内容、拒绝确认订单且不承担任何责任。</w:t>
      </w:r>
    </w:p>
    <w:p w14:paraId="666D6DBC">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3.4.1订单确认方式为以下第（</w:t>
      </w:r>
      <w:r>
        <w:rPr>
          <w:rFonts w:hint="eastAsia" w:ascii="仿宋" w:hAnsi="仿宋" w:eastAsia="仿宋" w:cs="Times New Roman"/>
          <w:color w:val="000000"/>
          <w:sz w:val="24"/>
          <w:lang w:val="en-US" w:eastAsia="zh-CN"/>
        </w:rPr>
        <w:t>1</w:t>
      </w:r>
      <w:r>
        <w:rPr>
          <w:rFonts w:ascii="仿宋" w:hAnsi="仿宋" w:eastAsia="仿宋" w:cs="Times New Roman"/>
          <w:color w:val="000000"/>
          <w:sz w:val="24"/>
        </w:rPr>
        <w:t>）种方式：</w:t>
      </w:r>
    </w:p>
    <w:p w14:paraId="673C4B6B">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1）双方</w:t>
      </w:r>
      <w:r>
        <w:rPr>
          <w:rFonts w:hint="eastAsia" w:ascii="仿宋" w:hAnsi="仿宋" w:eastAsia="仿宋" w:cs="Times New Roman"/>
          <w:color w:val="000000"/>
          <w:sz w:val="24"/>
        </w:rPr>
        <w:t>签字</w:t>
      </w:r>
      <w:r>
        <w:rPr>
          <w:rFonts w:ascii="仿宋" w:hAnsi="仿宋" w:eastAsia="仿宋" w:cs="Times New Roman"/>
          <w:color w:val="000000"/>
          <w:sz w:val="24"/>
        </w:rPr>
        <w:t>盖章</w:t>
      </w:r>
      <w:r>
        <w:rPr>
          <w:rFonts w:hint="eastAsia" w:ascii="仿宋" w:hAnsi="仿宋" w:eastAsia="仿宋" w:cs="Times New Roman"/>
          <w:color w:val="000000"/>
          <w:sz w:val="24"/>
        </w:rPr>
        <w:t>；采用电子印章的，双方加盖电子印章。</w:t>
      </w:r>
    </w:p>
    <w:p w14:paraId="2663F51C">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 xml:space="preserve">2）其他方式： [ </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w:t>
      </w:r>
    </w:p>
    <w:p w14:paraId="3F2954A0">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3.4.2</w:t>
      </w:r>
      <w:r>
        <w:rPr>
          <w:rFonts w:hint="eastAsia" w:ascii="仿宋" w:hAnsi="仿宋" w:eastAsia="仿宋" w:cs="Times New Roman"/>
          <w:color w:val="000000"/>
          <w:sz w:val="24"/>
        </w:rPr>
        <w:t>除双方加盖电子印章的订单外，乙方应将订单原件在</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15</w:t>
      </w:r>
      <w:r>
        <w:rPr>
          <w:rFonts w:ascii="仿宋" w:hAnsi="仿宋" w:eastAsia="仿宋" w:cs="Times New Roman"/>
          <w:color w:val="000000"/>
          <w:sz w:val="24"/>
        </w:rPr>
        <w:t xml:space="preserve"> ]</w:t>
      </w:r>
      <w:r>
        <w:rPr>
          <w:rFonts w:hint="eastAsia" w:ascii="仿宋" w:hAnsi="仿宋" w:eastAsia="仿宋" w:cs="Times New Roman"/>
          <w:color w:val="000000"/>
          <w:sz w:val="24"/>
        </w:rPr>
        <w:t>日内送达甲方和</w:t>
      </w:r>
      <w:r>
        <w:rPr>
          <w:rFonts w:ascii="仿宋" w:hAnsi="仿宋" w:eastAsia="仿宋" w:cs="Times New Roman"/>
          <w:color w:val="000000"/>
          <w:sz w:val="24"/>
        </w:rPr>
        <w:t>/</w:t>
      </w:r>
      <w:r>
        <w:rPr>
          <w:rFonts w:hint="eastAsia" w:ascii="仿宋" w:hAnsi="仿宋" w:eastAsia="仿宋" w:cs="Times New Roman"/>
          <w:color w:val="000000"/>
          <w:sz w:val="24"/>
        </w:rPr>
        <w:t>或采购方（否则甲方和</w:t>
      </w:r>
      <w:r>
        <w:rPr>
          <w:rFonts w:ascii="仿宋" w:hAnsi="仿宋" w:eastAsia="仿宋" w:cs="Times New Roman"/>
          <w:color w:val="000000"/>
          <w:sz w:val="24"/>
        </w:rPr>
        <w:t>/</w:t>
      </w:r>
      <w:r>
        <w:rPr>
          <w:rFonts w:hint="eastAsia" w:ascii="仿宋" w:hAnsi="仿宋" w:eastAsia="仿宋" w:cs="Times New Roman"/>
          <w:color w:val="000000"/>
          <w:sz w:val="24"/>
        </w:rPr>
        <w:t>或采购方有权拒绝付款）。</w:t>
      </w:r>
    </w:p>
    <w:p w14:paraId="7877F31A">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3.4.3确认的订单对乙方具有约束力。未经甲方和/或采购方</w:t>
      </w:r>
      <w:r>
        <w:rPr>
          <w:rFonts w:hint="eastAsia" w:ascii="仿宋" w:hAnsi="仿宋" w:eastAsia="仿宋" w:cs="Times New Roman"/>
          <w:color w:val="000000"/>
          <w:sz w:val="24"/>
        </w:rPr>
        <w:t>书面</w:t>
      </w:r>
      <w:r>
        <w:rPr>
          <w:rFonts w:ascii="仿宋" w:hAnsi="仿宋" w:eastAsia="仿宋" w:cs="Times New Roman"/>
          <w:color w:val="000000"/>
          <w:sz w:val="24"/>
        </w:rPr>
        <w:t>同意，乙方不得再对确认的订单进行变更或撤销。</w:t>
      </w:r>
    </w:p>
    <w:p w14:paraId="0B71CA90">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3.5乙方以任何方式违反本协议约定，包括但不限于下述情形之一的，</w:t>
      </w:r>
      <w:r>
        <w:rPr>
          <w:rFonts w:hint="eastAsia" w:ascii="仿宋" w:hAnsi="仿宋" w:eastAsia="仿宋" w:cs="Times New Roman"/>
          <w:color w:val="000000"/>
          <w:sz w:val="24"/>
        </w:rPr>
        <w:t>甲方和</w:t>
      </w:r>
      <w:r>
        <w:rPr>
          <w:rFonts w:ascii="仿宋" w:hAnsi="仿宋" w:eastAsia="仿宋" w:cs="Times New Roman"/>
          <w:color w:val="000000"/>
          <w:sz w:val="24"/>
        </w:rPr>
        <w:t>/或采购方有权采取包括</w:t>
      </w:r>
      <w:r>
        <w:rPr>
          <w:rFonts w:hint="eastAsia" w:ascii="仿宋" w:hAnsi="仿宋" w:eastAsia="仿宋" w:cs="Times New Roman"/>
          <w:color w:val="000000"/>
          <w:sz w:val="24"/>
        </w:rPr>
        <w:t>中止订单、终止订单、</w:t>
      </w:r>
      <w:r>
        <w:rPr>
          <w:rFonts w:ascii="仿宋" w:hAnsi="仿宋" w:eastAsia="仿宋" w:cs="Times New Roman"/>
          <w:color w:val="000000"/>
          <w:sz w:val="24"/>
        </w:rPr>
        <w:t>调整或取消</w:t>
      </w:r>
      <w:r>
        <w:rPr>
          <w:rFonts w:hint="eastAsia" w:ascii="仿宋" w:hAnsi="仿宋" w:eastAsia="仿宋" w:cs="Times New Roman"/>
          <w:color w:val="000000"/>
          <w:sz w:val="24"/>
        </w:rPr>
        <w:t>乙方在本协议项下的供货份额、直接按乙方</w:t>
      </w:r>
      <w:r>
        <w:rPr>
          <w:rFonts w:ascii="仿宋" w:hAnsi="仿宋" w:eastAsia="仿宋" w:cs="Times New Roman"/>
          <w:color w:val="000000"/>
          <w:sz w:val="24"/>
        </w:rPr>
        <w:t>调整后的实际价格确定本协议项下的所有订单的价格、直至终止本协议、取消其</w:t>
      </w:r>
      <w:r>
        <w:rPr>
          <w:rFonts w:hint="eastAsia" w:ascii="仿宋" w:hAnsi="仿宋" w:eastAsia="仿宋" w:cs="Times New Roman"/>
          <w:color w:val="000000"/>
          <w:sz w:val="24"/>
        </w:rPr>
        <w:t>供应商</w:t>
      </w:r>
      <w:r>
        <w:rPr>
          <w:rFonts w:ascii="仿宋" w:hAnsi="仿宋" w:eastAsia="仿宋" w:cs="Times New Roman"/>
          <w:color w:val="000000"/>
          <w:sz w:val="24"/>
        </w:rPr>
        <w:t>资格等措施</w:t>
      </w:r>
      <w:r>
        <w:rPr>
          <w:rFonts w:hint="eastAsia" w:ascii="仿宋" w:hAnsi="仿宋" w:eastAsia="仿宋" w:cs="Times New Roman"/>
          <w:color w:val="000000"/>
          <w:sz w:val="24"/>
        </w:rPr>
        <w:t>：</w:t>
      </w:r>
    </w:p>
    <w:p w14:paraId="69EEFC56">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3.5.1</w:t>
      </w:r>
      <w:r>
        <w:rPr>
          <w:rFonts w:hint="eastAsia" w:ascii="仿宋" w:hAnsi="仿宋" w:eastAsia="仿宋" w:cs="Times New Roman"/>
          <w:color w:val="000000"/>
          <w:sz w:val="24"/>
        </w:rPr>
        <w:t>乙</w:t>
      </w:r>
      <w:r>
        <w:rPr>
          <w:rFonts w:ascii="仿宋" w:hAnsi="仿宋" w:eastAsia="仿宋" w:cs="Times New Roman"/>
          <w:color w:val="000000"/>
          <w:sz w:val="24"/>
        </w:rPr>
        <w:t>方违反第2.8条规定将本协议及/或订单分包或转包给第三方。</w:t>
      </w:r>
    </w:p>
    <w:p w14:paraId="783DDAF8">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3.5.2未按照本协议约定确认订单，或不按照本协议约定的时限传回订单。</w:t>
      </w:r>
    </w:p>
    <w:p w14:paraId="7FB54700">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3.5.3未按照本协议约定的价格和/或供货份额向采购方供货的。</w:t>
      </w:r>
    </w:p>
    <w:p w14:paraId="051DA7DC">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3.5.4提供的协议</w:t>
      </w:r>
      <w:r>
        <w:rPr>
          <w:rFonts w:hint="eastAsia" w:ascii="仿宋" w:hAnsi="仿宋" w:eastAsia="仿宋" w:cs="Times New Roman"/>
          <w:color w:val="000000"/>
          <w:sz w:val="24"/>
        </w:rPr>
        <w:t>软件</w:t>
      </w:r>
      <w:r>
        <w:rPr>
          <w:rFonts w:ascii="仿宋" w:hAnsi="仿宋" w:eastAsia="仿宋" w:cs="Times New Roman"/>
          <w:color w:val="000000"/>
          <w:sz w:val="24"/>
        </w:rPr>
        <w:t>的性能和质量与协议规定不符的。</w:t>
      </w:r>
    </w:p>
    <w:p w14:paraId="145EA662">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3.5.5[ </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w:t>
      </w:r>
    </w:p>
    <w:p w14:paraId="2B7446D9">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3.5.6本协议约定的其他情形。</w:t>
      </w:r>
    </w:p>
    <w:p w14:paraId="6CFED076">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3.6</w:t>
      </w:r>
      <w:r>
        <w:rPr>
          <w:rFonts w:hint="eastAsia" w:ascii="仿宋" w:hAnsi="仿宋" w:eastAsia="仿宋" w:cs="Times New Roman"/>
          <w:color w:val="000000"/>
          <w:sz w:val="24"/>
        </w:rPr>
        <w:t>甲方和</w:t>
      </w:r>
      <w:r>
        <w:rPr>
          <w:rFonts w:ascii="仿宋" w:hAnsi="仿宋" w:eastAsia="仿宋" w:cs="Times New Roman"/>
          <w:color w:val="000000"/>
          <w:sz w:val="24"/>
        </w:rPr>
        <w:t>/或采购方按照3.5</w:t>
      </w:r>
      <w:r>
        <w:rPr>
          <w:rFonts w:hint="eastAsia" w:ascii="仿宋" w:hAnsi="仿宋" w:eastAsia="仿宋" w:cs="Times New Roman"/>
          <w:color w:val="000000"/>
          <w:sz w:val="24"/>
        </w:rPr>
        <w:t>条约定</w:t>
      </w:r>
      <w:r>
        <w:rPr>
          <w:rFonts w:ascii="仿宋" w:hAnsi="仿宋" w:eastAsia="仿宋" w:cs="Times New Roman"/>
          <w:color w:val="000000"/>
          <w:sz w:val="24"/>
        </w:rPr>
        <w:t>调整或取消乙方在本协议项下的供货份额</w:t>
      </w:r>
      <w:r>
        <w:rPr>
          <w:rFonts w:hint="eastAsia" w:ascii="仿宋" w:hAnsi="仿宋" w:eastAsia="仿宋" w:cs="Times New Roman"/>
          <w:color w:val="000000"/>
          <w:sz w:val="24"/>
        </w:rPr>
        <w:t>的，按以下方式进行</w:t>
      </w:r>
      <w:r>
        <w:rPr>
          <w:rFonts w:ascii="仿宋" w:hAnsi="仿宋" w:eastAsia="仿宋" w:cs="Times New Roman"/>
          <w:color w:val="000000"/>
          <w:sz w:val="24"/>
        </w:rPr>
        <w:t>：</w:t>
      </w:r>
    </w:p>
    <w:p w14:paraId="7211BE5D">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3.6.1如上述3.5条约定的情形首次发生，甲方和/或采购方</w:t>
      </w:r>
      <w:r>
        <w:rPr>
          <w:rFonts w:hint="eastAsia" w:ascii="仿宋" w:hAnsi="仿宋" w:eastAsia="仿宋" w:cs="Times New Roman"/>
          <w:color w:val="000000"/>
          <w:sz w:val="24"/>
        </w:rPr>
        <w:t>有权</w:t>
      </w:r>
      <w:r>
        <w:rPr>
          <w:rFonts w:ascii="仿宋" w:hAnsi="仿宋" w:eastAsia="仿宋" w:cs="Times New Roman"/>
          <w:color w:val="000000"/>
          <w:sz w:val="24"/>
        </w:rPr>
        <w:t>核减乙方在该采购方的份额，核减的份额相当于当期订单金额的两倍；</w:t>
      </w:r>
    </w:p>
    <w:p w14:paraId="50D93D38">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3.6.2如上述3.5条约定的情形在同一采购方下达订单时第二次发生，甲方和/或采购方</w:t>
      </w:r>
      <w:r>
        <w:rPr>
          <w:rFonts w:hint="eastAsia" w:ascii="仿宋" w:hAnsi="仿宋" w:eastAsia="仿宋" w:cs="Times New Roman"/>
          <w:color w:val="000000"/>
          <w:sz w:val="24"/>
        </w:rPr>
        <w:t>有权</w:t>
      </w:r>
      <w:r>
        <w:rPr>
          <w:rFonts w:ascii="仿宋" w:hAnsi="仿宋" w:eastAsia="仿宋" w:cs="Times New Roman"/>
          <w:color w:val="000000"/>
          <w:sz w:val="24"/>
        </w:rPr>
        <w:t>核减乙方在该</w:t>
      </w:r>
      <w:r>
        <w:rPr>
          <w:rFonts w:hint="eastAsia" w:ascii="仿宋" w:hAnsi="仿宋" w:eastAsia="仿宋" w:cs="Times New Roman"/>
          <w:color w:val="000000"/>
          <w:sz w:val="24"/>
        </w:rPr>
        <w:t>采购方的全部份额；</w:t>
      </w:r>
    </w:p>
    <w:p w14:paraId="1F298B28">
      <w:pPr>
        <w:widowControl/>
        <w:tabs>
          <w:tab w:val="left" w:pos="0"/>
        </w:tabs>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3.6.3如乙方被甲方和/或采购方核减两个采购方的全部份额后，仍发生上述情形，甲方和/或采购方有权视情节核减乙方的其他份额，直至取消全部供货份额。</w:t>
      </w:r>
    </w:p>
    <w:p w14:paraId="33F19B50">
      <w:pPr>
        <w:widowControl/>
        <w:tabs>
          <w:tab w:val="left" w:pos="0"/>
        </w:tabs>
        <w:autoSpaceDE w:val="0"/>
        <w:autoSpaceDN w:val="0"/>
        <w:spacing w:line="360" w:lineRule="exact"/>
        <w:ind w:firstLine="480" w:firstLineChars="200"/>
        <w:textAlignment w:val="bottom"/>
        <w:rPr>
          <w:rFonts w:ascii="仿宋" w:hAnsi="仿宋" w:eastAsia="仿宋" w:cs="Times New Roman"/>
          <w:color w:val="000000"/>
          <w:sz w:val="24"/>
        </w:rPr>
      </w:pPr>
      <w:r>
        <w:rPr>
          <w:rFonts w:hint="eastAsia" w:ascii="仿宋" w:hAnsi="仿宋" w:eastAsia="仿宋" w:cs="Times New Roman"/>
          <w:sz w:val="24"/>
        </w:rPr>
        <w:t>3</w:t>
      </w:r>
      <w:r>
        <w:rPr>
          <w:rFonts w:ascii="仿宋" w:hAnsi="仿宋" w:eastAsia="仿宋" w:cs="Times New Roman"/>
          <w:sz w:val="24"/>
        </w:rPr>
        <w:t>.6.4</w:t>
      </w:r>
      <w:r>
        <w:rPr>
          <w:rFonts w:hint="eastAsia" w:ascii="仿宋" w:hAnsi="仿宋" w:eastAsia="仿宋" w:cs="Times New Roman"/>
          <w:sz w:val="24"/>
        </w:rPr>
        <w:t>如上述</w:t>
      </w:r>
      <w:r>
        <w:rPr>
          <w:rFonts w:ascii="仿宋" w:hAnsi="仿宋" w:eastAsia="仿宋" w:cs="Times New Roman"/>
          <w:sz w:val="24"/>
        </w:rPr>
        <w:t>3.5</w:t>
      </w:r>
      <w:r>
        <w:rPr>
          <w:rFonts w:hint="eastAsia" w:ascii="仿宋" w:hAnsi="仿宋" w:eastAsia="仿宋" w:cs="Times New Roman"/>
          <w:sz w:val="24"/>
        </w:rPr>
        <w:t>条约定的情形同时构成本协议</w:t>
      </w:r>
      <w:r>
        <w:rPr>
          <w:rFonts w:ascii="仿宋" w:hAnsi="仿宋" w:eastAsia="仿宋" w:cs="Times New Roman"/>
          <w:sz w:val="24"/>
        </w:rPr>
        <w:t>16.12</w:t>
      </w:r>
      <w:r>
        <w:rPr>
          <w:rFonts w:hint="eastAsia" w:ascii="仿宋" w:hAnsi="仿宋" w:eastAsia="仿宋" w:cs="Times New Roman"/>
          <w:sz w:val="24"/>
        </w:rPr>
        <w:t>中《中国电信供应商不良行为管理规则》所列的供应商不良行为，且该规则涉及供货份额的调整和/或取消的处理，则对份额的调整和/或取消以该规则及处理结果为准，而不再执行前述</w:t>
      </w:r>
      <w:r>
        <w:rPr>
          <w:rFonts w:ascii="仿宋" w:hAnsi="仿宋" w:eastAsia="仿宋" w:cs="Times New Roman"/>
          <w:sz w:val="24"/>
        </w:rPr>
        <w:t>3.6.1</w:t>
      </w:r>
      <w:r>
        <w:rPr>
          <w:rFonts w:hint="eastAsia" w:ascii="仿宋" w:hAnsi="仿宋" w:eastAsia="仿宋" w:cs="Times New Roman"/>
          <w:sz w:val="24"/>
        </w:rPr>
        <w:t>、</w:t>
      </w:r>
      <w:r>
        <w:rPr>
          <w:rFonts w:ascii="仿宋" w:hAnsi="仿宋" w:eastAsia="仿宋" w:cs="Times New Roman"/>
          <w:sz w:val="24"/>
        </w:rPr>
        <w:t>3.6.</w:t>
      </w:r>
      <w:r>
        <w:rPr>
          <w:rFonts w:hint="eastAsia" w:ascii="仿宋" w:hAnsi="仿宋" w:eastAsia="仿宋" w:cs="Times New Roman"/>
          <w:sz w:val="24"/>
        </w:rPr>
        <w:t>2、</w:t>
      </w:r>
      <w:r>
        <w:rPr>
          <w:rFonts w:ascii="仿宋" w:hAnsi="仿宋" w:eastAsia="仿宋" w:cs="Times New Roman"/>
          <w:sz w:val="24"/>
        </w:rPr>
        <w:t>3.6.3</w:t>
      </w:r>
      <w:r>
        <w:rPr>
          <w:rFonts w:hint="eastAsia" w:ascii="仿宋" w:hAnsi="仿宋" w:eastAsia="仿宋" w:cs="Times New Roman"/>
          <w:sz w:val="24"/>
        </w:rPr>
        <w:t>条款内容，除非该卖方和/或供应商未承诺接受该规则或者本协议明示地排除适用该规则。</w:t>
      </w:r>
    </w:p>
    <w:p w14:paraId="49DA3BE3">
      <w:pPr>
        <w:widowControl/>
        <w:tabs>
          <w:tab w:val="left" w:pos="0"/>
        </w:tabs>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3.7</w:t>
      </w:r>
      <w:r>
        <w:rPr>
          <w:rFonts w:hint="eastAsia" w:ascii="仿宋" w:hAnsi="仿宋" w:eastAsia="仿宋" w:cs="Times New Roman"/>
          <w:color w:val="000000"/>
          <w:sz w:val="24"/>
        </w:rPr>
        <w:t>乙方保证</w:t>
      </w:r>
      <w:r>
        <w:rPr>
          <w:rFonts w:ascii="仿宋" w:hAnsi="仿宋" w:eastAsia="仿宋" w:cs="Times New Roman"/>
          <w:color w:val="000000"/>
          <w:sz w:val="24"/>
        </w:rPr>
        <w:t>全部具备履行本协议及订单项下权利义务的全部</w:t>
      </w:r>
      <w:r>
        <w:rPr>
          <w:rFonts w:hint="eastAsia" w:ascii="仿宋" w:hAnsi="仿宋" w:eastAsia="仿宋" w:cs="Times New Roman"/>
          <w:color w:val="000000"/>
          <w:sz w:val="24"/>
        </w:rPr>
        <w:t>主体</w:t>
      </w:r>
      <w:r>
        <w:rPr>
          <w:rFonts w:ascii="仿宋" w:hAnsi="仿宋" w:eastAsia="仿宋" w:cs="Times New Roman"/>
          <w:color w:val="000000"/>
          <w:sz w:val="24"/>
        </w:rPr>
        <w:t>资格和能力。</w:t>
      </w:r>
    </w:p>
    <w:p w14:paraId="53840393">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3.8根据本协议下达的</w:t>
      </w:r>
      <w:r>
        <w:rPr>
          <w:rFonts w:hint="eastAsia" w:ascii="仿宋" w:hAnsi="仿宋" w:eastAsia="仿宋" w:cs="Times New Roman"/>
          <w:color w:val="000000"/>
          <w:sz w:val="24"/>
        </w:rPr>
        <w:t>订单</w:t>
      </w:r>
      <w:r>
        <w:rPr>
          <w:rFonts w:ascii="仿宋" w:hAnsi="仿宋" w:eastAsia="仿宋" w:cs="Times New Roman"/>
          <w:color w:val="000000"/>
          <w:sz w:val="24"/>
        </w:rPr>
        <w:t>受本协议的约束。</w:t>
      </w:r>
      <w:r>
        <w:rPr>
          <w:rFonts w:hint="eastAsia" w:ascii="仿宋" w:hAnsi="仿宋" w:eastAsia="仿宋" w:cs="Times New Roman"/>
          <w:color w:val="000000"/>
          <w:sz w:val="24"/>
        </w:rPr>
        <w:t>在本协议终止或解除后，甲方和</w:t>
      </w:r>
      <w:r>
        <w:rPr>
          <w:rFonts w:ascii="仿宋" w:hAnsi="仿宋" w:eastAsia="仿宋" w:cs="Times New Roman"/>
          <w:color w:val="000000"/>
          <w:sz w:val="24"/>
        </w:rPr>
        <w:t>/或采购方不再向乙方</w:t>
      </w:r>
      <w:r>
        <w:rPr>
          <w:rFonts w:hint="eastAsia" w:ascii="仿宋" w:hAnsi="仿宋" w:eastAsia="仿宋" w:cs="Times New Roman"/>
          <w:color w:val="000000"/>
          <w:sz w:val="24"/>
        </w:rPr>
        <w:t>下达新的订单，但双方仍应按照本协议的其他规定和已确认的订单继续履行，直至该订单下的权利义务履行完毕。订单终止或解除，不影响本协议效力。</w:t>
      </w:r>
    </w:p>
    <w:p w14:paraId="2E00D2AB">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第四条价格</w:t>
      </w:r>
    </w:p>
    <w:p w14:paraId="1048AA72">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4.1</w:t>
      </w:r>
      <w:r>
        <w:rPr>
          <w:rFonts w:hint="eastAsia" w:ascii="仿宋" w:hAnsi="仿宋" w:eastAsia="仿宋" w:cs="Times New Roman"/>
          <w:color w:val="000000"/>
          <w:sz w:val="24"/>
        </w:rPr>
        <w:t>本协议项下采购方向乙方支付的金额以订单进行结算，具体金额以订单费用金额为准。乙方向甲方和</w:t>
      </w:r>
      <w:r>
        <w:rPr>
          <w:rFonts w:ascii="仿宋" w:hAnsi="仿宋" w:eastAsia="仿宋" w:cs="Times New Roman"/>
          <w:color w:val="000000"/>
          <w:sz w:val="24"/>
        </w:rPr>
        <w:t>/或采购方提供的软件和服务的单价（含税价）见</w:t>
      </w:r>
      <w:r>
        <w:rPr>
          <w:rFonts w:hint="eastAsia" w:ascii="仿宋" w:hAnsi="仿宋" w:eastAsia="仿宋" w:cs="Times New Roman"/>
          <w:color w:val="000000"/>
          <w:sz w:val="24"/>
        </w:rPr>
        <w:t>本</w:t>
      </w:r>
      <w:r>
        <w:rPr>
          <w:rFonts w:ascii="仿宋" w:hAnsi="仿宋" w:eastAsia="仿宋" w:cs="Times New Roman"/>
          <w:color w:val="000000"/>
          <w:sz w:val="24"/>
        </w:rPr>
        <w:t>协议附件一。</w:t>
      </w:r>
    </w:p>
    <w:p w14:paraId="41BE95E6">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4.2 </w:t>
      </w:r>
      <w:r>
        <w:rPr>
          <w:rFonts w:hint="eastAsia" w:ascii="仿宋" w:hAnsi="仿宋" w:eastAsia="仿宋" w:cs="Times New Roman"/>
          <w:color w:val="000000"/>
          <w:sz w:val="24"/>
        </w:rPr>
        <w:t>订单的价格包括：</w:t>
      </w:r>
    </w:p>
    <w:p w14:paraId="4A50AA13">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1）乙方</w:t>
      </w:r>
      <w:r>
        <w:rPr>
          <w:rFonts w:hint="eastAsia" w:ascii="仿宋" w:hAnsi="仿宋" w:eastAsia="仿宋" w:cs="Times New Roman"/>
          <w:color w:val="000000"/>
          <w:sz w:val="24"/>
        </w:rPr>
        <w:t>按照</w:t>
      </w:r>
      <w:r>
        <w:rPr>
          <w:rFonts w:ascii="仿宋" w:hAnsi="仿宋" w:eastAsia="仿宋" w:cs="Times New Roman"/>
          <w:color w:val="000000"/>
          <w:sz w:val="24"/>
        </w:rPr>
        <w:t>本协议及订单</w:t>
      </w:r>
      <w:r>
        <w:rPr>
          <w:rFonts w:hint="eastAsia" w:ascii="仿宋" w:hAnsi="仿宋" w:eastAsia="仿宋" w:cs="Times New Roman"/>
          <w:color w:val="000000"/>
          <w:sz w:val="24"/>
        </w:rPr>
        <w:t>应提供的</w:t>
      </w:r>
      <w:r>
        <w:rPr>
          <w:rFonts w:ascii="仿宋" w:hAnsi="仿宋" w:eastAsia="仿宋" w:cs="Times New Roman"/>
          <w:color w:val="000000"/>
          <w:sz w:val="24"/>
        </w:rPr>
        <w:t>软件</w:t>
      </w:r>
      <w:r>
        <w:rPr>
          <w:rFonts w:hint="eastAsia" w:ascii="仿宋" w:hAnsi="仿宋" w:eastAsia="仿宋" w:cs="Times New Roman"/>
          <w:color w:val="000000"/>
          <w:sz w:val="24"/>
        </w:rPr>
        <w:t>的许可使用费用。</w:t>
      </w:r>
    </w:p>
    <w:p w14:paraId="2CC57EDC">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2）软件介质以及与软件许可使用相关的技术资料及文档的费用。</w:t>
      </w:r>
    </w:p>
    <w:p w14:paraId="1E2D6510">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3）乙方根据本协议</w:t>
      </w:r>
      <w:r>
        <w:rPr>
          <w:rFonts w:hint="eastAsia" w:ascii="仿宋" w:hAnsi="仿宋" w:eastAsia="仿宋" w:cs="Times New Roman"/>
          <w:color w:val="000000"/>
          <w:sz w:val="24"/>
        </w:rPr>
        <w:t>及订单应承担的服务费用，以及本协议附件所涉及的其他技术服务费用和培训费用。</w:t>
      </w:r>
    </w:p>
    <w:p w14:paraId="4FAE6BE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4）乙方应承担的运保费，即软件介质自乙方至甲方</w:t>
      </w:r>
      <w:r>
        <w:rPr>
          <w:rFonts w:hint="eastAsia" w:ascii="仿宋" w:hAnsi="仿宋" w:eastAsia="仿宋" w:cs="Times New Roman"/>
          <w:color w:val="000000"/>
          <w:sz w:val="24"/>
        </w:rPr>
        <w:t>和</w:t>
      </w:r>
      <w:r>
        <w:rPr>
          <w:rFonts w:ascii="仿宋" w:hAnsi="仿宋" w:eastAsia="仿宋" w:cs="Times New Roman"/>
          <w:color w:val="000000"/>
          <w:sz w:val="24"/>
        </w:rPr>
        <w:t>/或采购方</w:t>
      </w:r>
      <w:r>
        <w:rPr>
          <w:rFonts w:hint="eastAsia" w:ascii="仿宋" w:hAnsi="仿宋" w:eastAsia="仿宋" w:cs="Times New Roman"/>
          <w:color w:val="000000"/>
          <w:sz w:val="24"/>
        </w:rPr>
        <w:t>指定现场的运输费及保险费。</w:t>
      </w:r>
    </w:p>
    <w:p w14:paraId="0B661C4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5）甲方</w:t>
      </w:r>
      <w:r>
        <w:rPr>
          <w:rFonts w:hint="eastAsia" w:ascii="仿宋" w:hAnsi="仿宋" w:eastAsia="仿宋" w:cs="Times New Roman"/>
          <w:color w:val="000000"/>
          <w:sz w:val="24"/>
        </w:rPr>
        <w:t>和</w:t>
      </w:r>
      <w:r>
        <w:rPr>
          <w:rFonts w:ascii="仿宋" w:hAnsi="仿宋" w:eastAsia="仿宋" w:cs="Times New Roman"/>
          <w:color w:val="000000"/>
          <w:sz w:val="24"/>
        </w:rPr>
        <w:t>/或采购方</w:t>
      </w:r>
      <w:r>
        <w:rPr>
          <w:rFonts w:hint="eastAsia" w:ascii="仿宋" w:hAnsi="仿宋" w:eastAsia="仿宋" w:cs="Times New Roman"/>
          <w:color w:val="000000"/>
          <w:sz w:val="24"/>
        </w:rPr>
        <w:t>就乙方履行本协议事宜所应支付的其他全部费用及税费（包括但不限于增值税等）。</w:t>
      </w:r>
    </w:p>
    <w:p w14:paraId="3198A980">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除另有约定外，甲方和</w:t>
      </w:r>
      <w:r>
        <w:rPr>
          <w:rFonts w:ascii="仿宋" w:hAnsi="仿宋" w:eastAsia="仿宋" w:cs="Times New Roman"/>
          <w:color w:val="000000"/>
          <w:sz w:val="24"/>
        </w:rPr>
        <w:t>/或采购方</w:t>
      </w:r>
      <w:r>
        <w:rPr>
          <w:rFonts w:hint="eastAsia" w:ascii="仿宋" w:hAnsi="仿宋" w:eastAsia="仿宋" w:cs="Times New Roman"/>
          <w:color w:val="000000"/>
          <w:sz w:val="24"/>
        </w:rPr>
        <w:t>无需就软件许可事项以及本协议项下其他事项向包括乙方在内</w:t>
      </w:r>
      <w:r>
        <w:rPr>
          <w:rFonts w:ascii="仿宋" w:hAnsi="仿宋" w:eastAsia="仿宋" w:cs="Times New Roman"/>
          <w:color w:val="000000"/>
          <w:sz w:val="24"/>
        </w:rPr>
        <w:t>的任何人</w:t>
      </w:r>
      <w:r>
        <w:rPr>
          <w:rFonts w:hint="eastAsia" w:ascii="仿宋" w:hAnsi="仿宋" w:eastAsia="仿宋" w:cs="Times New Roman"/>
          <w:color w:val="000000"/>
          <w:sz w:val="24"/>
        </w:rPr>
        <w:t>支付上述费用之外的任何其他费用及税费（包括但不限于增值税等）。因国家税收政策导致增值税率变化的，单价价款（不含税价）不变，增值税款和订单金额（含税价）相应变更。</w:t>
      </w:r>
    </w:p>
    <w:p w14:paraId="4113177F">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4.3 </w:t>
      </w:r>
      <w:r>
        <w:rPr>
          <w:rFonts w:hint="eastAsia" w:ascii="仿宋" w:hAnsi="仿宋" w:eastAsia="仿宋" w:cs="Times New Roman"/>
          <w:color w:val="000000"/>
          <w:sz w:val="24"/>
        </w:rPr>
        <w:t>乙方应当在每月</w:t>
      </w:r>
      <w:r>
        <w:rPr>
          <w:rFonts w:ascii="仿宋" w:hAnsi="仿宋" w:eastAsia="仿宋" w:cs="Times New Roman"/>
          <w:color w:val="000000"/>
          <w:sz w:val="24"/>
        </w:rPr>
        <w:t>5日前对本协议的执行情况进行统计，并将统计结果发至甲方经办人或联系人电子邮箱或传真至甲方。</w:t>
      </w:r>
    </w:p>
    <w:p w14:paraId="4F96EE66">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第五条支付条款</w:t>
      </w:r>
    </w:p>
    <w:p w14:paraId="4454C6C0">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5.1订单下的费用由采购方以[ </w:t>
      </w:r>
      <w:r>
        <w:rPr>
          <w:rFonts w:hint="eastAsia" w:ascii="仿宋" w:hAnsi="仿宋" w:eastAsia="仿宋" w:cs="Times New Roman"/>
          <w:color w:val="000000"/>
          <w:sz w:val="24"/>
          <w:lang w:val="en-US" w:eastAsia="zh-CN"/>
        </w:rPr>
        <w:t>银行转账</w:t>
      </w:r>
      <w:r>
        <w:rPr>
          <w:rFonts w:ascii="仿宋" w:hAnsi="仿宋" w:eastAsia="仿宋" w:cs="Times New Roman"/>
          <w:color w:val="000000"/>
          <w:sz w:val="24"/>
        </w:rPr>
        <w:t xml:space="preserve"> ] （</w:t>
      </w:r>
      <w:r>
        <w:rPr>
          <w:rFonts w:hint="eastAsia" w:ascii="仿宋" w:hAnsi="仿宋" w:eastAsia="仿宋" w:cs="Times New Roman"/>
          <w:color w:val="000000"/>
          <w:sz w:val="24"/>
        </w:rPr>
        <w:t>银行转账</w:t>
      </w:r>
      <w:r>
        <w:rPr>
          <w:rFonts w:ascii="仿宋" w:hAnsi="仿宋" w:eastAsia="仿宋" w:cs="Times New Roman"/>
          <w:color w:val="000000"/>
          <w:sz w:val="24"/>
        </w:rPr>
        <w:t>/</w:t>
      </w:r>
      <w:r>
        <w:rPr>
          <w:rFonts w:hint="eastAsia" w:ascii="仿宋" w:hAnsi="仿宋" w:eastAsia="仿宋" w:cs="Times New Roman"/>
          <w:color w:val="000000"/>
          <w:sz w:val="24"/>
        </w:rPr>
        <w:t>电汇</w:t>
      </w:r>
      <w:r>
        <w:rPr>
          <w:rFonts w:ascii="仿宋" w:hAnsi="仿宋" w:eastAsia="仿宋" w:cs="Times New Roman"/>
          <w:color w:val="000000"/>
          <w:sz w:val="24"/>
        </w:rPr>
        <w:t>/</w:t>
      </w:r>
      <w:r>
        <w:rPr>
          <w:rFonts w:hint="eastAsia" w:ascii="仿宋" w:hAnsi="仿宋" w:eastAsia="仿宋" w:cs="Times New Roman"/>
          <w:color w:val="000000"/>
          <w:sz w:val="24"/>
        </w:rPr>
        <w:t>支票等）方式付至乙方。</w:t>
      </w:r>
    </w:p>
    <w:p w14:paraId="1846662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乙方和</w:t>
      </w:r>
      <w:r>
        <w:rPr>
          <w:rFonts w:ascii="仿宋" w:hAnsi="仿宋" w:eastAsia="仿宋" w:cs="Times New Roman"/>
          <w:color w:val="000000"/>
          <w:sz w:val="24"/>
        </w:rPr>
        <w:t>采购方的银行账户信息和纳税人信息详见订单。</w:t>
      </w:r>
    </w:p>
    <w:p w14:paraId="0E43526F">
      <w:pPr>
        <w:widowControl/>
        <w:spacing w:line="360" w:lineRule="exact"/>
        <w:ind w:firstLine="480" w:firstLineChars="200"/>
        <w:jc w:val="left"/>
        <w:rPr>
          <w:rFonts w:ascii="仿宋" w:hAnsi="仿宋" w:eastAsia="仿宋" w:cs="Arial"/>
          <w:color w:val="000000"/>
          <w:kern w:val="0"/>
          <w:sz w:val="24"/>
        </w:rPr>
      </w:pPr>
      <w:r>
        <w:rPr>
          <w:rFonts w:ascii="仿宋" w:hAnsi="仿宋" w:eastAsia="仿宋" w:cs="Arial"/>
          <w:color w:val="000000"/>
          <w:kern w:val="0"/>
          <w:sz w:val="24"/>
        </w:rPr>
        <w:t xml:space="preserve">5.2采购方应按以下条款向乙方支付当期订单下的费用： </w:t>
      </w:r>
    </w:p>
    <w:p w14:paraId="26B6570D">
      <w:pPr>
        <w:widowControl/>
        <w:spacing w:line="360" w:lineRule="exact"/>
        <w:ind w:firstLine="480" w:firstLineChars="200"/>
        <w:jc w:val="left"/>
        <w:rPr>
          <w:rFonts w:hint="eastAsia" w:ascii="仿宋" w:hAnsi="仿宋" w:eastAsia="仿宋" w:cs="Arial"/>
          <w:color w:val="000000"/>
          <w:kern w:val="0"/>
          <w:sz w:val="24"/>
        </w:rPr>
      </w:pPr>
      <w:r>
        <w:rPr>
          <w:rFonts w:hint="eastAsia" w:ascii="仿宋" w:hAnsi="仿宋" w:eastAsia="仿宋" w:cs="Arial"/>
          <w:color w:val="000000"/>
          <w:kern w:val="0"/>
          <w:sz w:val="24"/>
        </w:rPr>
        <w:t>甲乙双方框架合同签订后，合同订单金额由甲方下单并验收合格后且甲方收到乙方下列全部单据后[30]个工作日内，向乙方支付该笔订单[99]%的款项 ：</w:t>
      </w:r>
    </w:p>
    <w:p w14:paraId="5043D3F7">
      <w:pPr>
        <w:widowControl/>
        <w:spacing w:line="360" w:lineRule="exact"/>
        <w:ind w:firstLine="480" w:firstLineChars="200"/>
        <w:jc w:val="left"/>
        <w:rPr>
          <w:rFonts w:hint="eastAsia" w:ascii="仿宋" w:hAnsi="仿宋" w:eastAsia="仿宋" w:cs="Arial"/>
          <w:color w:val="000000"/>
          <w:kern w:val="0"/>
          <w:sz w:val="24"/>
        </w:rPr>
      </w:pPr>
      <w:r>
        <w:rPr>
          <w:rFonts w:hint="eastAsia" w:ascii="仿宋" w:hAnsi="仿宋" w:eastAsia="仿宋" w:cs="Arial"/>
          <w:color w:val="000000"/>
          <w:kern w:val="0"/>
          <w:sz w:val="24"/>
        </w:rPr>
        <w:t>(1)付款通知书，原件一份。</w:t>
      </w:r>
    </w:p>
    <w:p w14:paraId="6AB31225">
      <w:pPr>
        <w:widowControl/>
        <w:spacing w:line="360" w:lineRule="exact"/>
        <w:ind w:firstLine="480" w:firstLineChars="200"/>
        <w:jc w:val="left"/>
        <w:rPr>
          <w:rFonts w:hint="eastAsia" w:ascii="仿宋" w:hAnsi="仿宋" w:eastAsia="仿宋" w:cs="Arial"/>
          <w:color w:val="000000"/>
          <w:kern w:val="0"/>
          <w:sz w:val="24"/>
        </w:rPr>
      </w:pPr>
      <w:r>
        <w:rPr>
          <w:rFonts w:hint="eastAsia" w:ascii="仿宋" w:hAnsi="仿宋" w:eastAsia="仿宋" w:cs="Arial"/>
          <w:color w:val="000000"/>
          <w:kern w:val="0"/>
          <w:sz w:val="24"/>
        </w:rPr>
        <w:t>(2)相应金额的、符合国家规定的增值税专用发票</w:t>
      </w:r>
    </w:p>
    <w:p w14:paraId="5917A74A">
      <w:pPr>
        <w:widowControl/>
        <w:spacing w:line="360" w:lineRule="exact"/>
        <w:ind w:firstLine="480" w:firstLineChars="200"/>
        <w:jc w:val="left"/>
        <w:rPr>
          <w:rFonts w:hint="eastAsia" w:ascii="仿宋" w:hAnsi="仿宋" w:eastAsia="仿宋" w:cs="Arial"/>
          <w:color w:val="000000"/>
          <w:kern w:val="0"/>
          <w:sz w:val="24"/>
        </w:rPr>
      </w:pPr>
      <w:r>
        <w:rPr>
          <w:rFonts w:hint="eastAsia" w:ascii="仿宋" w:hAnsi="仿宋" w:eastAsia="仿宋" w:cs="Arial"/>
          <w:color w:val="000000"/>
          <w:kern w:val="0"/>
          <w:sz w:val="24"/>
        </w:rPr>
        <w:t>(3)项目验收报告原件一份。</w:t>
      </w:r>
    </w:p>
    <w:p w14:paraId="055B6854">
      <w:pPr>
        <w:widowControl/>
        <w:spacing w:line="360" w:lineRule="exact"/>
        <w:ind w:firstLine="480" w:firstLineChars="200"/>
        <w:jc w:val="left"/>
        <w:rPr>
          <w:rFonts w:hint="eastAsia" w:ascii="仿宋" w:hAnsi="仿宋" w:eastAsia="仿宋" w:cs="Arial"/>
          <w:color w:val="000000"/>
          <w:kern w:val="0"/>
          <w:sz w:val="24"/>
        </w:rPr>
      </w:pPr>
      <w:r>
        <w:rPr>
          <w:rFonts w:hint="eastAsia" w:ascii="仿宋" w:hAnsi="仿宋" w:eastAsia="仿宋" w:cs="Arial"/>
          <w:color w:val="000000"/>
          <w:kern w:val="0"/>
          <w:sz w:val="24"/>
        </w:rPr>
        <w:t>维保期满后，甲方收到乙方提供的下列全部单据后[30]个工作日内，甲方向乙方支付该笔订单剩余[1]%的款项：</w:t>
      </w:r>
    </w:p>
    <w:p w14:paraId="6FCBDA1E">
      <w:pPr>
        <w:widowControl/>
        <w:spacing w:line="360" w:lineRule="exact"/>
        <w:ind w:firstLine="480" w:firstLineChars="200"/>
        <w:jc w:val="left"/>
        <w:rPr>
          <w:rFonts w:hint="eastAsia" w:ascii="仿宋" w:hAnsi="仿宋" w:eastAsia="仿宋" w:cs="Arial"/>
          <w:color w:val="000000"/>
          <w:kern w:val="0"/>
          <w:sz w:val="24"/>
        </w:rPr>
      </w:pPr>
      <w:r>
        <w:rPr>
          <w:rFonts w:hint="eastAsia" w:ascii="仿宋" w:hAnsi="仿宋" w:eastAsia="仿宋" w:cs="Arial"/>
          <w:color w:val="000000"/>
          <w:kern w:val="0"/>
          <w:sz w:val="24"/>
        </w:rPr>
        <w:t>(1)付款通知书，原件一份。</w:t>
      </w:r>
    </w:p>
    <w:p w14:paraId="4FB27432">
      <w:pPr>
        <w:widowControl/>
        <w:spacing w:line="360" w:lineRule="exact"/>
        <w:ind w:firstLine="480" w:firstLineChars="200"/>
        <w:jc w:val="left"/>
        <w:rPr>
          <w:rFonts w:hint="eastAsia" w:ascii="仿宋" w:hAnsi="仿宋" w:eastAsia="仿宋" w:cs="Arial"/>
          <w:color w:val="000000"/>
          <w:kern w:val="0"/>
          <w:sz w:val="24"/>
        </w:rPr>
      </w:pPr>
      <w:r>
        <w:rPr>
          <w:rFonts w:hint="eastAsia" w:ascii="仿宋" w:hAnsi="仿宋" w:eastAsia="仿宋" w:cs="Arial"/>
          <w:color w:val="000000"/>
          <w:kern w:val="0"/>
          <w:sz w:val="24"/>
        </w:rPr>
        <w:t>(2)相应金额的、符合国家规定的增值税专用发票。</w:t>
      </w:r>
    </w:p>
    <w:p w14:paraId="7C58B5E5">
      <w:pPr>
        <w:widowControl/>
        <w:spacing w:line="360" w:lineRule="exact"/>
        <w:ind w:firstLine="480" w:firstLineChars="200"/>
        <w:jc w:val="left"/>
        <w:rPr>
          <w:rFonts w:ascii="仿宋" w:hAnsi="仿宋" w:eastAsia="仿宋" w:cs="Arial"/>
          <w:color w:val="000000"/>
          <w:kern w:val="0"/>
          <w:sz w:val="24"/>
        </w:rPr>
      </w:pPr>
      <w:r>
        <w:rPr>
          <w:rFonts w:hint="eastAsia" w:ascii="仿宋" w:hAnsi="仿宋" w:eastAsia="仿宋" w:cs="Arial"/>
          <w:color w:val="000000"/>
          <w:kern w:val="0"/>
          <w:sz w:val="24"/>
        </w:rPr>
        <w:t>(3)保修期满证书原件</w:t>
      </w:r>
    </w:p>
    <w:p w14:paraId="417CF31F">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5.3 </w:t>
      </w:r>
      <w:r>
        <w:rPr>
          <w:rFonts w:hint="eastAsia" w:ascii="仿宋" w:hAnsi="仿宋" w:eastAsia="仿宋" w:cs="Times New Roman"/>
          <w:color w:val="000000"/>
          <w:sz w:val="24"/>
        </w:rPr>
        <w:t>乙方向甲方和</w:t>
      </w:r>
      <w:r>
        <w:rPr>
          <w:rFonts w:ascii="仿宋" w:hAnsi="仿宋" w:eastAsia="仿宋" w:cs="Times New Roman"/>
          <w:color w:val="000000"/>
          <w:sz w:val="24"/>
        </w:rPr>
        <w:t>/或采购方开具</w:t>
      </w:r>
      <w:r>
        <w:rPr>
          <w:rFonts w:ascii="仿宋" w:hAnsi="仿宋" w:eastAsia="仿宋" w:cs="Times New Roman"/>
          <w:color w:val="000000"/>
          <w:kern w:val="0"/>
          <w:sz w:val="24"/>
        </w:rPr>
        <w:t>符合</w:t>
      </w:r>
      <w:r>
        <w:rPr>
          <w:rFonts w:hint="eastAsia" w:ascii="仿宋" w:hAnsi="仿宋" w:eastAsia="仿宋" w:cs="Times New Roman"/>
          <w:color w:val="000000"/>
          <w:kern w:val="0"/>
          <w:sz w:val="24"/>
        </w:rPr>
        <w:t>国家规定的增值税专用发票</w:t>
      </w:r>
      <w:r>
        <w:rPr>
          <w:rFonts w:ascii="仿宋" w:hAnsi="仿宋" w:eastAsia="仿宋" w:cs="Times New Roman"/>
          <w:color w:val="000000"/>
          <w:sz w:val="24"/>
        </w:rPr>
        <w:t>，乙方应派专人或使用挂号信件或特快专递方式在发票开具后30日内送达甲方和/或采购方，送达日期</w:t>
      </w:r>
      <w:r>
        <w:rPr>
          <w:rFonts w:hint="eastAsia" w:ascii="仿宋" w:hAnsi="仿宋" w:eastAsia="仿宋" w:cs="Times New Roman"/>
          <w:color w:val="000000"/>
          <w:sz w:val="24"/>
        </w:rPr>
        <w:t>以甲方和</w:t>
      </w:r>
      <w:r>
        <w:rPr>
          <w:rFonts w:ascii="仿宋" w:hAnsi="仿宋" w:eastAsia="仿宋" w:cs="Times New Roman"/>
          <w:color w:val="000000"/>
          <w:sz w:val="24"/>
        </w:rPr>
        <w:t>/或采购方签收日期为准；逾期送达的，每逾期一日,乙方应按逾期送达发票金额的</w:t>
      </w:r>
      <w:r>
        <w:rPr>
          <w:rFonts w:hint="eastAsia" w:ascii="仿宋" w:hAnsi="仿宋" w:eastAsia="仿宋" w:cs="Times New Roman"/>
          <w:color w:val="000000"/>
          <w:sz w:val="24"/>
        </w:rPr>
        <w:t>千</w:t>
      </w:r>
      <w:r>
        <w:rPr>
          <w:rFonts w:ascii="仿宋" w:hAnsi="仿宋" w:eastAsia="仿宋" w:cs="Times New Roman"/>
          <w:color w:val="000000"/>
          <w:sz w:val="24"/>
        </w:rPr>
        <w:t>分之三</w:t>
      </w:r>
      <w:r>
        <w:rPr>
          <w:rFonts w:hint="eastAsia" w:ascii="仿宋" w:hAnsi="仿宋" w:eastAsia="仿宋" w:cs="Times New Roman"/>
          <w:color w:val="000000"/>
          <w:sz w:val="24"/>
        </w:rPr>
        <w:t>向甲方</w:t>
      </w:r>
      <w:r>
        <w:rPr>
          <w:rFonts w:ascii="仿宋" w:hAnsi="仿宋" w:eastAsia="仿宋" w:cs="Times New Roman"/>
          <w:color w:val="000000"/>
          <w:sz w:val="24"/>
        </w:rPr>
        <w:t>和/或采购方支付违约金,若因逾期送达造成甲方和/或采购方无法抵扣的，乙方还应赔偿甲方和/或采购方由此遭受的损失，金额相当于逾期送达发票可抵扣金额。</w:t>
      </w:r>
    </w:p>
    <w:p w14:paraId="64F91E3E">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5.4 </w:t>
      </w:r>
      <w:r>
        <w:rPr>
          <w:rFonts w:hint="eastAsia" w:ascii="仿宋" w:hAnsi="仿宋" w:eastAsia="仿宋" w:cs="Times New Roman"/>
          <w:color w:val="000000"/>
          <w:sz w:val="24"/>
        </w:rPr>
        <w:t>如乙方提供的增值税专用发票不符合法律法规要求或本协议约定，或不能通过税务认证，或不能实现税款抵扣的，甲方和</w:t>
      </w:r>
      <w:r>
        <w:rPr>
          <w:rFonts w:ascii="仿宋" w:hAnsi="仿宋" w:eastAsia="仿宋" w:cs="Times New Roman"/>
          <w:color w:val="000000"/>
          <w:sz w:val="24"/>
        </w:rPr>
        <w:t>/或采购方有权拒收或于发现问题后退回，乙方应及时更换，如因此导致未能在第5.3条约定时限内送达</w:t>
      </w:r>
      <w:r>
        <w:rPr>
          <w:rFonts w:ascii="仿宋" w:hAnsi="仿宋" w:eastAsia="仿宋" w:cs="Times New Roman"/>
          <w:color w:val="000000"/>
          <w:kern w:val="0"/>
          <w:sz w:val="24"/>
        </w:rPr>
        <w:t>符合</w:t>
      </w:r>
      <w:r>
        <w:rPr>
          <w:rFonts w:hint="eastAsia" w:ascii="仿宋" w:hAnsi="仿宋" w:eastAsia="仿宋" w:cs="Times New Roman"/>
          <w:color w:val="000000"/>
          <w:kern w:val="0"/>
          <w:sz w:val="24"/>
        </w:rPr>
        <w:t>国家规定的增值税专用发票</w:t>
      </w:r>
      <w:r>
        <w:rPr>
          <w:rFonts w:ascii="仿宋" w:hAnsi="仿宋" w:eastAsia="仿宋" w:cs="Times New Roman"/>
          <w:color w:val="000000"/>
          <w:sz w:val="24"/>
        </w:rPr>
        <w:t>的，乙方应当按照第5.3条约定承担逾期送达的违约责任</w:t>
      </w:r>
      <w:r>
        <w:rPr>
          <w:rFonts w:hint="eastAsia" w:ascii="仿宋" w:hAnsi="仿宋" w:eastAsia="仿宋" w:cs="Times New Roman"/>
          <w:color w:val="000000"/>
          <w:sz w:val="24"/>
        </w:rPr>
        <w:t>；如无法更换的，甲方和</w:t>
      </w:r>
      <w:r>
        <w:rPr>
          <w:rFonts w:ascii="仿宋" w:hAnsi="仿宋" w:eastAsia="仿宋" w:cs="Times New Roman"/>
          <w:color w:val="000000"/>
          <w:sz w:val="24"/>
        </w:rPr>
        <w:t xml:space="preserve">/或采购方有权要求乙方支付发票金额[ </w:t>
      </w:r>
      <w:r>
        <w:rPr>
          <w:rFonts w:hint="eastAsia" w:ascii="仿宋" w:hAnsi="仿宋" w:eastAsia="仿宋" w:cs="Times New Roman"/>
          <w:color w:val="000000"/>
          <w:sz w:val="24"/>
          <w:lang w:val="en-US" w:eastAsia="zh-CN"/>
        </w:rPr>
        <w:t>0.5</w:t>
      </w:r>
      <w:r>
        <w:rPr>
          <w:rFonts w:ascii="仿宋" w:hAnsi="仿宋" w:eastAsia="仿宋" w:cs="Times New Roman"/>
          <w:color w:val="000000"/>
          <w:sz w:val="24"/>
        </w:rPr>
        <w:t xml:space="preserve"> ]%的违约金，并赔偿甲方和/或采购方由此遭受的损失。</w:t>
      </w:r>
    </w:p>
    <w:p w14:paraId="5CEC739C">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5.5若根据本</w:t>
      </w:r>
      <w:r>
        <w:rPr>
          <w:rFonts w:hint="eastAsia" w:ascii="仿宋" w:hAnsi="仿宋" w:eastAsia="仿宋" w:cs="Times New Roman"/>
          <w:color w:val="000000"/>
          <w:sz w:val="24"/>
        </w:rPr>
        <w:t>协议</w:t>
      </w:r>
      <w:r>
        <w:rPr>
          <w:rFonts w:ascii="仿宋" w:hAnsi="仿宋" w:eastAsia="仿宋" w:cs="Times New Roman"/>
          <w:color w:val="000000"/>
          <w:sz w:val="24"/>
        </w:rPr>
        <w:t>规定，乙方应当支付违约金和/或承担赔偿责任，则甲方</w:t>
      </w:r>
      <w:r>
        <w:rPr>
          <w:rFonts w:hint="eastAsia" w:ascii="仿宋" w:hAnsi="仿宋" w:eastAsia="仿宋" w:cs="Times New Roman"/>
          <w:color w:val="000000"/>
          <w:sz w:val="24"/>
        </w:rPr>
        <w:t>和</w:t>
      </w:r>
      <w:r>
        <w:rPr>
          <w:rFonts w:ascii="仿宋" w:hAnsi="仿宋" w:eastAsia="仿宋" w:cs="Times New Roman"/>
          <w:color w:val="000000"/>
          <w:sz w:val="24"/>
        </w:rPr>
        <w:t>/或采购方有权从上述任何一笔付款中直接扣除相应金额。扣除后仍不足以赔偿甲方</w:t>
      </w:r>
      <w:r>
        <w:rPr>
          <w:rFonts w:hint="eastAsia" w:ascii="仿宋" w:hAnsi="仿宋" w:eastAsia="仿宋" w:cs="Times New Roman"/>
          <w:color w:val="000000"/>
          <w:sz w:val="24"/>
        </w:rPr>
        <w:t>和</w:t>
      </w:r>
      <w:r>
        <w:rPr>
          <w:rFonts w:ascii="仿宋" w:hAnsi="仿宋" w:eastAsia="仿宋" w:cs="Times New Roman"/>
          <w:color w:val="000000"/>
          <w:sz w:val="24"/>
        </w:rPr>
        <w:t>/或采购方损失的，乙方应在接到甲方</w:t>
      </w:r>
      <w:r>
        <w:rPr>
          <w:rFonts w:hint="eastAsia" w:ascii="仿宋" w:hAnsi="仿宋" w:eastAsia="仿宋" w:cs="Times New Roman"/>
          <w:color w:val="000000"/>
          <w:sz w:val="24"/>
        </w:rPr>
        <w:t>和</w:t>
      </w:r>
      <w:r>
        <w:rPr>
          <w:rFonts w:ascii="仿宋" w:hAnsi="仿宋" w:eastAsia="仿宋" w:cs="Times New Roman"/>
          <w:color w:val="000000"/>
          <w:sz w:val="24"/>
        </w:rPr>
        <w:t>/或采购方通知后</w:t>
      </w:r>
      <w:r>
        <w:rPr>
          <w:rFonts w:hint="eastAsia" w:ascii="仿宋" w:hAnsi="仿宋" w:eastAsia="仿宋" w:cs="Times New Roman"/>
          <w:color w:val="000000"/>
          <w:sz w:val="24"/>
        </w:rPr>
        <w:t>十五</w:t>
      </w:r>
      <w:r>
        <w:rPr>
          <w:rFonts w:ascii="仿宋" w:hAnsi="仿宋" w:eastAsia="仿宋" w:cs="Times New Roman"/>
          <w:color w:val="000000"/>
          <w:sz w:val="24"/>
        </w:rPr>
        <w:t>日内将不足部分以[</w:t>
      </w:r>
      <w:r>
        <w:rPr>
          <w:rFonts w:ascii="Calibri" w:hAnsi="Calibri" w:eastAsia="仿宋" w:cs="Calibri"/>
          <w:color w:val="000000"/>
          <w:sz w:val="24"/>
        </w:rPr>
        <w:t> </w:t>
      </w:r>
      <w:r>
        <w:rPr>
          <w:rFonts w:hint="eastAsia" w:ascii="Calibri" w:hAnsi="Calibri" w:eastAsia="仿宋" w:cs="Calibri"/>
          <w:color w:val="000000"/>
          <w:sz w:val="24"/>
          <w:lang w:val="en-US" w:eastAsia="zh-CN"/>
        </w:rPr>
        <w:t>银行转账</w:t>
      </w:r>
      <w:r>
        <w:rPr>
          <w:rFonts w:ascii="仿宋" w:hAnsi="仿宋" w:eastAsia="仿宋" w:cs="Times New Roman"/>
          <w:color w:val="000000"/>
          <w:sz w:val="24"/>
        </w:rPr>
        <w:t xml:space="preserve"> ]（银行转账、电汇、支票等）方式付至甲方</w:t>
      </w:r>
      <w:r>
        <w:rPr>
          <w:rFonts w:hint="eastAsia" w:ascii="仿宋" w:hAnsi="仿宋" w:eastAsia="仿宋" w:cs="Times New Roman"/>
          <w:color w:val="000000"/>
          <w:sz w:val="24"/>
        </w:rPr>
        <w:t>和</w:t>
      </w:r>
      <w:r>
        <w:rPr>
          <w:rFonts w:ascii="仿宋" w:hAnsi="仿宋" w:eastAsia="仿宋" w:cs="Times New Roman"/>
          <w:color w:val="000000"/>
          <w:sz w:val="24"/>
        </w:rPr>
        <w:t>/或采购方</w:t>
      </w:r>
      <w:r>
        <w:rPr>
          <w:rFonts w:hint="eastAsia" w:ascii="仿宋" w:hAnsi="仿宋" w:eastAsia="仿宋" w:cs="Times New Roman"/>
          <w:color w:val="000000"/>
          <w:sz w:val="24"/>
        </w:rPr>
        <w:t>。</w:t>
      </w:r>
    </w:p>
    <w:p w14:paraId="48624F1E">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5.6 </w:t>
      </w:r>
      <w:r>
        <w:rPr>
          <w:rFonts w:hint="eastAsia" w:ascii="仿宋" w:hAnsi="仿宋" w:eastAsia="仿宋" w:cs="Times New Roman"/>
          <w:color w:val="000000"/>
          <w:sz w:val="24"/>
        </w:rPr>
        <w:t>双方因履行本协议所发生的银行费用及与支付有关的其他费用，由双方分别承担。</w:t>
      </w:r>
    </w:p>
    <w:p w14:paraId="5148FD74">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5.7 </w:t>
      </w:r>
      <w:r>
        <w:rPr>
          <w:rFonts w:hint="eastAsia" w:ascii="仿宋" w:hAnsi="仿宋" w:eastAsia="仿宋" w:cs="Times New Roman"/>
          <w:color w:val="000000"/>
          <w:sz w:val="24"/>
        </w:rPr>
        <w:t>若双方互负到期债务，且该债务均为金钱给付的，甲方和</w:t>
      </w:r>
      <w:r>
        <w:rPr>
          <w:rFonts w:ascii="仿宋" w:hAnsi="仿宋" w:eastAsia="仿宋" w:cs="Times New Roman"/>
          <w:color w:val="000000"/>
          <w:sz w:val="24"/>
        </w:rPr>
        <w:t>/或采购方</w:t>
      </w:r>
      <w:r>
        <w:rPr>
          <w:rFonts w:hint="eastAsia" w:ascii="仿宋" w:hAnsi="仿宋" w:eastAsia="仿宋" w:cs="Times New Roman"/>
          <w:color w:val="000000"/>
          <w:sz w:val="24"/>
        </w:rPr>
        <w:t>有权以其到期债务抵销乙方的到期债务，抵销自甲方和</w:t>
      </w:r>
      <w:r>
        <w:rPr>
          <w:rFonts w:ascii="仿宋" w:hAnsi="仿宋" w:eastAsia="仿宋" w:cs="Times New Roman"/>
          <w:color w:val="000000"/>
          <w:sz w:val="24"/>
        </w:rPr>
        <w:t>/或采购方</w:t>
      </w:r>
      <w:r>
        <w:rPr>
          <w:rFonts w:hint="eastAsia" w:ascii="仿宋" w:hAnsi="仿宋" w:eastAsia="仿宋" w:cs="Times New Roman"/>
          <w:color w:val="000000"/>
          <w:sz w:val="24"/>
        </w:rPr>
        <w:t>通知到达乙方时生效。</w:t>
      </w:r>
    </w:p>
    <w:p w14:paraId="292D3D02">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第六条交付</w:t>
      </w:r>
    </w:p>
    <w:p w14:paraId="5737BB0A">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6.1 </w:t>
      </w:r>
      <w:r>
        <w:rPr>
          <w:rFonts w:hint="eastAsia" w:ascii="仿宋" w:hAnsi="仿宋" w:eastAsia="仿宋" w:cs="Times New Roman"/>
          <w:color w:val="000000"/>
          <w:sz w:val="24"/>
        </w:rPr>
        <w:t>本协议及订单项下，协议软件的交付方式为以下第（</w:t>
      </w:r>
      <w:r>
        <w:rPr>
          <w:rFonts w:hint="eastAsia" w:ascii="仿宋" w:hAnsi="仿宋" w:eastAsia="仿宋" w:cs="Times New Roman"/>
          <w:color w:val="000000"/>
          <w:sz w:val="24"/>
          <w:lang w:val="en-US" w:eastAsia="zh-CN"/>
        </w:rPr>
        <w:t>2</w:t>
      </w:r>
      <w:r>
        <w:rPr>
          <w:rFonts w:hint="eastAsia" w:ascii="仿宋" w:hAnsi="仿宋" w:eastAsia="仿宋" w:cs="Times New Roman"/>
          <w:color w:val="000000"/>
          <w:sz w:val="24"/>
        </w:rPr>
        <w:t>）种：</w:t>
      </w:r>
    </w:p>
    <w:p w14:paraId="306F1DB7">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w:t>
      </w:r>
      <w:r>
        <w:rPr>
          <w:rFonts w:hint="eastAsia" w:ascii="仿宋" w:hAnsi="仿宋" w:eastAsia="仿宋" w:cs="Times New Roman"/>
          <w:color w:val="000000"/>
          <w:sz w:val="24"/>
        </w:rPr>
        <w:t>拆封许可方式：</w:t>
      </w:r>
      <w:r>
        <w:rPr>
          <w:rFonts w:ascii="仿宋" w:hAnsi="仿宋" w:eastAsia="仿宋" w:cs="Times New Roman"/>
          <w:color w:val="000000"/>
          <w:sz w:val="24"/>
        </w:rPr>
        <w:t>乙方应按订单载明的日期将当期订单下的全部软件介质、技术资料和文档及</w:t>
      </w:r>
      <w:r>
        <w:rPr>
          <w:rFonts w:hint="eastAsia" w:ascii="仿宋" w:hAnsi="仿宋" w:eastAsia="仿宋" w:cs="Times New Roman"/>
          <w:color w:val="000000"/>
          <w:sz w:val="24"/>
        </w:rPr>
        <w:t>软件许可合同</w:t>
      </w:r>
      <w:r>
        <w:rPr>
          <w:rFonts w:ascii="仿宋" w:hAnsi="仿宋" w:eastAsia="仿宋" w:cs="Times New Roman"/>
          <w:color w:val="000000"/>
          <w:sz w:val="24"/>
        </w:rPr>
        <w:t>/协议/条款</w:t>
      </w:r>
      <w:r>
        <w:rPr>
          <w:rFonts w:hint="eastAsia" w:ascii="仿宋" w:hAnsi="仿宋" w:eastAsia="仿宋" w:cs="Times New Roman"/>
          <w:color w:val="000000"/>
          <w:sz w:val="24"/>
        </w:rPr>
        <w:t>交付甲方和</w:t>
      </w:r>
      <w:r>
        <w:rPr>
          <w:rFonts w:ascii="仿宋" w:hAnsi="仿宋" w:eastAsia="仿宋" w:cs="Times New Roman"/>
          <w:color w:val="000000"/>
          <w:sz w:val="24"/>
        </w:rPr>
        <w:t>/或采购方指定现场。</w:t>
      </w:r>
    </w:p>
    <w:p w14:paraId="142D6978">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w:t>
      </w:r>
      <w:r>
        <w:rPr>
          <w:rFonts w:hint="eastAsia" w:ascii="仿宋" w:hAnsi="仿宋" w:eastAsia="仿宋" w:cs="Times New Roman"/>
          <w:color w:val="000000"/>
          <w:sz w:val="24"/>
        </w:rPr>
        <w:t>提供许可证号方式：</w:t>
      </w:r>
      <w:r>
        <w:rPr>
          <w:rFonts w:ascii="仿宋" w:hAnsi="仿宋" w:eastAsia="仿宋" w:cs="Times New Roman"/>
          <w:color w:val="000000"/>
          <w:sz w:val="24"/>
        </w:rPr>
        <w:t>由甲方和/或采购方或其指定的第三方自行下载许可：乙方通过邮寄或其他方式向甲方和/或采购方或其指定的第三方提交软件著作权人签发的提供许可证号（含密钥），该文件加盖有软件著作权人印章且处于密封状态。</w:t>
      </w:r>
    </w:p>
    <w:p w14:paraId="4928E49A">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6.2 </w:t>
      </w:r>
      <w:r>
        <w:rPr>
          <w:rFonts w:hint="eastAsia" w:ascii="仿宋" w:hAnsi="仿宋" w:eastAsia="仿宋" w:cs="Times New Roman"/>
          <w:color w:val="000000"/>
          <w:sz w:val="24"/>
        </w:rPr>
        <w:t>如果采用第</w:t>
      </w:r>
      <w:r>
        <w:rPr>
          <w:rFonts w:ascii="仿宋" w:hAnsi="仿宋" w:eastAsia="仿宋" w:cs="Times New Roman"/>
          <w:color w:val="000000"/>
          <w:sz w:val="24"/>
        </w:rPr>
        <w:t>6.1条交付方式（1），则：</w:t>
      </w:r>
    </w:p>
    <w:p w14:paraId="1F3532AF">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6.2.1发货的同时，乙方应向甲方和/或采购方提交两份发/到货证明原件。甲方和/或采购方代表根据发/到货证明核对到货的数量，在两份发/到货证明原件上签字并将其中的一份原件退还给乙方。</w:t>
      </w:r>
      <w:r>
        <w:rPr>
          <w:rFonts w:hint="eastAsia" w:ascii="仿宋" w:hAnsi="仿宋" w:eastAsia="仿宋" w:cs="Times New Roman"/>
          <w:color w:val="000000"/>
          <w:sz w:val="24"/>
        </w:rPr>
        <w:t>甲方和</w:t>
      </w:r>
      <w:r>
        <w:rPr>
          <w:rFonts w:ascii="仿宋" w:hAnsi="仿宋" w:eastAsia="仿宋" w:cs="Times New Roman"/>
          <w:color w:val="000000"/>
          <w:sz w:val="24"/>
        </w:rPr>
        <w:t>/或采购方代表在发/到货证明原件上签字仅具有证明甲方和/或采购方在某一日期所收到的货物箱数以及箱体表面是否严重破损的作用。</w:t>
      </w:r>
      <w:r>
        <w:rPr>
          <w:rFonts w:hint="eastAsia" w:ascii="仿宋" w:hAnsi="仿宋" w:eastAsia="仿宋" w:cs="Times New Roman"/>
          <w:color w:val="000000"/>
          <w:sz w:val="24"/>
        </w:rPr>
        <w:t>甲方和</w:t>
      </w:r>
      <w:r>
        <w:rPr>
          <w:rFonts w:ascii="仿宋" w:hAnsi="仿宋" w:eastAsia="仿宋" w:cs="Times New Roman"/>
          <w:color w:val="000000"/>
          <w:sz w:val="24"/>
        </w:rPr>
        <w:t>/或采购方在软件介质、技术资料和文档及软件许可合同/协议/条款运抵甲方和/或采购方指定的现场后，且乙方向甲方和/或采购方提交发/到货证明之日起5个工作日内，根据乙方提交的发/到货证明对软件介质、技术资料和文档、及软件许可合同/协议/条款进行查验。</w:t>
      </w:r>
    </w:p>
    <w:p w14:paraId="1D83ADFE">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如果采用第6.1条交付方式（2）</w:t>
      </w:r>
      <w:r>
        <w:rPr>
          <w:rFonts w:hint="eastAsia" w:ascii="仿宋" w:hAnsi="仿宋" w:eastAsia="仿宋" w:cs="Times New Roman"/>
          <w:color w:val="000000"/>
          <w:sz w:val="24"/>
        </w:rPr>
        <w:t>，乙方应向甲方和</w:t>
      </w:r>
      <w:r>
        <w:rPr>
          <w:rFonts w:ascii="仿宋" w:hAnsi="仿宋" w:eastAsia="仿宋" w:cs="Times New Roman"/>
          <w:color w:val="000000"/>
          <w:sz w:val="24"/>
        </w:rPr>
        <w:t>/或采购方</w:t>
      </w:r>
      <w:r>
        <w:rPr>
          <w:rFonts w:hint="eastAsia" w:ascii="仿宋" w:hAnsi="仿宋" w:eastAsia="仿宋" w:cs="Times New Roman"/>
          <w:color w:val="000000"/>
          <w:sz w:val="24"/>
        </w:rPr>
        <w:t>提供</w:t>
      </w:r>
      <w:r>
        <w:rPr>
          <w:rFonts w:ascii="仿宋" w:hAnsi="仿宋" w:eastAsia="仿宋" w:cs="Times New Roman"/>
          <w:color w:val="000000"/>
          <w:sz w:val="24"/>
        </w:rPr>
        <w:t>许可证号（含密钥）</w:t>
      </w:r>
      <w:r>
        <w:rPr>
          <w:rFonts w:hint="eastAsia" w:ascii="仿宋" w:hAnsi="仿宋" w:eastAsia="仿宋" w:cs="Times New Roman"/>
          <w:color w:val="000000"/>
          <w:sz w:val="24"/>
        </w:rPr>
        <w:t>的文件时（</w:t>
      </w:r>
      <w:r>
        <w:rPr>
          <w:rFonts w:ascii="仿宋" w:hAnsi="仿宋" w:eastAsia="仿宋" w:cs="Times New Roman"/>
          <w:color w:val="000000"/>
          <w:sz w:val="24"/>
        </w:rPr>
        <w:t>加盖有软件著作权人印章</w:t>
      </w:r>
      <w:r>
        <w:rPr>
          <w:rFonts w:hint="eastAsia" w:ascii="仿宋" w:hAnsi="仿宋" w:eastAsia="仿宋" w:cs="Times New Roman"/>
          <w:color w:val="000000"/>
          <w:sz w:val="24"/>
        </w:rPr>
        <w:t>），向甲方和</w:t>
      </w:r>
      <w:r>
        <w:rPr>
          <w:rFonts w:ascii="仿宋" w:hAnsi="仿宋" w:eastAsia="仿宋" w:cs="Times New Roman"/>
          <w:color w:val="000000"/>
          <w:sz w:val="24"/>
        </w:rPr>
        <w:t>/或采购方</w:t>
      </w:r>
      <w:r>
        <w:rPr>
          <w:rFonts w:hint="eastAsia" w:ascii="仿宋" w:hAnsi="仿宋" w:eastAsia="仿宋" w:cs="Times New Roman"/>
          <w:color w:val="000000"/>
          <w:sz w:val="24"/>
        </w:rPr>
        <w:t>提供两份发</w:t>
      </w:r>
      <w:r>
        <w:rPr>
          <w:rFonts w:ascii="仿宋" w:hAnsi="仿宋" w:eastAsia="仿宋" w:cs="Times New Roman"/>
          <w:color w:val="000000"/>
          <w:sz w:val="24"/>
        </w:rPr>
        <w:t>/到货证明</w:t>
      </w:r>
      <w:r>
        <w:rPr>
          <w:rFonts w:hint="eastAsia" w:ascii="仿宋" w:hAnsi="仿宋" w:eastAsia="仿宋" w:cs="Times New Roman"/>
          <w:color w:val="000000"/>
          <w:sz w:val="24"/>
        </w:rPr>
        <w:t>。</w:t>
      </w:r>
      <w:r>
        <w:rPr>
          <w:rFonts w:ascii="仿宋" w:hAnsi="仿宋" w:eastAsia="仿宋" w:cs="Times New Roman"/>
          <w:color w:val="000000"/>
          <w:sz w:val="24"/>
        </w:rPr>
        <w:t>甲方</w:t>
      </w:r>
      <w:r>
        <w:rPr>
          <w:rFonts w:hint="eastAsia" w:ascii="仿宋" w:hAnsi="仿宋" w:eastAsia="仿宋" w:cs="Times New Roman"/>
          <w:color w:val="000000"/>
          <w:sz w:val="24"/>
        </w:rPr>
        <w:t>和</w:t>
      </w:r>
      <w:r>
        <w:rPr>
          <w:rFonts w:ascii="仿宋" w:hAnsi="仿宋" w:eastAsia="仿宋" w:cs="Times New Roman"/>
          <w:color w:val="000000"/>
          <w:sz w:val="24"/>
        </w:rPr>
        <w:t>/或采购方代表根据发/到货证明核对到货的数量，在两份发/到货证明原件上签字并将其中的一份原件退还给乙方</w:t>
      </w:r>
      <w:r>
        <w:rPr>
          <w:rFonts w:hint="eastAsia" w:ascii="仿宋" w:hAnsi="仿宋" w:eastAsia="仿宋" w:cs="Times New Roman"/>
          <w:color w:val="000000"/>
          <w:sz w:val="24"/>
        </w:rPr>
        <w:t>。</w:t>
      </w:r>
    </w:p>
    <w:p w14:paraId="644C6C4C">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若在开箱检验中发现漏发货，乙方负责于收到漏发缺货通知后</w:t>
      </w:r>
      <w:r>
        <w:rPr>
          <w:rFonts w:ascii="仿宋" w:hAnsi="仿宋" w:eastAsia="仿宋" w:cs="Times New Roman"/>
          <w:color w:val="000000"/>
          <w:sz w:val="24"/>
        </w:rPr>
        <w:t>10个工作日自费将所漏发的货物运至甲方和/或采购方指定的目的地。</w:t>
      </w:r>
    </w:p>
    <w:p w14:paraId="1E175CC7">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6.2.2如果甲方和/或采购方或其指定的第三方负责运输，乙方应于软件介质、技术资料和文档装运前10个工作日通过传真通知甲方和/或采购方或其指定的第三方如下内容，以便安排运输：</w:t>
      </w:r>
    </w:p>
    <w:p w14:paraId="4AC234D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w:t>
      </w:r>
      <w:r>
        <w:rPr>
          <w:rFonts w:hint="eastAsia" w:ascii="仿宋" w:hAnsi="仿宋" w:eastAsia="仿宋" w:cs="Times New Roman"/>
          <w:color w:val="000000"/>
          <w:sz w:val="24"/>
        </w:rPr>
        <w:t>订单</w:t>
      </w:r>
      <w:r>
        <w:rPr>
          <w:rFonts w:ascii="仿宋" w:hAnsi="仿宋" w:eastAsia="仿宋" w:cs="Times New Roman"/>
          <w:color w:val="000000"/>
          <w:sz w:val="24"/>
        </w:rPr>
        <w:t>号及发货软件协议价格。</w:t>
      </w:r>
    </w:p>
    <w:p w14:paraId="0175B1E0">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2）货物备好时间。</w:t>
      </w:r>
    </w:p>
    <w:p w14:paraId="62E72C35">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3）货物总体积。</w:t>
      </w:r>
    </w:p>
    <w:p w14:paraId="2EA76423">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4）总箱数。</w:t>
      </w:r>
    </w:p>
    <w:p w14:paraId="7A36FC6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5）总毛重。</w:t>
      </w:r>
    </w:p>
    <w:p w14:paraId="4C10C7F1">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6）每件体积。</w:t>
      </w:r>
    </w:p>
    <w:p w14:paraId="5C368E22">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7）集装箱总数。</w:t>
      </w:r>
    </w:p>
    <w:p w14:paraId="2C231DBC">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8）任何重量超过2吨或体积超过1立方米的货物的总毛重和总尺寸。</w:t>
      </w:r>
    </w:p>
    <w:p w14:paraId="0BA2BAF8">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9）危险货物名称，特别保护措施及操作方法。</w:t>
      </w:r>
    </w:p>
    <w:p w14:paraId="52F50F7E">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10）对温度、湿度、震荡等有特殊要求的货物在运输途中所采取的特别保护措施。</w:t>
      </w:r>
    </w:p>
    <w:p w14:paraId="3DBAA85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11</w:t>
      </w:r>
      <w:r>
        <w:rPr>
          <w:rFonts w:hint="eastAsia" w:ascii="仿宋" w:hAnsi="仿宋" w:eastAsia="仿宋" w:cs="Times New Roman"/>
          <w:color w:val="000000"/>
          <w:sz w:val="24"/>
        </w:rPr>
        <w:t>）</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w:t>
      </w:r>
      <w:r>
        <w:rPr>
          <w:rFonts w:hint="eastAsia" w:ascii="仿宋" w:hAnsi="仿宋" w:eastAsia="仿宋" w:cs="Times New Roman"/>
          <w:color w:val="000000"/>
          <w:sz w:val="24"/>
        </w:rPr>
        <w:t>。</w:t>
      </w:r>
    </w:p>
    <w:p w14:paraId="494DC2AC">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第七条安装、调试、试运行及验收</w:t>
      </w:r>
    </w:p>
    <w:p w14:paraId="7DD65467">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7.1双方各指定一名代表负责处理与本协议有关的技术事务，其工作计划由双方代表协商制定。当发现技术问题或就技术问题发生争议时，双方代表应分析原因、分清责任并协商解决方案。安装、调试、试运行及验收期间的工作进度、发现的问题及解决方法、每天的主要工作均应当记录在工作日志上。工作日志每天的记录应当由双方代表签字确认，双方各保留一份。对技术问题以外的涉及履约时间调整、协议价款变动以及其他协议权利、义务变更等事项，双方均应当以补充协议方式确认，除非经特别授权，双方代表无权确认此等事项，即使存在代表确认事实亦为无效行为，对双方不具约束力。</w:t>
      </w:r>
    </w:p>
    <w:p w14:paraId="616226B1">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7.2乙方负责根据</w:t>
      </w:r>
      <w:r>
        <w:rPr>
          <w:rFonts w:hint="eastAsia" w:ascii="仿宋" w:hAnsi="仿宋" w:eastAsia="仿宋" w:cs="Times New Roman"/>
          <w:color w:val="000000"/>
          <w:sz w:val="24"/>
          <w:lang w:val="en-US" w:eastAsia="zh-CN"/>
        </w:rPr>
        <w:t>甲方要求</w:t>
      </w:r>
      <w:r>
        <w:rPr>
          <w:rFonts w:ascii="仿宋" w:hAnsi="仿宋" w:eastAsia="仿宋" w:cs="Times New Roman"/>
          <w:color w:val="000000"/>
          <w:sz w:val="24"/>
        </w:rPr>
        <w:t>]的时间进行软件的上线安装与调试工作，以检验软件及甲方和/或采购方获得的许可使用权与本协议规定相符并满足本项目要求。软件安装调试完成并稳定运行10个工作日后，甲方和/或采购方代表对软件进行初步验收。初步测试和验收应符合附件二规定的工程技术规范书及点对点应答并应满足附件[</w:t>
      </w:r>
      <w:r>
        <w:rPr>
          <w:rFonts w:hint="eastAsia" w:ascii="仿宋" w:hAnsi="仿宋" w:eastAsia="仿宋" w:cs="Times New Roman"/>
          <w:color w:val="000000"/>
          <w:sz w:val="24"/>
          <w:lang w:val="en-US" w:eastAsia="zh-CN"/>
        </w:rPr>
        <w:t>二</w:t>
      </w:r>
      <w:r>
        <w:rPr>
          <w:rFonts w:ascii="仿宋" w:hAnsi="仿宋" w:eastAsia="仿宋" w:cs="Times New Roman"/>
          <w:color w:val="000000"/>
          <w:sz w:val="24"/>
        </w:rPr>
        <w:t>]规定的测试及验收。</w:t>
      </w:r>
    </w:p>
    <w:p w14:paraId="49A1D120">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7.3初步验收测试由甲方和/或采购方按协议及附件[二]的有关规定进行，乙方应当提供必要的配合。如果测试结果符合附件[二]的有关规定，甲方和/或采购方签署</w:t>
      </w:r>
      <w:r>
        <w:rPr>
          <w:rFonts w:hint="eastAsia" w:ascii="仿宋" w:hAnsi="仿宋" w:eastAsia="仿宋" w:cs="Times New Roman"/>
          <w:color w:val="000000"/>
          <w:sz w:val="24"/>
          <w:lang w:val="en-US" w:eastAsia="zh-CN"/>
        </w:rPr>
        <w:t>验收</w:t>
      </w:r>
      <w:r>
        <w:rPr>
          <w:rFonts w:ascii="仿宋" w:hAnsi="仿宋" w:eastAsia="仿宋" w:cs="Times New Roman"/>
          <w:color w:val="000000"/>
          <w:sz w:val="24"/>
        </w:rPr>
        <w:t>证书。如果初验结果不符合附件[二]的有关规定，乙方应采取一切补救措施以使初验能够再次进行。如果再次初验仍不能达到附件[二]的要求，则甲方和/或采购方有权解除本协议和/或订单。</w:t>
      </w:r>
    </w:p>
    <w:p w14:paraId="790F92A9">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7.4初验证书签署之日起，软件开始为期[ </w:t>
      </w:r>
      <w:r>
        <w:rPr>
          <w:rFonts w:hint="eastAsia" w:ascii="仿宋" w:hAnsi="仿宋" w:eastAsia="仿宋" w:cs="Times New Roman"/>
          <w:color w:val="000000"/>
          <w:sz w:val="24"/>
          <w:lang w:val="en-US" w:eastAsia="zh-CN"/>
        </w:rPr>
        <w:t>1</w:t>
      </w:r>
      <w:r>
        <w:rPr>
          <w:rFonts w:ascii="仿宋" w:hAnsi="仿宋" w:eastAsia="仿宋" w:cs="Times New Roman"/>
          <w:color w:val="000000"/>
          <w:sz w:val="24"/>
        </w:rPr>
        <w:t xml:space="preserve"> ] 个月的试运行。试运行应表明软件的功能和性能符合[附件二]中乙方的承诺和担保。如果在试运行期间发现软件与本协议规定的不符，乙方负责自负费用对其进行修改和矫正，直到软件达到本协议要求，同时试运行期根据修改矫正期间相应顺延。如果由于乙方软件的原因导致重大通信故障，即甲方网上已为公众提供通信服务的通信网设备在正常运行时间内，由于软件原因导致设备停机、通信中断、用户数据丢失、无法计费或计费大范围差错，则试运行期自故障修复之日起重新开始计算。</w:t>
      </w:r>
    </w:p>
    <w:p w14:paraId="455C4A80">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7.5最终验收测试按照协议及附件</w:t>
      </w:r>
      <w:r>
        <w:rPr>
          <w:rFonts w:hint="eastAsia" w:ascii="仿宋" w:hAnsi="仿宋" w:eastAsia="仿宋" w:cs="Times New Roman"/>
          <w:color w:val="000000"/>
          <w:sz w:val="24"/>
          <w:lang w:val="en-US" w:eastAsia="zh-CN"/>
        </w:rPr>
        <w:t>二</w:t>
      </w:r>
      <w:r>
        <w:rPr>
          <w:rFonts w:ascii="仿宋" w:hAnsi="仿宋" w:eastAsia="仿宋" w:cs="Times New Roman"/>
          <w:color w:val="000000"/>
          <w:sz w:val="24"/>
        </w:rPr>
        <w:t>的条款在试运行期届满时进行。如果软件所有性能和系统指标均与协议及附件二相符，甲方和/或采购方签署三份终验证书，其中两份由乙方保存。</w:t>
      </w:r>
    </w:p>
    <w:p w14:paraId="0790156F">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如果软件不能通过终验，乙方应在</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30</w:t>
      </w:r>
      <w:r>
        <w:rPr>
          <w:rFonts w:ascii="仿宋" w:hAnsi="仿宋" w:eastAsia="仿宋" w:cs="Times New Roman"/>
          <w:color w:val="000000"/>
          <w:sz w:val="24"/>
        </w:rPr>
        <w:t xml:space="preserve"> ]日内采取一切补救措施以使最终验收测试能够尽快再次进行。</w:t>
      </w:r>
    </w:p>
    <w:p w14:paraId="13B11773">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7.6如果软件因乙方原因在再次终验测试时仍未能通过验收，则甲方和/或采购方有权解除本协议和/或订单。</w:t>
      </w:r>
    </w:p>
    <w:p w14:paraId="3CB46C33">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7.7软件的最终验收测试合格并不免除乙方根据本协议规定的保修期内的责任。</w:t>
      </w:r>
    </w:p>
    <w:p w14:paraId="42A980F7">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7.8 乙方须在本项目安装、交付、初验、终验时按照附件[</w:t>
      </w:r>
      <w:r>
        <w:rPr>
          <w:rFonts w:hint="eastAsia" w:ascii="仿宋" w:hAnsi="仿宋" w:eastAsia="仿宋" w:cs="Times New Roman"/>
          <w:color w:val="000000"/>
          <w:sz w:val="24"/>
          <w:lang w:val="en-US" w:eastAsia="zh-CN"/>
        </w:rPr>
        <w:t>九</w:t>
      </w:r>
      <w:r>
        <w:rPr>
          <w:rFonts w:hint="eastAsia" w:ascii="仿宋" w:hAnsi="仿宋" w:eastAsia="仿宋" w:cs="Times New Roman"/>
          <w:color w:val="000000"/>
          <w:sz w:val="24"/>
        </w:rPr>
        <w:t>]规定的格式提供</w:t>
      </w:r>
      <w:r>
        <w:rPr>
          <w:rFonts w:hint="eastAsia" w:ascii="仿宋" w:hAnsi="仿宋" w:eastAsia="仿宋" w:cs="Times New Roman"/>
          <w:sz w:val="24"/>
        </w:rPr>
        <w:t>外部组件</w:t>
      </w:r>
      <w:r>
        <w:rPr>
          <w:rFonts w:hint="eastAsia" w:ascii="仿宋" w:hAnsi="仿宋" w:eastAsia="仿宋" w:cs="Times New Roman"/>
          <w:color w:val="000000"/>
          <w:sz w:val="24"/>
        </w:rPr>
        <w:t>软件成分信息清单，并有义务在软件升级后，及时更新软件成分信息清单并通知甲方。如甲方在代码审计、代码走查、安全检测等软件安全检查中发现软件中存在非软件成分信息清单中的组件，[每发现一个]，乙方应当支付当期订单总价的[</w:t>
      </w:r>
      <w:r>
        <w:rPr>
          <w:rFonts w:hint="eastAsia" w:ascii="仿宋" w:hAnsi="仿宋" w:eastAsia="仿宋" w:cs="Times New Roman"/>
          <w:color w:val="000000"/>
          <w:sz w:val="24"/>
          <w:lang w:val="en-US" w:eastAsia="zh-CN"/>
        </w:rPr>
        <w:t xml:space="preserve"> 0.1%</w:t>
      </w:r>
      <w:r>
        <w:rPr>
          <w:rFonts w:ascii="仿宋" w:hAnsi="仿宋" w:eastAsia="仿宋" w:cs="Times New Roman"/>
          <w:color w:val="000000"/>
          <w:sz w:val="24"/>
        </w:rPr>
        <w:t xml:space="preserve"> </w:t>
      </w:r>
      <w:r>
        <w:rPr>
          <w:rFonts w:hint="eastAsia" w:ascii="仿宋" w:hAnsi="仿宋" w:eastAsia="仿宋" w:cs="Times New Roman"/>
          <w:color w:val="000000"/>
          <w:sz w:val="24"/>
        </w:rPr>
        <w:t>]的违约金。</w:t>
      </w:r>
    </w:p>
    <w:p w14:paraId="6604EF00">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第八条保证、保修</w:t>
      </w:r>
    </w:p>
    <w:p w14:paraId="41FA0B70">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8.1乙方自甲方和/或采购方签署到货验收合格证书之日起，为甲方和/或采购方提供为期[ </w:t>
      </w:r>
      <w:r>
        <w:rPr>
          <w:rFonts w:hint="eastAsia" w:ascii="仿宋" w:hAnsi="仿宋" w:eastAsia="仿宋" w:cs="Times New Roman"/>
          <w:color w:val="000000"/>
          <w:sz w:val="24"/>
          <w:lang w:val="en-US" w:eastAsia="zh-CN"/>
        </w:rPr>
        <w:t xml:space="preserve"> </w:t>
      </w:r>
      <w:r>
        <w:rPr>
          <w:rFonts w:ascii="仿宋" w:hAnsi="仿宋" w:eastAsia="仿宋" w:cs="Times New Roman"/>
          <w:color w:val="000000"/>
          <w:sz w:val="24"/>
        </w:rPr>
        <w:t xml:space="preserve"> ] 个月的免费技术支持和服务（“保修期”）。保修期满后，甲方和/或采购方签发两份保修期满证书。</w:t>
      </w:r>
    </w:p>
    <w:p w14:paraId="4CEE728F">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8.2乙方保证在保修期内，不存在由于软件或乙方原因引起的影响甲方</w:t>
      </w:r>
      <w:r>
        <w:rPr>
          <w:rFonts w:hint="eastAsia" w:ascii="仿宋" w:hAnsi="仿宋" w:eastAsia="仿宋" w:cs="Times New Roman"/>
          <w:color w:val="000000"/>
          <w:sz w:val="24"/>
        </w:rPr>
        <w:t>和</w:t>
      </w:r>
      <w:r>
        <w:rPr>
          <w:rFonts w:ascii="仿宋" w:hAnsi="仿宋" w:eastAsia="仿宋" w:cs="Times New Roman"/>
          <w:color w:val="000000"/>
          <w:sz w:val="24"/>
        </w:rPr>
        <w:t>/或采购方设备正常运行的任何缺陷。在保修期内，乙方应免费修理或更换有缺陷的软件介质或提供相应的技术支持和服务。</w:t>
      </w:r>
      <w:r>
        <w:rPr>
          <w:rFonts w:hint="eastAsia" w:ascii="仿宋" w:hAnsi="仿宋" w:eastAsia="仿宋" w:cs="Times New Roman"/>
          <w:color w:val="000000"/>
          <w:sz w:val="24"/>
        </w:rPr>
        <w:t>乙方保证软件无网络与信息安全风险。</w:t>
      </w:r>
    </w:p>
    <w:p w14:paraId="212237D7">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8.3在保修期内，乙方应就本协议项下的软件向甲方和/或采购方免费提供以下支持：</w:t>
      </w:r>
    </w:p>
    <w:p w14:paraId="1CD79669">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7X24小时电话技术支持</w:t>
      </w:r>
    </w:p>
    <w:p w14:paraId="3AA9DC2D">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工作时间(周一到周五上午8:00到晚上6:00)远程调试支持</w:t>
      </w:r>
    </w:p>
    <w:p w14:paraId="1F9C543C">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每年不限服务次数</w:t>
      </w:r>
    </w:p>
    <w:p w14:paraId="1A6F373D">
      <w:pPr>
        <w:spacing w:line="360" w:lineRule="exact"/>
        <w:ind w:firstLine="480" w:firstLineChars="200"/>
        <w:rPr>
          <w:rFonts w:hint="eastAsia" w:ascii="仿宋" w:hAnsi="仿宋" w:eastAsia="仿宋" w:cs="Times New Roman"/>
          <w:color w:val="000000"/>
          <w:sz w:val="24"/>
          <w:lang w:val="en-US" w:eastAsia="zh-CN"/>
        </w:rPr>
      </w:pPr>
      <w:r>
        <w:rPr>
          <w:rFonts w:hint="eastAsia" w:ascii="仿宋" w:hAnsi="仿宋" w:eastAsia="仿宋" w:cs="Times New Roman"/>
          <w:color w:val="000000"/>
          <w:sz w:val="24"/>
        </w:rPr>
        <w:t>出现紧急系统故障要求供应商8小时内派人到场并修复故障，无法修复需提供解决方案。</w:t>
      </w:r>
      <w:r>
        <w:rPr>
          <w:rFonts w:hint="eastAsia" w:ascii="仿宋" w:hAnsi="仿宋" w:eastAsia="仿宋" w:cs="Times New Roman"/>
          <w:color w:val="000000"/>
          <w:sz w:val="24"/>
          <w:lang w:val="en-US" w:eastAsia="zh-CN"/>
        </w:rPr>
        <w:t xml:space="preserve"> </w:t>
      </w:r>
    </w:p>
    <w:p w14:paraId="209BF90A">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上述所有技术支持应以电话咨询或双方约定的其他方式提供。在甲方和</w:t>
      </w:r>
      <w:r>
        <w:rPr>
          <w:rFonts w:ascii="仿宋" w:hAnsi="仿宋" w:eastAsia="仿宋" w:cs="Times New Roman"/>
          <w:color w:val="000000"/>
          <w:sz w:val="24"/>
        </w:rPr>
        <w:t>/或采购方要求下，乙方应提供免费现场支持。</w:t>
      </w:r>
    </w:p>
    <w:p w14:paraId="431784A9">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8.4保修期届满后，双方通过协商可就乙方继续提供相关支持服务达成协议，届时乙方的收费标准不得高于本协议</w:t>
      </w:r>
      <w:r>
        <w:rPr>
          <w:rFonts w:hint="eastAsia" w:ascii="仿宋" w:hAnsi="仿宋" w:eastAsia="仿宋" w:cs="Times New Roman"/>
          <w:color w:val="000000"/>
          <w:sz w:val="24"/>
        </w:rPr>
        <w:t>成交单</w:t>
      </w:r>
      <w:r>
        <w:rPr>
          <w:rFonts w:ascii="仿宋" w:hAnsi="仿宋" w:eastAsia="仿宋" w:cs="Times New Roman"/>
          <w:color w:val="000000"/>
          <w:sz w:val="24"/>
        </w:rPr>
        <w:t>价（本协议成交单价是指将本协议的赠送、一次性优惠等优惠条件折算到软件单价后形成的综合折扣价格）。</w:t>
      </w:r>
    </w:p>
    <w:p w14:paraId="188357EF">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8.5由于乙方违反上述保修义务以及保修期届满后的优惠条件服务义务或因软件任何缺陷给甲方和/或采购方造成损失的，乙方应予赔偿。</w:t>
      </w:r>
    </w:p>
    <w:p w14:paraId="48AFB975">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第九条培训</w:t>
      </w:r>
    </w:p>
    <w:p w14:paraId="53F06159">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9.1培训目的:确保甲方和/或采购方技术人员能够熟练地对协议软件进行运行、诊断、维护和管理；确保甲方和/或采购方相关业务人员能熟练地操作和使用协议软件。</w:t>
      </w:r>
    </w:p>
    <w:p w14:paraId="2A13D0F3">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9.2培训内容: </w:t>
      </w:r>
    </w:p>
    <w:p w14:paraId="376D4D10">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（1）对本项目所提供数据库的安装、调试培训，并提供相应的培训资料。</w:t>
      </w:r>
    </w:p>
    <w:p w14:paraId="3B63BED5">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（2）对本项目所提供数据库的操作培训，并提供相应的培训资料。</w:t>
      </w:r>
    </w:p>
    <w:p w14:paraId="3A9247BA">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sz w:val="24"/>
        </w:rPr>
        <w:t>（3）对本项目所提供数据库维护培训，并提供相应的培训资料，满足甲方能独立进行本项目所提供服务的维护需要</w:t>
      </w:r>
      <w:r>
        <w:rPr>
          <w:rFonts w:ascii="仿宋" w:hAnsi="仿宋" w:eastAsia="仿宋" w:cs="Times New Roman"/>
          <w:color w:val="000000"/>
          <w:sz w:val="24"/>
        </w:rPr>
        <w:t>]。</w:t>
      </w:r>
    </w:p>
    <w:p w14:paraId="7010E0AB">
      <w:pPr>
        <w:spacing w:line="360" w:lineRule="exact"/>
        <w:ind w:firstLine="480" w:firstLineChars="200"/>
        <w:rPr>
          <w:rFonts w:ascii="仿宋" w:hAnsi="仿宋" w:eastAsia="仿宋"/>
          <w:color w:val="000000"/>
          <w:sz w:val="24"/>
        </w:rPr>
      </w:pPr>
      <w:r>
        <w:rPr>
          <w:rFonts w:ascii="仿宋" w:hAnsi="仿宋" w:eastAsia="仿宋" w:cs="Times New Roman"/>
          <w:color w:val="000000"/>
          <w:sz w:val="24"/>
        </w:rPr>
        <w:t>9.3培训时间与地点：</w:t>
      </w:r>
      <w:r>
        <w:rPr>
          <w:rFonts w:ascii="仿宋" w:hAnsi="仿宋" w:eastAsia="仿宋"/>
          <w:color w:val="000000"/>
          <w:sz w:val="24"/>
        </w:rPr>
        <w:t>乙方在甲方和/或采购方所在地提供相关现场技术培训，具体培训时间由双方协商决定。培训产生的所有费用已经包含在当期订单总价中。具体培训方式由双方协商决定，但是乙方应当确保培训质量能够达到上述培训目的。</w:t>
      </w:r>
    </w:p>
    <w:p w14:paraId="150500FA">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第十条违约责任</w:t>
      </w:r>
    </w:p>
    <w:p w14:paraId="08A1E26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10</w:t>
      </w:r>
      <w:r>
        <w:rPr>
          <w:rFonts w:ascii="仿宋" w:hAnsi="仿宋" w:eastAsia="仿宋" w:cs="Times New Roman"/>
          <w:color w:val="000000"/>
          <w:sz w:val="24"/>
        </w:rPr>
        <w:t>.1如乙方提供的软件许可使用权限、数量、范围、期限等与本协议及附件不符，或软件介质存在瑕疵， 甲方和/或采购方有权解除本协议和/或订单或要求乙方按照本协议第[15.4条]的规定采取措施并承担责任。</w:t>
      </w:r>
    </w:p>
    <w:p w14:paraId="5460D065">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10</w:t>
      </w:r>
      <w:r>
        <w:rPr>
          <w:rFonts w:ascii="仿宋" w:hAnsi="仿宋" w:eastAsia="仿宋" w:cs="Times New Roman"/>
          <w:color w:val="000000"/>
          <w:sz w:val="24"/>
        </w:rPr>
        <w:t>.2由于乙方原因使得初验（含再次初验）、试运行（含顺延和重新计算的试运行期）、终验（含再次终验）、保修期等任一阶段工作延误的，乙方应就该等延误向甲方和/或采购方承担违约责任。对于乙方在任一阶段工作的延误，甲方和/或采购方均有权要求乙方按照下列比率向甲方和/或采购方支付违约金：任一阶段工作迟延的，乙方应每天按相当于当期订单[1]%的标准支付违约金。迟延履行不足1天时按1天计算。因任一阶段工作迟延而使甲方和/或采购方额外增加的各项费用（包括但不限于运输及保险费用、测试费用）由乙方承担。如乙方任一阶段工作迟延使甲方和/或采购方遭受损失的，乙方应赔偿甲方和/或采购方由此造成的损失。</w:t>
      </w:r>
    </w:p>
    <w:p w14:paraId="33F1201E">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并且，如乙方任一阶段工作迟延，其迟延违约金金额累计达到当期订单金额的</w:t>
      </w:r>
      <w:r>
        <w:rPr>
          <w:rFonts w:ascii="仿宋" w:hAnsi="仿宋" w:eastAsia="仿宋" w:cs="Times New Roman"/>
          <w:color w:val="000000"/>
          <w:sz w:val="24"/>
        </w:rPr>
        <w:t>[10%]或延迟达[7]天时，以先到者为准，甲方和/或采购方有权视情况解除当期订单直至解除本协议。解除当期订单和解除本协议并不免除</w:t>
      </w:r>
      <w:r>
        <w:rPr>
          <w:rFonts w:hint="eastAsia" w:ascii="仿宋" w:hAnsi="仿宋" w:eastAsia="仿宋" w:cs="Times New Roman"/>
          <w:color w:val="000000"/>
          <w:sz w:val="24"/>
        </w:rPr>
        <w:t>乙方根据甲方和</w:t>
      </w:r>
      <w:r>
        <w:rPr>
          <w:rFonts w:ascii="仿宋" w:hAnsi="仿宋" w:eastAsia="仿宋" w:cs="Times New Roman"/>
          <w:color w:val="000000"/>
          <w:sz w:val="24"/>
        </w:rPr>
        <w:t>/或采购方</w:t>
      </w:r>
      <w:r>
        <w:rPr>
          <w:rFonts w:hint="eastAsia" w:ascii="仿宋" w:hAnsi="仿宋" w:eastAsia="仿宋" w:cs="Times New Roman"/>
          <w:color w:val="000000"/>
          <w:sz w:val="24"/>
        </w:rPr>
        <w:t>要求应当承担的上述违约责任。</w:t>
      </w:r>
    </w:p>
    <w:p w14:paraId="333BA38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10</w:t>
      </w:r>
      <w:r>
        <w:rPr>
          <w:rFonts w:ascii="仿宋" w:hAnsi="仿宋" w:eastAsia="仿宋" w:cs="Times New Roman"/>
          <w:color w:val="000000"/>
          <w:sz w:val="24"/>
        </w:rPr>
        <w:t>.3保修期内，如乙方未能按协议规定及时提供服务，除本协议规定的不可抗力原因外，每迟延[一次]，应当支付[协议总价的5‰]的违约金。</w:t>
      </w:r>
    </w:p>
    <w:p w14:paraId="6761CAAE">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10</w:t>
      </w:r>
      <w:r>
        <w:rPr>
          <w:rFonts w:ascii="仿宋" w:hAnsi="仿宋" w:eastAsia="仿宋" w:cs="Times New Roman"/>
          <w:color w:val="000000"/>
          <w:sz w:val="24"/>
        </w:rPr>
        <w:t>.4对于乙方依据本协议约定应当承担的各项违约金及损失赔偿，甲方和/或采购方均有权依据本协议[第5.5条]规定从应支付乙方的款项中扣除。</w:t>
      </w:r>
      <w:r>
        <w:rPr>
          <w:rFonts w:hint="eastAsia" w:ascii="仿宋" w:hAnsi="仿宋" w:eastAsia="仿宋" w:cs="Times New Roman"/>
          <w:color w:val="000000"/>
          <w:sz w:val="24"/>
        </w:rPr>
        <w:t>乙方除按照本协议的约定向甲方和</w:t>
      </w:r>
      <w:r>
        <w:rPr>
          <w:rFonts w:ascii="仿宋" w:hAnsi="仿宋" w:eastAsia="仿宋" w:cs="Times New Roman"/>
          <w:color w:val="000000"/>
          <w:sz w:val="24"/>
        </w:rPr>
        <w:t>/或采购方</w:t>
      </w:r>
      <w:r>
        <w:rPr>
          <w:rFonts w:hint="eastAsia" w:ascii="仿宋" w:hAnsi="仿宋" w:eastAsia="仿宋" w:cs="Times New Roman"/>
          <w:color w:val="000000"/>
          <w:sz w:val="24"/>
        </w:rPr>
        <w:t>承担违约责任、赔偿责任外，还应当承担甲方和</w:t>
      </w:r>
      <w:r>
        <w:rPr>
          <w:rFonts w:ascii="仿宋" w:hAnsi="仿宋" w:eastAsia="仿宋" w:cs="Times New Roman"/>
          <w:color w:val="000000"/>
          <w:sz w:val="24"/>
        </w:rPr>
        <w:t>/或采购方</w:t>
      </w:r>
      <w:r>
        <w:rPr>
          <w:rFonts w:hint="eastAsia" w:ascii="仿宋" w:hAnsi="仿宋" w:eastAsia="仿宋" w:cs="Times New Roman"/>
          <w:color w:val="000000"/>
          <w:sz w:val="24"/>
        </w:rPr>
        <w:t>为追究乙方违约责任、赔偿责任而支出的各项费用（包括但不限于律师费、诉讼费、保全费、财产保全担保费等）。</w:t>
      </w:r>
      <w:r>
        <w:rPr>
          <w:rFonts w:ascii="仿宋" w:hAnsi="仿宋" w:eastAsia="仿宋" w:cs="Times New Roman"/>
          <w:color w:val="000000"/>
          <w:sz w:val="24"/>
        </w:rPr>
        <w:t>如乙方对前述扣款事项有异议，应在接到甲方和/或采购方通知后[五日]内提出。</w:t>
      </w:r>
    </w:p>
    <w:p w14:paraId="519E8C53">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10</w:t>
      </w:r>
      <w:r>
        <w:rPr>
          <w:rFonts w:ascii="仿宋" w:hAnsi="仿宋" w:eastAsia="仿宋" w:cs="Times New Roman"/>
          <w:color w:val="000000"/>
          <w:sz w:val="24"/>
        </w:rPr>
        <w:t>.5</w:t>
      </w:r>
      <w:r>
        <w:rPr>
          <w:rFonts w:hint="eastAsia" w:ascii="仿宋" w:hAnsi="仿宋" w:eastAsia="仿宋" w:cs="Times New Roman"/>
          <w:color w:val="000000"/>
          <w:sz w:val="24"/>
        </w:rPr>
        <w:t>如甲方依据本协议约定解除协议的，则乙方除应当依据本协议约定承担违约责任和赔偿责任（包括支付违约金、赔偿甲方和</w:t>
      </w:r>
      <w:r>
        <w:rPr>
          <w:rFonts w:ascii="仿宋" w:hAnsi="仿宋" w:eastAsia="仿宋" w:cs="Times New Roman"/>
          <w:color w:val="000000"/>
          <w:sz w:val="24"/>
        </w:rPr>
        <w:t>/</w:t>
      </w:r>
      <w:r>
        <w:rPr>
          <w:rFonts w:hint="eastAsia" w:ascii="仿宋" w:hAnsi="仿宋" w:eastAsia="仿宋" w:cs="Times New Roman"/>
          <w:color w:val="000000"/>
          <w:sz w:val="24"/>
        </w:rPr>
        <w:t>或采购方由此遭受的损失等）外，乙方并应退还甲方和</w:t>
      </w:r>
      <w:r>
        <w:rPr>
          <w:rFonts w:ascii="仿宋" w:hAnsi="仿宋" w:eastAsia="仿宋" w:cs="Times New Roman"/>
          <w:color w:val="000000"/>
          <w:sz w:val="24"/>
        </w:rPr>
        <w:t>/</w:t>
      </w:r>
      <w:r>
        <w:rPr>
          <w:rFonts w:hint="eastAsia" w:ascii="仿宋" w:hAnsi="仿宋" w:eastAsia="仿宋" w:cs="Times New Roman"/>
          <w:color w:val="000000"/>
          <w:sz w:val="24"/>
        </w:rPr>
        <w:t>或采购方已支付的全部款项及</w:t>
      </w:r>
      <w:r>
        <w:rPr>
          <w:rFonts w:ascii="仿宋" w:hAnsi="仿宋" w:eastAsia="仿宋" w:cs="Times New Roman"/>
          <w:color w:val="000000"/>
          <w:sz w:val="24"/>
        </w:rPr>
        <w:t>自甲方</w:t>
      </w:r>
      <w:r>
        <w:rPr>
          <w:rFonts w:hint="eastAsia" w:ascii="仿宋" w:hAnsi="仿宋" w:eastAsia="仿宋" w:cs="Times New Roman"/>
          <w:color w:val="000000"/>
          <w:sz w:val="24"/>
        </w:rPr>
        <w:t>和</w:t>
      </w:r>
      <w:r>
        <w:rPr>
          <w:rFonts w:ascii="仿宋" w:hAnsi="仿宋" w:eastAsia="仿宋" w:cs="Times New Roman"/>
          <w:color w:val="000000"/>
          <w:sz w:val="24"/>
        </w:rPr>
        <w:t>/或采购方付款之日起至乙方退还款项之日止的利息</w:t>
      </w:r>
      <w:r>
        <w:rPr>
          <w:rFonts w:hint="eastAsia" w:ascii="仿宋" w:hAnsi="仿宋" w:eastAsia="仿宋" w:cs="Times New Roman"/>
          <w:color w:val="000000"/>
          <w:sz w:val="24"/>
        </w:rPr>
        <w:t>（按中国人民银行授权全国银行间同业拆借中心公布的一年期贷款市场报价利率（</w:t>
      </w:r>
      <w:r>
        <w:rPr>
          <w:rFonts w:ascii="仿宋" w:hAnsi="仿宋" w:eastAsia="仿宋" w:cs="Times New Roman"/>
          <w:color w:val="000000"/>
          <w:sz w:val="24"/>
        </w:rPr>
        <w:t>LPR</w:t>
      </w:r>
      <w:r>
        <w:rPr>
          <w:rFonts w:hint="eastAsia" w:ascii="仿宋" w:hAnsi="仿宋" w:eastAsia="仿宋" w:cs="Times New Roman"/>
          <w:color w:val="000000"/>
          <w:sz w:val="24"/>
        </w:rPr>
        <w:t>）计算）。</w:t>
      </w:r>
    </w:p>
    <w:p w14:paraId="2EBD0C4B">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10</w:t>
      </w:r>
      <w:r>
        <w:rPr>
          <w:rFonts w:ascii="仿宋" w:hAnsi="仿宋" w:eastAsia="仿宋" w:cs="Times New Roman"/>
          <w:color w:val="000000"/>
          <w:sz w:val="24"/>
        </w:rPr>
        <w:t>.6除非甲方解除协议，否则，乙方承担违约责任并不免除其继续履行协议的责任。</w:t>
      </w:r>
    </w:p>
    <w:p w14:paraId="5D100477">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10</w:t>
      </w:r>
      <w:r>
        <w:rPr>
          <w:rFonts w:ascii="仿宋" w:hAnsi="仿宋" w:eastAsia="仿宋" w:cs="Times New Roman"/>
          <w:color w:val="000000"/>
          <w:sz w:val="24"/>
        </w:rPr>
        <w:t>.7如果因为甲方和/或采购方原因使得协议时间未能得到履行，则在得到甲方和/或采购方书面确认后时间相应顺延。</w:t>
      </w:r>
    </w:p>
    <w:p w14:paraId="288E3E22">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10</w:t>
      </w:r>
      <w:r>
        <w:rPr>
          <w:rFonts w:ascii="仿宋" w:hAnsi="仿宋" w:eastAsia="仿宋" w:cs="Times New Roman"/>
          <w:color w:val="000000"/>
          <w:sz w:val="24"/>
        </w:rPr>
        <w:t>.8本协议履行过程中，如乙方发生以下任</w:t>
      </w:r>
      <w:r>
        <w:rPr>
          <w:rFonts w:hint="eastAsia" w:ascii="仿宋" w:hAnsi="仿宋" w:eastAsia="仿宋" w:cs="Times New Roman"/>
          <w:color w:val="000000"/>
          <w:sz w:val="24"/>
        </w:rPr>
        <w:t>一情形的，甲方和</w:t>
      </w:r>
      <w:r>
        <w:rPr>
          <w:rFonts w:ascii="仿宋" w:hAnsi="仿宋" w:eastAsia="仿宋" w:cs="Times New Roman"/>
          <w:color w:val="000000"/>
          <w:sz w:val="24"/>
        </w:rPr>
        <w:t>/或采购方有权视情节严重程度采取中止订单、终止订单、调整或取消乙方在本协议项下的份额、直至终止协议、取消乙方供应商资格等措施且不承担违约责任；因此导致任何第三方向甲方和/或采购方提出法律或行政程序，乙方应当负责解决；如该情形给甲方和/或采购方造成损失的，乙方应当全额赔偿：</w:t>
      </w:r>
    </w:p>
    <w:p w14:paraId="701CF762">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1）被</w:t>
      </w:r>
      <w:r>
        <w:rPr>
          <w:rFonts w:hint="eastAsia" w:ascii="仿宋" w:hAnsi="仿宋" w:eastAsia="仿宋" w:cs="Times New Roman"/>
          <w:color w:val="000000"/>
          <w:sz w:val="24"/>
        </w:rPr>
        <w:t>行政机关</w:t>
      </w:r>
      <w:r>
        <w:rPr>
          <w:rFonts w:ascii="仿宋" w:hAnsi="仿宋" w:eastAsia="仿宋" w:cs="Times New Roman"/>
          <w:color w:val="000000"/>
          <w:sz w:val="24"/>
        </w:rPr>
        <w:t>纳入“严重违法失信”名单；</w:t>
      </w:r>
    </w:p>
    <w:p w14:paraId="677D5A4F">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2）被人民法院纳入“失信被执行人”名单；</w:t>
      </w:r>
    </w:p>
    <w:p w14:paraId="5835F130">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3）被甲方（含甲方上级单位）纳入违规失信合作商名单；</w:t>
      </w:r>
    </w:p>
    <w:p w14:paraId="47523AA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4）如存在网络和信息安全违法、违规行为的，包括但不限于因网络和信息安全问题承担刑事责任或</w:t>
      </w:r>
      <w:r>
        <w:rPr>
          <w:rFonts w:hint="eastAsia" w:ascii="仿宋" w:hAnsi="仿宋" w:eastAsia="仿宋" w:cs="Times New Roman"/>
          <w:color w:val="000000"/>
          <w:sz w:val="24"/>
        </w:rPr>
        <w:t>受到行政处罚，被列入各级公安机关的涉通讯信息诈骗违法犯罪高危自然人或法人名单、电信业务经营不良名单、失信名单等；</w:t>
      </w:r>
    </w:p>
    <w:p w14:paraId="4F622A56">
      <w:pPr>
        <w:autoSpaceDE w:val="0"/>
        <w:autoSpaceDN w:val="0"/>
        <w:adjustRightInd w:val="0"/>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5）中标通知书/中选通知书/成交通知书发出或</w:t>
      </w:r>
      <w:r>
        <w:rPr>
          <w:rFonts w:hint="eastAsia" w:ascii="仿宋" w:hAnsi="仿宋" w:eastAsia="仿宋" w:cs="Times New Roman"/>
          <w:color w:val="000000"/>
          <w:sz w:val="24"/>
        </w:rPr>
        <w:t>对应的</w:t>
      </w:r>
      <w:r>
        <w:rPr>
          <w:rFonts w:ascii="仿宋" w:hAnsi="仿宋" w:eastAsia="仿宋" w:cs="Times New Roman"/>
          <w:color w:val="000000"/>
          <w:sz w:val="24"/>
        </w:rPr>
        <w:t>协议签署后，发现</w:t>
      </w:r>
      <w:r>
        <w:rPr>
          <w:rFonts w:hint="eastAsia" w:ascii="仿宋" w:hAnsi="仿宋" w:eastAsia="仿宋" w:cs="Times New Roman"/>
          <w:color w:val="000000"/>
          <w:sz w:val="24"/>
        </w:rPr>
        <w:t>乙方</w:t>
      </w:r>
      <w:r>
        <w:rPr>
          <w:rFonts w:ascii="仿宋" w:hAnsi="仿宋" w:eastAsia="仿宋" w:cs="Times New Roman"/>
          <w:color w:val="000000"/>
          <w:sz w:val="24"/>
        </w:rPr>
        <w:t>存在中标无效/中选无效/成交无效的情形或者</w:t>
      </w:r>
      <w:r>
        <w:rPr>
          <w:rFonts w:hint="eastAsia" w:ascii="仿宋" w:hAnsi="仿宋" w:eastAsia="仿宋" w:cs="Times New Roman"/>
          <w:color w:val="000000"/>
          <w:sz w:val="24"/>
        </w:rPr>
        <w:t>存在应当被否决投标</w:t>
      </w:r>
      <w:r>
        <w:rPr>
          <w:rFonts w:ascii="仿宋" w:hAnsi="仿宋" w:eastAsia="仿宋" w:cs="Times New Roman"/>
          <w:color w:val="000000"/>
          <w:sz w:val="24"/>
        </w:rPr>
        <w:t>/否决参选/否决应答的情形；</w:t>
      </w:r>
    </w:p>
    <w:p w14:paraId="1A4CA4F1">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6）其他相关法律法规规定或有权机关认定的违法失信情形，以及可能导致协议履行风险或侵害甲方</w:t>
      </w:r>
      <w:r>
        <w:rPr>
          <w:rFonts w:hint="eastAsia" w:ascii="仿宋" w:hAnsi="仿宋" w:eastAsia="仿宋" w:cs="Times New Roman"/>
          <w:color w:val="000000"/>
          <w:sz w:val="24"/>
        </w:rPr>
        <w:t>和</w:t>
      </w:r>
      <w:r>
        <w:rPr>
          <w:rFonts w:ascii="仿宋" w:hAnsi="仿宋" w:eastAsia="仿宋" w:cs="Times New Roman"/>
          <w:color w:val="000000"/>
          <w:sz w:val="24"/>
        </w:rPr>
        <w:t>/或采购方合法</w:t>
      </w:r>
      <w:r>
        <w:rPr>
          <w:rFonts w:hint="eastAsia" w:ascii="仿宋" w:hAnsi="仿宋" w:eastAsia="仿宋" w:cs="Times New Roman"/>
          <w:color w:val="000000"/>
          <w:sz w:val="24"/>
        </w:rPr>
        <w:t>权益或声誉的违规失信情形。</w:t>
      </w:r>
    </w:p>
    <w:p w14:paraId="44EC7069">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第十一条不可抗力</w:t>
      </w:r>
    </w:p>
    <w:p w14:paraId="76642ED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11</w:t>
      </w:r>
      <w:r>
        <w:rPr>
          <w:rFonts w:ascii="仿宋" w:hAnsi="仿宋" w:eastAsia="仿宋" w:cs="Times New Roman"/>
          <w:color w:val="000000"/>
          <w:sz w:val="24"/>
        </w:rPr>
        <w:t>.1</w:t>
      </w:r>
      <w:r>
        <w:rPr>
          <w:rFonts w:ascii="仿宋" w:hAnsi="仿宋" w:eastAsia="仿宋" w:cs="Times New Roman"/>
          <w:sz w:val="24"/>
        </w:rPr>
        <w:t>本</w:t>
      </w:r>
      <w:r>
        <w:rPr>
          <w:rFonts w:hint="eastAsia" w:ascii="仿宋" w:hAnsi="仿宋" w:eastAsia="仿宋" w:cs="Times New Roman"/>
          <w:color w:val="000000"/>
          <w:sz w:val="24"/>
        </w:rPr>
        <w:t>协议</w:t>
      </w:r>
      <w:r>
        <w:rPr>
          <w:rFonts w:ascii="仿宋" w:hAnsi="仿宋" w:eastAsia="仿宋" w:cs="Times New Roman"/>
          <w:sz w:val="24"/>
        </w:rPr>
        <w:t>所称不可抗力，是指地震、台风、水灾、火灾、战争</w:t>
      </w:r>
      <w:r>
        <w:rPr>
          <w:rFonts w:hint="eastAsia" w:ascii="仿宋" w:hAnsi="仿宋" w:eastAsia="仿宋" w:cs="Times New Roman"/>
          <w:sz w:val="24"/>
        </w:rPr>
        <w:t>等</w:t>
      </w:r>
      <w:r>
        <w:rPr>
          <w:rFonts w:ascii="仿宋" w:hAnsi="仿宋" w:eastAsia="仿宋" w:cs="Times New Roman"/>
          <w:sz w:val="24"/>
        </w:rPr>
        <w:t>本</w:t>
      </w:r>
      <w:r>
        <w:rPr>
          <w:rFonts w:hint="eastAsia" w:ascii="仿宋" w:hAnsi="仿宋" w:eastAsia="仿宋" w:cs="Times New Roman"/>
          <w:color w:val="000000"/>
          <w:sz w:val="24"/>
        </w:rPr>
        <w:t>协议双方</w:t>
      </w:r>
      <w:r>
        <w:rPr>
          <w:rFonts w:ascii="仿宋" w:hAnsi="仿宋" w:eastAsia="仿宋" w:cs="Times New Roman"/>
          <w:sz w:val="24"/>
        </w:rPr>
        <w:t>不能预见</w:t>
      </w:r>
      <w:r>
        <w:rPr>
          <w:rFonts w:hint="eastAsia" w:ascii="仿宋" w:hAnsi="仿宋" w:eastAsia="仿宋" w:cs="Times New Roman"/>
          <w:sz w:val="24"/>
        </w:rPr>
        <w:t>、</w:t>
      </w:r>
      <w:r>
        <w:rPr>
          <w:rFonts w:ascii="仿宋" w:hAnsi="仿宋" w:eastAsia="仿宋" w:cs="Times New Roman"/>
          <w:sz w:val="24"/>
        </w:rPr>
        <w:t>不能避免且不</w:t>
      </w:r>
      <w:r>
        <w:rPr>
          <w:rFonts w:hint="eastAsia" w:ascii="仿宋" w:hAnsi="仿宋" w:eastAsia="仿宋" w:cs="Times New Roman"/>
          <w:sz w:val="24"/>
        </w:rPr>
        <w:t>能</w:t>
      </w:r>
      <w:r>
        <w:rPr>
          <w:rFonts w:ascii="仿宋" w:hAnsi="仿宋" w:eastAsia="仿宋" w:cs="Times New Roman"/>
          <w:sz w:val="24"/>
        </w:rPr>
        <w:t>克服的客观情况。</w:t>
      </w:r>
    </w:p>
    <w:p w14:paraId="35F77398">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11</w:t>
      </w:r>
      <w:r>
        <w:rPr>
          <w:rFonts w:ascii="仿宋" w:hAnsi="仿宋" w:eastAsia="仿宋" w:cs="Times New Roman"/>
          <w:color w:val="000000"/>
          <w:sz w:val="24"/>
        </w:rPr>
        <w:t>.2本协议任何一方因不可抗力不能履行或不能完全履行本协议的义务时，应在不可抗力发生之日起的10日内书面通知本协议的其</w:t>
      </w:r>
      <w:r>
        <w:rPr>
          <w:rFonts w:hint="eastAsia" w:ascii="仿宋" w:hAnsi="仿宋" w:eastAsia="仿宋" w:cs="Times New Roman"/>
          <w:color w:val="000000"/>
          <w:sz w:val="24"/>
        </w:rPr>
        <w:t>他</w:t>
      </w:r>
      <w:r>
        <w:rPr>
          <w:rFonts w:ascii="仿宋" w:hAnsi="仿宋" w:eastAsia="仿宋" w:cs="Times New Roman"/>
          <w:color w:val="000000"/>
          <w:sz w:val="24"/>
        </w:rPr>
        <w:t>方，并提供由有关部门出具的不可抗力证明。</w:t>
      </w:r>
    </w:p>
    <w:p w14:paraId="76473E3B">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11</w:t>
      </w:r>
      <w:r>
        <w:rPr>
          <w:rFonts w:ascii="仿宋" w:hAnsi="仿宋" w:eastAsia="仿宋" w:cs="Times New Roman"/>
          <w:color w:val="000000"/>
          <w:sz w:val="24"/>
        </w:rPr>
        <w:t>.3因不可抗力不能履行协议的，根据不可抗力的影响，受影响方部分或全部免除责任，但法律另有规定的除外。迟延履行协议后发生不可抗力的，不能免除责任。</w:t>
      </w:r>
    </w:p>
    <w:p w14:paraId="0F352C0E">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11</w:t>
      </w:r>
      <w:r>
        <w:rPr>
          <w:rFonts w:ascii="仿宋" w:hAnsi="仿宋" w:eastAsia="仿宋" w:cs="Times New Roman"/>
          <w:color w:val="000000"/>
          <w:sz w:val="24"/>
        </w:rPr>
        <w:t>.4如果因不可抗力的影响致使本协议中止履行</w:t>
      </w:r>
      <w:r>
        <w:rPr>
          <w:rFonts w:hint="eastAsia" w:ascii="仿宋" w:hAnsi="仿宋" w:eastAsia="仿宋" w:cs="Times New Roman"/>
          <w:color w:val="000000"/>
          <w:sz w:val="24"/>
        </w:rPr>
        <w:t>三十</w:t>
      </w:r>
      <w:r>
        <w:rPr>
          <w:rFonts w:ascii="仿宋" w:hAnsi="仿宋" w:eastAsia="仿宋" w:cs="Times New Roman"/>
          <w:color w:val="000000"/>
          <w:sz w:val="24"/>
        </w:rPr>
        <w:t>日或以上时，甲方有权决定是否继续履行或终止本协议，并书面通知乙方。</w:t>
      </w:r>
    </w:p>
    <w:p w14:paraId="5CF8517A">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第十二条税费</w:t>
      </w:r>
    </w:p>
    <w:p w14:paraId="39B4EA6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12</w:t>
      </w:r>
      <w:r>
        <w:rPr>
          <w:rFonts w:ascii="仿宋" w:hAnsi="仿宋" w:eastAsia="仿宋" w:cs="Times New Roman"/>
          <w:color w:val="000000"/>
          <w:sz w:val="24"/>
        </w:rPr>
        <w:t>.1双方各自承担中国有关机构根据中国税法向其征收的所有与协议履行有关的</w:t>
      </w:r>
      <w:r>
        <w:rPr>
          <w:rFonts w:hint="eastAsia" w:ascii="仿宋" w:hAnsi="仿宋" w:eastAsia="仿宋" w:cs="Times New Roman"/>
          <w:color w:val="000000"/>
          <w:sz w:val="24"/>
        </w:rPr>
        <w:t>税费</w:t>
      </w:r>
      <w:r>
        <w:rPr>
          <w:rFonts w:ascii="仿宋" w:hAnsi="仿宋" w:eastAsia="仿宋" w:cs="Times New Roman"/>
          <w:color w:val="000000"/>
          <w:sz w:val="24"/>
        </w:rPr>
        <w:t>。</w:t>
      </w:r>
    </w:p>
    <w:p w14:paraId="563EB999">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第十三条法律适用和争议解决</w:t>
      </w:r>
    </w:p>
    <w:p w14:paraId="67091BBC">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13</w:t>
      </w:r>
      <w:r>
        <w:rPr>
          <w:rFonts w:ascii="仿宋" w:hAnsi="仿宋" w:eastAsia="仿宋" w:cs="Times New Roman"/>
          <w:color w:val="000000"/>
          <w:sz w:val="24"/>
        </w:rPr>
        <w:t>.1本协议适用中华人民共和国法律。</w:t>
      </w:r>
    </w:p>
    <w:p w14:paraId="63A4D543">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13</w:t>
      </w:r>
      <w:r>
        <w:rPr>
          <w:rFonts w:ascii="仿宋" w:hAnsi="仿宋" w:eastAsia="仿宋" w:cs="Times New Roman"/>
          <w:color w:val="000000"/>
          <w:sz w:val="24"/>
        </w:rPr>
        <w:t>.2所有因本协议及订单引起的或与本协议或订单有关的任何争议通过双方友好协商解决。如果双方不能通过友好协商解决争议，则任何一方均可向</w:t>
      </w:r>
      <w:r>
        <w:rPr>
          <w:rFonts w:hint="eastAsia" w:ascii="仿宋" w:hAnsi="仿宋" w:eastAsia="仿宋" w:cs="Times New Roman"/>
          <w:color w:val="000000"/>
          <w:sz w:val="24"/>
        </w:rPr>
        <w:t>甲方住所地</w:t>
      </w:r>
      <w:r>
        <w:rPr>
          <w:rFonts w:ascii="仿宋" w:hAnsi="仿宋" w:eastAsia="仿宋" w:cs="Times New Roman"/>
          <w:color w:val="000000"/>
          <w:sz w:val="24"/>
        </w:rPr>
        <w:t>有管辖权的人民法院起诉。</w:t>
      </w:r>
    </w:p>
    <w:p w14:paraId="4EB339B8">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13</w:t>
      </w:r>
      <w:r>
        <w:rPr>
          <w:rFonts w:ascii="仿宋" w:hAnsi="仿宋" w:eastAsia="仿宋" w:cs="Times New Roman"/>
          <w:color w:val="000000"/>
          <w:sz w:val="24"/>
        </w:rPr>
        <w:t>.3</w:t>
      </w:r>
      <w:r>
        <w:rPr>
          <w:rFonts w:hint="eastAsia" w:ascii="仿宋" w:hAnsi="仿宋" w:eastAsia="仿宋" w:cs="Times New Roman"/>
          <w:color w:val="000000"/>
          <w:sz w:val="24"/>
        </w:rPr>
        <w:t>诉讼进行过程中，双方继续履行本协议及订单未涉诉讼的其他部分。</w:t>
      </w:r>
    </w:p>
    <w:p w14:paraId="1E7C3141">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13</w:t>
      </w:r>
      <w:r>
        <w:rPr>
          <w:rFonts w:ascii="仿宋" w:hAnsi="仿宋" w:eastAsia="仿宋" w:cs="Times New Roman"/>
          <w:color w:val="000000"/>
          <w:sz w:val="24"/>
        </w:rPr>
        <w:t>.4甲方有权代采购方根据本协议约定的方式解决争议。</w:t>
      </w:r>
    </w:p>
    <w:p w14:paraId="12EC1D03">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第十四条保密</w:t>
      </w:r>
    </w:p>
    <w:p w14:paraId="077C21FC">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14</w:t>
      </w:r>
      <w:r>
        <w:rPr>
          <w:rFonts w:ascii="仿宋" w:hAnsi="仿宋" w:eastAsia="仿宋" w:cs="Times New Roman"/>
          <w:color w:val="000000"/>
          <w:sz w:val="24"/>
        </w:rPr>
        <w:t>.1</w:t>
      </w:r>
      <w:r>
        <w:rPr>
          <w:rFonts w:hint="eastAsia" w:ascii="仿宋" w:hAnsi="仿宋" w:eastAsia="仿宋" w:cs="Times New Roman"/>
          <w:color w:val="000000"/>
          <w:sz w:val="24"/>
        </w:rPr>
        <w:t>本协议所述的保密信息指一方（“接收方”）从另一方（“披露方”）获悉的、对披露方而言具有专属性质的信息、资料和商业秘密。但是，保密信息不包括如下信息：</w:t>
      </w:r>
    </w:p>
    <w:p w14:paraId="4048C34F">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(1)在依</w:t>
      </w:r>
      <w:r>
        <w:rPr>
          <w:rFonts w:hint="eastAsia" w:ascii="仿宋" w:hAnsi="仿宋" w:eastAsia="仿宋" w:cs="Times New Roman"/>
          <w:color w:val="000000"/>
          <w:sz w:val="24"/>
        </w:rPr>
        <w:t>本协议披露之时，已以合法方式属接收方所有或由接收方知悉的；</w:t>
      </w:r>
    </w:p>
    <w:p w14:paraId="6F300ACF">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(2)在依</w:t>
      </w:r>
      <w:r>
        <w:rPr>
          <w:rFonts w:hint="eastAsia" w:ascii="仿宋" w:hAnsi="仿宋" w:eastAsia="仿宋" w:cs="Times New Roman"/>
          <w:color w:val="000000"/>
          <w:sz w:val="24"/>
        </w:rPr>
        <w:t>本协议披露之时，已经公开或能从公开领域获得的；</w:t>
      </w:r>
    </w:p>
    <w:p w14:paraId="1F7CC73F">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(3)接</w:t>
      </w:r>
      <w:r>
        <w:rPr>
          <w:rFonts w:hint="eastAsia" w:ascii="仿宋" w:hAnsi="仿宋" w:eastAsia="仿宋" w:cs="Times New Roman"/>
          <w:color w:val="000000"/>
          <w:sz w:val="24"/>
        </w:rPr>
        <w:t>收方从没有违反对披露方负有保密或不披露义务的人合法取得的；</w:t>
      </w:r>
    </w:p>
    <w:p w14:paraId="10B7C8B3">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(4)接</w:t>
      </w:r>
      <w:r>
        <w:rPr>
          <w:rFonts w:hint="eastAsia" w:ascii="仿宋" w:hAnsi="仿宋" w:eastAsia="仿宋" w:cs="Times New Roman"/>
          <w:color w:val="000000"/>
          <w:sz w:val="24"/>
        </w:rPr>
        <w:t>收方或其关联或附属公司独立开发，而且未从披露方或其关联或附属公司披露或提供的信息中获益的。</w:t>
      </w:r>
    </w:p>
    <w:p w14:paraId="7A09391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14</w:t>
      </w:r>
      <w:r>
        <w:rPr>
          <w:rFonts w:ascii="仿宋" w:hAnsi="仿宋" w:eastAsia="仿宋" w:cs="Times New Roman"/>
          <w:color w:val="000000"/>
          <w:sz w:val="24"/>
        </w:rPr>
        <w:t>.2 接收方对保密信息负有保密义务，接收方仅得为履行本协议之目的对保密信息进行复制。接收方应当妥善保管保密信息，采取不低于对其本身</w:t>
      </w:r>
      <w:r>
        <w:rPr>
          <w:rFonts w:hint="eastAsia" w:ascii="仿宋" w:hAnsi="仿宋" w:eastAsia="仿宋" w:cs="Times New Roman"/>
          <w:color w:val="000000"/>
          <w:sz w:val="24"/>
        </w:rPr>
        <w:t>商业秘密所采取的保护手段予以保护。</w:t>
      </w:r>
    </w:p>
    <w:p w14:paraId="70796DF8">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14</w:t>
      </w:r>
      <w:r>
        <w:rPr>
          <w:rFonts w:ascii="仿宋" w:hAnsi="仿宋" w:eastAsia="仿宋" w:cs="Times New Roman"/>
          <w:color w:val="000000"/>
          <w:sz w:val="24"/>
        </w:rPr>
        <w:t>.3接收</w:t>
      </w:r>
      <w:r>
        <w:rPr>
          <w:rFonts w:hint="eastAsia" w:ascii="仿宋" w:hAnsi="仿宋" w:eastAsia="仿宋" w:cs="Times New Roman"/>
          <w:color w:val="000000"/>
          <w:sz w:val="24"/>
        </w:rPr>
        <w:t>方仅可为本协议之目的向其确有知悉必要的雇员、股东、董事、顾问和</w:t>
      </w:r>
      <w:r>
        <w:rPr>
          <w:rFonts w:ascii="仿宋" w:hAnsi="仿宋" w:eastAsia="仿宋" w:cs="Times New Roman"/>
          <w:color w:val="000000"/>
          <w:sz w:val="24"/>
        </w:rPr>
        <w:t>/或咨询人员</w:t>
      </w:r>
      <w:r>
        <w:rPr>
          <w:rFonts w:hint="eastAsia" w:ascii="仿宋" w:hAnsi="仿宋" w:eastAsia="仿宋" w:cs="Times New Roman"/>
          <w:color w:val="000000"/>
          <w:sz w:val="24"/>
        </w:rPr>
        <w:t>披露保密信息，但同时应当指示其遵守本条规定的保密及不披露义务。</w:t>
      </w:r>
    </w:p>
    <w:p w14:paraId="0354DD8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14</w:t>
      </w:r>
      <w:r>
        <w:rPr>
          <w:rFonts w:ascii="仿宋" w:hAnsi="仿宋" w:eastAsia="仿宋" w:cs="Times New Roman"/>
          <w:color w:val="000000"/>
          <w:sz w:val="24"/>
        </w:rPr>
        <w:t>.4 接收方有权按照</w:t>
      </w:r>
      <w:r>
        <w:rPr>
          <w:rFonts w:hint="eastAsia" w:ascii="仿宋" w:hAnsi="仿宋" w:eastAsia="仿宋" w:cs="Times New Roman"/>
          <w:color w:val="000000"/>
          <w:sz w:val="24"/>
        </w:rPr>
        <w:t>法律、法规、规章或监管机构要求披露保密信息。</w:t>
      </w:r>
    </w:p>
    <w:p w14:paraId="6790D38B">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14</w:t>
      </w:r>
      <w:r>
        <w:rPr>
          <w:rFonts w:ascii="仿宋" w:hAnsi="仿宋" w:eastAsia="仿宋" w:cs="Times New Roman"/>
          <w:color w:val="000000"/>
          <w:sz w:val="24"/>
        </w:rPr>
        <w:t>.5</w:t>
      </w:r>
      <w:r>
        <w:rPr>
          <w:rFonts w:hint="eastAsia" w:ascii="仿宋" w:hAnsi="仿宋" w:eastAsia="仿宋" w:cs="Times New Roman"/>
          <w:color w:val="000000"/>
          <w:sz w:val="24"/>
        </w:rPr>
        <w:t>本保密条款自保密信息提供或披露之日起至本协议终止或解除后五年内持续有效。</w:t>
      </w:r>
    </w:p>
    <w:p w14:paraId="60D9C195">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14</w:t>
      </w:r>
      <w:r>
        <w:rPr>
          <w:rFonts w:ascii="仿宋" w:hAnsi="仿宋" w:eastAsia="仿宋" w:cs="Times New Roman"/>
          <w:color w:val="000000"/>
          <w:sz w:val="24"/>
        </w:rPr>
        <w:t>.6</w:t>
      </w:r>
      <w:r>
        <w:rPr>
          <w:rFonts w:hint="eastAsia" w:ascii="仿宋" w:hAnsi="仿宋" w:eastAsia="仿宋" w:cs="Times New Roman"/>
          <w:color w:val="000000"/>
          <w:sz w:val="24"/>
        </w:rPr>
        <w:t>尽管有上述规定，买方和</w:t>
      </w:r>
      <w:r>
        <w:rPr>
          <w:rFonts w:ascii="仿宋" w:hAnsi="仿宋" w:eastAsia="仿宋" w:cs="Times New Roman"/>
          <w:color w:val="000000"/>
          <w:sz w:val="24"/>
        </w:rPr>
        <w:t>/或采购方作为接收方</w:t>
      </w:r>
      <w:r>
        <w:rPr>
          <w:rFonts w:hint="eastAsia" w:ascii="仿宋" w:hAnsi="仿宋" w:eastAsia="仿宋" w:cs="Times New Roman"/>
          <w:color w:val="000000"/>
          <w:sz w:val="24"/>
        </w:rPr>
        <w:t>向其关联方提供或披露卖方和</w:t>
      </w:r>
      <w:r>
        <w:rPr>
          <w:rFonts w:ascii="仿宋" w:hAnsi="仿宋" w:eastAsia="仿宋" w:cs="Times New Roman"/>
          <w:color w:val="000000"/>
          <w:sz w:val="24"/>
        </w:rPr>
        <w:t>/或供应商的资料和信息的，不受本条规定的</w:t>
      </w:r>
      <w:r>
        <w:rPr>
          <w:rFonts w:hint="eastAsia" w:ascii="仿宋" w:hAnsi="仿宋" w:eastAsia="仿宋" w:cs="Times New Roman"/>
          <w:color w:val="000000"/>
          <w:sz w:val="24"/>
        </w:rPr>
        <w:t>保密和不披露义务的约束。</w:t>
      </w:r>
    </w:p>
    <w:p w14:paraId="7EFD49E2">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14</w:t>
      </w:r>
      <w:r>
        <w:rPr>
          <w:rFonts w:ascii="仿宋" w:hAnsi="仿宋" w:eastAsia="仿宋" w:cs="Times New Roman"/>
          <w:color w:val="000000"/>
          <w:sz w:val="24"/>
        </w:rPr>
        <w:t>.7</w:t>
      </w:r>
      <w:r>
        <w:rPr>
          <w:rFonts w:hint="eastAsia" w:ascii="仿宋" w:hAnsi="仿宋" w:eastAsia="仿宋" w:cs="Times New Roman"/>
          <w:color w:val="000000"/>
          <w:sz w:val="24"/>
        </w:rPr>
        <w:t>对于接收方在本协议签订及履行过程中依法获得的个人信息和重要数据，接收方应当依法在境内存储，且不得向境外提供。</w:t>
      </w:r>
    </w:p>
    <w:p w14:paraId="66268F9A">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第十五条软件使用权及侵权处理</w:t>
      </w:r>
    </w:p>
    <w:p w14:paraId="147B59EF">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15</w:t>
      </w:r>
      <w:r>
        <w:rPr>
          <w:rFonts w:ascii="仿宋" w:hAnsi="仿宋" w:eastAsia="仿宋" w:cs="Times New Roman"/>
          <w:color w:val="000000"/>
          <w:sz w:val="24"/>
        </w:rPr>
        <w:t>.1根据本协议甲方和/或采购方或其指定的第三方仅获得软件的许可使用权以及软件介质的所有权，并未获得软件的著作权，著作权仍归软件著作权人。</w:t>
      </w:r>
    </w:p>
    <w:p w14:paraId="62DD86EF">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15</w:t>
      </w:r>
      <w:r>
        <w:rPr>
          <w:rFonts w:ascii="仿宋" w:hAnsi="仿宋" w:eastAsia="仿宋" w:cs="Times New Roman"/>
          <w:color w:val="000000"/>
          <w:sz w:val="24"/>
        </w:rPr>
        <w:t>.2</w:t>
      </w:r>
      <w:r>
        <w:rPr>
          <w:rFonts w:hint="eastAsia" w:ascii="仿宋" w:hAnsi="仿宋" w:eastAsia="仿宋" w:cs="Times New Roman"/>
          <w:color w:val="000000"/>
          <w:sz w:val="24"/>
        </w:rPr>
        <w:t>乙方</w:t>
      </w:r>
      <w:r>
        <w:rPr>
          <w:rFonts w:ascii="仿宋" w:hAnsi="仿宋" w:eastAsia="仿宋" w:cs="Times New Roman"/>
          <w:color w:val="000000"/>
          <w:sz w:val="24"/>
        </w:rPr>
        <w:t>承诺，甲方和/或采购方或其指定的第三方可以将其在本协议项下的所有权利转让给用于甲方或采购方</w:t>
      </w:r>
      <w:r>
        <w:rPr>
          <w:rFonts w:hint="eastAsia" w:ascii="仿宋" w:hAnsi="仿宋" w:eastAsia="仿宋" w:cs="Times New Roman"/>
          <w:color w:val="000000"/>
          <w:sz w:val="24"/>
        </w:rPr>
        <w:t>或其</w:t>
      </w:r>
      <w:r>
        <w:rPr>
          <w:rFonts w:ascii="仿宋" w:hAnsi="仿宋" w:eastAsia="仿宋" w:cs="Times New Roman"/>
          <w:color w:val="000000"/>
          <w:sz w:val="24"/>
        </w:rPr>
        <w:t>指定第三方的任何后继所有人，且无需取得乙方</w:t>
      </w:r>
      <w:r>
        <w:rPr>
          <w:rFonts w:hint="eastAsia" w:ascii="仿宋" w:hAnsi="仿宋" w:eastAsia="仿宋" w:cs="Times New Roman"/>
          <w:color w:val="000000"/>
          <w:sz w:val="24"/>
        </w:rPr>
        <w:t>或</w:t>
      </w:r>
      <w:r>
        <w:rPr>
          <w:rFonts w:ascii="仿宋" w:hAnsi="仿宋" w:eastAsia="仿宋" w:cs="Times New Roman"/>
          <w:color w:val="000000"/>
          <w:sz w:val="24"/>
        </w:rPr>
        <w:t>软件著作权人的同意。</w:t>
      </w:r>
    </w:p>
    <w:p w14:paraId="08D29B7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15</w:t>
      </w:r>
      <w:r>
        <w:rPr>
          <w:rFonts w:ascii="仿宋" w:hAnsi="仿宋" w:eastAsia="仿宋" w:cs="Times New Roman"/>
          <w:color w:val="000000"/>
          <w:sz w:val="24"/>
        </w:rPr>
        <w:t>.3如果有人提出法律或行政程序(合称“侵权指控”)，声称甲方和/或采购方或其指定的第三方使用本协议项下软件侵犯了其所有权或者知识产权等合法权益，乙方应负责解决，并赔偿甲方和/或采购方或其指定的第三方就此所承担的一切费用，包括但不限于上述侵权指控中所产生的诉讼费用、调查费用、合理的律师费用、和解金额或生效法律文书中规定的赔偿金额。</w:t>
      </w:r>
    </w:p>
    <w:p w14:paraId="1063685D">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15</w:t>
      </w:r>
      <w:r>
        <w:rPr>
          <w:rFonts w:ascii="仿宋" w:hAnsi="仿宋" w:eastAsia="仿宋" w:cs="Times New Roman"/>
          <w:color w:val="000000"/>
          <w:sz w:val="24"/>
        </w:rPr>
        <w:t>.4如果在侵权指控的审理过程中有关机关禁止甲方和/或采购方或其指定的第三方继续使用本协议项下软件的部分或全部，乙方应采取以下措施之一：</w:t>
      </w:r>
    </w:p>
    <w:p w14:paraId="618756B1">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1）使甲方和/或采购方或其指定的第三方重新免费获得使用上述软件的权利，或</w:t>
      </w:r>
    </w:p>
    <w:p w14:paraId="4568045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2）免费更换或改造上述软件，使甲方和/或采购方或其指定的第三方不受上述禁令限制继续使用该软件。</w:t>
      </w:r>
    </w:p>
    <w:p w14:paraId="6486B303">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3）其</w:t>
      </w:r>
      <w:r>
        <w:rPr>
          <w:rFonts w:hint="eastAsia" w:ascii="仿宋" w:hAnsi="仿宋" w:eastAsia="仿宋" w:cs="Times New Roman"/>
          <w:color w:val="000000"/>
          <w:sz w:val="24"/>
        </w:rPr>
        <w:t>他</w:t>
      </w:r>
      <w:r>
        <w:rPr>
          <w:rFonts w:ascii="仿宋" w:hAnsi="仿宋" w:eastAsia="仿宋" w:cs="Times New Roman"/>
          <w:color w:val="000000"/>
          <w:sz w:val="24"/>
        </w:rPr>
        <w:t>使甲方和/或采购方或其指定的第三方对软件拥有合法使用权，或其</w:t>
      </w:r>
      <w:r>
        <w:rPr>
          <w:rFonts w:hint="eastAsia" w:ascii="仿宋" w:hAnsi="仿宋" w:eastAsia="仿宋" w:cs="Times New Roman"/>
          <w:color w:val="000000"/>
          <w:sz w:val="24"/>
        </w:rPr>
        <w:t>他</w:t>
      </w:r>
      <w:r>
        <w:rPr>
          <w:rFonts w:ascii="仿宋" w:hAnsi="仿宋" w:eastAsia="仿宋" w:cs="Times New Roman"/>
          <w:color w:val="000000"/>
          <w:sz w:val="24"/>
        </w:rPr>
        <w:t>弥补甲方和/或采购方或其指定的第三方受损利益、实现协议目的的合理方式</w:t>
      </w:r>
      <w:r>
        <w:rPr>
          <w:rFonts w:hint="eastAsia" w:ascii="仿宋" w:hAnsi="仿宋" w:eastAsia="仿宋" w:cs="Times New Roman"/>
          <w:color w:val="000000"/>
          <w:sz w:val="24"/>
        </w:rPr>
        <w:t>，且不收取任何费用</w:t>
      </w:r>
      <w:r>
        <w:rPr>
          <w:rFonts w:ascii="仿宋" w:hAnsi="仿宋" w:eastAsia="仿宋" w:cs="Times New Roman"/>
          <w:color w:val="000000"/>
          <w:sz w:val="24"/>
        </w:rPr>
        <w:t>。</w:t>
      </w:r>
    </w:p>
    <w:p w14:paraId="6503B42B">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乙方采取上述措施不能免除乙方就甲方和</w:t>
      </w:r>
      <w:r>
        <w:rPr>
          <w:rFonts w:ascii="仿宋" w:hAnsi="仿宋" w:eastAsia="仿宋" w:cs="Times New Roman"/>
          <w:color w:val="000000"/>
          <w:sz w:val="24"/>
        </w:rPr>
        <w:t>/或采购方或其指定的第三方因此遭受的损失进行赔偿的义务。</w:t>
      </w:r>
    </w:p>
    <w:p w14:paraId="147101C0">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第十六条协议生效及其他</w:t>
      </w:r>
    </w:p>
    <w:p w14:paraId="352332AB">
      <w:pPr>
        <w:spacing w:line="360" w:lineRule="exact"/>
        <w:ind w:firstLine="424" w:firstLineChars="177"/>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.1</w:t>
      </w:r>
      <w:r>
        <w:rPr>
          <w:rFonts w:hint="eastAsia" w:ascii="仿宋" w:hAnsi="仿宋" w:eastAsia="仿宋" w:cs="Times New Roman"/>
          <w:color w:val="000000"/>
          <w:sz w:val="24"/>
        </w:rPr>
        <w:t>自双方签字盖章之日起生效；若使用电子印章的，自双方盖章之日起生效。本协议</w:t>
      </w:r>
      <w:r>
        <w:rPr>
          <w:rFonts w:ascii="仿宋" w:hAnsi="仿宋" w:eastAsia="仿宋" w:cs="Times New Roman"/>
          <w:color w:val="000000"/>
          <w:sz w:val="24"/>
        </w:rPr>
        <w:t>保持其有效直至双方已完全履行</w:t>
      </w:r>
      <w:r>
        <w:rPr>
          <w:rFonts w:hint="eastAsia" w:ascii="仿宋" w:hAnsi="仿宋" w:eastAsia="仿宋" w:cs="Times New Roman"/>
          <w:color w:val="000000"/>
          <w:sz w:val="24"/>
        </w:rPr>
        <w:t>协议</w:t>
      </w:r>
      <w:r>
        <w:rPr>
          <w:rFonts w:ascii="仿宋" w:hAnsi="仿宋" w:eastAsia="仿宋" w:cs="Times New Roman"/>
          <w:color w:val="000000"/>
          <w:sz w:val="24"/>
        </w:rPr>
        <w:t>项下的所有义务且双方之间的所有付款和索赔已结清</w:t>
      </w:r>
      <w:r>
        <w:rPr>
          <w:rFonts w:hint="eastAsia" w:ascii="仿宋" w:hAnsi="仿宋" w:eastAsia="仿宋" w:cs="Times New Roman"/>
          <w:color w:val="000000"/>
          <w:sz w:val="24"/>
        </w:rPr>
        <w:t>。</w:t>
      </w:r>
    </w:p>
    <w:p w14:paraId="6F80ABFA">
      <w:pPr>
        <w:spacing w:line="360" w:lineRule="exact"/>
        <w:ind w:firstLine="424" w:firstLineChars="177"/>
        <w:rPr>
          <w:rFonts w:ascii="仿宋" w:hAnsi="仿宋" w:eastAsia="仿宋" w:cs="Times New Roman"/>
          <w:color w:val="000000"/>
          <w:sz w:val="24"/>
        </w:rPr>
      </w:pPr>
      <w:r>
        <w:rPr>
          <w:rFonts w:hint="eastAsia" w:ascii="仿宋" w:hAnsi="仿宋" w:eastAsia="仿宋" w:cs="Times New Roman"/>
          <w:color w:val="000000"/>
          <w:sz w:val="24"/>
        </w:rPr>
        <w:t>若甲方加盖电子印章的，以加盖</w:t>
      </w:r>
      <w:r>
        <w:rPr>
          <w:rFonts w:ascii="仿宋" w:hAnsi="仿宋" w:eastAsia="仿宋" w:cs="Times New Roman"/>
          <w:color w:val="000000"/>
          <w:sz w:val="24"/>
        </w:rPr>
        <w:t>甲方电子印章的本</w:t>
      </w:r>
      <w:r>
        <w:rPr>
          <w:rFonts w:hint="eastAsia" w:ascii="仿宋" w:hAnsi="仿宋" w:eastAsia="仿宋" w:cs="Times New Roman"/>
          <w:color w:val="000000"/>
          <w:sz w:val="24"/>
        </w:rPr>
        <w:t>协议</w:t>
      </w:r>
      <w:r>
        <w:rPr>
          <w:rFonts w:ascii="仿宋" w:hAnsi="仿宋" w:eastAsia="仿宋" w:cs="Times New Roman"/>
          <w:color w:val="000000"/>
          <w:sz w:val="24"/>
        </w:rPr>
        <w:t>电子文档所载内容为准</w:t>
      </w:r>
      <w:r>
        <w:rPr>
          <w:rFonts w:hint="eastAsia" w:ascii="仿宋" w:hAnsi="仿宋" w:eastAsia="仿宋" w:cs="Times New Roman"/>
          <w:color w:val="000000"/>
          <w:sz w:val="24"/>
        </w:rPr>
        <w:t>。</w:t>
      </w:r>
    </w:p>
    <w:p w14:paraId="134FFD56">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.2</w:t>
      </w:r>
      <w:r>
        <w:rPr>
          <w:rFonts w:hint="eastAsia" w:ascii="仿宋" w:hAnsi="仿宋" w:eastAsia="仿宋" w:cs="Times New Roman"/>
          <w:color w:val="000000"/>
          <w:sz w:val="24"/>
        </w:rPr>
        <w:t>本协议</w:t>
      </w:r>
      <w:r>
        <w:rPr>
          <w:rFonts w:ascii="仿宋" w:hAnsi="仿宋" w:eastAsia="仿宋" w:cs="Times New Roman"/>
          <w:color w:val="000000"/>
          <w:sz w:val="24"/>
        </w:rPr>
        <w:t>附件</w:t>
      </w:r>
      <w:r>
        <w:rPr>
          <w:rFonts w:hint="eastAsia" w:ascii="仿宋" w:hAnsi="仿宋" w:eastAsia="仿宋" w:cs="Times New Roman"/>
          <w:color w:val="000000"/>
          <w:sz w:val="24"/>
        </w:rPr>
        <w:t>同时</w:t>
      </w:r>
      <w:r>
        <w:rPr>
          <w:rFonts w:ascii="仿宋" w:hAnsi="仿宋" w:eastAsia="仿宋" w:cs="Times New Roman"/>
          <w:color w:val="000000"/>
          <w:sz w:val="24"/>
        </w:rPr>
        <w:t>存在中文</w:t>
      </w:r>
      <w:r>
        <w:rPr>
          <w:rFonts w:hint="eastAsia" w:ascii="仿宋" w:hAnsi="仿宋" w:eastAsia="仿宋" w:cs="Times New Roman"/>
          <w:color w:val="000000"/>
          <w:sz w:val="24"/>
        </w:rPr>
        <w:t>和</w:t>
      </w:r>
      <w:r>
        <w:rPr>
          <w:rFonts w:ascii="仿宋" w:hAnsi="仿宋" w:eastAsia="仿宋" w:cs="Times New Roman"/>
          <w:color w:val="000000"/>
          <w:sz w:val="24"/>
        </w:rPr>
        <w:t>英文文本</w:t>
      </w:r>
      <w:r>
        <w:rPr>
          <w:rFonts w:hint="eastAsia" w:ascii="仿宋" w:hAnsi="仿宋" w:eastAsia="仿宋" w:cs="Times New Roman"/>
          <w:color w:val="000000"/>
          <w:sz w:val="24"/>
        </w:rPr>
        <w:t>的</w:t>
      </w:r>
      <w:r>
        <w:rPr>
          <w:rFonts w:ascii="仿宋" w:hAnsi="仿宋" w:eastAsia="仿宋" w:cs="Times New Roman"/>
          <w:color w:val="000000"/>
          <w:sz w:val="24"/>
        </w:rPr>
        <w:t>，中英文不一致时，以中文</w:t>
      </w:r>
      <w:r>
        <w:rPr>
          <w:rFonts w:hint="eastAsia" w:ascii="仿宋" w:hAnsi="仿宋" w:eastAsia="仿宋" w:cs="Times New Roman"/>
          <w:color w:val="000000"/>
          <w:sz w:val="24"/>
        </w:rPr>
        <w:t>文本</w:t>
      </w:r>
      <w:r>
        <w:rPr>
          <w:rFonts w:ascii="仿宋" w:hAnsi="仿宋" w:eastAsia="仿宋" w:cs="Times New Roman"/>
          <w:color w:val="000000"/>
          <w:sz w:val="24"/>
        </w:rPr>
        <w:t>为准</w:t>
      </w:r>
      <w:r>
        <w:rPr>
          <w:rFonts w:hint="eastAsia" w:ascii="仿宋" w:hAnsi="仿宋" w:eastAsia="仿宋" w:cs="Times New Roman"/>
          <w:color w:val="000000"/>
          <w:sz w:val="24"/>
        </w:rPr>
        <w:t>。</w:t>
      </w:r>
    </w:p>
    <w:p w14:paraId="2AEDAD33">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.3</w:t>
      </w:r>
      <w:r>
        <w:rPr>
          <w:rFonts w:hint="eastAsia" w:ascii="仿宋" w:hAnsi="仿宋" w:eastAsia="仿宋" w:cs="Times New Roman"/>
          <w:color w:val="000000"/>
          <w:sz w:val="24"/>
        </w:rPr>
        <w:t>本协议替代此前双方所有关于本协议事项的口头或书面的纪要、备忘录、合同、协议等法律文件。</w:t>
      </w:r>
    </w:p>
    <w:p w14:paraId="6C8139E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.4</w:t>
      </w:r>
      <w:r>
        <w:rPr>
          <w:rFonts w:hint="eastAsia" w:ascii="仿宋" w:hAnsi="仿宋" w:eastAsia="仿宋" w:cs="Times New Roman"/>
          <w:color w:val="000000"/>
          <w:sz w:val="24"/>
        </w:rPr>
        <w:t>乙</w:t>
      </w:r>
      <w:r>
        <w:rPr>
          <w:rFonts w:ascii="仿宋" w:hAnsi="仿宋" w:eastAsia="仿宋" w:cs="Times New Roman"/>
          <w:color w:val="000000"/>
          <w:sz w:val="24"/>
        </w:rPr>
        <w:t>方未得</w:t>
      </w:r>
      <w:r>
        <w:rPr>
          <w:rFonts w:hint="eastAsia" w:ascii="仿宋" w:hAnsi="仿宋" w:eastAsia="仿宋" w:cs="Times New Roman"/>
          <w:color w:val="000000"/>
          <w:sz w:val="24"/>
        </w:rPr>
        <w:t>甲</w:t>
      </w:r>
      <w:r>
        <w:rPr>
          <w:rFonts w:ascii="仿宋" w:hAnsi="仿宋" w:eastAsia="仿宋" w:cs="Times New Roman"/>
          <w:color w:val="000000"/>
          <w:sz w:val="24"/>
        </w:rPr>
        <w:t>方同意不得向任何第三方（不包括软件著作权人、甲方关联公司）披露本协议的签订及其内容。</w:t>
      </w:r>
    </w:p>
    <w:p w14:paraId="030CB52C">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.5对协议内容做出的任何修改和补充应为书面形式，由双方签字盖章后成为协议不可分割的部分。</w:t>
      </w:r>
    </w:p>
    <w:p w14:paraId="6BCF259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.6甲乙双方因履行本协议或与本协议有关的一切通知都应当按照本协议</w:t>
      </w:r>
      <w:r>
        <w:rPr>
          <w:rFonts w:hint="eastAsia" w:ascii="仿宋" w:hAnsi="仿宋" w:eastAsia="仿宋" w:cs="Times New Roman"/>
          <w:color w:val="000000"/>
          <w:sz w:val="24"/>
        </w:rPr>
        <w:t>中的地址，以书面信函或者传真或者电子邮件方式进行。其中：</w:t>
      </w:r>
    </w:p>
    <w:p w14:paraId="2B4596F7">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.6.1除本协议另有约定外，有关下述任一事项的通知，均应当采用书面信函形式作出，否则，该通知无效，不产生本协议项下的任何通知效力：</w:t>
      </w:r>
    </w:p>
    <w:p w14:paraId="0CB20B50">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1）与本协议费用及支付事宜有关的通知；</w:t>
      </w:r>
    </w:p>
    <w:p w14:paraId="442F9AD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2）与本协议违约事宜有关的通知；</w:t>
      </w:r>
    </w:p>
    <w:p w14:paraId="43AB5881">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3）与本协议终止、解除或变更事宜有关的通知；</w:t>
      </w:r>
    </w:p>
    <w:p w14:paraId="5BFD882D">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4）与本协议延续/续展有关的通知；</w:t>
      </w:r>
    </w:p>
    <w:p w14:paraId="556A7652">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 xml:space="preserve">5）[ </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w:t>
      </w:r>
    </w:p>
    <w:p w14:paraId="1DED9B0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.6.2本协议约定的各种通知方式的送达标准如下：</w:t>
      </w:r>
    </w:p>
    <w:p w14:paraId="1C1FCFFB">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1）如采用书面信函形式，应当使用挂号信或者具有良好信誉的特快专递送达，接受方签收挂号信或特快专递的时间（以邮局或快递公司系统记录为准）为通知送达时间；</w:t>
      </w:r>
    </w:p>
    <w:p w14:paraId="78AA1628">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2）如采用传真方式，传真到达接受方指定传真系统的时间为通知送达时间；</w:t>
      </w:r>
    </w:p>
    <w:p w14:paraId="6E9EAC8D">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3）如采用电子邮件方式，电子邮件到达接受方指定电子邮箱的时间为通知送达时间。</w:t>
      </w:r>
    </w:p>
    <w:p w14:paraId="6A4C6C57">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4</w:t>
      </w:r>
      <w:r>
        <w:rPr>
          <w:rFonts w:hint="eastAsia" w:ascii="仿宋" w:hAnsi="仿宋" w:eastAsia="仿宋" w:cs="Times New Roman"/>
          <w:color w:val="000000"/>
          <w:sz w:val="24"/>
        </w:rPr>
        <w:t>）如采用甲方供应商门户网站在线提交的方式，信息表单正式创建提交系统的时间为通知送达时间。如甲方供应商门户网站关闭或故障，双方应立即使用书面信函形式或者传真或者电子邮件方式进行通知。</w:t>
      </w:r>
    </w:p>
    <w:p w14:paraId="5D33DDD4">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如果因接受方原因（包括但不限于接受方拒收书面信函、接受方传真机关闭或故障、接受方电子邮箱地址不存在或者邮箱已满或者设置拒收等）导致通知发送失败，视为通知已经送达（发送方侧载明的书面信函寄出时间或者传真发送时间或者电子邮件发送时间视为通知送达时间）。</w:t>
      </w:r>
    </w:p>
    <w:p w14:paraId="5C0157D7">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.6.3本协议双方通知地址及方式如下：</w:t>
      </w:r>
    </w:p>
    <w:p w14:paraId="4446508A">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甲方：中国电信</w:t>
      </w:r>
      <w:r>
        <w:rPr>
          <w:rFonts w:ascii="仿宋" w:hAnsi="仿宋" w:eastAsia="仿宋" w:cs="Times New Roman"/>
          <w:color w:val="000000"/>
          <w:sz w:val="24"/>
        </w:rPr>
        <w:t xml:space="preserve">[ </w:t>
      </w:r>
      <w:r>
        <w:rPr>
          <w:rFonts w:hint="eastAsia" w:ascii="仿宋" w:hAnsi="仿宋" w:eastAsia="仿宋" w:cs="Times New Roman"/>
          <w:sz w:val="24"/>
          <w:lang w:val="en-US" w:eastAsia="zh-CN"/>
        </w:rPr>
        <w:t>股份有限公司遵义分</w:t>
      </w:r>
      <w:r>
        <w:rPr>
          <w:rFonts w:ascii="仿宋" w:hAnsi="仿宋" w:eastAsia="仿宋" w:cs="Times New Roman"/>
          <w:color w:val="000000"/>
          <w:sz w:val="24"/>
        </w:rPr>
        <w:t xml:space="preserve"> ]公司</w:t>
      </w:r>
    </w:p>
    <w:p w14:paraId="05E6C87A">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地</w:t>
      </w:r>
      <w:r>
        <w:rPr>
          <w:rFonts w:ascii="仿宋" w:hAnsi="仿宋" w:eastAsia="仿宋" w:cs="Times New Roman"/>
          <w:color w:val="000000"/>
          <w:sz w:val="24"/>
        </w:rPr>
        <w:t xml:space="preserve">  址：[ </w:t>
      </w:r>
      <w:r>
        <w:rPr>
          <w:rFonts w:hint="eastAsia" w:ascii="仿宋" w:hAnsi="仿宋" w:eastAsia="仿宋" w:cs="Times New Roman"/>
          <w:sz w:val="24"/>
        </w:rPr>
        <w:t>遵义市大兴路 249 号</w:t>
      </w:r>
      <w:r>
        <w:rPr>
          <w:rFonts w:ascii="仿宋" w:hAnsi="仿宋" w:eastAsia="仿宋" w:cs="Times New Roman"/>
          <w:color w:val="000000"/>
          <w:sz w:val="24"/>
        </w:rPr>
        <w:t xml:space="preserve"> ] </w:t>
      </w:r>
    </w:p>
    <w:p w14:paraId="7D7B8DE2">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联系人：</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陈妍</w:t>
      </w:r>
      <w:r>
        <w:rPr>
          <w:rFonts w:ascii="仿宋" w:hAnsi="仿宋" w:eastAsia="仿宋" w:cs="Times New Roman"/>
          <w:color w:val="000000"/>
          <w:sz w:val="24"/>
        </w:rPr>
        <w:t xml:space="preserve"> ]</w:t>
      </w:r>
    </w:p>
    <w:p w14:paraId="2980DB9C">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电话：</w:t>
      </w:r>
      <w:r>
        <w:rPr>
          <w:rFonts w:ascii="仿宋" w:hAnsi="仿宋" w:eastAsia="仿宋" w:cs="Times New Roman"/>
          <w:color w:val="000000"/>
          <w:sz w:val="24"/>
        </w:rPr>
        <w:t xml:space="preserve"> [ </w:t>
      </w:r>
      <w:r>
        <w:rPr>
          <w:rFonts w:hint="eastAsia" w:ascii="仿宋" w:hAnsi="仿宋" w:eastAsia="仿宋" w:cs="Times New Roman"/>
          <w:color w:val="000000"/>
          <w:sz w:val="24"/>
          <w:lang w:val="en-US" w:eastAsia="zh-CN"/>
        </w:rPr>
        <w:t>17708522288</w:t>
      </w:r>
      <w:r>
        <w:rPr>
          <w:rFonts w:ascii="仿宋" w:hAnsi="仿宋" w:eastAsia="仿宋" w:cs="Times New Roman"/>
          <w:color w:val="000000"/>
          <w:sz w:val="24"/>
        </w:rPr>
        <w:t xml:space="preserve"> ]</w:t>
      </w:r>
    </w:p>
    <w:p w14:paraId="20A3D07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传真：</w:t>
      </w:r>
      <w:r>
        <w:rPr>
          <w:rFonts w:ascii="仿宋" w:hAnsi="仿宋" w:eastAsia="仿宋" w:cs="Times New Roman"/>
          <w:color w:val="000000"/>
          <w:sz w:val="24"/>
        </w:rPr>
        <w:t xml:space="preserve"> [ </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w:t>
      </w:r>
    </w:p>
    <w:p w14:paraId="588BA007">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邮编：</w:t>
      </w:r>
      <w:r>
        <w:rPr>
          <w:rFonts w:ascii="仿宋" w:hAnsi="仿宋" w:eastAsia="仿宋" w:cs="Times New Roman"/>
          <w:color w:val="000000"/>
          <w:sz w:val="24"/>
        </w:rPr>
        <w:t xml:space="preserve"> [ </w:t>
      </w:r>
      <w:r>
        <w:rPr>
          <w:rFonts w:hint="eastAsia" w:ascii="仿宋" w:hAnsi="仿宋" w:eastAsia="仿宋" w:cs="Times New Roman"/>
          <w:color w:val="000000"/>
          <w:sz w:val="24"/>
          <w:lang w:val="en-US" w:eastAsia="zh-CN"/>
        </w:rPr>
        <w:t>563000</w:t>
      </w:r>
      <w:r>
        <w:rPr>
          <w:rFonts w:ascii="仿宋" w:hAnsi="仿宋" w:eastAsia="仿宋" w:cs="Times New Roman"/>
          <w:color w:val="000000"/>
          <w:sz w:val="24"/>
        </w:rPr>
        <w:t xml:space="preserve"> ]</w:t>
      </w:r>
    </w:p>
    <w:p w14:paraId="49F43D92">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电子邮箱：</w:t>
      </w:r>
      <w:r>
        <w:rPr>
          <w:rFonts w:ascii="仿宋" w:hAnsi="仿宋" w:eastAsia="仿宋" w:cs="Times New Roman"/>
          <w:color w:val="000000"/>
          <w:sz w:val="24"/>
        </w:rPr>
        <w:t xml:space="preserve">[ </w:t>
      </w:r>
      <w:r>
        <w:rPr>
          <w:rFonts w:hint="eastAsia" w:ascii="仿宋" w:hAnsi="仿宋" w:eastAsia="仿宋" w:cs="Times New Roman"/>
          <w:sz w:val="24"/>
          <w:lang w:val="en-US" w:eastAsia="zh-CN"/>
        </w:rPr>
        <w:t>cheny139@chinatelecom.cn</w:t>
      </w:r>
      <w:r>
        <w:rPr>
          <w:rFonts w:ascii="仿宋" w:hAnsi="仿宋" w:eastAsia="仿宋" w:cs="Times New Roman"/>
          <w:color w:val="000000"/>
          <w:sz w:val="24"/>
        </w:rPr>
        <w:t xml:space="preserve"> ]</w:t>
      </w:r>
    </w:p>
    <w:p w14:paraId="1E95A57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乙方：</w:t>
      </w:r>
      <w:r>
        <w:rPr>
          <w:rFonts w:ascii="仿宋" w:hAnsi="仿宋" w:eastAsia="仿宋" w:cs="Times New Roman"/>
          <w:color w:val="000000"/>
          <w:sz w:val="24"/>
        </w:rPr>
        <w:t>[  ]</w:t>
      </w:r>
    </w:p>
    <w:p w14:paraId="196DDB5A">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地址：</w:t>
      </w:r>
      <w:r>
        <w:rPr>
          <w:rFonts w:ascii="仿宋" w:hAnsi="仿宋" w:eastAsia="仿宋" w:cs="Times New Roman"/>
          <w:color w:val="000000"/>
          <w:sz w:val="24"/>
        </w:rPr>
        <w:t>[  ]</w:t>
      </w:r>
    </w:p>
    <w:p w14:paraId="68DC380E">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联系人：</w:t>
      </w:r>
      <w:r>
        <w:rPr>
          <w:rFonts w:ascii="仿宋" w:hAnsi="仿宋" w:eastAsia="仿宋" w:cs="Times New Roman"/>
          <w:color w:val="000000"/>
          <w:sz w:val="24"/>
        </w:rPr>
        <w:t>[  ]</w:t>
      </w:r>
    </w:p>
    <w:p w14:paraId="40006A3C">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电话：</w:t>
      </w:r>
      <w:r>
        <w:rPr>
          <w:rFonts w:ascii="仿宋" w:hAnsi="仿宋" w:eastAsia="仿宋" w:cs="Times New Roman"/>
          <w:color w:val="000000"/>
          <w:sz w:val="24"/>
        </w:rPr>
        <w:t>[  ]</w:t>
      </w:r>
    </w:p>
    <w:p w14:paraId="552324C0">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传真：</w:t>
      </w:r>
      <w:r>
        <w:rPr>
          <w:rFonts w:ascii="仿宋" w:hAnsi="仿宋" w:eastAsia="仿宋" w:cs="Times New Roman"/>
          <w:color w:val="000000"/>
          <w:sz w:val="24"/>
        </w:rPr>
        <w:t>[  ]</w:t>
      </w:r>
    </w:p>
    <w:p w14:paraId="2982033C">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邮编：</w:t>
      </w:r>
      <w:r>
        <w:rPr>
          <w:rFonts w:ascii="仿宋" w:hAnsi="仿宋" w:eastAsia="仿宋" w:cs="Times New Roman"/>
          <w:color w:val="000000"/>
          <w:sz w:val="24"/>
        </w:rPr>
        <w:t>[  ]</w:t>
      </w:r>
    </w:p>
    <w:p w14:paraId="1CCA076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电子邮箱：</w:t>
      </w:r>
      <w:r>
        <w:rPr>
          <w:rFonts w:ascii="仿宋" w:hAnsi="仿宋" w:eastAsia="仿宋" w:cs="Times New Roman"/>
          <w:color w:val="000000"/>
          <w:sz w:val="24"/>
        </w:rPr>
        <w:t>[  ]</w:t>
      </w:r>
    </w:p>
    <w:p w14:paraId="61314AE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上述任何信息发生变更的，变更方应及时以书面形式通知另一方，未及时通知并影响本协议履行或造成损失的，应承担相应的责任。</w:t>
      </w:r>
    </w:p>
    <w:p w14:paraId="3FD9FF30">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.7未得到</w:t>
      </w:r>
      <w:r>
        <w:rPr>
          <w:rFonts w:hint="eastAsia" w:ascii="仿宋" w:hAnsi="仿宋" w:eastAsia="仿宋" w:cs="Times New Roman"/>
          <w:color w:val="000000"/>
          <w:sz w:val="24"/>
        </w:rPr>
        <w:t>甲</w:t>
      </w:r>
      <w:r>
        <w:rPr>
          <w:rFonts w:ascii="仿宋" w:hAnsi="仿宋" w:eastAsia="仿宋" w:cs="Times New Roman"/>
          <w:color w:val="000000"/>
          <w:sz w:val="24"/>
        </w:rPr>
        <w:t>方的书面许可，</w:t>
      </w:r>
      <w:r>
        <w:rPr>
          <w:rFonts w:hint="eastAsia" w:ascii="仿宋" w:hAnsi="仿宋" w:eastAsia="仿宋" w:cs="Times New Roman"/>
          <w:color w:val="000000"/>
          <w:sz w:val="24"/>
        </w:rPr>
        <w:t>乙</w:t>
      </w:r>
      <w:r>
        <w:rPr>
          <w:rFonts w:ascii="仿宋" w:hAnsi="仿宋" w:eastAsia="仿宋" w:cs="Times New Roman"/>
          <w:color w:val="000000"/>
          <w:sz w:val="24"/>
        </w:rPr>
        <w:t>方均不得以广告或在公共场合使用或摹仿对方的商业名称、商标、图案、服务标志、符号、代码、型号或缩写，</w:t>
      </w:r>
      <w:r>
        <w:rPr>
          <w:rFonts w:hint="eastAsia" w:ascii="仿宋" w:hAnsi="仿宋" w:eastAsia="仿宋" w:cs="Times New Roman"/>
          <w:color w:val="000000"/>
          <w:sz w:val="24"/>
        </w:rPr>
        <w:t>乙方不得声称对甲方的商业名称、商标、图案、服务标志、符号、代码、型号或缩写拥有所有权。</w:t>
      </w:r>
    </w:p>
    <w:p w14:paraId="426712F0">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.8本协议各条标题仅为提示之用，应以条文内容确定各方的权利义务。</w:t>
      </w:r>
    </w:p>
    <w:p w14:paraId="6C7B636A">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.9如果本协议的任何条款在任何时候变成不合法、无效或不可强制执行而不从根本上影响本协议的效力时，本协议的其</w:t>
      </w:r>
      <w:r>
        <w:rPr>
          <w:rFonts w:hint="eastAsia" w:ascii="仿宋" w:hAnsi="仿宋" w:eastAsia="仿宋" w:cs="Times New Roman"/>
          <w:color w:val="000000"/>
          <w:sz w:val="24"/>
        </w:rPr>
        <w:t>他</w:t>
      </w:r>
      <w:r>
        <w:rPr>
          <w:rFonts w:ascii="仿宋" w:hAnsi="仿宋" w:eastAsia="仿宋" w:cs="Times New Roman"/>
          <w:color w:val="000000"/>
          <w:sz w:val="24"/>
        </w:rPr>
        <w:t>条款不受影响。</w:t>
      </w:r>
    </w:p>
    <w:p w14:paraId="1911B357">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.10本协议的任何内容不应被视为或解释为双方之间具有合资、合伙、代理关系。</w:t>
      </w:r>
    </w:p>
    <w:p w14:paraId="2F827B2A">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.11未经甲方书面同意，乙方</w:t>
      </w:r>
      <w:r>
        <w:rPr>
          <w:rFonts w:hint="eastAsia" w:ascii="仿宋" w:hAnsi="仿宋" w:eastAsia="仿宋" w:cs="Times New Roman"/>
          <w:color w:val="000000"/>
          <w:sz w:val="24"/>
        </w:rPr>
        <w:t>不得向第三方转让全部或部分权利，也不得以包括但不限于保理、质押等形式进行处分本协议项下的权利</w:t>
      </w:r>
      <w:r>
        <w:rPr>
          <w:rFonts w:ascii="仿宋" w:hAnsi="仿宋" w:eastAsia="仿宋" w:cs="Times New Roman"/>
          <w:color w:val="000000"/>
          <w:sz w:val="24"/>
        </w:rPr>
        <w:t>。</w:t>
      </w:r>
    </w:p>
    <w:p w14:paraId="29B560BB">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.12</w:t>
      </w:r>
      <w:r>
        <w:rPr>
          <w:rFonts w:hint="eastAsia" w:ascii="仿宋" w:hAnsi="仿宋" w:eastAsia="仿宋" w:cs="Times New Roman"/>
          <w:color w:val="000000"/>
          <w:sz w:val="24"/>
        </w:rPr>
        <w:t>乙方保证乙方和/或其所代表的制造商（如有）、软件著作权人（如有）、知识产权权利人（如有）</w:t>
      </w:r>
      <w:r>
        <w:rPr>
          <w:rFonts w:hint="eastAsia" w:ascii="仿宋" w:hAnsi="仿宋" w:eastAsia="仿宋" w:cs="仿宋"/>
          <w:sz w:val="24"/>
        </w:rPr>
        <w:t>等第三方</w:t>
      </w:r>
      <w:r>
        <w:rPr>
          <w:rFonts w:ascii="仿宋" w:hAnsi="仿宋" w:eastAsia="仿宋" w:cs="Times New Roman"/>
          <w:sz w:val="24"/>
        </w:rPr>
        <w:t>接受不时修订的《中国电信供应商不良行为管理规则》（</w:t>
      </w:r>
      <w:r>
        <w:rPr>
          <w:rFonts w:hint="eastAsia" w:ascii="仿宋" w:hAnsi="仿宋" w:eastAsia="仿宋" w:cs="Times New Roman"/>
          <w:sz w:val="24"/>
        </w:rPr>
        <w:t>发布于“中国电信阳光采购网”[</w:t>
      </w:r>
      <w:r>
        <w:rPr>
          <w:rFonts w:ascii="仿宋" w:hAnsi="仿宋" w:eastAsia="仿宋" w:cs="Times New Roman"/>
          <w:sz w:val="24"/>
        </w:rPr>
        <w:t>https://caigou.chinatelecom.com.cn/MSS-PORTAL/account/login.do]），甲方有权按照《中国电信供应商不良行为管理规则》，对乙方和/或其代表的制造商（如有）、软件著作权人（如有）、知识产权权利人（如有）</w:t>
      </w:r>
      <w:r>
        <w:rPr>
          <w:rFonts w:hint="eastAsia" w:ascii="仿宋" w:hAnsi="仿宋" w:eastAsia="仿宋" w:cs="仿宋"/>
          <w:sz w:val="24"/>
        </w:rPr>
        <w:t>等第三方</w:t>
      </w:r>
      <w:r>
        <w:rPr>
          <w:rFonts w:ascii="仿宋" w:hAnsi="仿宋" w:eastAsia="仿宋" w:cs="Times New Roman"/>
          <w:sz w:val="24"/>
        </w:rPr>
        <w:t>进行不良行为管理和处理。</w:t>
      </w:r>
    </w:p>
    <w:p w14:paraId="7162A09E">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.13</w:t>
      </w:r>
      <w:r>
        <w:rPr>
          <w:rFonts w:hint="eastAsia" w:ascii="仿宋" w:hAnsi="仿宋" w:eastAsia="仿宋" w:cs="Times New Roman"/>
          <w:color w:val="000000"/>
          <w:sz w:val="24"/>
        </w:rPr>
        <w:t>双方同意，下述文件是本协议不可分割的组成部分，并与本协议文件一起阅读和解释：</w:t>
      </w:r>
    </w:p>
    <w:p w14:paraId="1351E5C0">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1）本</w:t>
      </w:r>
      <w:r>
        <w:rPr>
          <w:rFonts w:hint="eastAsia" w:ascii="仿宋" w:hAnsi="仿宋" w:eastAsia="仿宋" w:cs="Times New Roman"/>
          <w:color w:val="000000"/>
          <w:sz w:val="24"/>
        </w:rPr>
        <w:t>协议</w:t>
      </w:r>
      <w:r>
        <w:rPr>
          <w:rFonts w:ascii="仿宋" w:hAnsi="仿宋" w:eastAsia="仿宋" w:cs="Times New Roman"/>
          <w:color w:val="000000"/>
          <w:sz w:val="24"/>
        </w:rPr>
        <w:t>正文；</w:t>
      </w:r>
    </w:p>
    <w:p w14:paraId="1E5258E8">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w:t>
      </w:r>
      <w:r>
        <w:rPr>
          <w:rFonts w:hint="eastAsia" w:ascii="仿宋" w:hAnsi="仿宋" w:eastAsia="仿宋" w:cs="Times New Roman"/>
          <w:color w:val="000000"/>
          <w:sz w:val="24"/>
        </w:rPr>
        <w:t>协议</w:t>
      </w:r>
      <w:r>
        <w:rPr>
          <w:rFonts w:ascii="仿宋" w:hAnsi="仿宋" w:eastAsia="仿宋" w:cs="Times New Roman"/>
          <w:color w:val="000000"/>
          <w:sz w:val="24"/>
        </w:rPr>
        <w:t xml:space="preserve">附件； </w:t>
      </w:r>
    </w:p>
    <w:p w14:paraId="1950F58E">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3）订单；</w:t>
      </w:r>
    </w:p>
    <w:p w14:paraId="61F1AD29">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 xml:space="preserve">4）中标/中选/成交通知书； </w:t>
      </w:r>
    </w:p>
    <w:p w14:paraId="3C65ED58">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5）投标文件/参选文件/应答文件；</w:t>
      </w:r>
    </w:p>
    <w:p w14:paraId="2FAC933E">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6）其</w:t>
      </w:r>
      <w:r>
        <w:rPr>
          <w:rFonts w:hint="eastAsia" w:ascii="仿宋" w:hAnsi="仿宋" w:eastAsia="仿宋" w:cs="Times New Roman"/>
          <w:color w:val="000000"/>
          <w:sz w:val="24"/>
        </w:rPr>
        <w:t>他</w:t>
      </w:r>
      <w:r>
        <w:rPr>
          <w:rFonts w:ascii="仿宋" w:hAnsi="仿宋" w:eastAsia="仿宋" w:cs="Times New Roman"/>
          <w:color w:val="000000"/>
          <w:sz w:val="24"/>
        </w:rPr>
        <w:t>明确双方权利义务的协议性文件。</w:t>
      </w:r>
    </w:p>
    <w:p w14:paraId="23E3F7F5">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上述各文件彼此相互解释、相互补充，如在上述文件之间出现含糊或冲突之处，就同一事项的解释，应以本条上述排列次序在先的文件所表述的意思为准；当同一顺序的多份文件之间发生内容冲突时，应以文件形成时间较后的为准。对于同一类协议文件，以其最新版本为准。</w:t>
      </w:r>
    </w:p>
    <w:p w14:paraId="350291B2">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16.13本协议附件为：</w:t>
      </w:r>
    </w:p>
    <w:p w14:paraId="45C9419C">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附件一报价表</w:t>
      </w:r>
    </w:p>
    <w:p w14:paraId="7BB1AC4E">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附件二技术规范书</w:t>
      </w:r>
    </w:p>
    <w:p w14:paraId="556A89B9">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附件三[</w:t>
      </w:r>
      <w:r>
        <w:rPr>
          <w:rFonts w:hint="eastAsia" w:ascii="仿宋" w:hAnsi="仿宋" w:eastAsia="仿宋" w:cs="Times New Roman"/>
          <w:color w:val="000000"/>
          <w:sz w:val="24"/>
          <w:lang w:eastAsia="zh-CN"/>
        </w:rPr>
        <w:t>2025年中国电信遵义分公司数据库框架物资采购</w:t>
      </w:r>
      <w:r>
        <w:rPr>
          <w:rFonts w:hint="eastAsia" w:ascii="仿宋" w:hAnsi="仿宋" w:eastAsia="仿宋" w:cs="Times New Roman"/>
          <w:color w:val="000000"/>
          <w:sz w:val="24"/>
        </w:rPr>
        <w:t>]订单</w:t>
      </w:r>
    </w:p>
    <w:p w14:paraId="55E75D69">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附件四</w:t>
      </w:r>
      <w:r>
        <w:rPr>
          <w:rFonts w:hint="eastAsia" w:ascii="仿宋" w:hAnsi="仿宋" w:eastAsia="仿宋" w:cs="Times New Roman"/>
          <w:color w:val="000000"/>
          <w:sz w:val="24"/>
        </w:rPr>
        <w:tab/>
      </w:r>
      <w:r>
        <w:rPr>
          <w:rFonts w:hint="eastAsia" w:ascii="仿宋" w:hAnsi="仿宋" w:eastAsia="仿宋" w:cs="Times New Roman"/>
          <w:color w:val="000000"/>
          <w:sz w:val="24"/>
        </w:rPr>
        <w:t>保密承诺函</w:t>
      </w:r>
    </w:p>
    <w:p w14:paraId="70549741">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附件五 安全生产管理责任书</w:t>
      </w:r>
    </w:p>
    <w:p w14:paraId="6B722022">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附件六 网络及信息安全承诺书</w:t>
      </w:r>
    </w:p>
    <w:p w14:paraId="3408E98F">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附件七 服务项目人员名单</w:t>
      </w:r>
    </w:p>
    <w:p w14:paraId="25DBA652">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 xml:space="preserve">附件八 响应文件正偏离信息表 </w:t>
      </w:r>
    </w:p>
    <w:p w14:paraId="1D57F75B">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附件九 外部组件软件成分信息清单</w:t>
      </w:r>
    </w:p>
    <w:p w14:paraId="3DFDEA1C">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附件十 软件许可使用权证书或其他软件许可使用文件</w:t>
      </w:r>
    </w:p>
    <w:p w14:paraId="11094FD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附件十一 廉洁协议</w:t>
      </w:r>
    </w:p>
    <w:p w14:paraId="168E4B1F">
      <w:pPr>
        <w:spacing w:line="360" w:lineRule="exact"/>
        <w:ind w:firstLine="480" w:firstLineChars="200"/>
        <w:jc w:val="center"/>
        <w:rPr>
          <w:rFonts w:ascii="仿宋" w:hAnsi="仿宋" w:eastAsia="仿宋" w:cs="Times New Roman"/>
          <w:b/>
          <w:color w:val="000000"/>
          <w:sz w:val="24"/>
        </w:rPr>
      </w:pPr>
      <w:r>
        <w:rPr>
          <w:rFonts w:hint="eastAsia" w:ascii="仿宋" w:hAnsi="仿宋" w:eastAsia="仿宋" w:cs="Times New Roman"/>
          <w:b/>
          <w:color w:val="000000"/>
          <w:sz w:val="24"/>
        </w:rPr>
        <w:t>补充附页</w:t>
      </w:r>
    </w:p>
    <w:p w14:paraId="24B6A2ED">
      <w:pPr>
        <w:spacing w:line="360" w:lineRule="exact"/>
        <w:rPr>
          <w:rFonts w:hint="eastAsia" w:ascii="仿宋" w:hAnsi="仿宋" w:eastAsia="仿宋" w:cs="仿宋"/>
          <w:sz w:val="24"/>
        </w:rPr>
      </w:pPr>
      <w:r>
        <w:rPr>
          <w:rFonts w:hint="eastAsia" w:ascii="仿宋" w:hAnsi="仿宋" w:eastAsia="仿宋" w:cs="Times New Roman"/>
          <w:color w:val="000000"/>
          <w:sz w:val="24"/>
        </w:rPr>
        <w:t>经友好协商，对本协议条款补充、修改如下，本补充附页为协议正文的一部分，与协议正文冲突时，以本补充附页为准：</w:t>
      </w:r>
      <w:r>
        <w:rPr>
          <w:rFonts w:ascii="仿宋" w:hAnsi="仿宋" w:eastAsia="仿宋" w:cs="Times New Roman"/>
          <w:color w:val="000000"/>
          <w:sz w:val="24"/>
        </w:rPr>
        <w:t xml:space="preserve">[ </w:t>
      </w:r>
      <w:r>
        <w:rPr>
          <w:rFonts w:hint="eastAsia" w:ascii="仿宋" w:hAnsi="仿宋" w:eastAsia="仿宋" w:cs="仿宋"/>
          <w:sz w:val="24"/>
        </w:rPr>
        <w:t>经友好协商，对本合同条款补充、修改如下，本补充附页为合同正文的一部分，与合同正文冲突时，以本补充附页为准：合同双方确认，本合同一方不得向任何第三方转让本合同项下的债权，本合同另一方书面同意的除外。</w:t>
      </w:r>
    </w:p>
    <w:p w14:paraId="7F1678DD">
      <w:pPr>
        <w:spacing w:line="360" w:lineRule="exact"/>
        <w:ind w:firstLine="480" w:firstLineChars="200"/>
        <w:rPr>
          <w:rFonts w:ascii="仿宋" w:hAnsi="仿宋" w:eastAsia="仿宋" w:cs="Times New Roman"/>
          <w:color w:val="000000"/>
          <w:sz w:val="24"/>
        </w:rPr>
      </w:pPr>
      <w:r>
        <w:rPr>
          <w:rFonts w:hint="eastAsia" w:ascii="仿宋" w:hAnsi="仿宋" w:eastAsia="仿宋" w:cs="仿宋"/>
          <w:sz w:val="24"/>
        </w:rPr>
        <w:t xml:space="preserve">      组成本合同的文件包括：1.本合同协议书；2.中标通知书；3.甲方在采购过程中发布的采购文件；4.乙方在采购过程中的应答文件；5.双方因项目洽商、变更等事项的其他书面协议或文件。上述各文件彼此相互解释、相互补充，如在上述文件之间出现意思不明或冲突之处，就同一事项的解释，应以本条上述排列次序在先的文件所表述的意思为准；当同一顺序的多份文件之间发生内容</w:t>
      </w:r>
      <w:r>
        <w:rPr>
          <w:rFonts w:hint="eastAsia" w:ascii="仿宋" w:hAnsi="仿宋" w:eastAsia="仿宋" w:cs="Times New Roman"/>
          <w:color w:val="000000"/>
          <w:sz w:val="24"/>
        </w:rPr>
        <w:t>冲突时，应以文件形成时间较后的为准。对于同一类合同文件，以其最新版本为准。</w:t>
      </w:r>
      <w:r>
        <w:rPr>
          <w:rFonts w:ascii="仿宋" w:hAnsi="仿宋" w:eastAsia="仿宋" w:cs="Times New Roman"/>
          <w:color w:val="000000"/>
          <w:sz w:val="24"/>
        </w:rPr>
        <w:t>]</w:t>
      </w:r>
    </w:p>
    <w:p w14:paraId="7719D827">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b/>
          <w:bCs/>
          <w:sz w:val="24"/>
        </w:rPr>
        <w:t>★其他:</w:t>
      </w:r>
      <w:r>
        <w:rPr>
          <w:rFonts w:hint="eastAsia" w:ascii="仿宋" w:hAnsi="仿宋" w:eastAsia="仿宋" w:cs="Times New Roman"/>
          <w:b/>
          <w:bCs/>
          <w:sz w:val="24"/>
          <w:lang w:val="en-US" w:eastAsia="zh-CN"/>
        </w:rPr>
        <w:t>服务</w:t>
      </w:r>
      <w:r>
        <w:rPr>
          <w:rFonts w:hint="eastAsia" w:ascii="仿宋" w:hAnsi="仿宋" w:eastAsia="仿宋" w:cs="Times New Roman"/>
          <w:b/>
          <w:bCs/>
          <w:sz w:val="24"/>
        </w:rPr>
        <w:t>人员名单需作为合同附件，名单内人员变更需经甲方书面同意。</w:t>
      </w:r>
      <w:r>
        <w:rPr>
          <w:rFonts w:ascii="仿宋" w:hAnsi="仿宋" w:eastAsia="仿宋" w:cs="Times New Roman"/>
          <w:color w:val="000000"/>
          <w:sz w:val="24"/>
        </w:rPr>
        <w:t xml:space="preserve"> ]</w:t>
      </w:r>
    </w:p>
    <w:p w14:paraId="117AEF33">
      <w:pPr>
        <w:spacing w:line="360" w:lineRule="exact"/>
        <w:jc w:val="center"/>
        <w:rPr>
          <w:rFonts w:ascii="仿宋" w:hAnsi="仿宋" w:eastAsia="仿宋" w:cs="Times New Roman"/>
          <w:color w:val="000000"/>
          <w:sz w:val="24"/>
        </w:rPr>
      </w:pPr>
      <w:r>
        <w:rPr>
          <w:rFonts w:ascii="仿宋" w:hAnsi="仿宋" w:eastAsia="仿宋" w:cs="Times New Roman"/>
          <w:color w:val="000000"/>
          <w:sz w:val="24"/>
        </w:rPr>
        <w:br w:type="page"/>
      </w:r>
      <w:r>
        <w:rPr>
          <w:rFonts w:ascii="仿宋" w:hAnsi="仿宋" w:eastAsia="仿宋" w:cs="Times New Roman"/>
          <w:color w:val="000000"/>
          <w:sz w:val="24"/>
        </w:rPr>
        <w:t>（</w:t>
      </w:r>
      <w:r>
        <w:rPr>
          <w:rFonts w:hint="eastAsia" w:ascii="仿宋" w:hAnsi="仿宋" w:eastAsia="仿宋" w:cs="Times New Roman"/>
          <w:color w:val="000000"/>
          <w:sz w:val="24"/>
        </w:rPr>
        <w:t>此页无正文</w:t>
      </w:r>
      <w:r>
        <w:rPr>
          <w:rFonts w:ascii="仿宋" w:hAnsi="仿宋" w:eastAsia="仿宋" w:cs="Times New Roman"/>
          <w:color w:val="000000"/>
          <w:sz w:val="24"/>
        </w:rPr>
        <w:t>）</w:t>
      </w:r>
    </w:p>
    <w:p w14:paraId="16FF20CD">
      <w:pPr>
        <w:spacing w:line="360" w:lineRule="exact"/>
        <w:rPr>
          <w:rFonts w:ascii="仿宋" w:hAnsi="仿宋" w:eastAsia="仿宋" w:cs="Times New Roman"/>
          <w:color w:val="000000"/>
          <w:sz w:val="24"/>
        </w:rPr>
      </w:pPr>
    </w:p>
    <w:p w14:paraId="6196B79F">
      <w:pPr>
        <w:spacing w:line="360" w:lineRule="exact"/>
        <w:rPr>
          <w:rFonts w:ascii="仿宋" w:hAnsi="仿宋" w:eastAsia="仿宋" w:cs="Times New Roman"/>
          <w:color w:val="000000"/>
          <w:sz w:val="24"/>
        </w:rPr>
      </w:pPr>
      <w:r>
        <w:rPr>
          <w:rFonts w:hint="eastAsia" w:ascii="仿宋" w:hAnsi="仿宋" w:eastAsia="仿宋" w:cs="Times New Roman"/>
          <w:color w:val="000000"/>
          <w:sz w:val="24"/>
        </w:rPr>
        <w:t>甲方：中国电信</w:t>
      </w:r>
      <w:r>
        <w:rPr>
          <w:rFonts w:ascii="仿宋" w:hAnsi="仿宋" w:eastAsia="仿宋" w:cs="Times New Roman"/>
          <w:color w:val="000000"/>
          <w:sz w:val="24"/>
        </w:rPr>
        <w:t>[</w:t>
      </w:r>
      <w:r>
        <w:rPr>
          <w:rFonts w:hint="eastAsia" w:ascii="仿宋" w:hAnsi="仿宋" w:eastAsia="仿宋" w:cs="Times New Roman"/>
          <w:sz w:val="24"/>
          <w:lang w:val="en-US" w:eastAsia="zh-CN"/>
        </w:rPr>
        <w:t>股份有限公司遵义分</w:t>
      </w:r>
      <w:r>
        <w:rPr>
          <w:rFonts w:ascii="仿宋" w:hAnsi="仿宋" w:eastAsia="仿宋" w:cs="Times New Roman"/>
          <w:color w:val="000000"/>
          <w:sz w:val="24"/>
        </w:rPr>
        <w:t xml:space="preserve"> ]公司</w:t>
      </w:r>
    </w:p>
    <w:p w14:paraId="14C74563">
      <w:pPr>
        <w:spacing w:line="360" w:lineRule="exact"/>
        <w:rPr>
          <w:rFonts w:ascii="仿宋" w:hAnsi="仿宋" w:eastAsia="仿宋" w:cs="Times New Roman"/>
          <w:color w:val="000000"/>
          <w:sz w:val="24"/>
        </w:rPr>
      </w:pPr>
      <w:r>
        <w:rPr>
          <w:rFonts w:hint="eastAsia" w:ascii="仿宋" w:hAnsi="仿宋" w:eastAsia="仿宋" w:cs="Times New Roman"/>
          <w:color w:val="000000"/>
          <w:sz w:val="24"/>
        </w:rPr>
        <w:t>法定代表人</w:t>
      </w:r>
      <w:r>
        <w:rPr>
          <w:rFonts w:ascii="仿宋" w:hAnsi="仿宋" w:eastAsia="仿宋" w:cs="Times New Roman"/>
          <w:color w:val="000000"/>
          <w:sz w:val="24"/>
        </w:rPr>
        <w:t>/负责人</w:t>
      </w:r>
    </w:p>
    <w:p w14:paraId="1CF4226F">
      <w:pPr>
        <w:spacing w:line="360" w:lineRule="exact"/>
        <w:rPr>
          <w:rFonts w:ascii="仿宋" w:hAnsi="仿宋" w:eastAsia="仿宋" w:cs="Times New Roman"/>
          <w:color w:val="000000"/>
          <w:sz w:val="24"/>
        </w:rPr>
      </w:pPr>
      <w:r>
        <w:rPr>
          <w:rFonts w:hint="eastAsia" w:ascii="仿宋" w:hAnsi="仿宋" w:eastAsia="仿宋" w:cs="Times New Roman"/>
          <w:color w:val="000000"/>
          <w:sz w:val="24"/>
        </w:rPr>
        <w:t>或授权代表（签字）：</w:t>
      </w:r>
    </w:p>
    <w:p w14:paraId="235FA43A">
      <w:pPr>
        <w:spacing w:line="360" w:lineRule="exact"/>
        <w:rPr>
          <w:rFonts w:ascii="仿宋" w:hAnsi="仿宋" w:eastAsia="仿宋" w:cs="Times New Roman"/>
          <w:color w:val="000000"/>
          <w:sz w:val="24"/>
        </w:rPr>
      </w:pPr>
    </w:p>
    <w:p w14:paraId="23EC83DD">
      <w:pPr>
        <w:spacing w:line="360" w:lineRule="exact"/>
        <w:rPr>
          <w:rFonts w:ascii="仿宋" w:hAnsi="仿宋" w:eastAsia="仿宋" w:cs="Times New Roman"/>
          <w:color w:val="000000"/>
          <w:sz w:val="24"/>
        </w:rPr>
      </w:pPr>
    </w:p>
    <w:p w14:paraId="5432521C">
      <w:pPr>
        <w:spacing w:line="360" w:lineRule="exact"/>
        <w:rPr>
          <w:rFonts w:ascii="仿宋" w:hAnsi="仿宋" w:eastAsia="仿宋" w:cs="Times New Roman"/>
          <w:color w:val="000000"/>
          <w:sz w:val="24"/>
        </w:rPr>
      </w:pPr>
    </w:p>
    <w:p w14:paraId="3D831091">
      <w:pPr>
        <w:spacing w:line="360" w:lineRule="exact"/>
        <w:rPr>
          <w:rFonts w:ascii="仿宋" w:hAnsi="仿宋" w:eastAsia="仿宋" w:cs="Times New Roman"/>
          <w:color w:val="000000"/>
          <w:sz w:val="24"/>
        </w:rPr>
      </w:pPr>
      <w:r>
        <w:rPr>
          <w:rFonts w:hint="eastAsia" w:ascii="仿宋" w:hAnsi="仿宋" w:eastAsia="仿宋" w:cs="Times New Roman"/>
          <w:color w:val="000000"/>
          <w:sz w:val="24"/>
        </w:rPr>
        <w:t>乙方：</w:t>
      </w:r>
    </w:p>
    <w:p w14:paraId="610B068D">
      <w:pPr>
        <w:spacing w:line="360" w:lineRule="exact"/>
        <w:rPr>
          <w:rFonts w:ascii="仿宋" w:hAnsi="仿宋" w:eastAsia="仿宋" w:cs="Times New Roman"/>
          <w:color w:val="000000"/>
          <w:sz w:val="24"/>
        </w:rPr>
      </w:pPr>
      <w:r>
        <w:rPr>
          <w:rFonts w:hint="eastAsia" w:ascii="仿宋" w:hAnsi="仿宋" w:eastAsia="仿宋" w:cs="Times New Roman"/>
          <w:color w:val="000000"/>
          <w:sz w:val="24"/>
        </w:rPr>
        <w:t>法定代表人</w:t>
      </w:r>
      <w:r>
        <w:rPr>
          <w:rFonts w:ascii="仿宋" w:hAnsi="仿宋" w:eastAsia="仿宋" w:cs="Times New Roman"/>
          <w:color w:val="000000"/>
          <w:sz w:val="24"/>
        </w:rPr>
        <w:t>/负责人</w:t>
      </w:r>
    </w:p>
    <w:p w14:paraId="04D6B907">
      <w:pPr>
        <w:spacing w:line="360" w:lineRule="exact"/>
        <w:rPr>
          <w:rFonts w:ascii="仿宋" w:hAnsi="仿宋" w:eastAsia="仿宋" w:cs="Times New Roman"/>
          <w:color w:val="000000"/>
          <w:sz w:val="24"/>
        </w:rPr>
      </w:pPr>
      <w:r>
        <w:rPr>
          <w:rFonts w:hint="eastAsia" w:ascii="仿宋" w:hAnsi="仿宋" w:eastAsia="仿宋" w:cs="Times New Roman"/>
          <w:color w:val="000000"/>
          <w:sz w:val="24"/>
        </w:rPr>
        <w:t>或授权代表（签字）：</w:t>
      </w:r>
    </w:p>
    <w:p w14:paraId="48660A8B">
      <w:pPr>
        <w:spacing w:line="360" w:lineRule="exact"/>
        <w:rPr>
          <w:rFonts w:ascii="仿宋" w:hAnsi="仿宋" w:eastAsia="仿宋" w:cs="Times New Roman"/>
          <w:color w:val="000000"/>
          <w:sz w:val="24"/>
        </w:rPr>
      </w:pPr>
    </w:p>
    <w:p w14:paraId="00F85972">
      <w:pPr>
        <w:spacing w:line="360" w:lineRule="exact"/>
        <w:rPr>
          <w:rFonts w:ascii="仿宋" w:hAnsi="仿宋" w:eastAsia="仿宋" w:cs="Times New Roman"/>
          <w:color w:val="000000"/>
          <w:sz w:val="24"/>
        </w:rPr>
      </w:pPr>
      <w:r>
        <w:rPr>
          <w:rFonts w:hint="eastAsia" w:ascii="仿宋" w:hAnsi="仿宋" w:eastAsia="仿宋" w:cs="Times New Roman"/>
          <w:color w:val="000000"/>
          <w:sz w:val="24"/>
        </w:rPr>
        <w:t>签署日期：</w:t>
      </w:r>
      <w:r>
        <w:rPr>
          <w:rFonts w:ascii="仿宋" w:hAnsi="仿宋" w:eastAsia="仿宋" w:cs="Times New Roman"/>
          <w:color w:val="000000"/>
          <w:sz w:val="24"/>
        </w:rPr>
        <w:t>[  ]</w:t>
      </w:r>
      <w:r>
        <w:rPr>
          <w:rFonts w:hint="eastAsia" w:ascii="仿宋" w:hAnsi="仿宋" w:eastAsia="仿宋" w:cs="Times New Roman"/>
          <w:color w:val="000000"/>
          <w:sz w:val="24"/>
        </w:rPr>
        <w:t>年</w:t>
      </w:r>
      <w:r>
        <w:rPr>
          <w:rFonts w:ascii="仿宋" w:hAnsi="仿宋" w:eastAsia="仿宋" w:cs="Times New Roman"/>
          <w:color w:val="000000"/>
          <w:sz w:val="24"/>
        </w:rPr>
        <w:t>[  ]</w:t>
      </w:r>
      <w:r>
        <w:rPr>
          <w:rFonts w:hint="eastAsia" w:ascii="仿宋" w:hAnsi="仿宋" w:eastAsia="仿宋" w:cs="Times New Roman"/>
          <w:color w:val="000000"/>
          <w:sz w:val="24"/>
        </w:rPr>
        <w:t>月</w:t>
      </w:r>
      <w:r>
        <w:rPr>
          <w:rFonts w:ascii="仿宋" w:hAnsi="仿宋" w:eastAsia="仿宋" w:cs="Times New Roman"/>
          <w:color w:val="000000"/>
          <w:sz w:val="24"/>
        </w:rPr>
        <w:t>[  ]日</w:t>
      </w:r>
    </w:p>
    <w:p w14:paraId="33D79F27">
      <w:pPr>
        <w:spacing w:line="360" w:lineRule="exact"/>
        <w:rPr>
          <w:rFonts w:hint="eastAsia" w:ascii="仿宋" w:hAnsi="仿宋" w:eastAsia="仿宋" w:cs="Times New Roman"/>
          <w:sz w:val="24"/>
          <w:lang w:val="en-US" w:eastAsia="zh-CN"/>
        </w:rPr>
      </w:pPr>
      <w:r>
        <w:rPr>
          <w:rFonts w:ascii="仿宋" w:hAnsi="仿宋" w:eastAsia="仿宋" w:cs="Times New Roman"/>
          <w:color w:val="000000"/>
          <w:sz w:val="24"/>
        </w:rPr>
        <w:br w:type="page"/>
      </w:r>
      <w:r>
        <w:rPr>
          <w:rFonts w:hint="eastAsia" w:ascii="仿宋" w:hAnsi="仿宋" w:eastAsia="仿宋" w:cs="Times New Roman"/>
          <w:sz w:val="24"/>
        </w:rPr>
        <w:t>附件</w:t>
      </w:r>
      <w:r>
        <w:rPr>
          <w:rFonts w:hint="eastAsia" w:ascii="仿宋" w:hAnsi="仿宋" w:eastAsia="仿宋" w:cs="Times New Roman"/>
          <w:sz w:val="24"/>
          <w:lang w:val="en-US" w:eastAsia="zh-CN"/>
        </w:rPr>
        <w:t>一 报价表</w:t>
      </w:r>
    </w:p>
    <w:p w14:paraId="68F878F6">
      <w:pPr>
        <w:keepNext/>
        <w:keepLines/>
        <w:widowControl w:val="0"/>
        <w:spacing w:before="280" w:after="290" w:line="376" w:lineRule="auto"/>
        <w:jc w:val="both"/>
        <w:outlineLvl w:val="4"/>
        <w:rPr>
          <w:rFonts w:hint="eastAsia" w:ascii="仿宋" w:hAnsi="仿宋" w:eastAsia="仿宋" w:cs="Times New Roman"/>
          <w:b w:val="0"/>
          <w:bCs w:val="0"/>
          <w:kern w:val="2"/>
          <w:sz w:val="24"/>
          <w:szCs w:val="28"/>
          <w:lang w:val="en-US" w:eastAsia="zh-CN" w:bidi="ar-SA"/>
        </w:rPr>
      </w:pPr>
      <w:r>
        <w:rPr>
          <w:rFonts w:hint="eastAsia" w:ascii="仿宋" w:hAnsi="仿宋" w:eastAsia="仿宋" w:cs="Times New Roman"/>
          <w:b/>
          <w:bCs/>
          <w:kern w:val="2"/>
          <w:sz w:val="24"/>
          <w:szCs w:val="28"/>
          <w:lang w:val="en-US" w:eastAsia="zh-CN" w:bidi="ar-SA"/>
        </w:rPr>
        <w:br w:type="page"/>
      </w:r>
      <w:r>
        <w:rPr>
          <w:rFonts w:hint="eastAsia" w:ascii="仿宋" w:hAnsi="仿宋" w:eastAsia="仿宋" w:cs="Times New Roman"/>
          <w:b w:val="0"/>
          <w:bCs w:val="0"/>
          <w:kern w:val="2"/>
          <w:sz w:val="24"/>
          <w:szCs w:val="28"/>
          <w:lang w:val="en-US" w:eastAsia="zh-CN" w:bidi="ar-SA"/>
        </w:rPr>
        <w:t>附件二 技术规范书</w:t>
      </w:r>
    </w:p>
    <w:p w14:paraId="7E98043C">
      <w:pPr>
        <w:widowControl w:val="0"/>
        <w:ind w:firstLine="0"/>
        <w:jc w:val="both"/>
        <w:rPr>
          <w:rFonts w:ascii="Times New Roman" w:hAnsi="Times New Roman" w:eastAsia="宋体" w:cs="Times New Roman"/>
          <w:kern w:val="2"/>
          <w:sz w:val="21"/>
          <w:szCs w:val="24"/>
          <w:lang w:val="en-US" w:eastAsia="zh-CN" w:bidi="ar-SA"/>
        </w:rPr>
      </w:pPr>
    </w:p>
    <w:p w14:paraId="1E298746">
      <w:pPr>
        <w:keepNext/>
        <w:keepLines/>
        <w:widowControl w:val="0"/>
        <w:spacing w:before="280" w:after="290" w:line="376" w:lineRule="auto"/>
        <w:jc w:val="both"/>
        <w:outlineLvl w:val="4"/>
        <w:rPr>
          <w:rFonts w:hint="default" w:ascii="仿宋" w:hAnsi="仿宋" w:eastAsia="仿宋" w:cs="Times New Roman"/>
          <w:b/>
          <w:bCs/>
          <w:kern w:val="2"/>
          <w:sz w:val="24"/>
          <w:szCs w:val="28"/>
          <w:lang w:val="en-US" w:eastAsia="zh-CN" w:bidi="ar-SA"/>
        </w:rPr>
      </w:pPr>
      <w:r>
        <w:rPr>
          <w:rFonts w:hint="default" w:ascii="Times New Roman" w:hAnsi="Times New Roman" w:eastAsia="宋体" w:cs="Times New Roman"/>
          <w:b/>
          <w:bCs/>
          <w:kern w:val="2"/>
          <w:sz w:val="28"/>
          <w:szCs w:val="28"/>
          <w:lang w:val="en-US" w:eastAsia="zh-CN" w:bidi="ar-SA"/>
        </w:rPr>
        <w:br w:type="page"/>
      </w:r>
      <w:r>
        <w:rPr>
          <w:rFonts w:hint="eastAsia" w:ascii="仿宋" w:hAnsi="仿宋" w:eastAsia="仿宋" w:cs="Times New Roman"/>
          <w:b w:val="0"/>
          <w:bCs w:val="0"/>
          <w:kern w:val="2"/>
          <w:sz w:val="24"/>
          <w:szCs w:val="28"/>
          <w:lang w:val="en-US" w:eastAsia="zh-CN" w:bidi="ar-SA"/>
        </w:rPr>
        <w:t>附件三 [2025年中国电信遵义分公司数据库框架物资采购 ]订单</w:t>
      </w:r>
    </w:p>
    <w:tbl>
      <w:tblPr>
        <w:tblStyle w:val="85"/>
        <w:tblW w:w="5000" w:type="pct"/>
        <w:tblInd w:w="0" w:type="dxa"/>
        <w:tblLayout w:type="autofit"/>
        <w:tblCellMar>
          <w:top w:w="0" w:type="dxa"/>
          <w:left w:w="0" w:type="dxa"/>
          <w:bottom w:w="0" w:type="dxa"/>
          <w:right w:w="0" w:type="dxa"/>
        </w:tblCellMar>
      </w:tblPr>
      <w:tblGrid>
        <w:gridCol w:w="310"/>
        <w:gridCol w:w="1115"/>
        <w:gridCol w:w="1028"/>
        <w:gridCol w:w="288"/>
        <w:gridCol w:w="1502"/>
        <w:gridCol w:w="356"/>
        <w:gridCol w:w="538"/>
        <w:gridCol w:w="688"/>
        <w:gridCol w:w="312"/>
        <w:gridCol w:w="688"/>
        <w:gridCol w:w="310"/>
        <w:gridCol w:w="688"/>
        <w:gridCol w:w="691"/>
      </w:tblGrid>
      <w:tr w14:paraId="437F5B2F">
        <w:tblPrEx>
          <w:tblCellMar>
            <w:top w:w="0" w:type="dxa"/>
            <w:left w:w="0" w:type="dxa"/>
            <w:bottom w:w="0" w:type="dxa"/>
            <w:right w:w="0" w:type="dxa"/>
          </w:tblCellMar>
        </w:tblPrEx>
        <w:trPr>
          <w:trHeight w:val="154" w:hRule="atLeast"/>
        </w:trPr>
        <w:tc>
          <w:tcPr>
            <w:tcW w:w="5000" w:type="pct"/>
            <w:gridSpan w:val="13"/>
            <w:tcBorders>
              <w:bottom w:val="single" w:color="auto" w:sz="4" w:space="0"/>
            </w:tcBorders>
            <w:noWrap w:val="0"/>
            <w:tcMar>
              <w:top w:w="5" w:type="dxa"/>
              <w:left w:w="5" w:type="dxa"/>
              <w:bottom w:w="0" w:type="dxa"/>
              <w:right w:w="5" w:type="dxa"/>
            </w:tcMar>
            <w:vAlign w:val="center"/>
          </w:tcPr>
          <w:p w14:paraId="32F10FAB">
            <w:pPr>
              <w:jc w:val="center"/>
              <w:rPr>
                <w:rFonts w:ascii="仿宋" w:hAnsi="仿宋" w:eastAsia="仿宋" w:cs="Times New Roman"/>
                <w:sz w:val="28"/>
                <w:szCs w:val="28"/>
              </w:rPr>
            </w:pPr>
            <w:r>
              <w:rPr>
                <w:rFonts w:hint="eastAsia" w:ascii="仿宋" w:hAnsi="仿宋" w:eastAsia="仿宋" w:cs="Times New Roman"/>
                <w:b/>
                <w:bCs/>
                <w:sz w:val="28"/>
                <w:szCs w:val="28"/>
              </w:rPr>
              <w:t xml:space="preserve">[ </w:t>
            </w:r>
            <w:r>
              <w:rPr>
                <w:rFonts w:hint="eastAsia" w:ascii="仿宋" w:hAnsi="仿宋" w:eastAsia="仿宋" w:cs="Times New Roman"/>
                <w:b/>
                <w:bCs/>
                <w:sz w:val="28"/>
                <w:szCs w:val="28"/>
                <w:lang w:eastAsia="zh-CN"/>
              </w:rPr>
              <w:t>2025年中国电信遵义分公司数据库框架物资采购</w:t>
            </w:r>
            <w:r>
              <w:rPr>
                <w:rFonts w:hint="eastAsia" w:ascii="仿宋" w:hAnsi="仿宋" w:eastAsia="仿宋" w:cs="Times New Roman"/>
                <w:b/>
                <w:bCs/>
                <w:sz w:val="28"/>
                <w:szCs w:val="28"/>
              </w:rPr>
              <w:t>]</w:t>
            </w:r>
            <w:r>
              <w:rPr>
                <w:rFonts w:ascii="仿宋" w:hAnsi="仿宋" w:eastAsia="仿宋" w:cs="Times New Roman"/>
                <w:b/>
                <w:bCs/>
                <w:sz w:val="28"/>
                <w:szCs w:val="28"/>
              </w:rPr>
              <w:t>订单</w:t>
            </w:r>
          </w:p>
        </w:tc>
      </w:tr>
      <w:tr w14:paraId="2753B425">
        <w:tblPrEx>
          <w:tblCellMar>
            <w:top w:w="0" w:type="dxa"/>
            <w:left w:w="0" w:type="dxa"/>
            <w:bottom w:w="0" w:type="dxa"/>
            <w:right w:w="0" w:type="dxa"/>
          </w:tblCellMar>
        </w:tblPrEx>
        <w:trPr>
          <w:trHeight w:val="138" w:hRule="atLeast"/>
        </w:trPr>
        <w:tc>
          <w:tcPr>
            <w:tcW w:w="2492" w:type="pct"/>
            <w:gridSpan w:val="5"/>
            <w:tcBorders>
              <w:top w:val="single" w:color="auto" w:sz="4" w:space="0"/>
              <w:left w:val="single" w:color="auto" w:sz="4" w:space="0"/>
              <w:bottom w:val="single" w:color="auto" w:sz="4" w:space="0"/>
              <w:right w:val="single" w:color="auto" w:sz="4" w:space="0"/>
            </w:tcBorders>
            <w:noWrap w:val="0"/>
            <w:tcMar>
              <w:top w:w="5" w:type="dxa"/>
              <w:left w:w="5" w:type="dxa"/>
              <w:bottom w:w="0" w:type="dxa"/>
              <w:right w:w="5" w:type="dxa"/>
            </w:tcMar>
            <w:vAlign w:val="center"/>
          </w:tcPr>
          <w:p w14:paraId="6B645BC5">
            <w:pPr>
              <w:rPr>
                <w:rFonts w:ascii="仿宋" w:hAnsi="仿宋" w:eastAsia="仿宋" w:cs="Times New Roman"/>
                <w:sz w:val="24"/>
                <w:szCs w:val="24"/>
              </w:rPr>
            </w:pPr>
            <w:r>
              <w:rPr>
                <w:rFonts w:ascii="仿宋" w:hAnsi="仿宋" w:eastAsia="仿宋" w:cs="Times New Roman"/>
                <w:sz w:val="24"/>
                <w:szCs w:val="24"/>
              </w:rPr>
              <w:t>设备框架协议合同编号：</w:t>
            </w:r>
          </w:p>
        </w:tc>
        <w:tc>
          <w:tcPr>
            <w:tcW w:w="2507" w:type="pct"/>
            <w:gridSpan w:val="8"/>
            <w:tcBorders>
              <w:top w:val="single" w:color="auto" w:sz="4" w:space="0"/>
              <w:left w:val="single" w:color="auto" w:sz="4" w:space="0"/>
              <w:bottom w:val="single" w:color="auto" w:sz="4" w:space="0"/>
              <w:right w:val="single" w:color="auto" w:sz="4" w:space="0"/>
            </w:tcBorders>
            <w:noWrap w:val="0"/>
            <w:tcMar>
              <w:top w:w="5" w:type="dxa"/>
              <w:left w:w="5" w:type="dxa"/>
              <w:bottom w:w="0" w:type="dxa"/>
              <w:right w:w="5" w:type="dxa"/>
            </w:tcMar>
            <w:vAlign w:val="center"/>
          </w:tcPr>
          <w:p w14:paraId="5BA6CFC6">
            <w:pPr>
              <w:rPr>
                <w:rFonts w:ascii="仿宋" w:hAnsi="仿宋" w:eastAsia="仿宋" w:cs="Times New Roman"/>
                <w:sz w:val="24"/>
                <w:szCs w:val="24"/>
              </w:rPr>
            </w:pPr>
            <w:r>
              <w:rPr>
                <w:rFonts w:ascii="仿宋" w:hAnsi="仿宋" w:eastAsia="仿宋" w:cs="Times New Roman"/>
                <w:sz w:val="24"/>
                <w:szCs w:val="24"/>
              </w:rPr>
              <w:t>设备采购订单合同编号：</w:t>
            </w:r>
          </w:p>
        </w:tc>
      </w:tr>
      <w:tr w14:paraId="5EF39452">
        <w:tblPrEx>
          <w:tblCellMar>
            <w:top w:w="0" w:type="dxa"/>
            <w:left w:w="0" w:type="dxa"/>
            <w:bottom w:w="0" w:type="dxa"/>
            <w:right w:w="0" w:type="dxa"/>
          </w:tblCellMar>
        </w:tblPrEx>
        <w:trPr>
          <w:trHeight w:val="138" w:hRule="atLeast"/>
        </w:trPr>
        <w:tc>
          <w:tcPr>
            <w:tcW w:w="2492" w:type="pct"/>
            <w:gridSpan w:val="5"/>
            <w:tcBorders>
              <w:top w:val="single" w:color="auto" w:sz="4" w:space="0"/>
              <w:left w:val="single" w:color="auto" w:sz="4" w:space="0"/>
              <w:bottom w:val="single" w:color="auto" w:sz="4" w:space="0"/>
              <w:right w:val="single" w:color="auto" w:sz="4" w:space="0"/>
            </w:tcBorders>
            <w:noWrap w:val="0"/>
            <w:tcMar>
              <w:top w:w="5" w:type="dxa"/>
              <w:left w:w="5" w:type="dxa"/>
              <w:bottom w:w="0" w:type="dxa"/>
              <w:right w:w="5" w:type="dxa"/>
            </w:tcMar>
            <w:vAlign w:val="center"/>
          </w:tcPr>
          <w:p w14:paraId="65BDFF44">
            <w:pPr>
              <w:rPr>
                <w:rFonts w:ascii="仿宋" w:hAnsi="仿宋" w:eastAsia="仿宋" w:cs="Times New Roman"/>
                <w:sz w:val="24"/>
                <w:szCs w:val="24"/>
              </w:rPr>
            </w:pPr>
            <w:r>
              <w:rPr>
                <w:rFonts w:ascii="仿宋" w:hAnsi="仿宋" w:eastAsia="仿宋" w:cs="Times New Roman"/>
                <w:sz w:val="24"/>
                <w:szCs w:val="24"/>
              </w:rPr>
              <w:t>附属框架协议合同编号：</w:t>
            </w:r>
          </w:p>
        </w:tc>
        <w:tc>
          <w:tcPr>
            <w:tcW w:w="2507" w:type="pct"/>
            <w:gridSpan w:val="8"/>
            <w:tcBorders>
              <w:top w:val="single" w:color="auto" w:sz="4" w:space="0"/>
              <w:left w:val="single" w:color="auto" w:sz="4" w:space="0"/>
              <w:bottom w:val="single" w:color="auto" w:sz="4" w:space="0"/>
              <w:right w:val="single" w:color="auto" w:sz="4" w:space="0"/>
            </w:tcBorders>
            <w:noWrap w:val="0"/>
            <w:tcMar>
              <w:top w:w="5" w:type="dxa"/>
              <w:left w:w="5" w:type="dxa"/>
              <w:bottom w:w="0" w:type="dxa"/>
              <w:right w:w="5" w:type="dxa"/>
            </w:tcMar>
            <w:vAlign w:val="center"/>
          </w:tcPr>
          <w:p w14:paraId="282CDE6C">
            <w:pPr>
              <w:rPr>
                <w:rFonts w:ascii="仿宋" w:hAnsi="仿宋" w:eastAsia="仿宋" w:cs="Times New Roman"/>
                <w:sz w:val="24"/>
                <w:szCs w:val="24"/>
              </w:rPr>
            </w:pPr>
            <w:r>
              <w:rPr>
                <w:rFonts w:ascii="仿宋" w:hAnsi="仿宋" w:eastAsia="仿宋" w:cs="Times New Roman"/>
                <w:sz w:val="24"/>
                <w:szCs w:val="24"/>
              </w:rPr>
              <w:t>　</w:t>
            </w:r>
          </w:p>
        </w:tc>
      </w:tr>
      <w:tr w14:paraId="52D99633">
        <w:tblPrEx>
          <w:tblCellMar>
            <w:top w:w="0" w:type="dxa"/>
            <w:left w:w="0" w:type="dxa"/>
            <w:bottom w:w="0" w:type="dxa"/>
            <w:right w:w="0" w:type="dxa"/>
          </w:tblCellMar>
        </w:tblPrEx>
        <w:trPr>
          <w:trHeight w:val="980" w:hRule="atLeast"/>
        </w:trPr>
        <w:tc>
          <w:tcPr>
            <w:tcW w:w="2492" w:type="pct"/>
            <w:gridSpan w:val="5"/>
            <w:tcBorders>
              <w:top w:val="single" w:color="auto"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C4D26D4">
            <w:pPr>
              <w:rPr>
                <w:rFonts w:ascii="仿宋" w:hAnsi="仿宋" w:eastAsia="仿宋" w:cs="Times New Roman"/>
                <w:b w:val="0"/>
                <w:bCs w:val="0"/>
                <w:sz w:val="24"/>
                <w:szCs w:val="24"/>
              </w:rPr>
            </w:pPr>
            <w:r>
              <w:rPr>
                <w:rFonts w:ascii="仿宋" w:hAnsi="仿宋" w:eastAsia="仿宋" w:cs="Times New Roman"/>
                <w:b/>
                <w:bCs/>
                <w:sz w:val="24"/>
                <w:szCs w:val="24"/>
              </w:rPr>
              <w:t>采购方：</w:t>
            </w:r>
            <w:r>
              <w:rPr>
                <w:rFonts w:hint="eastAsia" w:ascii="仿宋" w:hAnsi="仿宋" w:eastAsia="仿宋" w:cs="Times New Roman"/>
                <w:b w:val="0"/>
                <w:bCs w:val="0"/>
                <w:sz w:val="24"/>
                <w:szCs w:val="24"/>
              </w:rPr>
              <w:t>中国电信[</w:t>
            </w:r>
            <w:r>
              <w:rPr>
                <w:rFonts w:hint="eastAsia" w:ascii="仿宋" w:hAnsi="仿宋" w:eastAsia="仿宋" w:cs="Times New Roman"/>
                <w:b w:val="0"/>
                <w:bCs w:val="0"/>
                <w:sz w:val="24"/>
                <w:szCs w:val="24"/>
                <w:lang w:val="en-US" w:eastAsia="zh-CN"/>
              </w:rPr>
              <w:t>股份有限公司遵义分</w:t>
            </w:r>
            <w:r>
              <w:rPr>
                <w:rFonts w:hint="eastAsia" w:ascii="仿宋" w:hAnsi="仿宋" w:eastAsia="仿宋" w:cs="Times New Roman"/>
                <w:b w:val="0"/>
                <w:bCs w:val="0"/>
                <w:sz w:val="24"/>
                <w:szCs w:val="24"/>
              </w:rPr>
              <w:t xml:space="preserve"> ]公司</w:t>
            </w:r>
          </w:p>
          <w:p w14:paraId="2C10E147">
            <w:pPr>
              <w:rPr>
                <w:rFonts w:ascii="仿宋" w:hAnsi="仿宋" w:eastAsia="仿宋" w:cs="Times New Roman"/>
                <w:sz w:val="24"/>
                <w:szCs w:val="24"/>
              </w:rPr>
            </w:pPr>
            <w:r>
              <w:rPr>
                <w:rFonts w:ascii="仿宋" w:hAnsi="仿宋" w:eastAsia="仿宋" w:cs="Times New Roman"/>
                <w:sz w:val="24"/>
                <w:szCs w:val="24"/>
              </w:rPr>
              <w:t>地址：</w:t>
            </w:r>
            <w:r>
              <w:rPr>
                <w:rFonts w:hint="eastAsia" w:ascii="仿宋" w:hAnsi="仿宋" w:eastAsia="仿宋" w:cs="Times New Roman"/>
                <w:sz w:val="24"/>
                <w:szCs w:val="24"/>
              </w:rPr>
              <w:t>遵义市大兴路 249 号</w:t>
            </w:r>
          </w:p>
          <w:p w14:paraId="41FCD86C">
            <w:pPr>
              <w:rPr>
                <w:rFonts w:hint="eastAsia" w:ascii="仿宋" w:hAnsi="仿宋" w:eastAsia="仿宋" w:cs="Times New Roman"/>
                <w:sz w:val="24"/>
                <w:szCs w:val="24"/>
                <w:lang w:val="en-US" w:eastAsia="zh-CN"/>
              </w:rPr>
            </w:pPr>
            <w:r>
              <w:rPr>
                <w:rFonts w:ascii="仿宋" w:hAnsi="仿宋" w:eastAsia="仿宋" w:cs="Times New Roman"/>
                <w:sz w:val="24"/>
                <w:szCs w:val="24"/>
              </w:rPr>
              <w:t>联系人：</w:t>
            </w:r>
            <w:r>
              <w:rPr>
                <w:rFonts w:hint="eastAsia" w:ascii="仿宋" w:hAnsi="仿宋" w:eastAsia="仿宋" w:cs="Times New Roman"/>
                <w:sz w:val="24"/>
                <w:szCs w:val="24"/>
                <w:lang w:val="en-US" w:eastAsia="zh-CN"/>
              </w:rPr>
              <w:t>陈妍</w:t>
            </w:r>
          </w:p>
          <w:p w14:paraId="55FCFD34">
            <w:pPr>
              <w:rPr>
                <w:rFonts w:hint="default" w:ascii="仿宋" w:hAnsi="仿宋" w:eastAsia="仿宋" w:cs="Times New Roman"/>
                <w:b w:val="0"/>
                <w:bCs w:val="0"/>
                <w:sz w:val="24"/>
                <w:szCs w:val="24"/>
                <w:lang w:val="en-US" w:eastAsia="zh-CN"/>
              </w:rPr>
            </w:pPr>
            <w:r>
              <w:rPr>
                <w:rFonts w:ascii="仿宋" w:hAnsi="仿宋" w:eastAsia="仿宋" w:cs="Times New Roman"/>
                <w:sz w:val="24"/>
                <w:szCs w:val="24"/>
              </w:rPr>
              <w:t>电话：</w:t>
            </w:r>
            <w:r>
              <w:rPr>
                <w:rFonts w:hint="eastAsia" w:ascii="仿宋" w:hAnsi="仿宋" w:eastAsia="仿宋" w:cs="Times New Roman"/>
                <w:b/>
                <w:bCs/>
                <w:sz w:val="24"/>
                <w:szCs w:val="24"/>
              </w:rPr>
              <w:t xml:space="preserve"> </w:t>
            </w:r>
            <w:r>
              <w:rPr>
                <w:rFonts w:hint="eastAsia" w:ascii="仿宋" w:hAnsi="仿宋" w:eastAsia="仿宋" w:cs="Times New Roman"/>
                <w:b w:val="0"/>
                <w:bCs w:val="0"/>
                <w:sz w:val="24"/>
                <w:szCs w:val="24"/>
                <w:lang w:val="en-US" w:eastAsia="zh-CN"/>
              </w:rPr>
              <w:t>17708522288</w:t>
            </w:r>
          </w:p>
          <w:p w14:paraId="33F3F638">
            <w:pPr>
              <w:rPr>
                <w:rFonts w:hint="default" w:ascii="仿宋" w:hAnsi="仿宋" w:eastAsia="仿宋" w:cs="Times New Roman"/>
                <w:sz w:val="24"/>
                <w:szCs w:val="24"/>
                <w:lang w:val="en-US" w:eastAsia="zh-CN"/>
              </w:rPr>
            </w:pPr>
            <w:r>
              <w:rPr>
                <w:rFonts w:hint="eastAsia" w:ascii="仿宋" w:hAnsi="仿宋" w:eastAsia="仿宋" w:cs="Times New Roman"/>
                <w:sz w:val="24"/>
                <w:szCs w:val="24"/>
              </w:rPr>
              <w:t>电子邮箱：</w:t>
            </w:r>
            <w:r>
              <w:rPr>
                <w:rFonts w:hint="eastAsia" w:ascii="仿宋" w:hAnsi="仿宋" w:eastAsia="仿宋" w:cs="Times New Roman"/>
                <w:sz w:val="24"/>
                <w:szCs w:val="24"/>
                <w:lang w:val="en-US" w:eastAsia="zh-CN"/>
              </w:rPr>
              <w:t>cheny139@chinatelecom.cn</w:t>
            </w:r>
          </w:p>
        </w:tc>
        <w:tc>
          <w:tcPr>
            <w:tcW w:w="2507" w:type="pct"/>
            <w:gridSpan w:val="8"/>
            <w:tcBorders>
              <w:top w:val="single" w:color="auto"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DACD7E1">
            <w:pPr>
              <w:rPr>
                <w:rFonts w:ascii="仿宋" w:hAnsi="仿宋" w:eastAsia="仿宋" w:cs="Times New Roman"/>
                <w:sz w:val="24"/>
                <w:szCs w:val="24"/>
              </w:rPr>
            </w:pPr>
            <w:r>
              <w:rPr>
                <w:rFonts w:ascii="仿宋" w:hAnsi="仿宋" w:eastAsia="仿宋" w:cs="Times New Roman"/>
                <w:b/>
                <w:bCs/>
                <w:sz w:val="24"/>
                <w:szCs w:val="24"/>
              </w:rPr>
              <w:t>供应商</w:t>
            </w:r>
            <w:r>
              <w:rPr>
                <w:rFonts w:hint="eastAsia" w:ascii="仿宋" w:hAnsi="仿宋" w:eastAsia="仿宋" w:cs="Times New Roman"/>
                <w:b/>
                <w:bCs/>
                <w:sz w:val="24"/>
                <w:szCs w:val="24"/>
              </w:rPr>
              <w:t>（乙方）</w:t>
            </w:r>
            <w:r>
              <w:rPr>
                <w:rFonts w:ascii="仿宋" w:hAnsi="仿宋" w:eastAsia="仿宋" w:cs="Times New Roman"/>
                <w:b/>
                <w:bCs/>
                <w:sz w:val="24"/>
                <w:szCs w:val="24"/>
              </w:rPr>
              <w:t>：</w:t>
            </w:r>
            <w:r>
              <w:rPr>
                <w:rFonts w:hint="eastAsia" w:ascii="仿宋" w:hAnsi="仿宋" w:eastAsia="仿宋" w:cs="Times New Roman"/>
                <w:b/>
                <w:bCs/>
                <w:sz w:val="24"/>
                <w:szCs w:val="24"/>
              </w:rPr>
              <w:t>[  ]</w:t>
            </w:r>
          </w:p>
          <w:p w14:paraId="61FD9B9A">
            <w:pPr>
              <w:rPr>
                <w:rFonts w:ascii="仿宋" w:hAnsi="仿宋" w:eastAsia="仿宋" w:cs="Times New Roman"/>
                <w:sz w:val="24"/>
                <w:szCs w:val="24"/>
              </w:rPr>
            </w:pPr>
            <w:r>
              <w:rPr>
                <w:rFonts w:hint="eastAsia" w:ascii="仿宋" w:hAnsi="仿宋" w:eastAsia="仿宋" w:cs="Times New Roman"/>
                <w:sz w:val="24"/>
                <w:szCs w:val="24"/>
              </w:rPr>
              <w:t>地址：</w:t>
            </w:r>
          </w:p>
          <w:p w14:paraId="423F7863">
            <w:pPr>
              <w:rPr>
                <w:rFonts w:ascii="仿宋" w:hAnsi="仿宋" w:eastAsia="仿宋" w:cs="Times New Roman"/>
                <w:sz w:val="24"/>
                <w:szCs w:val="24"/>
              </w:rPr>
            </w:pPr>
            <w:r>
              <w:rPr>
                <w:rFonts w:hint="eastAsia" w:ascii="仿宋" w:hAnsi="仿宋" w:eastAsia="仿宋" w:cs="Times New Roman"/>
                <w:sz w:val="24"/>
                <w:szCs w:val="24"/>
              </w:rPr>
              <w:t>联系人：</w:t>
            </w:r>
          </w:p>
          <w:p w14:paraId="553177C4">
            <w:pPr>
              <w:rPr>
                <w:rFonts w:ascii="仿宋" w:hAnsi="仿宋" w:eastAsia="仿宋" w:cs="Times New Roman"/>
                <w:sz w:val="24"/>
                <w:szCs w:val="24"/>
              </w:rPr>
            </w:pPr>
            <w:r>
              <w:rPr>
                <w:rFonts w:hint="eastAsia" w:ascii="仿宋" w:hAnsi="仿宋" w:eastAsia="仿宋" w:cs="Times New Roman"/>
                <w:sz w:val="24"/>
                <w:szCs w:val="24"/>
              </w:rPr>
              <w:t>电话：</w:t>
            </w:r>
          </w:p>
          <w:p w14:paraId="6BD28ECD">
            <w:pPr>
              <w:rPr>
                <w:rFonts w:ascii="仿宋" w:hAnsi="仿宋" w:eastAsia="仿宋" w:cs="Times New Roman"/>
                <w:sz w:val="24"/>
                <w:szCs w:val="24"/>
              </w:rPr>
            </w:pPr>
            <w:r>
              <w:rPr>
                <w:rFonts w:hint="eastAsia" w:ascii="仿宋" w:hAnsi="仿宋" w:eastAsia="仿宋" w:cs="Times New Roman"/>
                <w:sz w:val="24"/>
                <w:szCs w:val="24"/>
              </w:rPr>
              <w:t>电子邮箱：</w:t>
            </w:r>
          </w:p>
          <w:p w14:paraId="629912F6">
            <w:pPr>
              <w:rPr>
                <w:rFonts w:ascii="仿宋" w:hAnsi="仿宋" w:eastAsia="仿宋" w:cs="Times New Roman"/>
                <w:sz w:val="24"/>
                <w:szCs w:val="24"/>
              </w:rPr>
            </w:pPr>
            <w:r>
              <w:rPr>
                <w:rFonts w:hint="eastAsia" w:ascii="仿宋" w:hAnsi="仿宋" w:eastAsia="仿宋" w:cs="Times New Roman"/>
                <w:sz w:val="24"/>
                <w:szCs w:val="24"/>
              </w:rPr>
              <w:t>统一社会信用代码：</w:t>
            </w:r>
          </w:p>
          <w:p w14:paraId="46E2E9AB">
            <w:pPr>
              <w:rPr>
                <w:rFonts w:ascii="仿宋" w:hAnsi="仿宋" w:eastAsia="仿宋" w:cs="Times New Roman"/>
                <w:sz w:val="24"/>
                <w:szCs w:val="24"/>
              </w:rPr>
            </w:pPr>
            <w:r>
              <w:rPr>
                <w:rFonts w:hint="eastAsia" w:ascii="仿宋" w:hAnsi="仿宋" w:eastAsia="仿宋" w:cs="Times New Roman"/>
                <w:sz w:val="24"/>
                <w:szCs w:val="24"/>
              </w:rPr>
              <w:t>开户行：</w:t>
            </w:r>
          </w:p>
          <w:p w14:paraId="47B714EE">
            <w:pPr>
              <w:rPr>
                <w:rFonts w:ascii="仿宋" w:hAnsi="仿宋" w:eastAsia="仿宋" w:cs="Times New Roman"/>
                <w:sz w:val="24"/>
                <w:szCs w:val="24"/>
              </w:rPr>
            </w:pPr>
            <w:r>
              <w:rPr>
                <w:rFonts w:hint="eastAsia" w:ascii="仿宋" w:hAnsi="仿宋" w:eastAsia="仿宋" w:cs="Times New Roman"/>
                <w:sz w:val="24"/>
                <w:szCs w:val="24"/>
              </w:rPr>
              <w:t>银行地址：</w:t>
            </w:r>
          </w:p>
          <w:p w14:paraId="4565801E">
            <w:pPr>
              <w:rPr>
                <w:rFonts w:ascii="仿宋" w:hAnsi="仿宋" w:eastAsia="仿宋" w:cs="Times New Roman"/>
                <w:sz w:val="24"/>
                <w:szCs w:val="24"/>
              </w:rPr>
            </w:pPr>
            <w:r>
              <w:rPr>
                <w:rFonts w:hint="eastAsia" w:ascii="仿宋" w:hAnsi="仿宋" w:eastAsia="仿宋" w:cs="Times New Roman"/>
                <w:sz w:val="24"/>
                <w:szCs w:val="24"/>
              </w:rPr>
              <w:t>户名：</w:t>
            </w:r>
          </w:p>
          <w:p w14:paraId="4048BA0F">
            <w:pPr>
              <w:rPr>
                <w:rFonts w:ascii="仿宋" w:hAnsi="仿宋" w:eastAsia="仿宋" w:cs="Times New Roman"/>
                <w:sz w:val="24"/>
                <w:szCs w:val="24"/>
              </w:rPr>
            </w:pPr>
            <w:r>
              <w:rPr>
                <w:rFonts w:hint="eastAsia" w:ascii="仿宋" w:hAnsi="仿宋" w:eastAsia="仿宋" w:cs="Times New Roman"/>
                <w:sz w:val="24"/>
                <w:szCs w:val="24"/>
              </w:rPr>
              <w:t>账号：</w:t>
            </w:r>
          </w:p>
        </w:tc>
      </w:tr>
      <w:tr w14:paraId="0501DF56">
        <w:tblPrEx>
          <w:tblCellMar>
            <w:top w:w="0" w:type="dxa"/>
            <w:left w:w="0" w:type="dxa"/>
            <w:bottom w:w="0" w:type="dxa"/>
            <w:right w:w="0" w:type="dxa"/>
          </w:tblCellMar>
        </w:tblPrEx>
        <w:trPr>
          <w:trHeight w:val="734" w:hRule="atLeast"/>
        </w:trPr>
        <w:tc>
          <w:tcPr>
            <w:tcW w:w="1610" w:type="pct"/>
            <w:gridSpan w:val="4"/>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08E24E08">
            <w:pPr>
              <w:jc w:val="left"/>
              <w:rPr>
                <w:rFonts w:ascii="仿宋" w:hAnsi="仿宋" w:eastAsia="仿宋" w:cs="Times New Roman"/>
                <w:b/>
                <w:bCs/>
                <w:sz w:val="24"/>
                <w:szCs w:val="24"/>
              </w:rPr>
            </w:pPr>
            <w:r>
              <w:rPr>
                <w:rFonts w:ascii="仿宋" w:hAnsi="仿宋" w:eastAsia="仿宋" w:cs="Times New Roman"/>
                <w:b/>
                <w:bCs/>
                <w:sz w:val="24"/>
                <w:szCs w:val="24"/>
              </w:rPr>
              <w:t>采购方财务信息</w:t>
            </w:r>
          </w:p>
          <w:p w14:paraId="5C2FB6CE">
            <w:pPr>
              <w:jc w:val="left"/>
              <w:rPr>
                <w:rFonts w:ascii="仿宋" w:hAnsi="仿宋" w:eastAsia="仿宋" w:cs="Times New Roman"/>
                <w:sz w:val="24"/>
                <w:szCs w:val="24"/>
              </w:rPr>
            </w:pPr>
            <w:r>
              <w:rPr>
                <w:rFonts w:hint="eastAsia" w:ascii="仿宋" w:hAnsi="仿宋" w:eastAsia="仿宋" w:cs="Times New Roman"/>
                <w:sz w:val="24"/>
                <w:szCs w:val="24"/>
              </w:rPr>
              <w:t>采购方</w:t>
            </w:r>
            <w:r>
              <w:rPr>
                <w:rFonts w:ascii="仿宋" w:hAnsi="仿宋" w:eastAsia="仿宋" w:cs="Times New Roman"/>
                <w:sz w:val="24"/>
                <w:szCs w:val="24"/>
              </w:rPr>
              <w:t>名称（发票抬头）：</w:t>
            </w:r>
            <w:r>
              <w:rPr>
                <w:rFonts w:hint="eastAsia" w:ascii="仿宋" w:hAnsi="仿宋" w:eastAsia="仿宋" w:cs="Times New Roman"/>
                <w:sz w:val="24"/>
                <w:szCs w:val="24"/>
              </w:rPr>
              <w:t>中国电信股份有限公司遵义分公司</w:t>
            </w:r>
          </w:p>
          <w:p w14:paraId="7359146B">
            <w:pPr>
              <w:jc w:val="left"/>
              <w:rPr>
                <w:rFonts w:ascii="仿宋" w:hAnsi="仿宋" w:eastAsia="仿宋" w:cs="Times New Roman"/>
                <w:sz w:val="24"/>
                <w:szCs w:val="24"/>
              </w:rPr>
            </w:pPr>
            <w:r>
              <w:rPr>
                <w:rFonts w:ascii="仿宋" w:hAnsi="仿宋" w:eastAsia="仿宋" w:cs="Times New Roman"/>
                <w:sz w:val="24"/>
                <w:szCs w:val="24"/>
              </w:rPr>
              <w:t>统一社会信用代码：</w:t>
            </w:r>
            <w:r>
              <w:rPr>
                <w:rFonts w:hint="eastAsia" w:ascii="仿宋" w:hAnsi="仿宋" w:eastAsia="仿宋" w:cs="Times New Roman"/>
                <w:sz w:val="24"/>
                <w:szCs w:val="24"/>
              </w:rPr>
              <w:t>91520300709516549G</w:t>
            </w:r>
          </w:p>
          <w:p w14:paraId="6559DF80">
            <w:pPr>
              <w:jc w:val="left"/>
              <w:rPr>
                <w:rFonts w:ascii="仿宋" w:hAnsi="仿宋" w:eastAsia="仿宋" w:cs="Times New Roman"/>
                <w:sz w:val="24"/>
                <w:szCs w:val="24"/>
              </w:rPr>
            </w:pPr>
            <w:r>
              <w:rPr>
                <w:rFonts w:ascii="仿宋" w:hAnsi="仿宋" w:eastAsia="仿宋" w:cs="Times New Roman"/>
                <w:sz w:val="24"/>
                <w:szCs w:val="24"/>
              </w:rPr>
              <w:t>开户行：</w:t>
            </w:r>
            <w:r>
              <w:rPr>
                <w:rFonts w:hint="eastAsia" w:ascii="仿宋" w:hAnsi="仿宋" w:eastAsia="仿宋" w:cs="Times New Roman"/>
                <w:sz w:val="24"/>
                <w:szCs w:val="24"/>
              </w:rPr>
              <w:t>贵州省遵义市建行湘江支行</w:t>
            </w:r>
          </w:p>
          <w:p w14:paraId="053AD526">
            <w:pPr>
              <w:jc w:val="left"/>
              <w:rPr>
                <w:rFonts w:ascii="仿宋" w:hAnsi="仿宋" w:eastAsia="仿宋" w:cs="Times New Roman"/>
                <w:sz w:val="24"/>
                <w:szCs w:val="24"/>
              </w:rPr>
            </w:pPr>
            <w:r>
              <w:rPr>
                <w:rFonts w:ascii="仿宋" w:hAnsi="仿宋" w:eastAsia="仿宋" w:cs="Times New Roman"/>
                <w:sz w:val="24"/>
                <w:szCs w:val="24"/>
              </w:rPr>
              <w:t>银行地址：</w:t>
            </w:r>
            <w:r>
              <w:rPr>
                <w:rFonts w:hint="eastAsia" w:ascii="仿宋" w:hAnsi="仿宋" w:eastAsia="仿宋" w:cs="Times New Roman"/>
                <w:sz w:val="24"/>
                <w:szCs w:val="24"/>
              </w:rPr>
              <w:t>遵义市湘江路</w:t>
            </w:r>
          </w:p>
          <w:p w14:paraId="4364322B">
            <w:pPr>
              <w:jc w:val="left"/>
              <w:rPr>
                <w:rFonts w:ascii="仿宋" w:hAnsi="仿宋" w:eastAsia="仿宋" w:cs="Times New Roman"/>
                <w:sz w:val="24"/>
                <w:szCs w:val="24"/>
              </w:rPr>
            </w:pPr>
            <w:r>
              <w:rPr>
                <w:rFonts w:ascii="仿宋" w:hAnsi="仿宋" w:eastAsia="仿宋" w:cs="Times New Roman"/>
                <w:sz w:val="24"/>
                <w:szCs w:val="24"/>
              </w:rPr>
              <w:t>户名：</w:t>
            </w:r>
            <w:r>
              <w:rPr>
                <w:rFonts w:hint="eastAsia" w:ascii="仿宋" w:hAnsi="仿宋" w:eastAsia="仿宋" w:cs="Times New Roman"/>
                <w:sz w:val="24"/>
                <w:szCs w:val="24"/>
              </w:rPr>
              <w:t>中国电信股份有限公司遵义分公司</w:t>
            </w:r>
          </w:p>
          <w:p w14:paraId="260EDD6F">
            <w:pPr>
              <w:jc w:val="left"/>
              <w:rPr>
                <w:rFonts w:ascii="仿宋" w:hAnsi="仿宋" w:eastAsia="仿宋" w:cs="Times New Roman"/>
                <w:sz w:val="24"/>
                <w:szCs w:val="24"/>
              </w:rPr>
            </w:pPr>
            <w:r>
              <w:rPr>
                <w:rFonts w:ascii="仿宋" w:hAnsi="仿宋" w:eastAsia="仿宋" w:cs="Times New Roman"/>
                <w:sz w:val="24"/>
                <w:szCs w:val="24"/>
              </w:rPr>
              <w:t>账号：</w:t>
            </w:r>
            <w:r>
              <w:rPr>
                <w:rFonts w:hint="eastAsia" w:ascii="仿宋" w:hAnsi="仿宋" w:eastAsia="仿宋" w:cs="Times New Roman"/>
                <w:sz w:val="24"/>
                <w:szCs w:val="24"/>
              </w:rPr>
              <w:t>52001624036050001932</w:t>
            </w:r>
          </w:p>
        </w:tc>
        <w:tc>
          <w:tcPr>
            <w:tcW w:w="1810" w:type="pct"/>
            <w:gridSpan w:val="4"/>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7FBB52D2">
            <w:pPr>
              <w:jc w:val="left"/>
              <w:rPr>
                <w:rFonts w:ascii="仿宋" w:hAnsi="仿宋" w:eastAsia="仿宋" w:cs="Times New Roman"/>
                <w:sz w:val="24"/>
                <w:szCs w:val="24"/>
              </w:rPr>
            </w:pPr>
            <w:r>
              <w:rPr>
                <w:rFonts w:ascii="仿宋" w:hAnsi="仿宋" w:eastAsia="仿宋" w:cs="Times New Roman"/>
                <w:b/>
                <w:bCs/>
                <w:sz w:val="24"/>
                <w:szCs w:val="24"/>
              </w:rPr>
              <w:t>工程项目信息</w:t>
            </w:r>
          </w:p>
          <w:p w14:paraId="24617E4F">
            <w:pPr>
              <w:jc w:val="left"/>
              <w:rPr>
                <w:rFonts w:ascii="仿宋" w:hAnsi="仿宋" w:eastAsia="仿宋" w:cs="Times New Roman"/>
                <w:sz w:val="24"/>
                <w:szCs w:val="24"/>
              </w:rPr>
            </w:pPr>
            <w:r>
              <w:rPr>
                <w:rFonts w:hint="eastAsia" w:ascii="仿宋" w:hAnsi="仿宋" w:eastAsia="仿宋" w:cs="Times New Roman"/>
                <w:sz w:val="24"/>
                <w:szCs w:val="24"/>
              </w:rPr>
              <w:t>建设单位名称：</w:t>
            </w:r>
          </w:p>
          <w:p w14:paraId="0DFC11F5">
            <w:pPr>
              <w:jc w:val="left"/>
              <w:rPr>
                <w:rFonts w:ascii="仿宋" w:hAnsi="仿宋" w:eastAsia="仿宋" w:cs="Times New Roman"/>
                <w:sz w:val="24"/>
                <w:szCs w:val="24"/>
              </w:rPr>
            </w:pPr>
            <w:r>
              <w:rPr>
                <w:rFonts w:hint="eastAsia" w:ascii="仿宋" w:hAnsi="仿宋" w:eastAsia="仿宋" w:cs="Times New Roman"/>
                <w:sz w:val="24"/>
                <w:szCs w:val="24"/>
              </w:rPr>
              <w:t>工程项目名称：</w:t>
            </w:r>
          </w:p>
          <w:p w14:paraId="0A0BBBD9">
            <w:pPr>
              <w:jc w:val="left"/>
              <w:rPr>
                <w:rFonts w:ascii="仿宋" w:hAnsi="仿宋" w:eastAsia="仿宋" w:cs="Times New Roman"/>
                <w:sz w:val="24"/>
                <w:szCs w:val="24"/>
              </w:rPr>
            </w:pPr>
            <w:r>
              <w:rPr>
                <w:rFonts w:hint="eastAsia" w:ascii="仿宋" w:hAnsi="仿宋" w:eastAsia="仿宋" w:cs="Times New Roman"/>
                <w:sz w:val="24"/>
                <w:szCs w:val="24"/>
              </w:rPr>
              <w:t>工程项目编号：</w:t>
            </w:r>
          </w:p>
          <w:p w14:paraId="6CF66962">
            <w:pPr>
              <w:jc w:val="left"/>
              <w:rPr>
                <w:rFonts w:ascii="仿宋" w:hAnsi="仿宋" w:eastAsia="仿宋" w:cs="Times New Roman"/>
                <w:sz w:val="24"/>
                <w:szCs w:val="24"/>
              </w:rPr>
            </w:pPr>
            <w:r>
              <w:rPr>
                <w:rFonts w:hint="eastAsia" w:ascii="仿宋" w:hAnsi="仿宋" w:eastAsia="仿宋" w:cs="Times New Roman"/>
                <w:sz w:val="24"/>
                <w:szCs w:val="24"/>
              </w:rPr>
              <w:t>工程项目负责人：</w:t>
            </w:r>
          </w:p>
          <w:p w14:paraId="29999386">
            <w:pPr>
              <w:jc w:val="left"/>
              <w:rPr>
                <w:rFonts w:ascii="仿宋" w:hAnsi="仿宋" w:eastAsia="仿宋" w:cs="Times New Roman"/>
                <w:sz w:val="24"/>
                <w:szCs w:val="24"/>
              </w:rPr>
            </w:pPr>
            <w:r>
              <w:rPr>
                <w:rFonts w:hint="eastAsia" w:ascii="仿宋" w:hAnsi="仿宋" w:eastAsia="仿宋" w:cs="Times New Roman"/>
                <w:sz w:val="24"/>
                <w:szCs w:val="24"/>
              </w:rPr>
              <w:t>电话：</w:t>
            </w:r>
          </w:p>
          <w:p w14:paraId="75D9BD29">
            <w:pPr>
              <w:jc w:val="left"/>
              <w:rPr>
                <w:rFonts w:ascii="仿宋" w:hAnsi="仿宋" w:eastAsia="仿宋" w:cs="Times New Roman"/>
                <w:sz w:val="24"/>
                <w:szCs w:val="24"/>
              </w:rPr>
            </w:pPr>
            <w:r>
              <w:rPr>
                <w:rFonts w:hint="eastAsia" w:ascii="仿宋" w:hAnsi="仿宋" w:eastAsia="仿宋" w:cs="Times New Roman"/>
                <w:sz w:val="24"/>
                <w:szCs w:val="24"/>
              </w:rPr>
              <w:t>发货通知单编号：</w:t>
            </w:r>
          </w:p>
        </w:tc>
        <w:tc>
          <w:tcPr>
            <w:tcW w:w="1578" w:type="pct"/>
            <w:gridSpan w:val="5"/>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6519452F">
            <w:pPr>
              <w:jc w:val="left"/>
              <w:rPr>
                <w:rFonts w:ascii="仿宋" w:hAnsi="仿宋" w:eastAsia="仿宋" w:cs="Times New Roman"/>
                <w:sz w:val="24"/>
                <w:szCs w:val="24"/>
              </w:rPr>
            </w:pPr>
            <w:r>
              <w:rPr>
                <w:rFonts w:ascii="仿宋" w:hAnsi="仿宋" w:eastAsia="仿宋" w:cs="Times New Roman"/>
                <w:b/>
                <w:bCs/>
                <w:sz w:val="24"/>
                <w:szCs w:val="24"/>
              </w:rPr>
              <w:t>送货信息</w:t>
            </w:r>
          </w:p>
          <w:p w14:paraId="5E2D2EE0">
            <w:pPr>
              <w:jc w:val="left"/>
              <w:rPr>
                <w:rFonts w:ascii="仿宋" w:hAnsi="仿宋" w:eastAsia="仿宋" w:cs="Times New Roman"/>
                <w:sz w:val="24"/>
                <w:szCs w:val="24"/>
              </w:rPr>
            </w:pPr>
            <w:r>
              <w:rPr>
                <w:rFonts w:hint="eastAsia" w:ascii="仿宋" w:hAnsi="仿宋" w:eastAsia="仿宋" w:cs="Times New Roman"/>
                <w:sz w:val="24"/>
                <w:szCs w:val="24"/>
              </w:rPr>
              <w:t>物流承运商：</w:t>
            </w:r>
          </w:p>
          <w:p w14:paraId="1E15EAE0">
            <w:pPr>
              <w:jc w:val="left"/>
              <w:rPr>
                <w:rFonts w:ascii="仿宋" w:hAnsi="仿宋" w:eastAsia="仿宋" w:cs="Times New Roman"/>
                <w:sz w:val="24"/>
                <w:szCs w:val="24"/>
              </w:rPr>
            </w:pPr>
            <w:r>
              <w:rPr>
                <w:rFonts w:hint="eastAsia" w:ascii="仿宋" w:hAnsi="仿宋" w:eastAsia="仿宋" w:cs="Times New Roman"/>
                <w:sz w:val="24"/>
                <w:szCs w:val="24"/>
              </w:rPr>
              <w:t>到货时间：</w:t>
            </w:r>
          </w:p>
          <w:p w14:paraId="77B82509">
            <w:pPr>
              <w:jc w:val="left"/>
              <w:rPr>
                <w:rFonts w:ascii="仿宋" w:hAnsi="仿宋" w:eastAsia="仿宋" w:cs="Times New Roman"/>
                <w:sz w:val="24"/>
                <w:szCs w:val="24"/>
              </w:rPr>
            </w:pPr>
            <w:r>
              <w:rPr>
                <w:rFonts w:hint="eastAsia" w:ascii="仿宋" w:hAnsi="仿宋" w:eastAsia="仿宋" w:cs="Times New Roman"/>
                <w:sz w:val="24"/>
                <w:szCs w:val="24"/>
              </w:rPr>
              <w:t>送货地址：</w:t>
            </w:r>
          </w:p>
          <w:p w14:paraId="04719F95">
            <w:pPr>
              <w:jc w:val="left"/>
              <w:rPr>
                <w:rFonts w:ascii="仿宋" w:hAnsi="仿宋" w:eastAsia="仿宋" w:cs="Times New Roman"/>
                <w:sz w:val="24"/>
                <w:szCs w:val="24"/>
              </w:rPr>
            </w:pPr>
            <w:r>
              <w:rPr>
                <w:rFonts w:hint="eastAsia" w:ascii="仿宋" w:hAnsi="仿宋" w:eastAsia="仿宋" w:cs="Times New Roman"/>
                <w:sz w:val="24"/>
                <w:szCs w:val="24"/>
              </w:rPr>
              <w:t>收货人：</w:t>
            </w:r>
          </w:p>
          <w:p w14:paraId="6B61995E">
            <w:pPr>
              <w:jc w:val="left"/>
              <w:rPr>
                <w:rFonts w:ascii="仿宋" w:hAnsi="仿宋" w:eastAsia="仿宋" w:cs="Times New Roman"/>
                <w:sz w:val="24"/>
                <w:szCs w:val="24"/>
              </w:rPr>
            </w:pPr>
            <w:r>
              <w:rPr>
                <w:rFonts w:hint="eastAsia" w:ascii="仿宋" w:hAnsi="仿宋" w:eastAsia="仿宋" w:cs="Times New Roman"/>
                <w:sz w:val="24"/>
                <w:szCs w:val="24"/>
              </w:rPr>
              <w:t>电话：</w:t>
            </w:r>
          </w:p>
          <w:p w14:paraId="73F72857">
            <w:pPr>
              <w:jc w:val="left"/>
              <w:rPr>
                <w:rFonts w:ascii="仿宋" w:hAnsi="仿宋" w:eastAsia="仿宋" w:cs="Times New Roman"/>
                <w:sz w:val="24"/>
                <w:szCs w:val="24"/>
              </w:rPr>
            </w:pPr>
            <w:r>
              <w:rPr>
                <w:rFonts w:hint="eastAsia" w:ascii="仿宋" w:hAnsi="仿宋" w:eastAsia="仿宋" w:cs="Times New Roman"/>
                <w:sz w:val="24"/>
                <w:szCs w:val="24"/>
              </w:rPr>
              <w:t>电子邮箱：</w:t>
            </w:r>
          </w:p>
        </w:tc>
      </w:tr>
      <w:tr w14:paraId="71381942">
        <w:tblPrEx>
          <w:tblCellMar>
            <w:top w:w="0" w:type="dxa"/>
            <w:left w:w="0" w:type="dxa"/>
            <w:bottom w:w="0" w:type="dxa"/>
            <w:right w:w="0" w:type="dxa"/>
          </w:tblCellMar>
        </w:tblPrEx>
        <w:trPr>
          <w:trHeight w:val="155" w:hRule="atLeast"/>
        </w:trPr>
        <w:tc>
          <w:tcPr>
            <w:tcW w:w="5000" w:type="pct"/>
            <w:gridSpan w:val="13"/>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A6E873A">
            <w:pPr>
              <w:jc w:val="center"/>
              <w:rPr>
                <w:rFonts w:ascii="仿宋" w:hAnsi="仿宋" w:eastAsia="仿宋" w:cs="Times New Roman"/>
                <w:sz w:val="24"/>
                <w:szCs w:val="24"/>
              </w:rPr>
            </w:pPr>
            <w:r>
              <w:rPr>
                <w:rFonts w:ascii="仿宋" w:hAnsi="仿宋" w:eastAsia="仿宋" w:cs="Times New Roman"/>
                <w:b/>
                <w:bCs/>
                <w:sz w:val="24"/>
                <w:szCs w:val="24"/>
              </w:rPr>
              <w:t>货物费明细</w:t>
            </w:r>
          </w:p>
        </w:tc>
      </w:tr>
      <w:tr w14:paraId="410011A5">
        <w:tblPrEx>
          <w:tblCellMar>
            <w:top w:w="0" w:type="dxa"/>
            <w:left w:w="0" w:type="dxa"/>
            <w:bottom w:w="0" w:type="dxa"/>
            <w:right w:w="0" w:type="dxa"/>
          </w:tblCellMar>
        </w:tblPrEx>
        <w:trPr>
          <w:trHeight w:val="229" w:hRule="atLeast"/>
        </w:trPr>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2BF60D7E">
            <w:pPr>
              <w:rPr>
                <w:rFonts w:ascii="仿宋" w:hAnsi="仿宋" w:eastAsia="仿宋" w:cs="Times New Roman"/>
                <w:sz w:val="24"/>
                <w:szCs w:val="24"/>
              </w:rPr>
            </w:pPr>
            <w:r>
              <w:rPr>
                <w:rFonts w:ascii="仿宋" w:hAnsi="仿宋" w:eastAsia="仿宋" w:cs="Times New Roman"/>
                <w:b/>
                <w:bCs/>
                <w:sz w:val="24"/>
                <w:szCs w:val="24"/>
              </w:rPr>
              <w:t>序号</w:t>
            </w:r>
          </w:p>
        </w:tc>
        <w:tc>
          <w:tcPr>
            <w:tcW w:w="65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41E9397F">
            <w:pPr>
              <w:rPr>
                <w:rFonts w:ascii="仿宋" w:hAnsi="仿宋" w:eastAsia="仿宋" w:cs="Times New Roman"/>
                <w:sz w:val="24"/>
                <w:szCs w:val="24"/>
              </w:rPr>
            </w:pPr>
            <w:r>
              <w:rPr>
                <w:rFonts w:ascii="仿宋" w:hAnsi="仿宋" w:eastAsia="仿宋" w:cs="Times New Roman"/>
                <w:b/>
                <w:bCs/>
                <w:sz w:val="24"/>
                <w:szCs w:val="24"/>
              </w:rPr>
              <w:t>货物名称（物料名称）</w:t>
            </w:r>
          </w:p>
        </w:tc>
        <w:tc>
          <w:tcPr>
            <w:tcW w:w="772"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331FBF26">
            <w:pPr>
              <w:rPr>
                <w:rFonts w:ascii="仿宋" w:hAnsi="仿宋" w:eastAsia="仿宋" w:cs="Times New Roman"/>
                <w:sz w:val="24"/>
                <w:szCs w:val="24"/>
              </w:rPr>
            </w:pPr>
            <w:r>
              <w:rPr>
                <w:rFonts w:ascii="仿宋" w:hAnsi="仿宋" w:eastAsia="仿宋" w:cs="Times New Roman"/>
                <w:b/>
                <w:bCs/>
                <w:sz w:val="24"/>
                <w:szCs w:val="24"/>
              </w:rPr>
              <w:t>货物编码（物料编码）</w:t>
            </w:r>
          </w:p>
        </w:tc>
        <w:tc>
          <w:tcPr>
            <w:tcW w:w="8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49AF64CA">
            <w:pPr>
              <w:rPr>
                <w:rFonts w:ascii="仿宋" w:hAnsi="仿宋" w:eastAsia="仿宋" w:cs="Times New Roman"/>
                <w:sz w:val="24"/>
                <w:szCs w:val="24"/>
              </w:rPr>
            </w:pPr>
            <w:r>
              <w:rPr>
                <w:rFonts w:ascii="仿宋" w:hAnsi="仿宋" w:eastAsia="仿宋" w:cs="Times New Roman"/>
                <w:b/>
                <w:bCs/>
                <w:sz w:val="24"/>
                <w:szCs w:val="24"/>
              </w:rPr>
              <w:t>原厂商规格型号</w:t>
            </w:r>
          </w:p>
        </w:tc>
        <w:tc>
          <w:tcPr>
            <w:tcW w:w="207"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59D1C62B">
            <w:pPr>
              <w:rPr>
                <w:rFonts w:ascii="仿宋" w:hAnsi="仿宋" w:eastAsia="仿宋" w:cs="Times New Roman"/>
                <w:sz w:val="24"/>
                <w:szCs w:val="24"/>
              </w:rPr>
            </w:pPr>
            <w:r>
              <w:rPr>
                <w:rFonts w:ascii="仿宋" w:hAnsi="仿宋" w:eastAsia="仿宋" w:cs="Times New Roman"/>
                <w:b/>
                <w:bCs/>
                <w:sz w:val="24"/>
                <w:szCs w:val="24"/>
              </w:rPr>
              <w:t>备注</w:t>
            </w:r>
          </w:p>
        </w:tc>
        <w:tc>
          <w:tcPr>
            <w:tcW w:w="316"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1104357A">
            <w:pPr>
              <w:rPr>
                <w:rFonts w:ascii="仿宋" w:hAnsi="仿宋" w:eastAsia="仿宋" w:cs="Times New Roman"/>
                <w:sz w:val="24"/>
                <w:szCs w:val="24"/>
              </w:rPr>
            </w:pPr>
            <w:r>
              <w:rPr>
                <w:rFonts w:ascii="仿宋" w:hAnsi="仿宋" w:eastAsia="仿宋" w:cs="Times New Roman"/>
                <w:b/>
                <w:bCs/>
                <w:sz w:val="24"/>
                <w:szCs w:val="24"/>
              </w:rPr>
              <w:t>计量单位</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0F38C62E">
            <w:pPr>
              <w:rPr>
                <w:rFonts w:ascii="仿宋" w:hAnsi="仿宋" w:eastAsia="仿宋" w:cs="Times New Roman"/>
                <w:sz w:val="24"/>
                <w:szCs w:val="24"/>
              </w:rPr>
            </w:pPr>
            <w:r>
              <w:rPr>
                <w:rFonts w:ascii="仿宋" w:hAnsi="仿宋" w:eastAsia="仿宋" w:cs="Times New Roman"/>
                <w:b/>
                <w:bCs/>
                <w:sz w:val="24"/>
                <w:szCs w:val="24"/>
              </w:rPr>
              <w:t>单价价款</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57E4F8E3">
            <w:pPr>
              <w:rPr>
                <w:rFonts w:ascii="仿宋" w:hAnsi="仿宋" w:eastAsia="仿宋" w:cs="Times New Roman"/>
                <w:sz w:val="24"/>
                <w:szCs w:val="24"/>
              </w:rPr>
            </w:pPr>
            <w:r>
              <w:rPr>
                <w:rFonts w:ascii="仿宋" w:hAnsi="仿宋" w:eastAsia="仿宋" w:cs="Times New Roman"/>
                <w:b/>
                <w:bCs/>
                <w:sz w:val="24"/>
                <w:szCs w:val="24"/>
              </w:rPr>
              <w:t>采购数量</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5379C3C5">
            <w:pPr>
              <w:rPr>
                <w:rFonts w:ascii="仿宋" w:hAnsi="仿宋" w:eastAsia="仿宋" w:cs="Times New Roman"/>
                <w:sz w:val="24"/>
                <w:szCs w:val="24"/>
              </w:rPr>
            </w:pPr>
            <w:r>
              <w:rPr>
                <w:rFonts w:ascii="仿宋" w:hAnsi="仿宋" w:eastAsia="仿宋" w:cs="Times New Roman"/>
                <w:b/>
                <w:bCs/>
                <w:sz w:val="24"/>
                <w:szCs w:val="24"/>
              </w:rPr>
              <w:t>价款小计</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3D920891">
            <w:pPr>
              <w:rPr>
                <w:rFonts w:ascii="仿宋" w:hAnsi="仿宋" w:eastAsia="仿宋" w:cs="Times New Roman"/>
                <w:sz w:val="24"/>
                <w:szCs w:val="24"/>
              </w:rPr>
            </w:pPr>
            <w:r>
              <w:rPr>
                <w:rFonts w:ascii="仿宋" w:hAnsi="仿宋" w:eastAsia="仿宋" w:cs="Times New Roman"/>
                <w:b/>
                <w:bCs/>
                <w:sz w:val="24"/>
                <w:szCs w:val="24"/>
              </w:rPr>
              <w:t>税率</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6009AB24">
            <w:pPr>
              <w:rPr>
                <w:rFonts w:ascii="仿宋" w:hAnsi="仿宋" w:eastAsia="仿宋" w:cs="Times New Roman"/>
                <w:sz w:val="24"/>
                <w:szCs w:val="24"/>
              </w:rPr>
            </w:pPr>
            <w:r>
              <w:rPr>
                <w:rFonts w:ascii="仿宋" w:hAnsi="仿宋" w:eastAsia="仿宋" w:cs="Times New Roman"/>
                <w:b/>
                <w:bCs/>
                <w:sz w:val="24"/>
                <w:szCs w:val="24"/>
              </w:rPr>
              <w:t>税款小计</w:t>
            </w:r>
          </w:p>
        </w:tc>
        <w:tc>
          <w:tcPr>
            <w:tcW w:w="40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7280A461">
            <w:pPr>
              <w:rPr>
                <w:rFonts w:ascii="仿宋" w:hAnsi="仿宋" w:eastAsia="仿宋" w:cs="Times New Roman"/>
                <w:sz w:val="24"/>
                <w:szCs w:val="24"/>
              </w:rPr>
            </w:pPr>
            <w:r>
              <w:rPr>
                <w:rFonts w:ascii="仿宋" w:hAnsi="仿宋" w:eastAsia="仿宋" w:cs="Times New Roman"/>
                <w:b/>
                <w:bCs/>
                <w:sz w:val="24"/>
                <w:szCs w:val="24"/>
              </w:rPr>
              <w:t>价税合计</w:t>
            </w:r>
          </w:p>
        </w:tc>
      </w:tr>
      <w:tr w14:paraId="3EA6E9C2">
        <w:tblPrEx>
          <w:tblCellMar>
            <w:top w:w="0" w:type="dxa"/>
            <w:left w:w="0" w:type="dxa"/>
            <w:bottom w:w="0" w:type="dxa"/>
            <w:right w:w="0" w:type="dxa"/>
          </w:tblCellMar>
        </w:tblPrEx>
        <w:trPr>
          <w:trHeight w:val="154" w:hRule="atLeast"/>
        </w:trPr>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0D43616B">
            <w:pPr>
              <w:rPr>
                <w:rFonts w:ascii="仿宋" w:hAnsi="仿宋" w:eastAsia="仿宋" w:cs="Times New Roman"/>
                <w:sz w:val="24"/>
                <w:szCs w:val="24"/>
              </w:rPr>
            </w:pPr>
            <w:r>
              <w:rPr>
                <w:rFonts w:ascii="仿宋" w:hAnsi="仿宋" w:eastAsia="仿宋" w:cs="Times New Roman"/>
                <w:sz w:val="24"/>
                <w:szCs w:val="24"/>
              </w:rPr>
              <w:t>　</w:t>
            </w:r>
          </w:p>
        </w:tc>
        <w:tc>
          <w:tcPr>
            <w:tcW w:w="65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22D1607E">
            <w:pPr>
              <w:rPr>
                <w:rFonts w:ascii="仿宋" w:hAnsi="仿宋" w:eastAsia="仿宋" w:cs="Times New Roman"/>
                <w:sz w:val="24"/>
                <w:szCs w:val="24"/>
              </w:rPr>
            </w:pPr>
            <w:r>
              <w:rPr>
                <w:rFonts w:ascii="仿宋" w:hAnsi="仿宋" w:eastAsia="仿宋" w:cs="Times New Roman"/>
                <w:sz w:val="24"/>
                <w:szCs w:val="24"/>
              </w:rPr>
              <w:t>　</w:t>
            </w:r>
          </w:p>
        </w:tc>
        <w:tc>
          <w:tcPr>
            <w:tcW w:w="772"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A8F3FF9">
            <w:pPr>
              <w:rPr>
                <w:rFonts w:ascii="仿宋" w:hAnsi="仿宋" w:eastAsia="仿宋" w:cs="Times New Roman"/>
                <w:sz w:val="24"/>
                <w:szCs w:val="24"/>
              </w:rPr>
            </w:pPr>
            <w:r>
              <w:rPr>
                <w:rFonts w:ascii="仿宋" w:hAnsi="仿宋" w:eastAsia="仿宋" w:cs="Times New Roman"/>
                <w:sz w:val="24"/>
                <w:szCs w:val="24"/>
              </w:rPr>
              <w:t>　</w:t>
            </w:r>
          </w:p>
        </w:tc>
        <w:tc>
          <w:tcPr>
            <w:tcW w:w="8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8E03F6F">
            <w:pPr>
              <w:rPr>
                <w:rFonts w:ascii="仿宋" w:hAnsi="仿宋" w:eastAsia="仿宋" w:cs="Times New Roman"/>
                <w:sz w:val="24"/>
                <w:szCs w:val="24"/>
              </w:rPr>
            </w:pPr>
            <w:r>
              <w:rPr>
                <w:rFonts w:ascii="仿宋" w:hAnsi="仿宋" w:eastAsia="仿宋" w:cs="Times New Roman"/>
                <w:sz w:val="24"/>
                <w:szCs w:val="24"/>
              </w:rPr>
              <w:t>　</w:t>
            </w:r>
          </w:p>
        </w:tc>
        <w:tc>
          <w:tcPr>
            <w:tcW w:w="207"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6FAB9FB6">
            <w:pPr>
              <w:rPr>
                <w:rFonts w:ascii="仿宋" w:hAnsi="仿宋" w:eastAsia="仿宋" w:cs="Times New Roman"/>
                <w:sz w:val="24"/>
                <w:szCs w:val="24"/>
              </w:rPr>
            </w:pPr>
            <w:r>
              <w:rPr>
                <w:rFonts w:ascii="仿宋" w:hAnsi="仿宋" w:eastAsia="仿宋" w:cs="Times New Roman"/>
                <w:sz w:val="24"/>
                <w:szCs w:val="24"/>
              </w:rPr>
              <w:t>　</w:t>
            </w:r>
          </w:p>
        </w:tc>
        <w:tc>
          <w:tcPr>
            <w:tcW w:w="316"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24056D4">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10CCC6A">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D026FF3">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92A696B">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C7A3032">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BB2F1B3">
            <w:pPr>
              <w:rPr>
                <w:rFonts w:ascii="仿宋" w:hAnsi="仿宋" w:eastAsia="仿宋" w:cs="Times New Roman"/>
                <w:sz w:val="24"/>
                <w:szCs w:val="24"/>
              </w:rPr>
            </w:pPr>
            <w:r>
              <w:rPr>
                <w:rFonts w:ascii="仿宋" w:hAnsi="仿宋" w:eastAsia="仿宋" w:cs="Times New Roman"/>
                <w:sz w:val="24"/>
                <w:szCs w:val="24"/>
              </w:rPr>
              <w:t>　</w:t>
            </w:r>
          </w:p>
        </w:tc>
        <w:tc>
          <w:tcPr>
            <w:tcW w:w="40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5726289">
            <w:pPr>
              <w:rPr>
                <w:rFonts w:ascii="仿宋" w:hAnsi="仿宋" w:eastAsia="仿宋" w:cs="Times New Roman"/>
                <w:sz w:val="24"/>
                <w:szCs w:val="24"/>
              </w:rPr>
            </w:pPr>
            <w:r>
              <w:rPr>
                <w:rFonts w:ascii="仿宋" w:hAnsi="仿宋" w:eastAsia="仿宋" w:cs="Times New Roman"/>
                <w:sz w:val="24"/>
                <w:szCs w:val="24"/>
              </w:rPr>
              <w:t>　</w:t>
            </w:r>
          </w:p>
        </w:tc>
      </w:tr>
      <w:tr w14:paraId="07F99AE5">
        <w:tblPrEx>
          <w:tblCellMar>
            <w:top w:w="0" w:type="dxa"/>
            <w:left w:w="0" w:type="dxa"/>
            <w:bottom w:w="0" w:type="dxa"/>
            <w:right w:w="0" w:type="dxa"/>
          </w:tblCellMar>
        </w:tblPrEx>
        <w:trPr>
          <w:trHeight w:val="154" w:hRule="atLeast"/>
        </w:trPr>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CCCD352">
            <w:pPr>
              <w:rPr>
                <w:rFonts w:ascii="仿宋" w:hAnsi="仿宋" w:eastAsia="仿宋" w:cs="Times New Roman"/>
                <w:sz w:val="24"/>
                <w:szCs w:val="24"/>
              </w:rPr>
            </w:pPr>
            <w:r>
              <w:rPr>
                <w:rFonts w:ascii="仿宋" w:hAnsi="仿宋" w:eastAsia="仿宋" w:cs="Times New Roman"/>
                <w:sz w:val="24"/>
                <w:szCs w:val="24"/>
              </w:rPr>
              <w:t>　</w:t>
            </w:r>
          </w:p>
        </w:tc>
        <w:tc>
          <w:tcPr>
            <w:tcW w:w="65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76368A4F">
            <w:pPr>
              <w:rPr>
                <w:rFonts w:ascii="仿宋" w:hAnsi="仿宋" w:eastAsia="仿宋" w:cs="Times New Roman"/>
                <w:sz w:val="24"/>
                <w:szCs w:val="24"/>
              </w:rPr>
            </w:pPr>
            <w:r>
              <w:rPr>
                <w:rFonts w:ascii="仿宋" w:hAnsi="仿宋" w:eastAsia="仿宋" w:cs="Times New Roman"/>
                <w:sz w:val="24"/>
                <w:szCs w:val="24"/>
              </w:rPr>
              <w:t>　</w:t>
            </w:r>
          </w:p>
        </w:tc>
        <w:tc>
          <w:tcPr>
            <w:tcW w:w="772"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CF58B88">
            <w:pPr>
              <w:rPr>
                <w:rFonts w:ascii="仿宋" w:hAnsi="仿宋" w:eastAsia="仿宋" w:cs="Times New Roman"/>
                <w:sz w:val="24"/>
                <w:szCs w:val="24"/>
              </w:rPr>
            </w:pPr>
            <w:r>
              <w:rPr>
                <w:rFonts w:ascii="仿宋" w:hAnsi="仿宋" w:eastAsia="仿宋" w:cs="Times New Roman"/>
                <w:sz w:val="24"/>
                <w:szCs w:val="24"/>
              </w:rPr>
              <w:t>　</w:t>
            </w:r>
          </w:p>
        </w:tc>
        <w:tc>
          <w:tcPr>
            <w:tcW w:w="8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3ABBA97A">
            <w:pPr>
              <w:rPr>
                <w:rFonts w:ascii="仿宋" w:hAnsi="仿宋" w:eastAsia="仿宋" w:cs="Times New Roman"/>
                <w:sz w:val="24"/>
                <w:szCs w:val="24"/>
              </w:rPr>
            </w:pPr>
            <w:r>
              <w:rPr>
                <w:rFonts w:ascii="仿宋" w:hAnsi="仿宋" w:eastAsia="仿宋" w:cs="Times New Roman"/>
                <w:sz w:val="24"/>
                <w:szCs w:val="24"/>
              </w:rPr>
              <w:t>　</w:t>
            </w:r>
          </w:p>
        </w:tc>
        <w:tc>
          <w:tcPr>
            <w:tcW w:w="207"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AE7AF4A">
            <w:pPr>
              <w:rPr>
                <w:rFonts w:ascii="仿宋" w:hAnsi="仿宋" w:eastAsia="仿宋" w:cs="Times New Roman"/>
                <w:sz w:val="24"/>
                <w:szCs w:val="24"/>
              </w:rPr>
            </w:pPr>
            <w:r>
              <w:rPr>
                <w:rFonts w:ascii="仿宋" w:hAnsi="仿宋" w:eastAsia="仿宋" w:cs="Times New Roman"/>
                <w:sz w:val="24"/>
                <w:szCs w:val="24"/>
              </w:rPr>
              <w:t>　</w:t>
            </w:r>
          </w:p>
        </w:tc>
        <w:tc>
          <w:tcPr>
            <w:tcW w:w="316"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240ABF0">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04D11F36">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78D6A19D">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6406C23A">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760A269">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F5F5AEC">
            <w:pPr>
              <w:rPr>
                <w:rFonts w:ascii="仿宋" w:hAnsi="仿宋" w:eastAsia="仿宋" w:cs="Times New Roman"/>
                <w:sz w:val="24"/>
                <w:szCs w:val="24"/>
              </w:rPr>
            </w:pPr>
            <w:r>
              <w:rPr>
                <w:rFonts w:ascii="仿宋" w:hAnsi="仿宋" w:eastAsia="仿宋" w:cs="Times New Roman"/>
                <w:sz w:val="24"/>
                <w:szCs w:val="24"/>
              </w:rPr>
              <w:t>　</w:t>
            </w:r>
          </w:p>
        </w:tc>
        <w:tc>
          <w:tcPr>
            <w:tcW w:w="40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0ECCEA06">
            <w:pPr>
              <w:rPr>
                <w:rFonts w:ascii="仿宋" w:hAnsi="仿宋" w:eastAsia="仿宋" w:cs="Times New Roman"/>
                <w:sz w:val="24"/>
                <w:szCs w:val="24"/>
              </w:rPr>
            </w:pPr>
            <w:r>
              <w:rPr>
                <w:rFonts w:ascii="仿宋" w:hAnsi="仿宋" w:eastAsia="仿宋" w:cs="Times New Roman"/>
                <w:sz w:val="24"/>
                <w:szCs w:val="24"/>
              </w:rPr>
              <w:t>　</w:t>
            </w:r>
          </w:p>
        </w:tc>
      </w:tr>
      <w:tr w14:paraId="42BB8D7E">
        <w:tblPrEx>
          <w:tblCellMar>
            <w:top w:w="0" w:type="dxa"/>
            <w:left w:w="0" w:type="dxa"/>
            <w:bottom w:w="0" w:type="dxa"/>
            <w:right w:w="0" w:type="dxa"/>
          </w:tblCellMar>
        </w:tblPrEx>
        <w:trPr>
          <w:trHeight w:val="154" w:hRule="atLeast"/>
        </w:trPr>
        <w:tc>
          <w:tcPr>
            <w:tcW w:w="3603" w:type="pct"/>
            <w:gridSpan w:val="9"/>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D705BD1">
            <w:pPr>
              <w:rPr>
                <w:rFonts w:ascii="仿宋" w:hAnsi="仿宋" w:eastAsia="仿宋" w:cs="Times New Roman"/>
                <w:sz w:val="24"/>
                <w:szCs w:val="24"/>
              </w:rPr>
            </w:pPr>
            <w:r>
              <w:rPr>
                <w:rFonts w:ascii="仿宋" w:hAnsi="仿宋" w:eastAsia="仿宋" w:cs="Times New Roman"/>
                <w:b/>
                <w:bCs/>
                <w:sz w:val="24"/>
                <w:szCs w:val="24"/>
              </w:rPr>
              <w:t>货物费合计金额：</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3E8B37B1">
            <w:pPr>
              <w:rPr>
                <w:rFonts w:ascii="仿宋" w:hAnsi="仿宋" w:eastAsia="仿宋" w:cs="Times New Roman"/>
                <w:sz w:val="24"/>
                <w:szCs w:val="24"/>
              </w:rPr>
            </w:pPr>
            <w:r>
              <w:rPr>
                <w:rFonts w:ascii="仿宋" w:hAnsi="仿宋" w:eastAsia="仿宋" w:cs="Times New Roman"/>
                <w:b/>
                <w:bCs/>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7F9383C">
            <w:pPr>
              <w:rPr>
                <w:rFonts w:ascii="仿宋" w:hAnsi="仿宋" w:eastAsia="仿宋" w:cs="Times New Roman"/>
                <w:sz w:val="24"/>
                <w:szCs w:val="24"/>
              </w:rPr>
            </w:pPr>
            <w:r>
              <w:rPr>
                <w:rFonts w:ascii="仿宋" w:hAnsi="仿宋" w:eastAsia="仿宋" w:cs="Times New Roman"/>
                <w:b/>
                <w:bCs/>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2531F275">
            <w:pPr>
              <w:rPr>
                <w:rFonts w:ascii="仿宋" w:hAnsi="仿宋" w:eastAsia="仿宋" w:cs="Times New Roman"/>
                <w:sz w:val="24"/>
                <w:szCs w:val="24"/>
              </w:rPr>
            </w:pPr>
            <w:r>
              <w:rPr>
                <w:rFonts w:ascii="仿宋" w:hAnsi="仿宋" w:eastAsia="仿宋" w:cs="Times New Roman"/>
                <w:b/>
                <w:bCs/>
                <w:sz w:val="24"/>
                <w:szCs w:val="24"/>
              </w:rPr>
              <w:t>　</w:t>
            </w:r>
          </w:p>
        </w:tc>
        <w:tc>
          <w:tcPr>
            <w:tcW w:w="40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74259146">
            <w:pPr>
              <w:rPr>
                <w:rFonts w:ascii="仿宋" w:hAnsi="仿宋" w:eastAsia="仿宋" w:cs="Times New Roman"/>
                <w:sz w:val="24"/>
                <w:szCs w:val="24"/>
              </w:rPr>
            </w:pPr>
            <w:r>
              <w:rPr>
                <w:rFonts w:ascii="仿宋" w:hAnsi="仿宋" w:eastAsia="仿宋" w:cs="Times New Roman"/>
                <w:b/>
                <w:bCs/>
                <w:sz w:val="24"/>
                <w:szCs w:val="24"/>
              </w:rPr>
              <w:t>　</w:t>
            </w:r>
          </w:p>
        </w:tc>
      </w:tr>
      <w:tr w14:paraId="2F248D5E">
        <w:tblPrEx>
          <w:tblCellMar>
            <w:top w:w="0" w:type="dxa"/>
            <w:left w:w="0" w:type="dxa"/>
            <w:bottom w:w="0" w:type="dxa"/>
            <w:right w:w="0" w:type="dxa"/>
          </w:tblCellMar>
        </w:tblPrEx>
        <w:trPr>
          <w:trHeight w:val="154" w:hRule="atLeast"/>
        </w:trPr>
        <w:tc>
          <w:tcPr>
            <w:tcW w:w="5000" w:type="pct"/>
            <w:gridSpan w:val="13"/>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791D00E">
            <w:pPr>
              <w:jc w:val="center"/>
              <w:rPr>
                <w:rFonts w:ascii="仿宋" w:hAnsi="仿宋" w:eastAsia="仿宋" w:cs="Times New Roman"/>
                <w:sz w:val="24"/>
                <w:szCs w:val="24"/>
              </w:rPr>
            </w:pPr>
            <w:r>
              <w:rPr>
                <w:rFonts w:ascii="仿宋" w:hAnsi="仿宋" w:eastAsia="仿宋" w:cs="Times New Roman"/>
                <w:b/>
                <w:bCs/>
                <w:sz w:val="24"/>
                <w:szCs w:val="24"/>
              </w:rPr>
              <w:t>服务费明细</w:t>
            </w:r>
          </w:p>
        </w:tc>
      </w:tr>
      <w:tr w14:paraId="384254F4">
        <w:tblPrEx>
          <w:tblCellMar>
            <w:top w:w="0" w:type="dxa"/>
            <w:left w:w="0" w:type="dxa"/>
            <w:bottom w:w="0" w:type="dxa"/>
            <w:right w:w="0" w:type="dxa"/>
          </w:tblCellMar>
        </w:tblPrEx>
        <w:trPr>
          <w:trHeight w:val="229" w:hRule="atLeast"/>
        </w:trPr>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0E9679C5">
            <w:pPr>
              <w:rPr>
                <w:rFonts w:ascii="仿宋" w:hAnsi="仿宋" w:eastAsia="仿宋" w:cs="Times New Roman"/>
                <w:sz w:val="24"/>
                <w:szCs w:val="24"/>
              </w:rPr>
            </w:pPr>
            <w:r>
              <w:rPr>
                <w:rFonts w:ascii="仿宋" w:hAnsi="仿宋" w:eastAsia="仿宋" w:cs="Times New Roman"/>
                <w:b/>
                <w:bCs/>
                <w:sz w:val="24"/>
                <w:szCs w:val="24"/>
              </w:rPr>
              <w:t>序号</w:t>
            </w:r>
          </w:p>
        </w:tc>
        <w:tc>
          <w:tcPr>
            <w:tcW w:w="1259" w:type="pct"/>
            <w:gridSpan w:val="2"/>
            <w:tcBorders>
              <w:top w:val="single" w:color="000000" w:sz="4" w:space="0"/>
              <w:left w:val="single" w:color="000000" w:sz="4" w:space="0"/>
              <w:bottom w:val="single" w:color="auto" w:sz="4" w:space="0"/>
              <w:right w:val="single" w:color="000000" w:sz="4" w:space="0"/>
            </w:tcBorders>
            <w:noWrap w:val="0"/>
            <w:tcMar>
              <w:top w:w="5" w:type="dxa"/>
              <w:left w:w="5" w:type="dxa"/>
              <w:bottom w:w="0" w:type="dxa"/>
              <w:right w:w="5" w:type="dxa"/>
            </w:tcMar>
            <w:vAlign w:val="top"/>
          </w:tcPr>
          <w:p w14:paraId="187FCE1C">
            <w:pPr>
              <w:rPr>
                <w:rFonts w:ascii="仿宋" w:hAnsi="仿宋" w:eastAsia="仿宋" w:cs="Times New Roman"/>
                <w:sz w:val="24"/>
                <w:szCs w:val="24"/>
              </w:rPr>
            </w:pPr>
            <w:r>
              <w:rPr>
                <w:rFonts w:ascii="仿宋" w:hAnsi="仿宋" w:eastAsia="仿宋" w:cs="Times New Roman"/>
                <w:b/>
                <w:bCs/>
                <w:sz w:val="24"/>
                <w:szCs w:val="24"/>
              </w:rPr>
              <w:t>费用类型</w:t>
            </w:r>
          </w:p>
          <w:p w14:paraId="2CD33288">
            <w:pPr>
              <w:rPr>
                <w:rFonts w:ascii="仿宋" w:hAnsi="仿宋" w:eastAsia="仿宋" w:cs="Times New Roman"/>
                <w:sz w:val="24"/>
                <w:szCs w:val="24"/>
              </w:rPr>
            </w:pPr>
            <w:r>
              <w:rPr>
                <w:rFonts w:ascii="仿宋" w:hAnsi="仿宋" w:eastAsia="仿宋" w:cs="Times New Roman"/>
                <w:sz w:val="24"/>
                <w:szCs w:val="24"/>
              </w:rPr>
              <w:t>　</w:t>
            </w:r>
          </w:p>
        </w:tc>
        <w:tc>
          <w:tcPr>
            <w:tcW w:w="1259" w:type="pct"/>
            <w:gridSpan w:val="3"/>
            <w:tcBorders>
              <w:top w:val="single" w:color="000000" w:sz="4" w:space="0"/>
              <w:left w:val="single" w:color="000000" w:sz="4" w:space="0"/>
              <w:bottom w:val="single" w:color="auto" w:sz="4" w:space="0"/>
              <w:right w:val="single" w:color="000000" w:sz="4" w:space="0"/>
            </w:tcBorders>
            <w:noWrap w:val="0"/>
            <w:vAlign w:val="top"/>
          </w:tcPr>
          <w:p w14:paraId="26312ADA">
            <w:pPr>
              <w:rPr>
                <w:rFonts w:ascii="仿宋" w:hAnsi="仿宋" w:eastAsia="仿宋" w:cs="Times New Roman"/>
                <w:b/>
                <w:sz w:val="24"/>
                <w:szCs w:val="24"/>
              </w:rPr>
            </w:pPr>
            <w:r>
              <w:rPr>
                <w:rFonts w:ascii="仿宋" w:hAnsi="仿宋" w:eastAsia="仿宋" w:cs="Times New Roman"/>
                <w:b/>
                <w:sz w:val="24"/>
                <w:szCs w:val="24"/>
              </w:rPr>
              <w:t>服务供应商</w:t>
            </w:r>
          </w:p>
        </w:tc>
        <w:tc>
          <w:tcPr>
            <w:tcW w:w="316"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2483F3D5">
            <w:pPr>
              <w:rPr>
                <w:rFonts w:ascii="仿宋" w:hAnsi="仿宋" w:eastAsia="仿宋" w:cs="Times New Roman"/>
                <w:sz w:val="24"/>
                <w:szCs w:val="24"/>
              </w:rPr>
            </w:pPr>
            <w:r>
              <w:rPr>
                <w:rFonts w:ascii="仿宋" w:hAnsi="仿宋" w:eastAsia="仿宋" w:cs="Times New Roman"/>
                <w:b/>
                <w:bCs/>
                <w:sz w:val="24"/>
                <w:szCs w:val="24"/>
              </w:rPr>
              <w:t>费率</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337E2646">
            <w:pPr>
              <w:rPr>
                <w:rFonts w:ascii="仿宋" w:hAnsi="仿宋" w:eastAsia="仿宋" w:cs="Times New Roman"/>
                <w:sz w:val="24"/>
                <w:szCs w:val="24"/>
              </w:rPr>
            </w:pPr>
            <w:r>
              <w:rPr>
                <w:rFonts w:ascii="仿宋" w:hAnsi="仿宋" w:eastAsia="仿宋" w:cs="Times New Roman"/>
                <w:b/>
                <w:bCs/>
                <w:sz w:val="24"/>
                <w:szCs w:val="24"/>
              </w:rPr>
              <w:t>单价价款</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14279F2C">
            <w:pPr>
              <w:rPr>
                <w:rFonts w:ascii="仿宋" w:hAnsi="仿宋" w:eastAsia="仿宋" w:cs="Times New Roman"/>
                <w:sz w:val="24"/>
                <w:szCs w:val="24"/>
              </w:rPr>
            </w:pPr>
            <w:r>
              <w:rPr>
                <w:rFonts w:ascii="仿宋" w:hAnsi="仿宋" w:eastAsia="仿宋" w:cs="Times New Roman"/>
                <w:b/>
                <w:bCs/>
                <w:sz w:val="24"/>
                <w:szCs w:val="24"/>
              </w:rPr>
              <w:t>采购数量</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3FE13310">
            <w:pPr>
              <w:rPr>
                <w:rFonts w:ascii="仿宋" w:hAnsi="仿宋" w:eastAsia="仿宋" w:cs="Times New Roman"/>
                <w:sz w:val="24"/>
                <w:szCs w:val="24"/>
              </w:rPr>
            </w:pPr>
            <w:r>
              <w:rPr>
                <w:rFonts w:ascii="仿宋" w:hAnsi="仿宋" w:eastAsia="仿宋" w:cs="Times New Roman"/>
                <w:b/>
                <w:bCs/>
                <w:sz w:val="24"/>
                <w:szCs w:val="24"/>
              </w:rPr>
              <w:t>价款小计</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7AF25FC5">
            <w:pPr>
              <w:rPr>
                <w:rFonts w:ascii="仿宋" w:hAnsi="仿宋" w:eastAsia="仿宋" w:cs="Times New Roman"/>
                <w:sz w:val="24"/>
                <w:szCs w:val="24"/>
              </w:rPr>
            </w:pPr>
            <w:r>
              <w:rPr>
                <w:rFonts w:ascii="仿宋" w:hAnsi="仿宋" w:eastAsia="仿宋" w:cs="Times New Roman"/>
                <w:b/>
                <w:bCs/>
                <w:sz w:val="24"/>
                <w:szCs w:val="24"/>
              </w:rPr>
              <w:t>税率</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57A48BC8">
            <w:pPr>
              <w:rPr>
                <w:rFonts w:ascii="仿宋" w:hAnsi="仿宋" w:eastAsia="仿宋" w:cs="Times New Roman"/>
                <w:sz w:val="24"/>
                <w:szCs w:val="24"/>
              </w:rPr>
            </w:pPr>
            <w:r>
              <w:rPr>
                <w:rFonts w:ascii="仿宋" w:hAnsi="仿宋" w:eastAsia="仿宋" w:cs="Times New Roman"/>
                <w:b/>
                <w:bCs/>
                <w:sz w:val="24"/>
                <w:szCs w:val="24"/>
              </w:rPr>
              <w:t>税款小计</w:t>
            </w:r>
          </w:p>
        </w:tc>
        <w:tc>
          <w:tcPr>
            <w:tcW w:w="40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7014E259">
            <w:pPr>
              <w:rPr>
                <w:rFonts w:ascii="仿宋" w:hAnsi="仿宋" w:eastAsia="仿宋" w:cs="Times New Roman"/>
                <w:sz w:val="24"/>
                <w:szCs w:val="24"/>
              </w:rPr>
            </w:pPr>
            <w:r>
              <w:rPr>
                <w:rFonts w:ascii="仿宋" w:hAnsi="仿宋" w:eastAsia="仿宋" w:cs="Times New Roman"/>
                <w:b/>
                <w:bCs/>
                <w:sz w:val="24"/>
                <w:szCs w:val="24"/>
              </w:rPr>
              <w:t>价税合计</w:t>
            </w:r>
          </w:p>
        </w:tc>
      </w:tr>
      <w:tr w14:paraId="1278322D">
        <w:tblPrEx>
          <w:tblCellMar>
            <w:top w:w="0" w:type="dxa"/>
            <w:left w:w="0" w:type="dxa"/>
            <w:bottom w:w="0" w:type="dxa"/>
            <w:right w:w="0" w:type="dxa"/>
          </w:tblCellMar>
        </w:tblPrEx>
        <w:trPr>
          <w:trHeight w:val="154" w:hRule="atLeast"/>
        </w:trPr>
        <w:tc>
          <w:tcPr>
            <w:tcW w:w="182" w:type="pct"/>
            <w:tcBorders>
              <w:top w:val="single" w:color="000000" w:sz="4" w:space="0"/>
              <w:left w:val="single" w:color="000000" w:sz="4" w:space="0"/>
              <w:bottom w:val="single" w:color="000000" w:sz="4" w:space="0"/>
              <w:right w:val="single" w:color="auto" w:sz="4" w:space="0"/>
            </w:tcBorders>
            <w:noWrap w:val="0"/>
            <w:tcMar>
              <w:top w:w="5" w:type="dxa"/>
              <w:left w:w="5" w:type="dxa"/>
              <w:bottom w:w="0" w:type="dxa"/>
              <w:right w:w="5" w:type="dxa"/>
            </w:tcMar>
            <w:vAlign w:val="center"/>
          </w:tcPr>
          <w:p w14:paraId="152DC9D6">
            <w:pPr>
              <w:rPr>
                <w:rFonts w:ascii="仿宋" w:hAnsi="仿宋" w:eastAsia="仿宋" w:cs="Times New Roman"/>
                <w:sz w:val="24"/>
                <w:szCs w:val="24"/>
              </w:rPr>
            </w:pPr>
            <w:r>
              <w:rPr>
                <w:rFonts w:ascii="仿宋" w:hAnsi="仿宋" w:eastAsia="仿宋" w:cs="Times New Roman"/>
                <w:sz w:val="24"/>
                <w:szCs w:val="24"/>
              </w:rPr>
              <w:t>　</w:t>
            </w:r>
          </w:p>
        </w:tc>
        <w:tc>
          <w:tcPr>
            <w:tcW w:w="1259" w:type="pct"/>
            <w:gridSpan w:val="2"/>
            <w:tcBorders>
              <w:top w:val="single" w:color="auto" w:sz="4" w:space="0"/>
              <w:left w:val="single" w:color="auto" w:sz="4" w:space="0"/>
              <w:bottom w:val="single" w:color="auto" w:sz="4" w:space="0"/>
              <w:right w:val="single" w:color="auto" w:sz="4" w:space="0"/>
            </w:tcBorders>
            <w:noWrap w:val="0"/>
            <w:tcMar>
              <w:top w:w="5" w:type="dxa"/>
              <w:left w:w="5" w:type="dxa"/>
              <w:bottom w:w="0" w:type="dxa"/>
              <w:right w:w="5" w:type="dxa"/>
            </w:tcMar>
            <w:vAlign w:val="center"/>
          </w:tcPr>
          <w:p w14:paraId="5A43D5C4">
            <w:pPr>
              <w:rPr>
                <w:rFonts w:ascii="仿宋" w:hAnsi="仿宋" w:eastAsia="仿宋" w:cs="Times New Roman"/>
                <w:sz w:val="24"/>
                <w:szCs w:val="24"/>
              </w:rPr>
            </w:pPr>
          </w:p>
        </w:tc>
        <w:tc>
          <w:tcPr>
            <w:tcW w:w="1259" w:type="pct"/>
            <w:gridSpan w:val="3"/>
            <w:tcBorders>
              <w:top w:val="single" w:color="auto" w:sz="4" w:space="0"/>
              <w:left w:val="single" w:color="auto" w:sz="4" w:space="0"/>
              <w:bottom w:val="single" w:color="auto" w:sz="4" w:space="0"/>
              <w:right w:val="single" w:color="auto" w:sz="4" w:space="0"/>
            </w:tcBorders>
            <w:noWrap w:val="0"/>
            <w:vAlign w:val="center"/>
          </w:tcPr>
          <w:p w14:paraId="52149AED">
            <w:pPr>
              <w:rPr>
                <w:rFonts w:ascii="仿宋" w:hAnsi="仿宋" w:eastAsia="仿宋" w:cs="Times New Roman"/>
                <w:sz w:val="24"/>
                <w:szCs w:val="24"/>
              </w:rPr>
            </w:pPr>
          </w:p>
        </w:tc>
        <w:tc>
          <w:tcPr>
            <w:tcW w:w="316" w:type="pct"/>
            <w:tcBorders>
              <w:top w:val="single" w:color="000000" w:sz="4" w:space="0"/>
              <w:left w:val="single" w:color="auto" w:sz="4" w:space="0"/>
              <w:bottom w:val="single" w:color="000000" w:sz="4" w:space="0"/>
              <w:right w:val="single" w:color="000000" w:sz="4" w:space="0"/>
            </w:tcBorders>
            <w:noWrap w:val="0"/>
            <w:tcMar>
              <w:top w:w="5" w:type="dxa"/>
              <w:left w:w="5" w:type="dxa"/>
              <w:bottom w:w="0" w:type="dxa"/>
              <w:right w:w="5" w:type="dxa"/>
            </w:tcMar>
            <w:vAlign w:val="center"/>
          </w:tcPr>
          <w:p w14:paraId="5C7F1A06">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510E334">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01A4CEC2">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1865930">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3B356D1B">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33D0A95">
            <w:pPr>
              <w:rPr>
                <w:rFonts w:ascii="仿宋" w:hAnsi="仿宋" w:eastAsia="仿宋" w:cs="Times New Roman"/>
                <w:sz w:val="24"/>
                <w:szCs w:val="24"/>
              </w:rPr>
            </w:pPr>
            <w:r>
              <w:rPr>
                <w:rFonts w:ascii="仿宋" w:hAnsi="仿宋" w:eastAsia="仿宋" w:cs="Times New Roman"/>
                <w:sz w:val="24"/>
                <w:szCs w:val="24"/>
              </w:rPr>
              <w:t>　</w:t>
            </w:r>
          </w:p>
        </w:tc>
        <w:tc>
          <w:tcPr>
            <w:tcW w:w="40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2497A3BA">
            <w:pPr>
              <w:rPr>
                <w:rFonts w:ascii="仿宋" w:hAnsi="仿宋" w:eastAsia="仿宋" w:cs="Times New Roman"/>
                <w:sz w:val="24"/>
                <w:szCs w:val="24"/>
              </w:rPr>
            </w:pPr>
            <w:r>
              <w:rPr>
                <w:rFonts w:ascii="仿宋" w:hAnsi="仿宋" w:eastAsia="仿宋" w:cs="Times New Roman"/>
                <w:sz w:val="24"/>
                <w:szCs w:val="24"/>
              </w:rPr>
              <w:t>　</w:t>
            </w:r>
          </w:p>
        </w:tc>
      </w:tr>
      <w:tr w14:paraId="648D3585">
        <w:tblPrEx>
          <w:tblCellMar>
            <w:top w:w="0" w:type="dxa"/>
            <w:left w:w="0" w:type="dxa"/>
            <w:bottom w:w="0" w:type="dxa"/>
            <w:right w:w="0" w:type="dxa"/>
          </w:tblCellMar>
        </w:tblPrEx>
        <w:trPr>
          <w:trHeight w:val="154" w:hRule="atLeast"/>
        </w:trPr>
        <w:tc>
          <w:tcPr>
            <w:tcW w:w="182" w:type="pct"/>
            <w:tcBorders>
              <w:top w:val="single" w:color="000000" w:sz="4" w:space="0"/>
              <w:left w:val="single" w:color="000000" w:sz="4" w:space="0"/>
              <w:bottom w:val="single" w:color="000000" w:sz="4" w:space="0"/>
              <w:right w:val="single" w:color="auto" w:sz="4" w:space="0"/>
            </w:tcBorders>
            <w:noWrap w:val="0"/>
            <w:tcMar>
              <w:top w:w="5" w:type="dxa"/>
              <w:left w:w="5" w:type="dxa"/>
              <w:bottom w:w="0" w:type="dxa"/>
              <w:right w:w="5" w:type="dxa"/>
            </w:tcMar>
            <w:vAlign w:val="center"/>
          </w:tcPr>
          <w:p w14:paraId="688A7E3B">
            <w:pPr>
              <w:rPr>
                <w:rFonts w:ascii="仿宋" w:hAnsi="仿宋" w:eastAsia="仿宋" w:cs="Times New Roman"/>
                <w:sz w:val="24"/>
                <w:szCs w:val="24"/>
              </w:rPr>
            </w:pPr>
            <w:r>
              <w:rPr>
                <w:rFonts w:ascii="仿宋" w:hAnsi="仿宋" w:eastAsia="仿宋" w:cs="Times New Roman"/>
                <w:sz w:val="24"/>
                <w:szCs w:val="24"/>
              </w:rPr>
              <w:t>　</w:t>
            </w:r>
          </w:p>
        </w:tc>
        <w:tc>
          <w:tcPr>
            <w:tcW w:w="1259" w:type="pct"/>
            <w:gridSpan w:val="2"/>
            <w:tcBorders>
              <w:top w:val="single" w:color="auto" w:sz="4" w:space="0"/>
              <w:left w:val="single" w:color="auto" w:sz="4" w:space="0"/>
              <w:bottom w:val="single" w:color="auto" w:sz="4" w:space="0"/>
              <w:right w:val="single" w:color="auto" w:sz="4" w:space="0"/>
            </w:tcBorders>
            <w:noWrap w:val="0"/>
            <w:tcMar>
              <w:top w:w="5" w:type="dxa"/>
              <w:left w:w="5" w:type="dxa"/>
              <w:bottom w:w="0" w:type="dxa"/>
              <w:right w:w="5" w:type="dxa"/>
            </w:tcMar>
            <w:vAlign w:val="center"/>
          </w:tcPr>
          <w:p w14:paraId="46276EBA">
            <w:pPr>
              <w:rPr>
                <w:rFonts w:ascii="仿宋" w:hAnsi="仿宋" w:eastAsia="仿宋" w:cs="Times New Roman"/>
                <w:sz w:val="24"/>
                <w:szCs w:val="24"/>
              </w:rPr>
            </w:pPr>
          </w:p>
        </w:tc>
        <w:tc>
          <w:tcPr>
            <w:tcW w:w="1259" w:type="pct"/>
            <w:gridSpan w:val="3"/>
            <w:tcBorders>
              <w:top w:val="single" w:color="auto" w:sz="4" w:space="0"/>
              <w:left w:val="single" w:color="auto" w:sz="4" w:space="0"/>
              <w:bottom w:val="single" w:color="auto" w:sz="4" w:space="0"/>
              <w:right w:val="single" w:color="auto" w:sz="4" w:space="0"/>
            </w:tcBorders>
            <w:noWrap w:val="0"/>
            <w:vAlign w:val="center"/>
          </w:tcPr>
          <w:p w14:paraId="6F10E7B8">
            <w:pPr>
              <w:rPr>
                <w:rFonts w:ascii="仿宋" w:hAnsi="仿宋" w:eastAsia="仿宋" w:cs="Times New Roman"/>
                <w:sz w:val="24"/>
                <w:szCs w:val="24"/>
              </w:rPr>
            </w:pPr>
          </w:p>
        </w:tc>
        <w:tc>
          <w:tcPr>
            <w:tcW w:w="316" w:type="pct"/>
            <w:tcBorders>
              <w:top w:val="single" w:color="000000" w:sz="4" w:space="0"/>
              <w:left w:val="single" w:color="auto" w:sz="4" w:space="0"/>
              <w:bottom w:val="single" w:color="000000" w:sz="4" w:space="0"/>
              <w:right w:val="single" w:color="000000" w:sz="4" w:space="0"/>
            </w:tcBorders>
            <w:noWrap w:val="0"/>
            <w:tcMar>
              <w:top w:w="5" w:type="dxa"/>
              <w:left w:w="5" w:type="dxa"/>
              <w:bottom w:w="0" w:type="dxa"/>
              <w:right w:w="5" w:type="dxa"/>
            </w:tcMar>
            <w:vAlign w:val="center"/>
          </w:tcPr>
          <w:p w14:paraId="10A539B9">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0FE813A6">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3580ED58">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611DF5C7">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0FADCBC2">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61A94D67">
            <w:pPr>
              <w:rPr>
                <w:rFonts w:ascii="仿宋" w:hAnsi="仿宋" w:eastAsia="仿宋" w:cs="Times New Roman"/>
                <w:sz w:val="24"/>
                <w:szCs w:val="24"/>
              </w:rPr>
            </w:pPr>
            <w:r>
              <w:rPr>
                <w:rFonts w:ascii="仿宋" w:hAnsi="仿宋" w:eastAsia="仿宋" w:cs="Times New Roman"/>
                <w:sz w:val="24"/>
                <w:szCs w:val="24"/>
              </w:rPr>
              <w:t>　</w:t>
            </w:r>
          </w:p>
        </w:tc>
        <w:tc>
          <w:tcPr>
            <w:tcW w:w="40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22FD7C2">
            <w:pPr>
              <w:rPr>
                <w:rFonts w:ascii="仿宋" w:hAnsi="仿宋" w:eastAsia="仿宋" w:cs="Times New Roman"/>
                <w:sz w:val="24"/>
                <w:szCs w:val="24"/>
              </w:rPr>
            </w:pPr>
            <w:r>
              <w:rPr>
                <w:rFonts w:ascii="仿宋" w:hAnsi="仿宋" w:eastAsia="仿宋" w:cs="Times New Roman"/>
                <w:sz w:val="24"/>
                <w:szCs w:val="24"/>
              </w:rPr>
              <w:t>　</w:t>
            </w:r>
          </w:p>
        </w:tc>
      </w:tr>
      <w:tr w14:paraId="2D83055F">
        <w:tblPrEx>
          <w:tblCellMar>
            <w:top w:w="0" w:type="dxa"/>
            <w:left w:w="0" w:type="dxa"/>
            <w:bottom w:w="0" w:type="dxa"/>
            <w:right w:w="0" w:type="dxa"/>
          </w:tblCellMar>
        </w:tblPrEx>
        <w:trPr>
          <w:trHeight w:val="154" w:hRule="atLeast"/>
        </w:trPr>
        <w:tc>
          <w:tcPr>
            <w:tcW w:w="3603" w:type="pct"/>
            <w:gridSpan w:val="9"/>
            <w:tcBorders>
              <w:top w:val="single" w:color="000000" w:sz="4" w:space="0"/>
              <w:left w:val="single" w:color="000000" w:sz="4" w:space="0"/>
              <w:bottom w:val="single" w:color="auto" w:sz="4" w:space="0"/>
              <w:right w:val="single" w:color="000000" w:sz="4" w:space="0"/>
            </w:tcBorders>
            <w:noWrap w:val="0"/>
            <w:tcMar>
              <w:top w:w="5" w:type="dxa"/>
              <w:left w:w="5" w:type="dxa"/>
              <w:bottom w:w="0" w:type="dxa"/>
              <w:right w:w="5" w:type="dxa"/>
            </w:tcMar>
            <w:vAlign w:val="center"/>
          </w:tcPr>
          <w:p w14:paraId="633C9E6A">
            <w:pPr>
              <w:rPr>
                <w:rFonts w:ascii="仿宋" w:hAnsi="仿宋" w:eastAsia="仿宋" w:cs="Times New Roman"/>
                <w:sz w:val="24"/>
                <w:szCs w:val="24"/>
              </w:rPr>
            </w:pPr>
            <w:r>
              <w:rPr>
                <w:rFonts w:ascii="仿宋" w:hAnsi="仿宋" w:eastAsia="仿宋" w:cs="Times New Roman"/>
                <w:b/>
                <w:bCs/>
                <w:sz w:val="24"/>
                <w:szCs w:val="24"/>
              </w:rPr>
              <w:t>服务费合计金额：</w:t>
            </w:r>
          </w:p>
        </w:tc>
        <w:tc>
          <w:tcPr>
            <w:tcW w:w="404" w:type="pct"/>
            <w:tcBorders>
              <w:top w:val="single" w:color="000000" w:sz="4" w:space="0"/>
              <w:left w:val="single" w:color="000000" w:sz="4" w:space="0"/>
              <w:bottom w:val="single" w:color="auto" w:sz="4" w:space="0"/>
              <w:right w:val="single" w:color="000000" w:sz="4" w:space="0"/>
            </w:tcBorders>
            <w:noWrap w:val="0"/>
            <w:tcMar>
              <w:top w:w="5" w:type="dxa"/>
              <w:left w:w="5" w:type="dxa"/>
              <w:bottom w:w="0" w:type="dxa"/>
              <w:right w:w="5" w:type="dxa"/>
            </w:tcMar>
            <w:vAlign w:val="center"/>
          </w:tcPr>
          <w:p w14:paraId="2E8F680D">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auto" w:sz="4" w:space="0"/>
              <w:right w:val="single" w:color="000000" w:sz="4" w:space="0"/>
            </w:tcBorders>
            <w:noWrap w:val="0"/>
            <w:tcMar>
              <w:top w:w="5" w:type="dxa"/>
              <w:left w:w="5" w:type="dxa"/>
              <w:bottom w:w="0" w:type="dxa"/>
              <w:right w:w="5" w:type="dxa"/>
            </w:tcMar>
            <w:vAlign w:val="center"/>
          </w:tcPr>
          <w:p w14:paraId="722C6299">
            <w:pPr>
              <w:rPr>
                <w:rFonts w:ascii="仿宋" w:hAnsi="仿宋" w:eastAsia="仿宋" w:cs="Times New Roman"/>
                <w:sz w:val="24"/>
                <w:szCs w:val="24"/>
              </w:rPr>
            </w:pPr>
            <w:r>
              <w:rPr>
                <w:rFonts w:ascii="仿宋" w:hAnsi="仿宋" w:eastAsia="仿宋" w:cs="Times New Roman"/>
                <w:b/>
                <w:bCs/>
                <w:sz w:val="24"/>
                <w:szCs w:val="24"/>
              </w:rPr>
              <w:t>　</w:t>
            </w:r>
          </w:p>
        </w:tc>
        <w:tc>
          <w:tcPr>
            <w:tcW w:w="404" w:type="pct"/>
            <w:tcBorders>
              <w:top w:val="single" w:color="000000" w:sz="4" w:space="0"/>
              <w:left w:val="single" w:color="000000" w:sz="4" w:space="0"/>
              <w:bottom w:val="single" w:color="auto" w:sz="4" w:space="0"/>
              <w:right w:val="single" w:color="000000" w:sz="4" w:space="0"/>
            </w:tcBorders>
            <w:noWrap w:val="0"/>
            <w:tcMar>
              <w:top w:w="5" w:type="dxa"/>
              <w:left w:w="5" w:type="dxa"/>
              <w:bottom w:w="0" w:type="dxa"/>
              <w:right w:w="5" w:type="dxa"/>
            </w:tcMar>
            <w:vAlign w:val="center"/>
          </w:tcPr>
          <w:p w14:paraId="21BAD5C6">
            <w:pPr>
              <w:rPr>
                <w:rFonts w:ascii="仿宋" w:hAnsi="仿宋" w:eastAsia="仿宋" w:cs="Times New Roman"/>
                <w:sz w:val="24"/>
                <w:szCs w:val="24"/>
              </w:rPr>
            </w:pPr>
            <w:r>
              <w:rPr>
                <w:rFonts w:ascii="仿宋" w:hAnsi="仿宋" w:eastAsia="仿宋" w:cs="Times New Roman"/>
                <w:sz w:val="24"/>
                <w:szCs w:val="24"/>
              </w:rPr>
              <w:t>　</w:t>
            </w:r>
          </w:p>
        </w:tc>
        <w:tc>
          <w:tcPr>
            <w:tcW w:w="405" w:type="pct"/>
            <w:tcBorders>
              <w:top w:val="single" w:color="000000" w:sz="4" w:space="0"/>
              <w:left w:val="single" w:color="000000" w:sz="4" w:space="0"/>
              <w:bottom w:val="single" w:color="auto" w:sz="4" w:space="0"/>
              <w:right w:val="single" w:color="000000" w:sz="4" w:space="0"/>
            </w:tcBorders>
            <w:noWrap w:val="0"/>
            <w:tcMar>
              <w:top w:w="5" w:type="dxa"/>
              <w:left w:w="5" w:type="dxa"/>
              <w:bottom w:w="0" w:type="dxa"/>
              <w:right w:w="5" w:type="dxa"/>
            </w:tcMar>
            <w:vAlign w:val="center"/>
          </w:tcPr>
          <w:p w14:paraId="3FBDAF8C">
            <w:pPr>
              <w:rPr>
                <w:rFonts w:ascii="仿宋" w:hAnsi="仿宋" w:eastAsia="仿宋" w:cs="Times New Roman"/>
                <w:sz w:val="24"/>
                <w:szCs w:val="24"/>
              </w:rPr>
            </w:pPr>
            <w:r>
              <w:rPr>
                <w:rFonts w:ascii="仿宋" w:hAnsi="仿宋" w:eastAsia="仿宋" w:cs="Times New Roman"/>
                <w:sz w:val="24"/>
                <w:szCs w:val="24"/>
              </w:rPr>
              <w:t>　</w:t>
            </w:r>
          </w:p>
        </w:tc>
      </w:tr>
      <w:tr w14:paraId="645A8274">
        <w:tblPrEx>
          <w:tblCellMar>
            <w:top w:w="0" w:type="dxa"/>
            <w:left w:w="0" w:type="dxa"/>
            <w:bottom w:w="0" w:type="dxa"/>
            <w:right w:w="0" w:type="dxa"/>
          </w:tblCellMar>
        </w:tblPrEx>
        <w:trPr>
          <w:trHeight w:val="154" w:hRule="atLeast"/>
        </w:trPr>
        <w:tc>
          <w:tcPr>
            <w:tcW w:w="5000" w:type="pct"/>
            <w:gridSpan w:val="13"/>
            <w:tcBorders>
              <w:top w:val="single" w:color="auto" w:sz="4" w:space="0"/>
              <w:left w:val="single" w:color="auto" w:sz="4" w:space="0"/>
              <w:bottom w:val="single" w:color="auto" w:sz="4" w:space="0"/>
              <w:right w:val="single" w:color="auto" w:sz="4" w:space="0"/>
            </w:tcBorders>
            <w:noWrap w:val="0"/>
            <w:tcMar>
              <w:top w:w="5" w:type="dxa"/>
              <w:left w:w="5" w:type="dxa"/>
              <w:bottom w:w="0" w:type="dxa"/>
              <w:right w:w="5" w:type="dxa"/>
            </w:tcMar>
            <w:vAlign w:val="center"/>
          </w:tcPr>
          <w:p w14:paraId="233031ED">
            <w:pPr>
              <w:jc w:val="center"/>
              <w:rPr>
                <w:rFonts w:ascii="仿宋" w:hAnsi="仿宋" w:eastAsia="仿宋" w:cs="Times New Roman"/>
                <w:b/>
                <w:sz w:val="24"/>
                <w:szCs w:val="24"/>
              </w:rPr>
            </w:pPr>
            <w:r>
              <w:rPr>
                <w:rFonts w:hint="eastAsia" w:ascii="仿宋" w:hAnsi="仿宋" w:eastAsia="仿宋" w:cs="Times New Roman"/>
                <w:b/>
                <w:sz w:val="24"/>
                <w:szCs w:val="24"/>
              </w:rPr>
              <w:t>费用总计</w:t>
            </w:r>
          </w:p>
        </w:tc>
      </w:tr>
      <w:tr w14:paraId="3C4DBE4A">
        <w:tblPrEx>
          <w:tblCellMar>
            <w:top w:w="0" w:type="dxa"/>
            <w:left w:w="0" w:type="dxa"/>
            <w:bottom w:w="0" w:type="dxa"/>
            <w:right w:w="0" w:type="dxa"/>
          </w:tblCellMar>
        </w:tblPrEx>
        <w:trPr>
          <w:trHeight w:val="154" w:hRule="atLeast"/>
        </w:trPr>
        <w:tc>
          <w:tcPr>
            <w:tcW w:w="2700" w:type="pct"/>
            <w:gridSpan w:val="6"/>
            <w:tcBorders>
              <w:top w:val="single" w:color="auto"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36E4105">
            <w:pPr>
              <w:rPr>
                <w:rFonts w:ascii="仿宋" w:hAnsi="仿宋" w:eastAsia="仿宋" w:cs="Times New Roman"/>
                <w:sz w:val="24"/>
                <w:szCs w:val="24"/>
              </w:rPr>
            </w:pPr>
            <w:r>
              <w:rPr>
                <w:rFonts w:ascii="仿宋" w:hAnsi="仿宋" w:eastAsia="仿宋" w:cs="Times New Roman"/>
                <w:b/>
                <w:bCs/>
                <w:sz w:val="24"/>
                <w:szCs w:val="24"/>
              </w:rPr>
              <w:t>费用类型</w:t>
            </w:r>
          </w:p>
        </w:tc>
        <w:tc>
          <w:tcPr>
            <w:tcW w:w="903" w:type="pct"/>
            <w:gridSpan w:val="3"/>
            <w:tcBorders>
              <w:top w:val="single" w:color="auto"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FE7BEF2">
            <w:pPr>
              <w:rPr>
                <w:rFonts w:ascii="仿宋" w:hAnsi="仿宋" w:eastAsia="仿宋" w:cs="Times New Roman"/>
                <w:sz w:val="24"/>
                <w:szCs w:val="24"/>
              </w:rPr>
            </w:pPr>
            <w:r>
              <w:rPr>
                <w:rFonts w:ascii="仿宋" w:hAnsi="仿宋" w:eastAsia="仿宋" w:cs="Times New Roman"/>
                <w:b/>
                <w:bCs/>
                <w:sz w:val="24"/>
                <w:szCs w:val="24"/>
              </w:rPr>
              <w:t>价款</w:t>
            </w:r>
          </w:p>
        </w:tc>
        <w:tc>
          <w:tcPr>
            <w:tcW w:w="586" w:type="pct"/>
            <w:gridSpan w:val="2"/>
            <w:tcBorders>
              <w:top w:val="single" w:color="auto"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26872271">
            <w:pPr>
              <w:rPr>
                <w:rFonts w:ascii="仿宋" w:hAnsi="仿宋" w:eastAsia="仿宋" w:cs="Times New Roman"/>
                <w:sz w:val="24"/>
                <w:szCs w:val="24"/>
              </w:rPr>
            </w:pPr>
            <w:r>
              <w:rPr>
                <w:rFonts w:ascii="仿宋" w:hAnsi="仿宋" w:eastAsia="仿宋" w:cs="Times New Roman"/>
                <w:b/>
                <w:bCs/>
                <w:sz w:val="24"/>
                <w:szCs w:val="24"/>
              </w:rPr>
              <w:t>税款</w:t>
            </w:r>
          </w:p>
        </w:tc>
        <w:tc>
          <w:tcPr>
            <w:tcW w:w="809" w:type="pct"/>
            <w:gridSpan w:val="2"/>
            <w:tcBorders>
              <w:top w:val="single" w:color="auto"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EE5CF82">
            <w:pPr>
              <w:rPr>
                <w:rFonts w:ascii="仿宋" w:hAnsi="仿宋" w:eastAsia="仿宋" w:cs="Times New Roman"/>
                <w:sz w:val="24"/>
                <w:szCs w:val="24"/>
              </w:rPr>
            </w:pPr>
            <w:r>
              <w:rPr>
                <w:rFonts w:ascii="仿宋" w:hAnsi="仿宋" w:eastAsia="仿宋" w:cs="Times New Roman"/>
                <w:b/>
                <w:bCs/>
                <w:sz w:val="24"/>
                <w:szCs w:val="24"/>
              </w:rPr>
              <w:t>价税合计</w:t>
            </w:r>
          </w:p>
        </w:tc>
      </w:tr>
      <w:tr w14:paraId="4A65603A">
        <w:tblPrEx>
          <w:tblCellMar>
            <w:top w:w="0" w:type="dxa"/>
            <w:left w:w="0" w:type="dxa"/>
            <w:bottom w:w="0" w:type="dxa"/>
            <w:right w:w="0" w:type="dxa"/>
          </w:tblCellMar>
        </w:tblPrEx>
        <w:trPr>
          <w:trHeight w:val="154" w:hRule="atLeast"/>
        </w:trPr>
        <w:tc>
          <w:tcPr>
            <w:tcW w:w="2700" w:type="pct"/>
            <w:gridSpan w:val="6"/>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4C56EC6">
            <w:pPr>
              <w:rPr>
                <w:rFonts w:ascii="仿宋" w:hAnsi="仿宋" w:eastAsia="仿宋" w:cs="Times New Roman"/>
                <w:sz w:val="24"/>
                <w:szCs w:val="24"/>
              </w:rPr>
            </w:pPr>
            <w:r>
              <w:rPr>
                <w:rFonts w:ascii="仿宋" w:hAnsi="仿宋" w:eastAsia="仿宋" w:cs="Times New Roman"/>
                <w:b/>
                <w:bCs/>
                <w:sz w:val="24"/>
                <w:szCs w:val="24"/>
              </w:rPr>
              <w:t>货物费总金额：</w:t>
            </w:r>
          </w:p>
        </w:tc>
        <w:tc>
          <w:tcPr>
            <w:tcW w:w="903" w:type="pct"/>
            <w:gridSpan w:val="3"/>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369E16BD">
            <w:pPr>
              <w:rPr>
                <w:rFonts w:ascii="仿宋" w:hAnsi="仿宋" w:eastAsia="仿宋" w:cs="Times New Roman"/>
                <w:sz w:val="24"/>
                <w:szCs w:val="24"/>
              </w:rPr>
            </w:pPr>
            <w:r>
              <w:rPr>
                <w:rFonts w:ascii="仿宋" w:hAnsi="仿宋" w:eastAsia="仿宋" w:cs="Times New Roman"/>
                <w:b/>
                <w:bCs/>
                <w:sz w:val="24"/>
                <w:szCs w:val="24"/>
              </w:rPr>
              <w:t>　</w:t>
            </w:r>
          </w:p>
        </w:tc>
        <w:tc>
          <w:tcPr>
            <w:tcW w:w="586"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7FFB84F">
            <w:pPr>
              <w:rPr>
                <w:rFonts w:ascii="仿宋" w:hAnsi="仿宋" w:eastAsia="仿宋" w:cs="Times New Roman"/>
                <w:sz w:val="24"/>
                <w:szCs w:val="24"/>
              </w:rPr>
            </w:pPr>
            <w:r>
              <w:rPr>
                <w:rFonts w:ascii="仿宋" w:hAnsi="仿宋" w:eastAsia="仿宋" w:cs="Times New Roman"/>
                <w:b/>
                <w:bCs/>
                <w:sz w:val="24"/>
                <w:szCs w:val="24"/>
              </w:rPr>
              <w:t>　</w:t>
            </w:r>
          </w:p>
        </w:tc>
        <w:tc>
          <w:tcPr>
            <w:tcW w:w="809"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E9D63FF">
            <w:pPr>
              <w:rPr>
                <w:rFonts w:ascii="仿宋" w:hAnsi="仿宋" w:eastAsia="仿宋" w:cs="Times New Roman"/>
                <w:sz w:val="24"/>
                <w:szCs w:val="24"/>
              </w:rPr>
            </w:pPr>
            <w:r>
              <w:rPr>
                <w:rFonts w:ascii="仿宋" w:hAnsi="仿宋" w:eastAsia="仿宋" w:cs="Times New Roman"/>
                <w:b/>
                <w:bCs/>
                <w:sz w:val="24"/>
                <w:szCs w:val="24"/>
              </w:rPr>
              <w:t>　</w:t>
            </w:r>
          </w:p>
        </w:tc>
      </w:tr>
      <w:tr w14:paraId="3D0FC9E4">
        <w:tblPrEx>
          <w:tblCellMar>
            <w:top w:w="0" w:type="dxa"/>
            <w:left w:w="0" w:type="dxa"/>
            <w:bottom w:w="0" w:type="dxa"/>
            <w:right w:w="0" w:type="dxa"/>
          </w:tblCellMar>
        </w:tblPrEx>
        <w:trPr>
          <w:trHeight w:val="154" w:hRule="atLeast"/>
        </w:trPr>
        <w:tc>
          <w:tcPr>
            <w:tcW w:w="2700" w:type="pct"/>
            <w:gridSpan w:val="6"/>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78019EC8">
            <w:pPr>
              <w:rPr>
                <w:rFonts w:ascii="仿宋" w:hAnsi="仿宋" w:eastAsia="仿宋" w:cs="Times New Roman"/>
                <w:sz w:val="24"/>
                <w:szCs w:val="24"/>
              </w:rPr>
            </w:pPr>
            <w:r>
              <w:rPr>
                <w:rFonts w:ascii="仿宋" w:hAnsi="仿宋" w:eastAsia="仿宋" w:cs="Times New Roman"/>
                <w:b/>
                <w:bCs/>
                <w:sz w:val="24"/>
                <w:szCs w:val="24"/>
              </w:rPr>
              <w:t>服务费总金额：</w:t>
            </w:r>
          </w:p>
        </w:tc>
        <w:tc>
          <w:tcPr>
            <w:tcW w:w="903" w:type="pct"/>
            <w:gridSpan w:val="3"/>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01C8C835">
            <w:pPr>
              <w:rPr>
                <w:rFonts w:ascii="仿宋" w:hAnsi="仿宋" w:eastAsia="仿宋" w:cs="Times New Roman"/>
                <w:sz w:val="24"/>
                <w:szCs w:val="24"/>
              </w:rPr>
            </w:pPr>
            <w:r>
              <w:rPr>
                <w:rFonts w:ascii="仿宋" w:hAnsi="仿宋" w:eastAsia="仿宋" w:cs="Times New Roman"/>
                <w:b/>
                <w:bCs/>
                <w:sz w:val="24"/>
                <w:szCs w:val="24"/>
              </w:rPr>
              <w:t>　</w:t>
            </w:r>
          </w:p>
        </w:tc>
        <w:tc>
          <w:tcPr>
            <w:tcW w:w="586"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2F1A1804">
            <w:pPr>
              <w:rPr>
                <w:rFonts w:ascii="仿宋" w:hAnsi="仿宋" w:eastAsia="仿宋" w:cs="Times New Roman"/>
                <w:sz w:val="24"/>
                <w:szCs w:val="24"/>
              </w:rPr>
            </w:pPr>
            <w:r>
              <w:rPr>
                <w:rFonts w:ascii="仿宋" w:hAnsi="仿宋" w:eastAsia="仿宋" w:cs="Times New Roman"/>
                <w:b/>
                <w:bCs/>
                <w:sz w:val="24"/>
                <w:szCs w:val="24"/>
              </w:rPr>
              <w:t>　</w:t>
            </w:r>
          </w:p>
        </w:tc>
        <w:tc>
          <w:tcPr>
            <w:tcW w:w="809"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6EB79898">
            <w:pPr>
              <w:rPr>
                <w:rFonts w:ascii="仿宋" w:hAnsi="仿宋" w:eastAsia="仿宋" w:cs="Times New Roman"/>
                <w:sz w:val="24"/>
                <w:szCs w:val="24"/>
              </w:rPr>
            </w:pPr>
            <w:r>
              <w:rPr>
                <w:rFonts w:ascii="仿宋" w:hAnsi="仿宋" w:eastAsia="仿宋" w:cs="Times New Roman"/>
                <w:b/>
                <w:bCs/>
                <w:sz w:val="24"/>
                <w:szCs w:val="24"/>
              </w:rPr>
              <w:t>　</w:t>
            </w:r>
          </w:p>
        </w:tc>
      </w:tr>
      <w:tr w14:paraId="24032B7C">
        <w:tblPrEx>
          <w:tblCellMar>
            <w:top w:w="0" w:type="dxa"/>
            <w:left w:w="0" w:type="dxa"/>
            <w:bottom w:w="0" w:type="dxa"/>
            <w:right w:w="0" w:type="dxa"/>
          </w:tblCellMar>
        </w:tblPrEx>
        <w:trPr>
          <w:trHeight w:val="154" w:hRule="atLeast"/>
        </w:trPr>
        <w:tc>
          <w:tcPr>
            <w:tcW w:w="2700" w:type="pct"/>
            <w:gridSpan w:val="6"/>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37B48584">
            <w:pPr>
              <w:rPr>
                <w:rFonts w:ascii="仿宋" w:hAnsi="仿宋" w:eastAsia="仿宋" w:cs="Times New Roman"/>
                <w:sz w:val="24"/>
                <w:szCs w:val="24"/>
              </w:rPr>
            </w:pPr>
            <w:r>
              <w:rPr>
                <w:rFonts w:ascii="仿宋" w:hAnsi="仿宋" w:eastAsia="仿宋" w:cs="Times New Roman"/>
                <w:b/>
                <w:bCs/>
                <w:sz w:val="24"/>
                <w:szCs w:val="24"/>
              </w:rPr>
              <w:t>订单总金额（人民币小写）：</w:t>
            </w:r>
          </w:p>
        </w:tc>
        <w:tc>
          <w:tcPr>
            <w:tcW w:w="903" w:type="pct"/>
            <w:gridSpan w:val="3"/>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03C1722">
            <w:pPr>
              <w:rPr>
                <w:rFonts w:ascii="仿宋" w:hAnsi="仿宋" w:eastAsia="仿宋" w:cs="Times New Roman"/>
                <w:sz w:val="24"/>
                <w:szCs w:val="24"/>
              </w:rPr>
            </w:pPr>
            <w:r>
              <w:rPr>
                <w:rFonts w:ascii="仿宋" w:hAnsi="仿宋" w:eastAsia="仿宋" w:cs="Times New Roman"/>
                <w:b/>
                <w:bCs/>
                <w:sz w:val="24"/>
                <w:szCs w:val="24"/>
              </w:rPr>
              <w:t>　</w:t>
            </w:r>
          </w:p>
        </w:tc>
        <w:tc>
          <w:tcPr>
            <w:tcW w:w="586"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A35A75F">
            <w:pPr>
              <w:rPr>
                <w:rFonts w:ascii="仿宋" w:hAnsi="仿宋" w:eastAsia="仿宋" w:cs="Times New Roman"/>
                <w:sz w:val="24"/>
                <w:szCs w:val="24"/>
              </w:rPr>
            </w:pPr>
            <w:r>
              <w:rPr>
                <w:rFonts w:ascii="仿宋" w:hAnsi="仿宋" w:eastAsia="仿宋" w:cs="Times New Roman"/>
                <w:b/>
                <w:bCs/>
                <w:sz w:val="24"/>
                <w:szCs w:val="24"/>
              </w:rPr>
              <w:t>　</w:t>
            </w:r>
          </w:p>
        </w:tc>
        <w:tc>
          <w:tcPr>
            <w:tcW w:w="809"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D003E3B">
            <w:pPr>
              <w:rPr>
                <w:rFonts w:ascii="仿宋" w:hAnsi="仿宋" w:eastAsia="仿宋" w:cs="Times New Roman"/>
                <w:sz w:val="24"/>
                <w:szCs w:val="24"/>
              </w:rPr>
            </w:pPr>
            <w:r>
              <w:rPr>
                <w:rFonts w:ascii="仿宋" w:hAnsi="仿宋" w:eastAsia="仿宋" w:cs="Times New Roman"/>
                <w:b/>
                <w:bCs/>
                <w:sz w:val="24"/>
                <w:szCs w:val="24"/>
              </w:rPr>
              <w:t>　</w:t>
            </w:r>
          </w:p>
        </w:tc>
      </w:tr>
      <w:tr w14:paraId="7F993BEE">
        <w:tblPrEx>
          <w:tblCellMar>
            <w:top w:w="0" w:type="dxa"/>
            <w:left w:w="0" w:type="dxa"/>
            <w:bottom w:w="0" w:type="dxa"/>
            <w:right w:w="0" w:type="dxa"/>
          </w:tblCellMar>
        </w:tblPrEx>
        <w:trPr>
          <w:trHeight w:val="459" w:hRule="atLeast"/>
        </w:trPr>
        <w:tc>
          <w:tcPr>
            <w:tcW w:w="2700" w:type="pct"/>
            <w:gridSpan w:val="6"/>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3E91C636">
            <w:pPr>
              <w:rPr>
                <w:rFonts w:ascii="仿宋" w:hAnsi="仿宋" w:eastAsia="仿宋" w:cs="Times New Roman"/>
                <w:sz w:val="24"/>
                <w:szCs w:val="24"/>
              </w:rPr>
            </w:pPr>
            <w:r>
              <w:rPr>
                <w:rFonts w:ascii="仿宋" w:hAnsi="仿宋" w:eastAsia="仿宋" w:cs="Times New Roman"/>
                <w:b/>
                <w:bCs/>
                <w:sz w:val="24"/>
                <w:szCs w:val="24"/>
              </w:rPr>
              <w:t>订单总金额（人民币大写）：</w:t>
            </w:r>
          </w:p>
        </w:tc>
        <w:tc>
          <w:tcPr>
            <w:tcW w:w="2299" w:type="pct"/>
            <w:gridSpan w:val="7"/>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C1E67CB">
            <w:pPr>
              <w:rPr>
                <w:rFonts w:ascii="仿宋" w:hAnsi="仿宋" w:eastAsia="仿宋" w:cs="Times New Roman"/>
                <w:b/>
                <w:bCs/>
                <w:sz w:val="24"/>
                <w:szCs w:val="24"/>
              </w:rPr>
            </w:pPr>
            <w:r>
              <w:rPr>
                <w:rFonts w:ascii="仿宋" w:hAnsi="仿宋" w:eastAsia="仿宋" w:cs="Times New Roman"/>
                <w:b/>
                <w:bCs/>
                <w:sz w:val="24"/>
                <w:szCs w:val="24"/>
              </w:rPr>
              <w:t>价款：</w:t>
            </w:r>
          </w:p>
          <w:p w14:paraId="1B0AB283">
            <w:pPr>
              <w:rPr>
                <w:rFonts w:ascii="仿宋" w:hAnsi="仿宋" w:eastAsia="仿宋" w:cs="Times New Roman"/>
                <w:b/>
                <w:bCs/>
                <w:sz w:val="24"/>
                <w:szCs w:val="24"/>
              </w:rPr>
            </w:pPr>
            <w:r>
              <w:rPr>
                <w:rFonts w:ascii="仿宋" w:hAnsi="仿宋" w:eastAsia="仿宋" w:cs="Times New Roman"/>
                <w:b/>
                <w:bCs/>
                <w:sz w:val="24"/>
                <w:szCs w:val="24"/>
              </w:rPr>
              <w:t>税款：</w:t>
            </w:r>
          </w:p>
          <w:p w14:paraId="26297F13">
            <w:pPr>
              <w:rPr>
                <w:rFonts w:ascii="仿宋" w:hAnsi="仿宋" w:eastAsia="仿宋" w:cs="Times New Roman"/>
                <w:sz w:val="24"/>
                <w:szCs w:val="24"/>
              </w:rPr>
            </w:pPr>
            <w:r>
              <w:rPr>
                <w:rFonts w:ascii="仿宋" w:hAnsi="仿宋" w:eastAsia="仿宋" w:cs="Times New Roman"/>
                <w:b/>
                <w:bCs/>
                <w:sz w:val="24"/>
                <w:szCs w:val="24"/>
              </w:rPr>
              <w:t>价税合计：</w:t>
            </w:r>
          </w:p>
        </w:tc>
      </w:tr>
      <w:tr w14:paraId="7277D6F6">
        <w:tblPrEx>
          <w:tblCellMar>
            <w:top w:w="0" w:type="dxa"/>
            <w:left w:w="0" w:type="dxa"/>
            <w:bottom w:w="0" w:type="dxa"/>
            <w:right w:w="0" w:type="dxa"/>
          </w:tblCellMar>
        </w:tblPrEx>
        <w:trPr>
          <w:trHeight w:val="535" w:hRule="atLeast"/>
        </w:trPr>
        <w:tc>
          <w:tcPr>
            <w:tcW w:w="5000" w:type="pct"/>
            <w:gridSpan w:val="13"/>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4C57E7B">
            <w:pPr>
              <w:rPr>
                <w:rFonts w:ascii="仿宋" w:hAnsi="仿宋" w:eastAsia="仿宋" w:cs="Times New Roman"/>
                <w:sz w:val="24"/>
                <w:szCs w:val="24"/>
              </w:rPr>
            </w:pPr>
            <w:r>
              <w:rPr>
                <w:rFonts w:ascii="仿宋" w:hAnsi="仿宋" w:eastAsia="仿宋" w:cs="Times New Roman"/>
                <w:b/>
                <w:bCs/>
                <w:sz w:val="24"/>
                <w:szCs w:val="24"/>
              </w:rPr>
              <w:t>备注</w:t>
            </w:r>
            <w:r>
              <w:rPr>
                <w:rFonts w:ascii="仿宋" w:hAnsi="仿宋" w:eastAsia="仿宋" w:cs="Times New Roman"/>
                <w:sz w:val="24"/>
                <w:szCs w:val="24"/>
              </w:rPr>
              <w:t>：</w:t>
            </w:r>
          </w:p>
          <w:p w14:paraId="0B8DDF36">
            <w:pPr>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、采购方和供应商</w:t>
            </w:r>
            <w:r>
              <w:rPr>
                <w:rFonts w:hint="eastAsia" w:ascii="仿宋" w:hAnsi="仿宋" w:eastAsia="仿宋" w:cs="Times New Roman"/>
                <w:sz w:val="24"/>
                <w:szCs w:val="24"/>
              </w:rPr>
              <w:t>（乙方）</w:t>
            </w:r>
            <w:r>
              <w:rPr>
                <w:rFonts w:ascii="仿宋" w:hAnsi="仿宋" w:eastAsia="仿宋" w:cs="Times New Roman"/>
                <w:sz w:val="24"/>
                <w:szCs w:val="24"/>
              </w:rPr>
              <w:t>确认：本订单受框架协议的约束。与本订单有关的争议将按照框架协议的约定解决</w:t>
            </w:r>
            <w:r>
              <w:rPr>
                <w:rFonts w:hint="eastAsia" w:ascii="仿宋" w:hAnsi="仿宋" w:eastAsia="仿宋" w:cs="Times New Roman"/>
                <w:sz w:val="24"/>
                <w:szCs w:val="24"/>
              </w:rPr>
              <w:t>。</w:t>
            </w:r>
          </w:p>
          <w:p w14:paraId="52D30780">
            <w:pPr>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、下单配置明细信息表示该下单配置中具体组件，下单配置明细金额之和等于下单配置金额。</w:t>
            </w:r>
          </w:p>
          <w:p w14:paraId="691F501F">
            <w:pPr>
              <w:rPr>
                <w:rFonts w:ascii="仿宋" w:hAnsi="仿宋" w:eastAsia="仿宋" w:cs="Times New Roman"/>
                <w:sz w:val="24"/>
                <w:szCs w:val="24"/>
              </w:rPr>
            </w:pPr>
            <w:r>
              <w:rPr>
                <w:rFonts w:hint="eastAsia" w:ascii="仿宋" w:hAnsi="仿宋" w:eastAsia="仿宋" w:cs="Times New Roman"/>
                <w:sz w:val="24"/>
                <w:szCs w:val="24"/>
              </w:rPr>
              <w:t>3</w:t>
            </w:r>
            <w:r>
              <w:rPr>
                <w:rFonts w:ascii="仿宋" w:hAnsi="仿宋" w:eastAsia="仿宋" w:cs="Times New Roman"/>
                <w:sz w:val="24"/>
                <w:szCs w:val="24"/>
              </w:rPr>
              <w:t>、实际发票抬头信息与收货信息以</w:t>
            </w:r>
            <w:r>
              <w:rPr>
                <w:rFonts w:hint="eastAsia" w:ascii="仿宋" w:hAnsi="仿宋" w:eastAsia="仿宋" w:cs="Times New Roman"/>
                <w:sz w:val="24"/>
                <w:szCs w:val="24"/>
              </w:rPr>
              <w:t>本订单</w:t>
            </w:r>
            <w:r>
              <w:rPr>
                <w:rFonts w:ascii="仿宋" w:hAnsi="仿宋" w:eastAsia="仿宋" w:cs="Times New Roman"/>
                <w:sz w:val="24"/>
                <w:szCs w:val="24"/>
              </w:rPr>
              <w:t>建设单位具体要求为准。</w:t>
            </w:r>
          </w:p>
          <w:p w14:paraId="5E255525">
            <w:pPr>
              <w:rPr>
                <w:rFonts w:ascii="仿宋" w:hAnsi="仿宋" w:eastAsia="仿宋" w:cs="Times New Roman"/>
                <w:sz w:val="24"/>
                <w:szCs w:val="24"/>
              </w:rPr>
            </w:pPr>
            <w:r>
              <w:rPr>
                <w:rFonts w:hint="eastAsia" w:ascii="仿宋" w:hAnsi="仿宋" w:eastAsia="仿宋" w:cs="Times New Roman"/>
                <w:sz w:val="24"/>
                <w:szCs w:val="24"/>
              </w:rPr>
              <w:t>4</w:t>
            </w:r>
            <w:r>
              <w:rPr>
                <w:rFonts w:ascii="仿宋" w:hAnsi="仿宋" w:eastAsia="仿宋" w:cs="Times New Roman"/>
                <w:sz w:val="24"/>
                <w:szCs w:val="24"/>
              </w:rPr>
              <w:t>、本订单货币单位为人民币（元）</w:t>
            </w:r>
            <w:r>
              <w:rPr>
                <w:rFonts w:hint="eastAsia" w:ascii="仿宋" w:hAnsi="仿宋" w:eastAsia="仿宋" w:cs="Times New Roman"/>
                <w:sz w:val="24"/>
                <w:szCs w:val="24"/>
              </w:rPr>
              <w:t>。</w:t>
            </w:r>
            <w:r>
              <w:rPr>
                <w:rFonts w:hint="eastAsia" w:ascii="仿宋" w:hAnsi="仿宋" w:eastAsia="仿宋" w:cs="Times New Roman"/>
                <w:b/>
                <w:bCs/>
                <w:sz w:val="24"/>
                <w:szCs w:val="24"/>
              </w:rPr>
              <w:t xml:space="preserve"> </w:t>
            </w:r>
          </w:p>
        </w:tc>
      </w:tr>
      <w:tr w14:paraId="0BA3E81F">
        <w:tblPrEx>
          <w:tblCellMar>
            <w:top w:w="0" w:type="dxa"/>
            <w:left w:w="0" w:type="dxa"/>
            <w:bottom w:w="0" w:type="dxa"/>
            <w:right w:w="0" w:type="dxa"/>
          </w:tblCellMar>
        </w:tblPrEx>
        <w:trPr>
          <w:trHeight w:val="803" w:hRule="atLeast"/>
        </w:trPr>
        <w:tc>
          <w:tcPr>
            <w:tcW w:w="2492" w:type="pct"/>
            <w:gridSpan w:val="5"/>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7526F42B">
            <w:pPr>
              <w:rPr>
                <w:rFonts w:ascii="仿宋" w:hAnsi="仿宋" w:eastAsia="仿宋" w:cs="Times New Roman"/>
                <w:sz w:val="24"/>
                <w:szCs w:val="24"/>
              </w:rPr>
            </w:pPr>
            <w:r>
              <w:rPr>
                <w:rFonts w:hint="eastAsia" w:ascii="仿宋" w:hAnsi="仿宋" w:eastAsia="仿宋" w:cs="Times New Roman"/>
                <w:b/>
                <w:sz w:val="24"/>
                <w:szCs w:val="24"/>
              </w:rPr>
              <w:t>采购方</w:t>
            </w:r>
            <w:r>
              <w:rPr>
                <w:rFonts w:ascii="仿宋" w:hAnsi="仿宋" w:eastAsia="仿宋" w:cs="Times New Roman"/>
                <w:b/>
                <w:sz w:val="24"/>
                <w:szCs w:val="24"/>
              </w:rPr>
              <w:t>（盖章）：中国电信</w:t>
            </w:r>
            <w:r>
              <w:rPr>
                <w:rFonts w:hint="eastAsia" w:ascii="仿宋" w:hAnsi="仿宋" w:eastAsia="仿宋" w:cs="Times New Roman"/>
                <w:b/>
                <w:sz w:val="24"/>
                <w:szCs w:val="24"/>
              </w:rPr>
              <w:t xml:space="preserve">[ </w:t>
            </w:r>
            <w:r>
              <w:rPr>
                <w:rFonts w:hint="eastAsia" w:ascii="仿宋" w:hAnsi="仿宋" w:eastAsia="仿宋" w:cs="Times New Roman"/>
                <w:b/>
                <w:sz w:val="24"/>
                <w:szCs w:val="24"/>
                <w:lang w:val="en-US" w:eastAsia="zh-CN"/>
              </w:rPr>
              <w:t>股份有限公司遵义分</w:t>
            </w:r>
            <w:r>
              <w:rPr>
                <w:rFonts w:hint="eastAsia" w:ascii="仿宋" w:hAnsi="仿宋" w:eastAsia="仿宋" w:cs="Times New Roman"/>
                <w:b/>
                <w:sz w:val="24"/>
                <w:szCs w:val="24"/>
              </w:rPr>
              <w:t xml:space="preserve"> ]</w:t>
            </w:r>
            <w:r>
              <w:rPr>
                <w:rFonts w:ascii="仿宋" w:hAnsi="仿宋" w:eastAsia="仿宋" w:cs="Times New Roman"/>
                <w:b/>
                <w:sz w:val="24"/>
                <w:szCs w:val="24"/>
              </w:rPr>
              <w:t>公司</w:t>
            </w:r>
          </w:p>
          <w:p w14:paraId="6423F121">
            <w:pPr>
              <w:rPr>
                <w:rFonts w:ascii="仿宋" w:hAnsi="仿宋" w:eastAsia="仿宋" w:cs="Times New Roman"/>
                <w:sz w:val="24"/>
                <w:szCs w:val="24"/>
              </w:rPr>
            </w:pPr>
            <w:r>
              <w:rPr>
                <w:rFonts w:ascii="仿宋" w:hAnsi="仿宋" w:eastAsia="仿宋" w:cs="Times New Roman"/>
                <w:sz w:val="24"/>
                <w:szCs w:val="24"/>
              </w:rPr>
              <w:t>法定代表人</w:t>
            </w:r>
            <w:r>
              <w:rPr>
                <w:rFonts w:hint="eastAsia" w:ascii="仿宋" w:hAnsi="仿宋" w:eastAsia="仿宋" w:cs="Times New Roman"/>
                <w:sz w:val="24"/>
                <w:szCs w:val="24"/>
              </w:rPr>
              <w:t>/</w:t>
            </w:r>
            <w:r>
              <w:rPr>
                <w:rFonts w:ascii="仿宋" w:hAnsi="仿宋" w:eastAsia="仿宋" w:cs="Times New Roman"/>
                <w:sz w:val="24"/>
                <w:szCs w:val="24"/>
              </w:rPr>
              <w:t>负责人</w:t>
            </w:r>
          </w:p>
          <w:p w14:paraId="0C08776D">
            <w:pPr>
              <w:rPr>
                <w:rFonts w:ascii="仿宋" w:hAnsi="仿宋" w:eastAsia="仿宋" w:cs="Times New Roman"/>
                <w:sz w:val="24"/>
                <w:szCs w:val="24"/>
              </w:rPr>
            </w:pPr>
            <w:r>
              <w:rPr>
                <w:rFonts w:ascii="仿宋" w:hAnsi="仿宋" w:eastAsia="仿宋" w:cs="Times New Roman"/>
                <w:sz w:val="24"/>
                <w:szCs w:val="24"/>
              </w:rPr>
              <w:t>或授权代表（签字）：</w:t>
            </w:r>
          </w:p>
        </w:tc>
        <w:tc>
          <w:tcPr>
            <w:tcW w:w="2507" w:type="pct"/>
            <w:gridSpan w:val="8"/>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05C9ED0">
            <w:pPr>
              <w:rPr>
                <w:rFonts w:ascii="仿宋" w:hAnsi="仿宋" w:eastAsia="仿宋" w:cs="Times New Roman"/>
                <w:b/>
                <w:bCs/>
                <w:sz w:val="24"/>
                <w:szCs w:val="24"/>
              </w:rPr>
            </w:pPr>
            <w:r>
              <w:rPr>
                <w:rFonts w:ascii="仿宋" w:hAnsi="仿宋" w:eastAsia="仿宋" w:cs="Times New Roman"/>
                <w:b/>
                <w:bCs/>
                <w:sz w:val="24"/>
                <w:szCs w:val="24"/>
              </w:rPr>
              <w:t>供应商</w:t>
            </w:r>
            <w:r>
              <w:rPr>
                <w:rFonts w:hint="eastAsia" w:ascii="仿宋" w:hAnsi="仿宋" w:eastAsia="仿宋" w:cs="Times New Roman"/>
                <w:b/>
                <w:bCs/>
                <w:sz w:val="24"/>
                <w:szCs w:val="24"/>
              </w:rPr>
              <w:t>（乙方）</w:t>
            </w:r>
            <w:r>
              <w:rPr>
                <w:rFonts w:ascii="仿宋" w:hAnsi="仿宋" w:eastAsia="仿宋" w:cs="Times New Roman"/>
                <w:b/>
                <w:bCs/>
                <w:sz w:val="24"/>
                <w:szCs w:val="24"/>
              </w:rPr>
              <w:t>已确认上述内容。</w:t>
            </w:r>
          </w:p>
          <w:p w14:paraId="350B6F00">
            <w:pPr>
              <w:rPr>
                <w:rFonts w:ascii="仿宋" w:hAnsi="仿宋" w:eastAsia="仿宋" w:cs="Times New Roman"/>
                <w:sz w:val="24"/>
                <w:szCs w:val="24"/>
              </w:rPr>
            </w:pPr>
            <w:r>
              <w:rPr>
                <w:rFonts w:ascii="仿宋" w:hAnsi="仿宋" w:eastAsia="仿宋" w:cs="Times New Roman"/>
                <w:sz w:val="24"/>
                <w:szCs w:val="24"/>
              </w:rPr>
              <w:t>供应商</w:t>
            </w:r>
            <w:r>
              <w:rPr>
                <w:rFonts w:hint="eastAsia" w:ascii="仿宋" w:hAnsi="仿宋" w:eastAsia="仿宋" w:cs="Times New Roman"/>
                <w:sz w:val="24"/>
                <w:szCs w:val="24"/>
              </w:rPr>
              <w:t>（乙方）</w:t>
            </w:r>
            <w:r>
              <w:rPr>
                <w:rFonts w:ascii="仿宋" w:hAnsi="仿宋" w:eastAsia="仿宋" w:cs="Times New Roman"/>
                <w:sz w:val="24"/>
                <w:szCs w:val="24"/>
              </w:rPr>
              <w:t>（盖章）：</w:t>
            </w:r>
            <w:r>
              <w:rPr>
                <w:rFonts w:hint="eastAsia" w:ascii="仿宋" w:hAnsi="仿宋" w:eastAsia="仿宋" w:cs="Times New Roman"/>
                <w:sz w:val="24"/>
                <w:szCs w:val="24"/>
              </w:rPr>
              <w:t>[  ]</w:t>
            </w:r>
            <w:r>
              <w:rPr>
                <w:rFonts w:ascii="仿宋" w:hAnsi="仿宋" w:eastAsia="仿宋" w:cs="Times New Roman"/>
                <w:sz w:val="24"/>
                <w:szCs w:val="24"/>
              </w:rPr>
              <w:t>公司</w:t>
            </w:r>
          </w:p>
          <w:p w14:paraId="01A3C949">
            <w:pPr>
              <w:rPr>
                <w:rFonts w:ascii="仿宋" w:hAnsi="仿宋" w:eastAsia="仿宋" w:cs="Times New Roman"/>
                <w:sz w:val="24"/>
                <w:szCs w:val="24"/>
              </w:rPr>
            </w:pPr>
            <w:r>
              <w:rPr>
                <w:rFonts w:ascii="仿宋" w:hAnsi="仿宋" w:eastAsia="仿宋" w:cs="Times New Roman"/>
                <w:sz w:val="24"/>
                <w:szCs w:val="24"/>
              </w:rPr>
              <w:t>法定代表人</w:t>
            </w:r>
            <w:r>
              <w:rPr>
                <w:rFonts w:hint="eastAsia" w:ascii="仿宋" w:hAnsi="仿宋" w:eastAsia="仿宋" w:cs="Times New Roman"/>
                <w:sz w:val="24"/>
                <w:szCs w:val="24"/>
              </w:rPr>
              <w:t>/</w:t>
            </w:r>
            <w:r>
              <w:rPr>
                <w:rFonts w:ascii="仿宋" w:hAnsi="仿宋" w:eastAsia="仿宋" w:cs="Times New Roman"/>
                <w:sz w:val="24"/>
                <w:szCs w:val="24"/>
              </w:rPr>
              <w:t>负责人</w:t>
            </w:r>
            <w:r>
              <w:rPr>
                <w:rFonts w:ascii="仿宋" w:hAnsi="仿宋" w:eastAsia="仿宋" w:cs="Times New Roman"/>
                <w:sz w:val="24"/>
                <w:szCs w:val="24"/>
              </w:rPr>
              <w:br w:type="textWrapping"/>
            </w:r>
            <w:r>
              <w:rPr>
                <w:rFonts w:ascii="仿宋" w:hAnsi="仿宋" w:eastAsia="仿宋" w:cs="Times New Roman"/>
                <w:sz w:val="24"/>
                <w:szCs w:val="24"/>
              </w:rPr>
              <w:t>或授权代表（签字）：</w:t>
            </w:r>
          </w:p>
        </w:tc>
      </w:tr>
      <w:tr w14:paraId="3B03DB56">
        <w:tblPrEx>
          <w:tblCellMar>
            <w:top w:w="0" w:type="dxa"/>
            <w:left w:w="0" w:type="dxa"/>
            <w:bottom w:w="0" w:type="dxa"/>
            <w:right w:w="0" w:type="dxa"/>
          </w:tblCellMar>
        </w:tblPrEx>
        <w:trPr>
          <w:trHeight w:val="453" w:hRule="atLeast"/>
        </w:trPr>
        <w:tc>
          <w:tcPr>
            <w:tcW w:w="5000" w:type="pct"/>
            <w:gridSpan w:val="13"/>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388EE74E">
            <w:pPr>
              <w:rPr>
                <w:rFonts w:ascii="仿宋" w:hAnsi="仿宋" w:eastAsia="仿宋" w:cs="Times New Roman"/>
                <w:bCs/>
                <w:sz w:val="24"/>
                <w:szCs w:val="24"/>
              </w:rPr>
            </w:pPr>
            <w:r>
              <w:rPr>
                <w:rFonts w:ascii="仿宋" w:hAnsi="仿宋" w:eastAsia="仿宋" w:cs="Times New Roman"/>
                <w:bCs/>
                <w:sz w:val="24"/>
                <w:szCs w:val="24"/>
              </w:rPr>
              <w:t>签署日期</w:t>
            </w:r>
            <w:r>
              <w:rPr>
                <w:rFonts w:hint="eastAsia" w:ascii="仿宋" w:hAnsi="仿宋" w:eastAsia="仿宋" w:cs="Times New Roman"/>
                <w:bCs/>
                <w:sz w:val="24"/>
                <w:szCs w:val="24"/>
              </w:rPr>
              <w:t>：</w:t>
            </w:r>
          </w:p>
        </w:tc>
      </w:tr>
    </w:tbl>
    <w:p w14:paraId="70570C9C">
      <w:pPr>
        <w:rPr>
          <w:rFonts w:hint="eastAsia" w:ascii="Times New Roman" w:hAnsi="Times New Roman" w:eastAsia="宋体" w:cs="Times New Roman"/>
        </w:rPr>
      </w:pPr>
      <w:r>
        <w:rPr>
          <w:rFonts w:ascii="仿宋" w:hAnsi="仿宋" w:eastAsia="仿宋" w:cs="Times New Roman"/>
          <w:color w:val="000000"/>
          <w:sz w:val="24"/>
        </w:rPr>
        <w:br w:type="page"/>
      </w:r>
      <w:r>
        <w:rPr>
          <w:rFonts w:hint="eastAsia" w:ascii="Times New Roman" w:hAnsi="Times New Roman" w:eastAsia="宋体" w:cs="Times New Roman"/>
        </w:rPr>
        <w:t>附件四</w:t>
      </w:r>
      <w:r>
        <w:rPr>
          <w:rFonts w:hint="eastAsia" w:ascii="Times New Roman" w:hAnsi="Times New Roman" w:eastAsia="宋体" w:cs="Times New Roman"/>
        </w:rPr>
        <w:tab/>
      </w:r>
      <w:r>
        <w:rPr>
          <w:rFonts w:hint="eastAsia" w:ascii="Times New Roman" w:hAnsi="Times New Roman" w:eastAsia="宋体" w:cs="Times New Roman"/>
        </w:rPr>
        <w:t>保密承诺函</w:t>
      </w:r>
    </w:p>
    <w:p w14:paraId="336B212A">
      <w:pPr>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保密承诺函</w:t>
      </w:r>
    </w:p>
    <w:p w14:paraId="7E6C4320">
      <w:pPr>
        <w:spacing w:line="360" w:lineRule="exact"/>
        <w:rPr>
          <w:rFonts w:hint="eastAsia" w:ascii="宋体" w:hAnsi="宋体" w:eastAsia="宋体" w:cs="宋体"/>
          <w:sz w:val="21"/>
          <w:szCs w:val="21"/>
        </w:rPr>
      </w:pPr>
    </w:p>
    <w:p w14:paraId="7C899D65">
      <w:pPr>
        <w:spacing w:line="360" w:lineRule="exact"/>
        <w:rPr>
          <w:rFonts w:hint="eastAsia" w:ascii="宋体" w:hAnsi="宋体" w:eastAsia="宋体" w:cs="宋体"/>
          <w:sz w:val="21"/>
          <w:szCs w:val="21"/>
        </w:rPr>
      </w:pPr>
    </w:p>
    <w:p w14:paraId="1B6A9286">
      <w:pPr>
        <w:spacing w:line="360" w:lineRule="exact"/>
        <w:rPr>
          <w:rFonts w:hint="eastAsia" w:ascii="宋体" w:hAnsi="宋体" w:eastAsia="宋体" w:cs="宋体"/>
          <w:sz w:val="21"/>
          <w:szCs w:val="21"/>
        </w:rPr>
      </w:pPr>
      <w:r>
        <w:rPr>
          <w:rFonts w:hint="eastAsia" w:ascii="宋体" w:hAnsi="宋体" w:eastAsia="宋体" w:cs="宋体"/>
          <w:sz w:val="21"/>
          <w:szCs w:val="21"/>
        </w:rPr>
        <w:t>中国电信股份有限公司遵义分公司</w:t>
      </w:r>
    </w:p>
    <w:p w14:paraId="381EA723">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本单位郑重承诺遵守本承诺书的有关条款，如有违反本承诺书有关条款的行为，本单位承担由此带来的一切民事、行政和刑事责任。</w:t>
      </w:r>
    </w:p>
    <w:p w14:paraId="4B09D583">
      <w:pPr>
        <w:numPr>
          <w:ilvl w:val="0"/>
          <w:numId w:val="89"/>
        </w:numPr>
        <w:spacing w:line="360" w:lineRule="exact"/>
        <w:ind w:left="-1" w:firstLine="480"/>
        <w:jc w:val="left"/>
        <w:rPr>
          <w:rFonts w:hint="eastAsia" w:ascii="宋体" w:hAnsi="宋体" w:eastAsia="宋体" w:cs="宋体"/>
          <w:sz w:val="21"/>
          <w:szCs w:val="21"/>
        </w:rPr>
      </w:pPr>
      <w:r>
        <w:rPr>
          <w:rFonts w:hint="eastAsia" w:ascii="宋体" w:hAnsi="宋体" w:eastAsia="宋体" w:cs="宋体"/>
          <w:sz w:val="21"/>
          <w:szCs w:val="21"/>
        </w:rPr>
        <w:t>本单位对贵单位在</w:t>
      </w:r>
      <w:r>
        <w:rPr>
          <w:rFonts w:hint="eastAsia" w:ascii="宋体" w:hAnsi="宋体" w:cs="宋体"/>
          <w:sz w:val="21"/>
          <w:szCs w:val="21"/>
          <w:u w:val="single"/>
          <w:lang w:eastAsia="zh-CN"/>
        </w:rPr>
        <w:t>2025年中国电信遵义分公司数据库框架物资采购</w:t>
      </w:r>
      <w:r>
        <w:rPr>
          <w:rFonts w:hint="eastAsia" w:ascii="宋体" w:hAnsi="宋体" w:eastAsia="宋体" w:cs="宋体"/>
          <w:sz w:val="21"/>
          <w:szCs w:val="21"/>
        </w:rPr>
        <w:t>合作过程中已经或将要向本单位提供或披露（或本单位可能获悉）贵单位的秘密性、专有性或保密性信息（以上信息合称“保密信息”，本项目中具体指：</w:t>
      </w:r>
      <w:r>
        <w:rPr>
          <w:rFonts w:hint="eastAsia" w:ascii="宋体" w:hAnsi="宋体" w:eastAsia="宋体" w:cs="宋体"/>
          <w:sz w:val="21"/>
          <w:szCs w:val="21"/>
          <w:u w:val="none"/>
        </w:rPr>
        <w:t xml:space="preserve">乙方对甲方提供的所有资料以及在本合同签订、履行过程中所接触到的甲方及其关联公司的商业秘密、技术资料、客户信息等资料和信息等 </w:t>
      </w:r>
      <w:r>
        <w:rPr>
          <w:rFonts w:hint="eastAsia" w:ascii="宋体" w:hAnsi="宋体" w:eastAsia="宋体" w:cs="宋体"/>
          <w:sz w:val="21"/>
          <w:szCs w:val="21"/>
        </w:rPr>
        <w:t>）负有保密义务。该保密信息仅用于本单位与贵公司合作项目有关的用途，不将保密信息用于项目以外的任何用途。</w:t>
      </w:r>
    </w:p>
    <w:p w14:paraId="2F53CA71">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本单位承诺不对保密信息进行缓存、窃取、泄露、滥用、非法向他人提供。未经贵单位同意，本单位不对保密信息进行复制，不利用保密信息进行新的研究或开发，不对保密信息进行加工还原成原始数据。本单位对本承诺函签订及项目履行过程中依法获得的个人信息和重要数据，依法在中国境内存储，且不向中国境外提供。</w:t>
      </w:r>
    </w:p>
    <w:p w14:paraId="7F8F75D5">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三、对保密信息在本单位期间发生的以下事项承担全部责任，因此造成贵单位损失的，本单位负责赔偿：</w:t>
      </w:r>
    </w:p>
    <w:p w14:paraId="0A9438B3">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1.保密信息被盗、泄露及/或毁损、灭失。</w:t>
      </w:r>
    </w:p>
    <w:p w14:paraId="5A7C81AA">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2.任何本单位的雇员（包括但不限于现有雇员及从前雇员）、股东、董事、顾问和/或咨询人员等对保密信息未经授权的披露。</w:t>
      </w:r>
    </w:p>
    <w:p w14:paraId="478B778F">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四、本单位承诺对保密信息按本承诺函约定予以保密，并至少采取不低于贵单位对数据安全保护的相关技术规范要求的保护手段进行保密。</w:t>
      </w:r>
    </w:p>
    <w:p w14:paraId="6703C794">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本单位的雇员、股东、董事、顾问和/或咨询人员为执行项目且符合贵单位利益的目的确实必须知悉保密信息的，在知悉该保密信息前必须经贵单位同意，且本单位应向上述人员说明保密信息的保密性及其应承担的义务，保证上述人员同意接受本承诺函条款的约束，并对上述人员的保密行为进行有效的监督管理。本单位如发现保密信息泄露，应采取有效措施防止泄密进一步扩大，并及时告知贵单位。</w:t>
      </w:r>
    </w:p>
    <w:p w14:paraId="4B521646">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六、项目终止后，本单位将承载保密信息的介质原件及复制件全部返还贵单位，最迟不超过贵单位发出交还通知之日起[三十]日。</w:t>
      </w:r>
    </w:p>
    <w:p w14:paraId="4CD2D4DA">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七、上述限制条款不适用于以下情况：</w:t>
      </w:r>
    </w:p>
    <w:p w14:paraId="1B04570D">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1.在依本承诺函披露之时，该保密信息已以合法方式属本单位所有或由本单位知悉。</w:t>
      </w:r>
    </w:p>
    <w:p w14:paraId="25B9DA68">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2.在依本承诺函披露之时，该保密信息已经公开或能从公开领域获得。</w:t>
      </w:r>
    </w:p>
    <w:p w14:paraId="47C9820C">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3.保密信息是本单位从没有违反对贵单位负有保密或不披露义务的人合法取得的。</w:t>
      </w:r>
    </w:p>
    <w:p w14:paraId="6AF4ADEC">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4.该保密信息是本单位或其关联或附属公司独立开发，而且未从贵单位或其关联或附属公司披露或提供的信息中获益。</w:t>
      </w:r>
    </w:p>
    <w:p w14:paraId="57B4CB81">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5.经贵单位书面同意对外披露，但仅限于贵单位书面同意的范围、方式且遵循书面同意中规定的其他前提条件。</w:t>
      </w:r>
    </w:p>
    <w:p w14:paraId="3EEE3086">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6.本单位应法律、行政法规要求披露的信息（通过口头提问、询问、要求资料或文件、传唤、民事或刑事调查或其他程序披露保密信息）。</w:t>
      </w:r>
    </w:p>
    <w:p w14:paraId="4C841E42">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以本条中5、6为依据作出披露的，应至少于实际作出披露行为前[五]个工作日通知贵单位，说明其拟根据上述约定披露有关的保密信息，并就披露对象和披露范围、方式等作出说明。</w:t>
      </w:r>
    </w:p>
    <w:p w14:paraId="58D7DDEC">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八、如果本单位得知第三方获得任何保密信息，则及时书面通知贵单位，并向贵单位提供掌握的所有相关情况。</w:t>
      </w:r>
    </w:p>
    <w:p w14:paraId="78CE892C">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九、对于本承诺函签订及履行过程中、项目的商谈及合作过程中所接触到的贵单位关联公司的保密信息，本单位则依据本承诺函约定履行保密义务、承担责任。</w:t>
      </w:r>
    </w:p>
    <w:p w14:paraId="5EAA4A3A">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十、本承诺函有效期至本单位与贵单位合作项目终止后10年或者至贵单位公布保密信息时止。</w:t>
      </w:r>
    </w:p>
    <w:p w14:paraId="5F19AF08">
      <w:pPr>
        <w:spacing w:line="360" w:lineRule="exact"/>
        <w:ind w:firstLine="420" w:firstLineChars="200"/>
        <w:rPr>
          <w:rFonts w:hint="eastAsia" w:ascii="宋体" w:hAnsi="宋体" w:eastAsia="宋体" w:cs="宋体"/>
          <w:sz w:val="21"/>
          <w:szCs w:val="21"/>
        </w:rPr>
      </w:pPr>
      <w:r>
        <w:rPr>
          <w:rFonts w:hint="eastAsia" w:ascii="宋体" w:hAnsi="宋体" w:eastAsia="宋体" w:cs="宋体"/>
          <w:b/>
          <w:sz w:val="21"/>
          <w:szCs w:val="21"/>
        </w:rPr>
        <w:t>十一、</w:t>
      </w:r>
      <w:r>
        <w:rPr>
          <w:rFonts w:hint="eastAsia" w:ascii="宋体" w:hAnsi="宋体" w:eastAsia="宋体" w:cs="宋体"/>
          <w:sz w:val="21"/>
          <w:szCs w:val="21"/>
        </w:rPr>
        <w:t>若因本单位未履行或未完全履行上述承诺事项给贵单位造成的一切损失，包括但不限于贵单位因调查违约行为而支付的合理费用，本单位承诺予以赔偿。</w:t>
      </w:r>
    </w:p>
    <w:p w14:paraId="15A044A3">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十二、本单位承诺接受贵单位的数据安全相关管理办法，并接受贵单位必要的安全监控和审计。</w:t>
      </w:r>
    </w:p>
    <w:p w14:paraId="5DF771AF">
      <w:pPr>
        <w:spacing w:line="360" w:lineRule="exact"/>
        <w:ind w:firstLine="420" w:firstLineChars="200"/>
        <w:rPr>
          <w:rFonts w:hint="eastAsia" w:ascii="宋体" w:hAnsi="宋体" w:eastAsia="宋体" w:cs="宋体"/>
          <w:b/>
          <w:sz w:val="21"/>
          <w:szCs w:val="21"/>
        </w:rPr>
      </w:pPr>
    </w:p>
    <w:p w14:paraId="6546E269">
      <w:pPr>
        <w:spacing w:line="360" w:lineRule="exact"/>
        <w:ind w:firstLine="3675" w:firstLineChars="1750"/>
        <w:rPr>
          <w:rFonts w:hint="eastAsia" w:ascii="宋体" w:hAnsi="宋体" w:eastAsia="宋体" w:cs="宋体"/>
          <w:sz w:val="21"/>
          <w:szCs w:val="21"/>
        </w:rPr>
      </w:pPr>
      <w:r>
        <w:rPr>
          <w:rFonts w:hint="eastAsia" w:ascii="宋体" w:hAnsi="宋体" w:eastAsia="宋体" w:cs="宋体"/>
          <w:sz w:val="21"/>
          <w:szCs w:val="21"/>
        </w:rPr>
        <w:t xml:space="preserve">承诺单位（盖公章）： </w:t>
      </w:r>
    </w:p>
    <w:p w14:paraId="39DEDF96">
      <w:pPr>
        <w:spacing w:line="360" w:lineRule="exact"/>
        <w:ind w:firstLine="3675" w:firstLineChars="1750"/>
        <w:rPr>
          <w:rFonts w:hint="eastAsia" w:ascii="宋体" w:hAnsi="宋体" w:eastAsia="宋体" w:cs="宋体"/>
          <w:sz w:val="21"/>
          <w:szCs w:val="21"/>
        </w:rPr>
      </w:pPr>
      <w:r>
        <w:rPr>
          <w:rFonts w:hint="eastAsia" w:ascii="宋体" w:hAnsi="宋体" w:eastAsia="宋体" w:cs="宋体"/>
          <w:sz w:val="21"/>
          <w:szCs w:val="21"/>
        </w:rPr>
        <w:t>法定代表人</w:t>
      </w:r>
    </w:p>
    <w:p w14:paraId="0D9CE260">
      <w:pPr>
        <w:spacing w:line="360" w:lineRule="exact"/>
        <w:ind w:firstLine="3675" w:firstLineChars="1750"/>
        <w:rPr>
          <w:rFonts w:hint="eastAsia" w:ascii="宋体" w:hAnsi="宋体" w:eastAsia="宋体" w:cs="宋体"/>
          <w:sz w:val="21"/>
          <w:szCs w:val="21"/>
        </w:rPr>
      </w:pPr>
      <w:r>
        <w:rPr>
          <w:rFonts w:hint="eastAsia" w:ascii="宋体" w:hAnsi="宋体" w:eastAsia="宋体" w:cs="宋体"/>
          <w:sz w:val="21"/>
          <w:szCs w:val="21"/>
        </w:rPr>
        <w:t xml:space="preserve">或授权委托人签字:  </w:t>
      </w:r>
    </w:p>
    <w:p w14:paraId="0601E36A">
      <w:pPr>
        <w:widowControl/>
        <w:spacing w:line="360" w:lineRule="exact"/>
        <w:jc w:val="center"/>
        <w:rPr>
          <w:rFonts w:hint="eastAsia" w:ascii="宋体" w:hAnsi="宋体" w:eastAsia="宋体" w:cs="宋体"/>
          <w:sz w:val="21"/>
          <w:szCs w:val="21"/>
        </w:rPr>
      </w:pPr>
      <w:r>
        <w:rPr>
          <w:rFonts w:hint="eastAsia" w:ascii="宋体" w:hAnsi="宋体" w:eastAsia="宋体" w:cs="宋体"/>
          <w:sz w:val="21"/>
          <w:szCs w:val="21"/>
        </w:rPr>
        <w:t>日期：</w:t>
      </w:r>
    </w:p>
    <w:p w14:paraId="69F6F91B">
      <w:pPr>
        <w:widowControl/>
        <w:spacing w:line="360" w:lineRule="exact"/>
        <w:jc w:val="left"/>
        <w:rPr>
          <w:rFonts w:hint="eastAsia" w:ascii="仿宋" w:hAnsi="仿宋" w:eastAsia="仿宋" w:cs="Times New Roman"/>
          <w:sz w:val="24"/>
          <w:lang w:val="en-US" w:eastAsia="zh-CN"/>
        </w:rPr>
      </w:pPr>
      <w:r>
        <w:rPr>
          <w:rFonts w:hint="eastAsia" w:ascii="宋体" w:hAnsi="宋体" w:eastAsia="宋体" w:cs="宋体"/>
          <w:sz w:val="21"/>
          <w:szCs w:val="21"/>
        </w:rPr>
        <w:br w:type="page"/>
      </w:r>
      <w:r>
        <w:rPr>
          <w:rFonts w:hint="eastAsia" w:ascii="仿宋" w:hAnsi="仿宋" w:eastAsia="仿宋" w:cs="Times New Roman"/>
          <w:sz w:val="24"/>
        </w:rPr>
        <w:t>附件</w:t>
      </w:r>
      <w:r>
        <w:rPr>
          <w:rFonts w:hint="eastAsia" w:ascii="仿宋" w:hAnsi="仿宋" w:eastAsia="仿宋" w:cs="Times New Roman"/>
          <w:sz w:val="24"/>
          <w:lang w:val="en-US" w:eastAsia="zh-CN"/>
        </w:rPr>
        <w:t>五</w:t>
      </w:r>
    </w:p>
    <w:p w14:paraId="04E53011">
      <w:pPr>
        <w:spacing w:line="360" w:lineRule="exact"/>
        <w:jc w:val="center"/>
        <w:rPr>
          <w:rFonts w:ascii="仿宋" w:hAnsi="仿宋" w:eastAsia="仿宋" w:cs="Times New Roman"/>
          <w:b/>
          <w:sz w:val="28"/>
          <w:szCs w:val="28"/>
        </w:rPr>
      </w:pPr>
      <w:r>
        <w:rPr>
          <w:rFonts w:hint="eastAsia" w:ascii="仿宋" w:hAnsi="仿宋" w:eastAsia="仿宋" w:cs="Times New Roman"/>
          <w:b/>
          <w:sz w:val="28"/>
          <w:szCs w:val="28"/>
        </w:rPr>
        <w:t>安全生产管理责任书</w:t>
      </w:r>
    </w:p>
    <w:p w14:paraId="3918A52C">
      <w:pPr>
        <w:spacing w:line="360" w:lineRule="exact"/>
        <w:jc w:val="center"/>
        <w:rPr>
          <w:rFonts w:ascii="仿宋" w:hAnsi="仿宋" w:eastAsia="仿宋" w:cs="Times New Roman"/>
          <w:b/>
          <w:sz w:val="28"/>
          <w:szCs w:val="28"/>
        </w:rPr>
      </w:pPr>
    </w:p>
    <w:p w14:paraId="6190386E">
      <w:pPr>
        <w:spacing w:line="360" w:lineRule="exact"/>
        <w:rPr>
          <w:rFonts w:ascii="仿宋" w:hAnsi="仿宋" w:eastAsia="仿宋" w:cs="Times New Roman"/>
          <w:sz w:val="24"/>
        </w:rPr>
      </w:pPr>
      <w:r>
        <w:rPr>
          <w:rFonts w:hint="eastAsia" w:ascii="仿宋" w:hAnsi="仿宋" w:eastAsia="仿宋" w:cs="Times New Roman"/>
          <w:sz w:val="24"/>
        </w:rPr>
        <w:t xml:space="preserve">中国电信[ </w:t>
      </w:r>
      <w:r>
        <w:rPr>
          <w:rFonts w:hint="eastAsia" w:ascii="仿宋" w:hAnsi="仿宋" w:eastAsia="仿宋" w:cs="Times New Roman"/>
          <w:sz w:val="24"/>
          <w:lang w:val="en-US" w:eastAsia="zh-CN"/>
        </w:rPr>
        <w:t>股份有限公司遵义分</w:t>
      </w:r>
      <w:r>
        <w:rPr>
          <w:rFonts w:hint="eastAsia" w:ascii="仿宋" w:hAnsi="仿宋" w:eastAsia="仿宋" w:cs="Times New Roman"/>
          <w:sz w:val="24"/>
        </w:rPr>
        <w:t xml:space="preserve"> ]公司：</w:t>
      </w:r>
    </w:p>
    <w:p w14:paraId="12259E6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为保障安全生产，确保安全管理工作的落实，在贵公司与本单位双方签订的《[</w:t>
      </w:r>
      <w:r>
        <w:rPr>
          <w:rFonts w:hint="eastAsia" w:ascii="仿宋" w:hAnsi="仿宋" w:eastAsia="仿宋" w:cs="Times New Roman"/>
          <w:sz w:val="24"/>
          <w:u w:val="single"/>
        </w:rPr>
        <w:t xml:space="preserve"> </w:t>
      </w:r>
      <w:r>
        <w:rPr>
          <w:rFonts w:hint="eastAsia" w:ascii="仿宋" w:hAnsi="仿宋" w:eastAsia="仿宋" w:cs="Times New Roman"/>
          <w:sz w:val="24"/>
          <w:u w:val="single"/>
          <w:lang w:eastAsia="zh-CN"/>
        </w:rPr>
        <w:t>2025年中国电信遵义分公司数据库框架物资采购</w:t>
      </w:r>
      <w:r>
        <w:rPr>
          <w:rFonts w:hint="eastAsia" w:ascii="仿宋" w:hAnsi="仿宋" w:eastAsia="仿宋" w:cs="Times New Roman"/>
          <w:sz w:val="24"/>
        </w:rPr>
        <w:t xml:space="preserve"> ]软件许可框架协议》（以下简称“合同”）履行过程中，本单位承诺如下：</w:t>
      </w:r>
    </w:p>
    <w:p w14:paraId="0AB690F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一、本单位在合同签订和履行过程中持续具备《中华人民共和国建筑法》、《中华人民共和国消防法》、《中华人民共和国安全生产法》和有关法律、行政法规和国家标准或者行业标准（“相关规定”）规定的安全生产条件和资质。</w:t>
      </w:r>
    </w:p>
    <w:p w14:paraId="4ADAF06E">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二、本单位参与合同履行的相关作业人员（“作业人员”）在履行合同过程中始终具备相关规定要求的从业资格和资质，从事特种作业的作业人员始终具备相关规定要求的从业资格和资质。。</w:t>
      </w:r>
    </w:p>
    <w:p w14:paraId="2C72D06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三、贵公司有权对本单位作业现场安全进行监督，贵公司代表有权对作业现场的安全管理进行指导和监督，本单位及作业人员必须服从贵公司代表的管理和监督检查，督促作业相关单位积极配合，并确保作业现场安全，并承担合同签订和履行过程中安全生产的全部责任。</w:t>
      </w:r>
    </w:p>
    <w:p w14:paraId="501B92D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四、本单位认真贯彻相关规定的各项要求，对作业现场的安全管理必须坚持安全第一、预防、综合治理为主的方针，做到安全作业、文明作业，定期组织作业人员召开安全生产会议和安全生产教育培训并建立档案，如实记录会议和教育培训的时间、内容、参加人员以及考核结果等情况，确保各类设备、设施安全和人员安全。</w:t>
      </w:r>
    </w:p>
    <w:p w14:paraId="6FA592D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五、在通信机房内作业，本单位应当特别重视并遵守下列要求:</w:t>
      </w:r>
    </w:p>
    <w:p w14:paraId="732B7E7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（1）制定确保运行设备安全措施。</w:t>
      </w:r>
    </w:p>
    <w:p w14:paraId="0C02184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（2）设备开箱后，包装箱等易燃杂物应当立即搬离现场。</w:t>
      </w:r>
    </w:p>
    <w:p w14:paraId="2D6C2B2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（3）作业时，不得将导线头子遗留在设备内。每天作业结束时，应当清理作业现场。</w:t>
      </w:r>
    </w:p>
    <w:p w14:paraId="1B508E3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（4）作业期间确需进入通信系统，应当办理贵公司要求的手续。</w:t>
      </w:r>
    </w:p>
    <w:p w14:paraId="5CE5A92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（5）作业期间布放线缆，需拆除竖井、巷道防火封堵物的，布放线缆完毕后，应当立即重新封堵。</w:t>
      </w:r>
    </w:p>
    <w:p w14:paraId="46D6E69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（6）设备安装完毕，应当经电力维护人员检查、测试无误后，方可接通电源。</w:t>
      </w:r>
    </w:p>
    <w:p w14:paraId="7AD1A9A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六、作业现场应当符合下列要求：</w:t>
      </w:r>
    </w:p>
    <w:p w14:paraId="4872961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（1）安全、整洁、美观，采取措施有效保护贵公司设施、设备。</w:t>
      </w:r>
    </w:p>
    <w:p w14:paraId="6D1E655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（2）材料堆放整齐有序，不得影响贵公司正常生产秩序和通信畅通。</w:t>
      </w:r>
    </w:p>
    <w:p w14:paraId="282BFE9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（3）垃圾及时处理，不得就近乱堆乱倒。</w:t>
      </w:r>
    </w:p>
    <w:p w14:paraId="6FDABB8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（4）符合卫生标准。</w:t>
      </w:r>
    </w:p>
    <w:p w14:paraId="315C678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（5）作业人员应当佩戴贵公司颁发的证明其身份的胸卡。</w:t>
      </w:r>
    </w:p>
    <w:p w14:paraId="79352C7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（6）阻止无关人员进入作业现场。</w:t>
      </w:r>
    </w:p>
    <w:p w14:paraId="755D70B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七、本单位应当遵守下列作业现场安全管理要求：</w:t>
      </w:r>
    </w:p>
    <w:p w14:paraId="5E4C355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（1）不得在作业现场溶融沥青或者焚烧油毡、油漆等易产生有毒、有害烟尘和气体的物质。</w:t>
      </w:r>
    </w:p>
    <w:p w14:paraId="5368B57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（2）不得从高处向下抛撒垃圾。</w:t>
      </w:r>
    </w:p>
    <w:p w14:paraId="462082D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（3）不得将有毒有害废弃物作土方回填。</w:t>
      </w:r>
    </w:p>
    <w:p w14:paraId="15DC643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（4）禁止在作业现场吸烟或使用明火，确因作业需要进行明火作业，应当经贵公司安全保卫部门书面批准。</w:t>
      </w:r>
    </w:p>
    <w:p w14:paraId="2BE921A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八、本单位接受贵公司有关各项安全生产、防火等规章制度的检查、督促。</w:t>
      </w:r>
    </w:p>
    <w:p w14:paraId="30F6610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九、本单位加强对作业人员的管理，提高服务能力，提升作业人员的作业水平和服务质量，并确保安全管理和安全工作的落实。本单位保证对作业人员进行安全生产教育和培训，保证作业人员具备必要的安全生产知识，熟悉有关的安全生产规章制度和安全操作规程，掌握本岗位的安全操作技能，了解事故应急处理措施。未经安全生产教育和培训合格的作业人员不得上岗作业。</w:t>
      </w:r>
    </w:p>
    <w:p w14:paraId="1149C3AE">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本单位作业人员仅在贵公司允许的作业区域、场所和设备上作业，不得超范围作业。本单位工作人员未经许可，不得擅自进入与合同约定的服务工作无关的贵公司部门（包括但不限于通信要害部门）。如需进入贵公司生产机房进行作业的，本单位应当到贵公司相关部门办理出入通信要害部位介绍信，方可进入作业。</w:t>
      </w:r>
    </w:p>
    <w:p w14:paraId="2F3B1AE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十一、本单位根据作业特点，制定安全生产作业方案和专项技术措施，配备专职或兼职人员负责有关安全生产、防火等工作，并积极与贵公司相关安全部门紧密联系。</w:t>
      </w:r>
    </w:p>
    <w:p w14:paraId="0D40856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十二、本单位为作业人员提供符合相关规定的劳动防护用品和作业工具，监督、教育作业人员按照使用规则佩戴、使用，并督促其遵守各项安全生产规章制度，不得违章作业、冒险作业或疲劳作业。</w:t>
      </w:r>
    </w:p>
    <w:p w14:paraId="5F2B84D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十三、当发生安全事故时，本单位立即采取有效措施，防止事故的扩大，减少人员伤亡和财产损失，并及时向贵公司和有关部门报告，配合贵公司和有关部门的事故调查处理工作。</w:t>
      </w:r>
    </w:p>
    <w:p w14:paraId="4731972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十四、本单位作业人员进行登高作业时，应当遵守高处作业中的相关规定，并先检查登高工具和保险装备，确保登高现场环境安全，避免发生摔伤事故。</w:t>
      </w:r>
    </w:p>
    <w:p w14:paraId="6B13229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五、切实落实“六防”（即防爆炸、防盗抢、防火、防破坏、防诈骗、防窃密），不发生违反作业现场管理规定的行为，不发生违法犯罪案件。本单位就作业人员的行为向贵公司承担全部责任。如发生作业人员或他人的人身、财产事故，均由本单位负责解决并承担全部责任。</w:t>
      </w:r>
    </w:p>
    <w:p w14:paraId="62BA2F9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十六、本单位严格遵守国家安全生产方面的有关法律、法规，以实际行动创造安全、文明的工作环境，如本单位违反本责任书所述的任何情形，本单位承担相应责任并赔偿贵公司因此受到的损失。</w:t>
      </w:r>
    </w:p>
    <w:p w14:paraId="0565F38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十七、本单位承诺依照有关法律规定参加工伤保险，为履行合同所雇用的全部人员，缴纳工伤保险费。</w:t>
      </w:r>
    </w:p>
    <w:p w14:paraId="20594CD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十八、本单位在作业过程中若发生安全生产责任事故的，同意贵公司依据供应商不良行为相关管理制度对本单位进行处理。</w:t>
      </w:r>
    </w:p>
    <w:p w14:paraId="12F1312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十九、根据《生产安全事故应急预案管理办法》要求，本单位承诺制定和完善应急预案演练计划，至少每半年组织一次生产安全事故应急预案演练。</w:t>
      </w:r>
    </w:p>
    <w:p w14:paraId="6315A2D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本单位承诺，采取有效管理措施合理减少从事危险作业岗位的劳务派遣、劳务分包等灵活用工方式人员，并对灵活用工人员纳入本单位统一管理，履行安全生产保证责任，做好灵活用工人员特种作业持证、安全培训、保险购买等工作。</w:t>
      </w:r>
    </w:p>
    <w:p w14:paraId="1F54B25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一、本单位指定如下专职安全生产管理人员负责安全检查与协调等工作，并承诺安全生产管理人员具备生产经营活动相应的安全生产知识和管理能力。当专职安全生产管理人员变更时，本单位提前三日书面通知贵公司。</w:t>
      </w:r>
    </w:p>
    <w:p w14:paraId="0BF4E58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（1）姓名：[  ]</w:t>
      </w:r>
    </w:p>
    <w:p w14:paraId="5C0F7FD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（2）联系方式：[  ]</w:t>
      </w:r>
    </w:p>
    <w:p w14:paraId="60B91C7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二十二、本责任书经本单位签署后，与合同同时生效。</w:t>
      </w:r>
    </w:p>
    <w:p w14:paraId="494C21D6">
      <w:pPr>
        <w:spacing w:line="360" w:lineRule="exact"/>
        <w:rPr>
          <w:rFonts w:ascii="仿宋" w:hAnsi="仿宋" w:eastAsia="仿宋" w:cs="Times New Roman"/>
          <w:sz w:val="24"/>
        </w:rPr>
      </w:pPr>
    </w:p>
    <w:p w14:paraId="60E10744">
      <w:pPr>
        <w:spacing w:line="360" w:lineRule="exact"/>
        <w:rPr>
          <w:rFonts w:ascii="仿宋" w:hAnsi="仿宋" w:eastAsia="仿宋" w:cs="Times New Roman"/>
          <w:sz w:val="24"/>
        </w:rPr>
      </w:pPr>
    </w:p>
    <w:p w14:paraId="1DA68B21">
      <w:pPr>
        <w:spacing w:line="360" w:lineRule="exact"/>
        <w:rPr>
          <w:rFonts w:ascii="仿宋" w:hAnsi="仿宋" w:eastAsia="仿宋" w:cs="Times New Roman"/>
          <w:sz w:val="24"/>
        </w:rPr>
      </w:pPr>
      <w:r>
        <w:rPr>
          <w:rFonts w:hint="eastAsia" w:ascii="仿宋" w:hAnsi="仿宋" w:eastAsia="仿宋" w:cs="Times New Roman"/>
          <w:sz w:val="24"/>
        </w:rPr>
        <w:t>责任人（盖章）：[  ]</w:t>
      </w:r>
    </w:p>
    <w:p w14:paraId="7D4C3766">
      <w:pPr>
        <w:spacing w:line="360" w:lineRule="exact"/>
        <w:rPr>
          <w:rFonts w:ascii="仿宋" w:hAnsi="仿宋" w:eastAsia="仿宋" w:cs="Times New Roman"/>
          <w:sz w:val="24"/>
        </w:rPr>
      </w:pPr>
      <w:r>
        <w:rPr>
          <w:rFonts w:hint="eastAsia" w:ascii="仿宋" w:hAnsi="仿宋" w:eastAsia="仿宋" w:cs="Times New Roman"/>
          <w:sz w:val="24"/>
        </w:rPr>
        <w:t>法定代表人/负责人</w:t>
      </w:r>
    </w:p>
    <w:p w14:paraId="6C4005A5">
      <w:pPr>
        <w:spacing w:line="360" w:lineRule="exact"/>
        <w:rPr>
          <w:rFonts w:ascii="仿宋" w:hAnsi="仿宋" w:eastAsia="仿宋" w:cs="Times New Roman"/>
          <w:sz w:val="24"/>
        </w:rPr>
      </w:pPr>
      <w:r>
        <w:rPr>
          <w:rFonts w:hint="eastAsia" w:ascii="仿宋" w:hAnsi="仿宋" w:eastAsia="仿宋" w:cs="Times New Roman"/>
          <w:sz w:val="24"/>
        </w:rPr>
        <w:t>或授权代表（签字）：</w:t>
      </w:r>
    </w:p>
    <w:p w14:paraId="28F75387">
      <w:pPr>
        <w:widowControl/>
        <w:spacing w:line="360" w:lineRule="exact"/>
        <w:jc w:val="left"/>
        <w:rPr>
          <w:rFonts w:ascii="仿宋" w:hAnsi="仿宋" w:eastAsia="仿宋" w:cs="Times New Roman"/>
          <w:color w:val="000000"/>
        </w:rPr>
      </w:pPr>
      <w:r>
        <w:rPr>
          <w:rFonts w:ascii="仿宋" w:hAnsi="仿宋" w:eastAsia="仿宋" w:cs="Times New Roman"/>
          <w:color w:val="000000"/>
        </w:rPr>
        <w:br w:type="page"/>
      </w:r>
    </w:p>
    <w:p w14:paraId="1C858197">
      <w:pPr>
        <w:spacing w:line="360" w:lineRule="exact"/>
        <w:rPr>
          <w:rFonts w:hint="eastAsia" w:ascii="仿宋" w:hAnsi="仿宋" w:eastAsia="仿宋" w:cs="Times New Roman"/>
          <w:sz w:val="24"/>
          <w:lang w:eastAsia="zh-CN"/>
        </w:rPr>
      </w:pPr>
      <w:r>
        <w:rPr>
          <w:rFonts w:hint="eastAsia" w:ascii="仿宋" w:hAnsi="仿宋" w:eastAsia="仿宋" w:cs="Times New Roman"/>
          <w:sz w:val="24"/>
        </w:rPr>
        <w:t>附件</w:t>
      </w:r>
      <w:r>
        <w:rPr>
          <w:rFonts w:hint="eastAsia" w:ascii="仿宋" w:hAnsi="仿宋" w:eastAsia="仿宋" w:cs="Times New Roman"/>
          <w:sz w:val="24"/>
          <w:lang w:val="en-US" w:eastAsia="zh-CN"/>
        </w:rPr>
        <w:t>六</w:t>
      </w:r>
    </w:p>
    <w:p w14:paraId="1BE541AC">
      <w:pPr>
        <w:spacing w:line="360" w:lineRule="exact"/>
        <w:jc w:val="center"/>
        <w:rPr>
          <w:rFonts w:ascii="仿宋" w:hAnsi="仿宋" w:eastAsia="仿宋" w:cs="Times New Roman"/>
          <w:b/>
          <w:sz w:val="28"/>
          <w:szCs w:val="28"/>
        </w:rPr>
      </w:pPr>
      <w:r>
        <w:rPr>
          <w:rFonts w:hint="eastAsia" w:ascii="仿宋" w:hAnsi="仿宋" w:eastAsia="仿宋" w:cs="Times New Roman"/>
          <w:b/>
          <w:sz w:val="28"/>
          <w:szCs w:val="28"/>
        </w:rPr>
        <w:t>网络及信息安全承诺书</w:t>
      </w:r>
    </w:p>
    <w:p w14:paraId="66D6527C">
      <w:pPr>
        <w:spacing w:line="360" w:lineRule="exact"/>
        <w:jc w:val="center"/>
        <w:rPr>
          <w:rFonts w:ascii="仿宋" w:hAnsi="仿宋" w:eastAsia="仿宋" w:cs="Times New Roman"/>
          <w:b/>
          <w:sz w:val="28"/>
          <w:szCs w:val="28"/>
        </w:rPr>
      </w:pPr>
    </w:p>
    <w:p w14:paraId="22BEE307">
      <w:pPr>
        <w:spacing w:line="360" w:lineRule="exact"/>
        <w:rPr>
          <w:rFonts w:ascii="仿宋" w:hAnsi="仿宋" w:eastAsia="仿宋" w:cs="Times New Roman"/>
          <w:sz w:val="24"/>
        </w:rPr>
      </w:pPr>
      <w:r>
        <w:rPr>
          <w:rFonts w:hint="eastAsia" w:ascii="仿宋" w:hAnsi="仿宋" w:eastAsia="仿宋" w:cs="Times New Roman"/>
          <w:sz w:val="24"/>
        </w:rPr>
        <w:t xml:space="preserve">中国电信[ </w:t>
      </w:r>
      <w:r>
        <w:rPr>
          <w:rFonts w:hint="eastAsia" w:ascii="仿宋" w:hAnsi="仿宋" w:eastAsia="仿宋" w:cs="Times New Roman"/>
          <w:sz w:val="24"/>
          <w:lang w:val="en-US" w:eastAsia="zh-CN"/>
        </w:rPr>
        <w:t>股份有限公司遵义分</w:t>
      </w:r>
      <w:r>
        <w:rPr>
          <w:rFonts w:hint="eastAsia" w:ascii="仿宋" w:hAnsi="仿宋" w:eastAsia="仿宋" w:cs="Times New Roman"/>
          <w:sz w:val="24"/>
        </w:rPr>
        <w:t xml:space="preserve"> ]公司：</w:t>
      </w:r>
    </w:p>
    <w:p w14:paraId="39A163E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本单位郑重承诺遵守本承诺书，如有违反本承诺书有关条款的行为，本单位承担由此带来的一切责任。</w:t>
      </w:r>
    </w:p>
    <w:p w14:paraId="4CCF2C7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一、本单位承诺遵守《中华人民共和国网络安全法》《中华人民共和国数据安全法》《中华人民共和国个人信息保护法》《全国人民代表大会常务委员会关于加强网络信息保护的决定》《中华人民共和国电信条例》《中华人民共和国计算机信息系统安全保护条例》《计算机信息网络国际联网安全保护管理办法》《互联网信息服务管理办法》《非经营性互联网信息服务备案管理办法》《移动互联网应用程序信息服务管理规定》《网络信息内容生态治理规定》《电信和互联网用户个人信息保护规定》《公共互联网网络安全突发事件应急预案》《关键信息基础设施安全保护条例》《网络安全审查办法》及有关法律、法规、规章和政策文件规定（“相关规定”）。</w:t>
      </w:r>
    </w:p>
    <w:p w14:paraId="35A7272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本单位承诺向贵公司提供产品或服务符合相关规定、政府主管部门要求以及与贵公司的合同/协议（“合同”）约定，落实网络安全、数据安全和个人信息保护责任。本单位承诺具备履行合同所需的全部合法必要的资质条件。</w:t>
      </w:r>
    </w:p>
    <w:p w14:paraId="77F0F0F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三、本单位承诺按照用户真实身份信息制度（“实名制”）的要求提供身份信息、使用业务，并保证所提供信息、资料的真实、完整、准确、有效。</w:t>
      </w:r>
    </w:p>
    <w:p w14:paraId="417630B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四、本单位保证不利用网络（包括但不限于固定网、移动网、互联网，下同）从事危害国家安全、泄露国家秘密等违法犯罪活动，不侵犯他人的合法权益。</w:t>
      </w:r>
    </w:p>
    <w:p w14:paraId="0600DB7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五、本单位保证在处理个人信息前依法向个人信息主体（“个人”）履行法定告知义务并取得个人的明确同意。法律、行政法规规定处理个人信息应当取得个人单独同意或者书面同意的，本单位保证在处理个人信息前依法取得个人单独同意或书面同意。</w:t>
      </w:r>
    </w:p>
    <w:p w14:paraId="485DA01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六、本单位向贵公司提供个人信息或委托贵公司处理个人信息的，本单位承诺已依法向个人履行了告知义务，并依法取得了个人同意。本单位承诺，向贵公司提供或委托贵公司处理的个人信息等数据来源合法合规，不存在违反相关规定以及合同约定的情况。</w:t>
      </w:r>
    </w:p>
    <w:p w14:paraId="32ABAA2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七、本单位受贵公司委托处理个人信息等数据的，或本单位与贵公司共同处理个人信息等数据的，本单位承诺按照与贵公司的合同约定处理，不得超出约定的处理目的、处理方式等处理上述数据，严格遵循数据处理时限。如果合同不生效、无效、被撤销、终止，或其他贵公司认为必要的情况下，本单位承诺按照贵公司的要求对个人信息等数据（包括但不限于原始数据、备份数据、基于所提供的数据产生的衍生数据）予以返还或者删除，且未经贵公司同意不得以任何方式留存履行合同过程中所处理的任何上述数据。上述数据的返还或删除并不免除本单位其他义务。未经贵公司同意,本单位不得转委托他人处理上述数据。本单位承诺按照法律规定及贵公司要求处理个人基于其主体权利提出的请求（包括个人信息查询、更正、删除、撤回授权同意、注销账户、获取个人信息副本等）。</w:t>
      </w:r>
    </w:p>
    <w:p w14:paraId="1C4C467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八、对本单位在合同签订及履行过程中接触或知悉的贵公司和/或贵公司客户的数据和用户个人信息，本单位应当严格保密，不得向其他方提供、披露。本单位应当按照相关规定、政府主管部门要求和合同约定采取保密措施，防止未经授权的访问以及个人信息等数据的泄露、篡改、丢失。对于本单位在合同签订及履行过程中接触和获得的个人信息等数据，应当依法在境内存储，且不得向境外提供。</w:t>
      </w:r>
    </w:p>
    <w:p w14:paraId="00F11D9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九、本单位承诺严格按照相关规定做好本单位网络安全、数据安全和个人信息保护管理工作，健全各项网络安全、数据安全和个人信息保护管理制度和操作规程，落实各项安全保护技术措施，实施个人信息和数据分类分级管理、依法落实个人信息保护影响评估和数据安全风险评估、报告、信息共享、监测预警机制，定期对从业人员进行安全教育和培训，依法设置网络安全、数据安全和个人信息保护责任人和管理机构，按政府主管部门要求设立信息安全责任人和信息安全审查员，当信息安全责任人发生变更时及时通知贵公司。否则，导致的一切后果由本单位承担，贵公司有权立即终止合同。</w:t>
      </w:r>
    </w:p>
    <w:p w14:paraId="5EFBB17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本单位承诺配合贵公司为公安机关、国家安全机关、网信部门等政府部门依法履行职责、维护国家安全和侦查犯罪等活动提供协助，如实提供有关安全保护的信息、资料及数据文件，积极协助查处信息网络违法犯罪行为。</w:t>
      </w:r>
    </w:p>
    <w:p w14:paraId="6553930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一、本单位承诺利用网络发送的信息以及向贵公司提供的信息真实、准确、合法。该等信息内容应当严格符合相关规定，本单位不得通过通信网络、互联网制作、复制、查阅和传播有害信息，不得散发传播违法、不健康、反动等信息，不得制作、复制、查阅和传播任何违反下列要求（即“九不准”及“六不许”）的信息。</w:t>
      </w:r>
    </w:p>
    <w:p w14:paraId="1EB9F41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“九不准”，即不准制作、复制、查阅和传播含有以下内容的信息：</w:t>
      </w:r>
    </w:p>
    <w:p w14:paraId="295819E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1、反对宪法所确定的基本原则的；</w:t>
      </w:r>
    </w:p>
    <w:p w14:paraId="478ED2B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2、危害国家安全，泄露国家秘密，颠覆国家政权，破坏国家统一的。</w:t>
      </w:r>
    </w:p>
    <w:p w14:paraId="0C69B16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3、损害国家荣誉和利益的；</w:t>
      </w:r>
    </w:p>
    <w:p w14:paraId="3D1A8B7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4、煽动民族仇恨、民族歧视，破坏民族团结的；</w:t>
      </w:r>
    </w:p>
    <w:p w14:paraId="14A8394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5、破坏国家宗教政策，宣扬邪教和封建迷信的；</w:t>
      </w:r>
    </w:p>
    <w:p w14:paraId="5ADBCE0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6、散布谣言，扰乱社会秩序，破坏社会稳定的；</w:t>
      </w:r>
    </w:p>
    <w:p w14:paraId="5B21F5E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7、散布淫秽、色情、赌博、暴力、凶杀、恐怖或者教唆犯罪的。</w:t>
      </w:r>
    </w:p>
    <w:p w14:paraId="7F53F01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8、侮辱或者诽谤他人，侵害他人合法权益的；</w:t>
      </w:r>
    </w:p>
    <w:p w14:paraId="11FCE0F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9、含有法律、法规禁止的其他内容的。</w:t>
      </w:r>
    </w:p>
    <w:p w14:paraId="230178B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 xml:space="preserve"> “六不许”，即：</w:t>
      </w:r>
    </w:p>
    <w:p w14:paraId="31C0F40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1、决不允许在群众中散布违背党的理论和路线方针政策的意见。</w:t>
      </w:r>
    </w:p>
    <w:p w14:paraId="7071076E">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2、决不允许公开发表同中央的决定相违背的言论。</w:t>
      </w:r>
    </w:p>
    <w:p w14:paraId="4AA48D5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3、决不允许对中央的决策部署阳奉阴违。</w:t>
      </w:r>
    </w:p>
    <w:p w14:paraId="4458A63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4、决不允许编造、传播政治谣言及丑化党和国家形象的言论。</w:t>
      </w:r>
    </w:p>
    <w:p w14:paraId="2C7E158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5、决不允许以任何形式泄露党和国家的秘密。</w:t>
      </w:r>
    </w:p>
    <w:p w14:paraId="5D0089E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6、决不允许参与各种非法组织和非法活动。</w:t>
      </w:r>
    </w:p>
    <w:p w14:paraId="565DA7A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二、本单位承诺不利用提供给贵公司的产品或服务或通过网络从事危害中华人民共和国安全、泄露中华人民共和国国家秘密等活动，不从事任何危害网络安全、数据安全的活动，不从事侵犯他人合法权益的活动，包括但不限于：</w:t>
      </w:r>
    </w:p>
    <w:p w14:paraId="55E1C05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1、未经允许进入网络或者使用网络资源；</w:t>
      </w:r>
    </w:p>
    <w:p w14:paraId="29B804B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2、未经允许对网络功能进行删除、修改或者增加；</w:t>
      </w:r>
    </w:p>
    <w:p w14:paraId="7E92F2C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3、未经允许对网络中存储或者传输的数据和应用程序进行删除、修改或者增加；</w:t>
      </w:r>
    </w:p>
    <w:p w14:paraId="010C639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4、制作、传播、利用网络病毒等恶意程序或破坏性程序；</w:t>
      </w:r>
    </w:p>
    <w:p w14:paraId="2554DA1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5、非法收集、使用、加工、传输或以其他方式处理个人信息等数据；</w:t>
      </w:r>
    </w:p>
    <w:p w14:paraId="77E1C41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6、非法买卖、提供或者公开个人信息等数据；</w:t>
      </w:r>
    </w:p>
    <w:p w14:paraId="27D51F0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7、从事危害国家安全、公共利益的个人信息和数据处理活动；</w:t>
      </w:r>
    </w:p>
    <w:p w14:paraId="1213803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8、其他危害网络安全、数据安全、侵犯他人合法权益的活动。</w:t>
      </w:r>
    </w:p>
    <w:p w14:paraId="52131FD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三、本单位承诺在履行合同过程中发生重大安全事故或发生或者可能发生个人信息等数据泄露、篡改、丢失时，立即采取应急措施，保留有关原始记录，在24小时内向有关部门报告并书面通知贵公司。如发生重大安全事故或其他影响网络安全、数据安全和个人信息保护的突发事件，贵公司有权采取包括但不限于停止合同项下业务等紧急措施，以保证网络安全、数据安全和保护个人信息。</w:t>
      </w:r>
    </w:p>
    <w:p w14:paraId="422653C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十四、本单位承诺不进行法律、法规、政府监管规定等禁止的行为，包括但不限于：</w:t>
      </w:r>
    </w:p>
    <w:p w14:paraId="333B508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1、所提供或接入的设备未取得入网许可，或可能影响网络安全或网络服务质量；</w:t>
      </w:r>
    </w:p>
    <w:p w14:paraId="48D1E42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2、将合同履行中获得的账号、密码私自转让、转租或以非法方式提供给第三方；</w:t>
      </w:r>
    </w:p>
    <w:p w14:paraId="51824A9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3、在设备、系统、计算机软件等产品或服务中非法植入后门程序等恶意程序或破坏性程序；</w:t>
      </w:r>
    </w:p>
    <w:p w14:paraId="13749B2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4、利用提供产品或服务的便利条件非法获取用户个人信息等数据及重要运营数据、非法控制和操纵用户设备；</w:t>
      </w:r>
    </w:p>
    <w:p w14:paraId="5B751A7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5、未经贵公司同意擅自公开所提供产品或服务的源代码；</w:t>
      </w:r>
    </w:p>
    <w:p w14:paraId="1EC8455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6、未经贵公司同意探测、发布贵公司及其关联方（“中国电信”）的网络、终端、信息系统漏洞，对中国电信运营的网络开展渗透测试；</w:t>
      </w:r>
    </w:p>
    <w:p w14:paraId="558A64E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7、法律法规规定或合同约定的其他禁止行为。</w:t>
      </w:r>
    </w:p>
    <w:p w14:paraId="7F95767E">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十五、本单位承诺提供给贵公司的产品或服务已关闭与合同约定无关的端口，不存在与合同约定无关的进程。</w:t>
      </w:r>
    </w:p>
    <w:p w14:paraId="73D8B58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十六 本单位承诺未经贵公司同意不得以任何形式对提供给贵公司的产品或服务进行任何操作。本单位承诺严格按最小化原则管理相关产品或服务的操作权限并事先征得贵公司同意。</w:t>
      </w:r>
    </w:p>
    <w:p w14:paraId="22E3BC4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十七、本单位承诺对提供给贵公司的产品或服务在交付前完成已知病毒查杀、安全缺陷及漏洞扫描和修复，交付后对发现的安全缺陷、漏洞等风险及时采取补救措施。</w:t>
      </w:r>
    </w:p>
    <w:p w14:paraId="553FC28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十八、本单位承诺无正当理由不会中断所提供的产品或服务，亦不会中断提供必要的技术支持服务。</w:t>
      </w:r>
    </w:p>
    <w:p w14:paraId="35B3545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九、就本单位向贵公司提供的产品和服务，本单位承诺向贵公司提供该等产品或服务所包含或调用的开源软件和第三方软件清单，以及合法获取开源软件、第三方软件使用权的证明，并配合贵公司开展软件安全检测和知识产权风险审核等工作。</w:t>
      </w:r>
    </w:p>
    <w:p w14:paraId="59D19EE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二十、本单位承诺同意并配合贵公司进行网络安全审查，检查的内容包括但不限于网络安全检查项、计算环境安全检查项、开发流程检查项、提供或委托处理数据的数据处理行为检查项等方面。</w:t>
      </w:r>
    </w:p>
    <w:p w14:paraId="36F3463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二十一、本单位承诺按要求提供网络安全审查工作需要的材料，严格履行网络安全审查中作出的承诺。</w:t>
      </w:r>
    </w:p>
    <w:p w14:paraId="356239C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二、本单位如出现任何违反上述承诺的情况，将依据合同承担责任，接受有关政府主管部门的处理（包括但不限于限期整改、公开曝光），并直接承担相应法律责任，造成财产损失的，由本单位直接赔偿。同时，贵公司有权在不通知本单位的情况下暂停履行合同直至解除合同并不承担任何责任，一切责任后果全部由本单位自行承担。给贵公司造成损失或不良影响的，本单位负责消除不良影响并赔偿贵公司相应损失。</w:t>
      </w:r>
    </w:p>
    <w:p w14:paraId="6CC7BB4E">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三、如出现任何违反上述承诺的情况引发的投诉、举报，由本单位负责解决并承担责任。当接到通信主管部门、“12321网络不良与垃圾信息举报受理中心”、中国电信10000热线等各类渠道投诉、举报时，贵公司有权在不通知本单位的情况下立即终止合同并不承担任何责任，一切责任后果全部由本单位自行承担。给贵公司造成损失或不良影响的，本单位负责消除不良影响并赔偿贵公司相应损失。</w:t>
      </w:r>
    </w:p>
    <w:p w14:paraId="40357C9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二十四、本单位的信息安全责任人如下：</w:t>
      </w:r>
    </w:p>
    <w:p w14:paraId="2F0A007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姓名：[  ],职务：[  ],联系方式：[  ]</w:t>
      </w:r>
    </w:p>
    <w:p w14:paraId="60AEBDE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二十五、本单位承诺要求并监督参与向贵公司提供产品或服务的本单位人员（“本单位人员”）履行本《网络及信息安全承诺书》项下的义务和责任，并对本单位人员的行为承担责任。</w:t>
      </w:r>
    </w:p>
    <w:p w14:paraId="3FEDF86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二十六、本承诺书经本单位签署后，与合同同时生效。</w:t>
      </w:r>
    </w:p>
    <w:p w14:paraId="5DB7B98F">
      <w:pPr>
        <w:spacing w:line="360" w:lineRule="exact"/>
        <w:ind w:firstLine="480" w:firstLineChars="200"/>
        <w:rPr>
          <w:rFonts w:ascii="仿宋" w:hAnsi="仿宋" w:eastAsia="仿宋" w:cs="Times New Roman"/>
          <w:sz w:val="24"/>
        </w:rPr>
      </w:pPr>
    </w:p>
    <w:p w14:paraId="6CAAAA72">
      <w:pPr>
        <w:spacing w:line="360" w:lineRule="exact"/>
        <w:rPr>
          <w:rFonts w:ascii="仿宋" w:hAnsi="仿宋" w:eastAsia="仿宋" w:cs="Times New Roman"/>
          <w:sz w:val="24"/>
        </w:rPr>
      </w:pPr>
      <w:r>
        <w:rPr>
          <w:rFonts w:hint="eastAsia" w:ascii="仿宋" w:hAnsi="仿宋" w:eastAsia="仿宋" w:cs="Times New Roman"/>
          <w:sz w:val="24"/>
        </w:rPr>
        <w:t>承诺单位（盖章）：[  ]</w:t>
      </w:r>
    </w:p>
    <w:p w14:paraId="5D3C1A6A">
      <w:pPr>
        <w:spacing w:line="360" w:lineRule="exact"/>
        <w:rPr>
          <w:rFonts w:ascii="仿宋" w:hAnsi="仿宋" w:eastAsia="仿宋" w:cs="Times New Roman"/>
          <w:sz w:val="24"/>
        </w:rPr>
      </w:pPr>
      <w:r>
        <w:rPr>
          <w:rFonts w:hint="eastAsia" w:ascii="仿宋" w:hAnsi="仿宋" w:eastAsia="仿宋" w:cs="Times New Roman"/>
          <w:sz w:val="24"/>
        </w:rPr>
        <w:t>法定代表人/负责人</w:t>
      </w:r>
    </w:p>
    <w:p w14:paraId="09278162">
      <w:pPr>
        <w:widowControl/>
        <w:spacing w:line="360" w:lineRule="exact"/>
        <w:jc w:val="left"/>
        <w:rPr>
          <w:rFonts w:hint="eastAsia" w:ascii="仿宋" w:hAnsi="仿宋" w:eastAsia="仿宋" w:cs="Times New Roman"/>
          <w:sz w:val="24"/>
        </w:rPr>
      </w:pPr>
      <w:r>
        <w:rPr>
          <w:rFonts w:hint="eastAsia" w:ascii="仿宋" w:hAnsi="仿宋" w:eastAsia="仿宋" w:cs="Times New Roman"/>
          <w:sz w:val="24"/>
        </w:rPr>
        <w:t>或授权代表（签字）：</w:t>
      </w:r>
    </w:p>
    <w:p w14:paraId="7F0E2612">
      <w:pPr>
        <w:spacing w:line="360" w:lineRule="exact"/>
        <w:rPr>
          <w:rFonts w:hint="eastAsia" w:ascii="仿宋" w:hAnsi="仿宋" w:eastAsia="仿宋" w:cs="Times New Roman"/>
          <w:sz w:val="24"/>
          <w:lang w:eastAsia="zh-CN"/>
        </w:rPr>
      </w:pPr>
      <w:r>
        <w:rPr>
          <w:rFonts w:hint="eastAsia" w:ascii="仿宋" w:hAnsi="仿宋" w:eastAsia="仿宋" w:cs="Times New Roman"/>
          <w:sz w:val="24"/>
        </w:rPr>
        <w:br w:type="page"/>
      </w:r>
      <w:r>
        <w:rPr>
          <w:rFonts w:hint="eastAsia" w:ascii="仿宋" w:hAnsi="仿宋" w:eastAsia="仿宋" w:cs="Times New Roman"/>
          <w:sz w:val="24"/>
        </w:rPr>
        <w:t>附件</w:t>
      </w:r>
      <w:r>
        <w:rPr>
          <w:rFonts w:hint="eastAsia" w:ascii="仿宋" w:hAnsi="仿宋" w:eastAsia="仿宋" w:cs="Times New Roman"/>
          <w:sz w:val="24"/>
          <w:lang w:val="en-US" w:eastAsia="zh-CN"/>
        </w:rPr>
        <w:t>七 服务项目人员名单</w:t>
      </w:r>
    </w:p>
    <w:p w14:paraId="4684CFE8">
      <w:pPr>
        <w:spacing w:line="360" w:lineRule="exact"/>
        <w:ind w:firstLine="0"/>
        <w:jc w:val="center"/>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服务项目人员名单</w:t>
      </w:r>
    </w:p>
    <w:tbl>
      <w:tblPr>
        <w:tblStyle w:val="85"/>
        <w:tblW w:w="5000" w:type="pct"/>
        <w:tblInd w:w="0" w:type="dxa"/>
        <w:tblLayout w:type="fixed"/>
        <w:tblCellMar>
          <w:top w:w="0" w:type="dxa"/>
          <w:left w:w="108" w:type="dxa"/>
          <w:bottom w:w="0" w:type="dxa"/>
          <w:right w:w="108" w:type="dxa"/>
        </w:tblCellMar>
      </w:tblPr>
      <w:tblGrid>
        <w:gridCol w:w="611"/>
        <w:gridCol w:w="1082"/>
        <w:gridCol w:w="932"/>
        <w:gridCol w:w="1780"/>
        <w:gridCol w:w="819"/>
        <w:gridCol w:w="1612"/>
        <w:gridCol w:w="1272"/>
        <w:gridCol w:w="613"/>
      </w:tblGrid>
      <w:tr w14:paraId="3490308D">
        <w:tblPrEx>
          <w:tblCellMar>
            <w:top w:w="0" w:type="dxa"/>
            <w:left w:w="108" w:type="dxa"/>
            <w:bottom w:w="0" w:type="dxa"/>
            <w:right w:w="108" w:type="dxa"/>
          </w:tblCellMar>
        </w:tblPrEx>
        <w:trPr>
          <w:trHeight w:val="440" w:hRule="atLeast"/>
        </w:trPr>
        <w:tc>
          <w:tcPr>
            <w:tcW w:w="350" w:type="pct"/>
            <w:vMerge w:val="restart"/>
            <w:tcBorders>
              <w:top w:val="single" w:color="000000" w:sz="4" w:space="0"/>
              <w:left w:val="single" w:color="000000" w:sz="4" w:space="0"/>
              <w:right w:val="single" w:color="000000" w:sz="4" w:space="0"/>
            </w:tcBorders>
            <w:noWrap/>
            <w:vAlign w:val="center"/>
          </w:tcPr>
          <w:p w14:paraId="20240AD3">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序号</w:t>
            </w:r>
          </w:p>
        </w:tc>
        <w:tc>
          <w:tcPr>
            <w:tcW w:w="620" w:type="pct"/>
            <w:vMerge w:val="restart"/>
            <w:tcBorders>
              <w:top w:val="single" w:color="000000" w:sz="4" w:space="0"/>
              <w:left w:val="single" w:color="000000" w:sz="4" w:space="0"/>
              <w:right w:val="single" w:color="000000" w:sz="4" w:space="0"/>
            </w:tcBorders>
            <w:noWrap/>
            <w:vAlign w:val="center"/>
          </w:tcPr>
          <w:p w14:paraId="37297772">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类别</w:t>
            </w:r>
          </w:p>
        </w:tc>
        <w:tc>
          <w:tcPr>
            <w:tcW w:w="534" w:type="pct"/>
            <w:vMerge w:val="restart"/>
            <w:tcBorders>
              <w:top w:val="single" w:color="000000" w:sz="4" w:space="0"/>
              <w:left w:val="single" w:color="000000" w:sz="4" w:space="0"/>
              <w:right w:val="single" w:color="000000" w:sz="4" w:space="0"/>
            </w:tcBorders>
            <w:noWrap/>
            <w:vAlign w:val="center"/>
          </w:tcPr>
          <w:p w14:paraId="6E35B911">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姓名</w:t>
            </w:r>
          </w:p>
        </w:tc>
        <w:tc>
          <w:tcPr>
            <w:tcW w:w="1020" w:type="pct"/>
            <w:vMerge w:val="restart"/>
            <w:tcBorders>
              <w:top w:val="single" w:color="000000" w:sz="4" w:space="0"/>
              <w:left w:val="single" w:color="000000" w:sz="4" w:space="0"/>
              <w:right w:val="single" w:color="000000" w:sz="4" w:space="0"/>
            </w:tcBorders>
            <w:noWrap/>
            <w:vAlign w:val="center"/>
          </w:tcPr>
          <w:p w14:paraId="2428ACCD">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lang w:val="en-US" w:eastAsia="zh-CN"/>
              </w:rPr>
              <w:t>角色/</w:t>
            </w:r>
            <w:r>
              <w:rPr>
                <w:rFonts w:hint="eastAsia" w:ascii="仿宋" w:hAnsi="仿宋" w:eastAsia="仿宋" w:cs="Times New Roman"/>
                <w:kern w:val="0"/>
                <w:sz w:val="24"/>
              </w:rPr>
              <w:t>职位</w:t>
            </w:r>
          </w:p>
        </w:tc>
        <w:tc>
          <w:tcPr>
            <w:tcW w:w="469" w:type="pct"/>
            <w:vMerge w:val="restart"/>
            <w:tcBorders>
              <w:top w:val="single" w:color="000000" w:sz="4" w:space="0"/>
              <w:left w:val="single" w:color="000000" w:sz="4" w:space="0"/>
              <w:right w:val="single" w:color="000000" w:sz="4" w:space="0"/>
            </w:tcBorders>
            <w:noWrap/>
            <w:vAlign w:val="center"/>
          </w:tcPr>
          <w:p w14:paraId="516C959B">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学历</w:t>
            </w: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AD982A7">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rPr>
              <w:t>证书</w:t>
            </w:r>
            <w:r>
              <w:rPr>
                <w:rFonts w:hint="eastAsia" w:ascii="仿宋" w:hAnsi="仿宋" w:eastAsia="仿宋" w:cs="Times New Roman"/>
                <w:kern w:val="0"/>
                <w:sz w:val="24"/>
                <w:lang w:val="en-US" w:eastAsia="zh-CN"/>
              </w:rPr>
              <w:t>名称</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57FDB13">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证书编号</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35B2DBFA">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备注</w:t>
            </w:r>
          </w:p>
        </w:tc>
      </w:tr>
      <w:tr w14:paraId="3F4A1E57">
        <w:tblPrEx>
          <w:tblCellMar>
            <w:top w:w="0" w:type="dxa"/>
            <w:left w:w="108" w:type="dxa"/>
            <w:bottom w:w="0" w:type="dxa"/>
            <w:right w:w="108" w:type="dxa"/>
          </w:tblCellMar>
        </w:tblPrEx>
        <w:trPr>
          <w:trHeight w:val="440" w:hRule="atLeast"/>
        </w:trPr>
        <w:tc>
          <w:tcPr>
            <w:tcW w:w="350" w:type="pct"/>
            <w:vMerge w:val="continue"/>
            <w:tcBorders>
              <w:left w:val="single" w:color="000000" w:sz="4" w:space="0"/>
              <w:bottom w:val="single" w:color="000000" w:sz="4" w:space="0"/>
              <w:right w:val="single" w:color="000000" w:sz="4" w:space="0"/>
            </w:tcBorders>
            <w:noWrap/>
            <w:vAlign w:val="center"/>
          </w:tcPr>
          <w:p w14:paraId="6DD96B61">
            <w:pPr>
              <w:tabs>
                <w:tab w:val="left" w:pos="7980"/>
              </w:tabs>
              <w:spacing w:line="360" w:lineRule="exact"/>
              <w:jc w:val="center"/>
              <w:rPr>
                <w:rFonts w:hint="eastAsia" w:ascii="仿宋" w:hAnsi="仿宋" w:eastAsia="仿宋" w:cs="Times New Roman"/>
                <w:kern w:val="0"/>
                <w:sz w:val="24"/>
              </w:rPr>
            </w:pPr>
          </w:p>
        </w:tc>
        <w:tc>
          <w:tcPr>
            <w:tcW w:w="620" w:type="pct"/>
            <w:vMerge w:val="continue"/>
            <w:tcBorders>
              <w:left w:val="single" w:color="000000" w:sz="4" w:space="0"/>
              <w:bottom w:val="single" w:color="000000" w:sz="4" w:space="0"/>
              <w:right w:val="single" w:color="000000" w:sz="4" w:space="0"/>
            </w:tcBorders>
            <w:noWrap/>
            <w:vAlign w:val="center"/>
          </w:tcPr>
          <w:p w14:paraId="6CDFEBC6">
            <w:pPr>
              <w:tabs>
                <w:tab w:val="left" w:pos="7980"/>
              </w:tabs>
              <w:spacing w:line="360" w:lineRule="exact"/>
              <w:jc w:val="center"/>
              <w:rPr>
                <w:rFonts w:hint="eastAsia" w:ascii="仿宋" w:hAnsi="仿宋" w:eastAsia="仿宋" w:cs="Times New Roman"/>
                <w:kern w:val="0"/>
                <w:sz w:val="24"/>
                <w:lang w:val="en-US" w:eastAsia="zh-CN"/>
              </w:rPr>
            </w:pPr>
          </w:p>
        </w:tc>
        <w:tc>
          <w:tcPr>
            <w:tcW w:w="534" w:type="pct"/>
            <w:vMerge w:val="continue"/>
            <w:tcBorders>
              <w:left w:val="single" w:color="000000" w:sz="4" w:space="0"/>
              <w:bottom w:val="single" w:color="000000" w:sz="4" w:space="0"/>
              <w:right w:val="single" w:color="000000" w:sz="4" w:space="0"/>
            </w:tcBorders>
            <w:noWrap/>
            <w:vAlign w:val="center"/>
          </w:tcPr>
          <w:p w14:paraId="0254BBBC">
            <w:pPr>
              <w:tabs>
                <w:tab w:val="left" w:pos="7980"/>
              </w:tabs>
              <w:spacing w:line="360" w:lineRule="exact"/>
              <w:jc w:val="left"/>
              <w:rPr>
                <w:rFonts w:ascii="仿宋" w:hAnsi="仿宋" w:eastAsia="仿宋" w:cs="Times New Roman"/>
                <w:kern w:val="0"/>
                <w:sz w:val="24"/>
              </w:rPr>
            </w:pPr>
          </w:p>
        </w:tc>
        <w:tc>
          <w:tcPr>
            <w:tcW w:w="1020" w:type="pct"/>
            <w:vMerge w:val="continue"/>
            <w:tcBorders>
              <w:left w:val="single" w:color="000000" w:sz="4" w:space="0"/>
              <w:bottom w:val="single" w:color="000000" w:sz="4" w:space="0"/>
              <w:right w:val="single" w:color="000000" w:sz="4" w:space="0"/>
            </w:tcBorders>
            <w:noWrap/>
            <w:vAlign w:val="center"/>
          </w:tcPr>
          <w:p w14:paraId="24414C1E">
            <w:pPr>
              <w:tabs>
                <w:tab w:val="left" w:pos="7980"/>
              </w:tabs>
              <w:spacing w:line="360" w:lineRule="exact"/>
              <w:jc w:val="left"/>
              <w:rPr>
                <w:rFonts w:ascii="仿宋" w:hAnsi="仿宋" w:eastAsia="仿宋" w:cs="Times New Roman"/>
                <w:kern w:val="0"/>
                <w:sz w:val="24"/>
              </w:rPr>
            </w:pPr>
          </w:p>
        </w:tc>
        <w:tc>
          <w:tcPr>
            <w:tcW w:w="469" w:type="pct"/>
            <w:vMerge w:val="continue"/>
            <w:tcBorders>
              <w:left w:val="single" w:color="000000" w:sz="4" w:space="0"/>
              <w:bottom w:val="single" w:color="000000" w:sz="4" w:space="0"/>
              <w:right w:val="single" w:color="000000" w:sz="4" w:space="0"/>
            </w:tcBorders>
            <w:noWrap/>
            <w:vAlign w:val="center"/>
          </w:tcPr>
          <w:p w14:paraId="0B3DA1C6">
            <w:pPr>
              <w:tabs>
                <w:tab w:val="left" w:pos="7980"/>
              </w:tabs>
              <w:spacing w:line="360" w:lineRule="exact"/>
              <w:jc w:val="left"/>
              <w:rPr>
                <w:rFonts w:ascii="仿宋" w:hAnsi="仿宋" w:eastAsia="仿宋" w:cs="Times New Roman"/>
                <w:kern w:val="0"/>
                <w:sz w:val="24"/>
              </w:rPr>
            </w:pPr>
          </w:p>
        </w:tc>
        <w:tc>
          <w:tcPr>
            <w:tcW w:w="1653" w:type="pct"/>
            <w:gridSpan w:val="2"/>
            <w:tcBorders>
              <w:top w:val="single" w:color="000000" w:sz="4" w:space="0"/>
              <w:left w:val="single" w:color="000000" w:sz="4" w:space="0"/>
              <w:bottom w:val="single" w:color="000000" w:sz="4" w:space="0"/>
              <w:right w:val="single" w:color="000000" w:sz="4" w:space="0"/>
            </w:tcBorders>
            <w:noWrap/>
            <w:vAlign w:val="center"/>
          </w:tcPr>
          <w:p w14:paraId="40CFF4D5">
            <w:pPr>
              <w:tabs>
                <w:tab w:val="left" w:pos="7980"/>
              </w:tabs>
              <w:spacing w:line="360" w:lineRule="exact"/>
              <w:jc w:val="center"/>
              <w:rPr>
                <w:rFonts w:hint="eastAsia" w:ascii="仿宋" w:hAnsi="仿宋" w:eastAsia="仿宋" w:cs="Times New Roman"/>
                <w:kern w:val="0"/>
                <w:sz w:val="24"/>
                <w:lang w:eastAsia="zh-CN"/>
              </w:rPr>
            </w:pPr>
            <w:r>
              <w:rPr>
                <w:rFonts w:hint="eastAsia" w:ascii="仿宋" w:hAnsi="仿宋" w:eastAsia="仿宋" w:cs="Times New Roman"/>
                <w:kern w:val="0"/>
                <w:sz w:val="24"/>
                <w:lang w:eastAsia="zh-CN"/>
              </w:rPr>
              <w:t>（如有）</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79CC5113">
            <w:pPr>
              <w:tabs>
                <w:tab w:val="left" w:pos="7980"/>
              </w:tabs>
              <w:spacing w:line="360" w:lineRule="exact"/>
              <w:jc w:val="left"/>
              <w:rPr>
                <w:rFonts w:ascii="仿宋" w:hAnsi="仿宋" w:eastAsia="仿宋" w:cs="Times New Roman"/>
                <w:kern w:val="0"/>
                <w:sz w:val="24"/>
              </w:rPr>
            </w:pPr>
          </w:p>
        </w:tc>
      </w:tr>
      <w:tr w14:paraId="28CFB1F3">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244DB07D">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1</w:t>
            </w: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02111EDE">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团队负责人</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26B8157D">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7982CF05">
            <w:pPr>
              <w:tabs>
                <w:tab w:val="left" w:pos="7980"/>
              </w:tabs>
              <w:spacing w:line="360" w:lineRule="exact"/>
              <w:jc w:val="left"/>
              <w:rPr>
                <w:rFonts w:hint="eastAsia" w:ascii="仿宋" w:hAnsi="仿宋" w:eastAsia="仿宋" w:cs="Times New Roman"/>
                <w:kern w:val="0"/>
                <w:sz w:val="24"/>
                <w:lang w:val="en-US" w:eastAsia="zh-CN"/>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2AD5C284">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0138577">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0"/>
            <w:vAlign w:val="center"/>
          </w:tcPr>
          <w:p w14:paraId="6EE36D07">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73D85B2A">
            <w:pPr>
              <w:tabs>
                <w:tab w:val="left" w:pos="7980"/>
              </w:tabs>
              <w:spacing w:line="360" w:lineRule="exact"/>
              <w:jc w:val="left"/>
              <w:rPr>
                <w:rFonts w:ascii="仿宋" w:hAnsi="仿宋" w:eastAsia="仿宋" w:cs="Times New Roman"/>
                <w:kern w:val="0"/>
                <w:sz w:val="24"/>
              </w:rPr>
            </w:pPr>
          </w:p>
        </w:tc>
      </w:tr>
      <w:tr w14:paraId="18D13312">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4EB578DB">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2</w:t>
            </w:r>
          </w:p>
        </w:tc>
        <w:tc>
          <w:tcPr>
            <w:tcW w:w="620" w:type="pct"/>
            <w:vMerge w:val="restart"/>
            <w:tcBorders>
              <w:top w:val="single" w:color="000000" w:sz="4" w:space="0"/>
              <w:left w:val="single" w:color="000000" w:sz="4" w:space="0"/>
              <w:bottom w:val="single" w:color="000000" w:sz="4" w:space="0"/>
              <w:right w:val="single" w:color="000000" w:sz="4" w:space="0"/>
            </w:tcBorders>
            <w:noWrap/>
            <w:vAlign w:val="center"/>
          </w:tcPr>
          <w:p w14:paraId="6D9EE50B">
            <w:pPr>
              <w:tabs>
                <w:tab w:val="left" w:pos="7980"/>
              </w:tabs>
              <w:spacing w:line="360" w:lineRule="exact"/>
              <w:jc w:val="center"/>
              <w:rPr>
                <w:rFonts w:hint="eastAsia" w:ascii="仿宋" w:hAnsi="仿宋" w:eastAsia="仿宋" w:cs="Times New Roman"/>
                <w:kern w:val="0"/>
                <w:sz w:val="24"/>
                <w:lang w:eastAsia="zh-CN"/>
              </w:rPr>
            </w:pPr>
            <w:r>
              <w:rPr>
                <w:rFonts w:hint="eastAsia" w:ascii="仿宋" w:hAnsi="仿宋" w:eastAsia="仿宋" w:cs="Times New Roman"/>
                <w:kern w:val="0"/>
                <w:sz w:val="24"/>
              </w:rPr>
              <w:t>团队成员</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1E1AF96D">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5C6E95CA">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1088134D">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7CC43667">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0"/>
            <w:vAlign w:val="center"/>
          </w:tcPr>
          <w:p w14:paraId="6F79BF84">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25C663B3">
            <w:pPr>
              <w:tabs>
                <w:tab w:val="left" w:pos="7980"/>
              </w:tabs>
              <w:spacing w:line="360" w:lineRule="exact"/>
              <w:jc w:val="left"/>
              <w:rPr>
                <w:rFonts w:ascii="仿宋" w:hAnsi="仿宋" w:eastAsia="仿宋" w:cs="Times New Roman"/>
                <w:kern w:val="0"/>
                <w:sz w:val="24"/>
              </w:rPr>
            </w:pPr>
          </w:p>
        </w:tc>
      </w:tr>
      <w:tr w14:paraId="29CAF55A">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2B252280">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3</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62CB0A90">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77DE10A3">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3CCD17CB">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1BCFD5B9">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76362182">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0"/>
            <w:vAlign w:val="center"/>
          </w:tcPr>
          <w:p w14:paraId="7E0020E2">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0485A45F">
            <w:pPr>
              <w:tabs>
                <w:tab w:val="left" w:pos="7980"/>
              </w:tabs>
              <w:spacing w:line="360" w:lineRule="exact"/>
              <w:jc w:val="left"/>
              <w:rPr>
                <w:rFonts w:ascii="仿宋" w:hAnsi="仿宋" w:eastAsia="仿宋" w:cs="Times New Roman"/>
                <w:kern w:val="0"/>
                <w:sz w:val="24"/>
              </w:rPr>
            </w:pPr>
          </w:p>
        </w:tc>
      </w:tr>
      <w:tr w14:paraId="22CC314B">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2159FF9F">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4</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6429A2C6">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51DDD4B8">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32EDEFEE">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24CDA438">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F0F06F3">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63B0BDA">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51C48D02">
            <w:pPr>
              <w:tabs>
                <w:tab w:val="left" w:pos="7980"/>
              </w:tabs>
              <w:spacing w:line="360" w:lineRule="exact"/>
              <w:jc w:val="left"/>
              <w:rPr>
                <w:rFonts w:ascii="仿宋" w:hAnsi="仿宋" w:eastAsia="仿宋" w:cs="Times New Roman"/>
                <w:kern w:val="0"/>
                <w:sz w:val="24"/>
              </w:rPr>
            </w:pPr>
          </w:p>
        </w:tc>
      </w:tr>
      <w:tr w14:paraId="43448872">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62A7FC21">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5</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2B6EE1B4">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0DF0AFB8">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34D1EF8B">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3AC8B3B8">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5CEE8D16">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7EF5857">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12F7F6D6">
            <w:pPr>
              <w:tabs>
                <w:tab w:val="left" w:pos="7980"/>
              </w:tabs>
              <w:spacing w:line="360" w:lineRule="exact"/>
              <w:jc w:val="left"/>
              <w:rPr>
                <w:rFonts w:ascii="仿宋" w:hAnsi="仿宋" w:eastAsia="仿宋" w:cs="Times New Roman"/>
                <w:kern w:val="0"/>
                <w:sz w:val="24"/>
              </w:rPr>
            </w:pPr>
          </w:p>
        </w:tc>
      </w:tr>
      <w:tr w14:paraId="271413F8">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6579481D">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6</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05590E0E">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740E5382">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3F47E15">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2DF70B6B">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3C7F3FE8">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11DA96F">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6F2C9328">
            <w:pPr>
              <w:tabs>
                <w:tab w:val="left" w:pos="7980"/>
              </w:tabs>
              <w:spacing w:line="360" w:lineRule="exact"/>
              <w:jc w:val="left"/>
              <w:rPr>
                <w:rFonts w:ascii="仿宋" w:hAnsi="仿宋" w:eastAsia="仿宋" w:cs="Times New Roman"/>
                <w:kern w:val="0"/>
                <w:sz w:val="24"/>
              </w:rPr>
            </w:pPr>
          </w:p>
        </w:tc>
      </w:tr>
      <w:tr w14:paraId="7C91A34C">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33B69D9D">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7</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146F81D6">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33A03170">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54072C56">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1CACACA9">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A209553">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6DE3BBD">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50CD18A6">
            <w:pPr>
              <w:tabs>
                <w:tab w:val="left" w:pos="7980"/>
              </w:tabs>
              <w:spacing w:line="360" w:lineRule="exact"/>
              <w:jc w:val="left"/>
              <w:rPr>
                <w:rFonts w:ascii="仿宋" w:hAnsi="仿宋" w:eastAsia="仿宋" w:cs="Times New Roman"/>
                <w:kern w:val="0"/>
                <w:sz w:val="24"/>
              </w:rPr>
            </w:pPr>
          </w:p>
        </w:tc>
      </w:tr>
      <w:tr w14:paraId="2850562B">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3C79E13E">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8</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08F95994">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1183EB09">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7D8585DA">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68823479">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09A84BB">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9FC3280">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111899D1">
            <w:pPr>
              <w:tabs>
                <w:tab w:val="left" w:pos="7980"/>
              </w:tabs>
              <w:spacing w:line="360" w:lineRule="exact"/>
              <w:jc w:val="left"/>
              <w:rPr>
                <w:rFonts w:ascii="仿宋" w:hAnsi="仿宋" w:eastAsia="仿宋" w:cs="Times New Roman"/>
                <w:kern w:val="0"/>
                <w:sz w:val="24"/>
              </w:rPr>
            </w:pPr>
          </w:p>
        </w:tc>
      </w:tr>
      <w:tr w14:paraId="3FBA15B2">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7AF16FF">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9</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35DE9381">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4CE08E19">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706B9451">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43071B39">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39C575F0">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46E78A0">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16EB95B3">
            <w:pPr>
              <w:tabs>
                <w:tab w:val="left" w:pos="7980"/>
              </w:tabs>
              <w:spacing w:line="360" w:lineRule="exact"/>
              <w:jc w:val="left"/>
              <w:rPr>
                <w:rFonts w:ascii="仿宋" w:hAnsi="仿宋" w:eastAsia="仿宋" w:cs="Times New Roman"/>
                <w:kern w:val="0"/>
                <w:sz w:val="24"/>
              </w:rPr>
            </w:pPr>
          </w:p>
        </w:tc>
      </w:tr>
      <w:tr w14:paraId="4C8B2B3C">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45298D4A">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10</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032F4F53">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71D04B41">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4309AE5C">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42D7A51C">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D404E11">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5AB5929">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08EA8F37">
            <w:pPr>
              <w:tabs>
                <w:tab w:val="left" w:pos="7980"/>
              </w:tabs>
              <w:spacing w:line="360" w:lineRule="exact"/>
              <w:jc w:val="left"/>
              <w:rPr>
                <w:rFonts w:ascii="仿宋" w:hAnsi="仿宋" w:eastAsia="仿宋" w:cs="Times New Roman"/>
                <w:kern w:val="0"/>
                <w:sz w:val="24"/>
              </w:rPr>
            </w:pPr>
          </w:p>
        </w:tc>
      </w:tr>
      <w:tr w14:paraId="5CA50C1A">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1AD5384D">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11</w:t>
            </w:r>
          </w:p>
        </w:tc>
        <w:tc>
          <w:tcPr>
            <w:tcW w:w="620" w:type="pct"/>
            <w:vMerge w:val="restart"/>
            <w:tcBorders>
              <w:top w:val="single" w:color="000000" w:sz="4" w:space="0"/>
              <w:left w:val="single" w:color="000000" w:sz="4" w:space="0"/>
              <w:right w:val="single" w:color="000000" w:sz="4" w:space="0"/>
            </w:tcBorders>
            <w:noWrap/>
            <w:vAlign w:val="center"/>
          </w:tcPr>
          <w:p w14:paraId="2CC303B5">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服务支撑人员</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53DDDE04">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3BC0C6AE">
            <w:pPr>
              <w:tabs>
                <w:tab w:val="left" w:pos="7980"/>
              </w:tabs>
              <w:spacing w:line="360" w:lineRule="exact"/>
              <w:jc w:val="left"/>
              <w:rPr>
                <w:rFonts w:ascii="仿宋" w:hAnsi="仿宋" w:eastAsia="仿宋" w:cs="Times New Roman"/>
                <w:kern w:val="0"/>
                <w:sz w:val="24"/>
              </w:rPr>
            </w:pPr>
            <w:bookmarkStart w:id="645" w:name="OLE_LINK1"/>
            <w:r>
              <w:rPr>
                <w:rFonts w:hint="eastAsia" w:ascii="仿宋" w:hAnsi="仿宋" w:eastAsia="仿宋" w:cs="Times New Roman"/>
                <w:kern w:val="0"/>
                <w:sz w:val="24"/>
              </w:rPr>
              <w:t>项目联系人</w:t>
            </w:r>
            <w:bookmarkEnd w:id="645"/>
            <w:r>
              <w:rPr>
                <w:rFonts w:hint="eastAsia" w:ascii="仿宋" w:hAnsi="仿宋" w:eastAsia="仿宋" w:cs="Times New Roman"/>
                <w:kern w:val="0"/>
                <w:sz w:val="24"/>
                <w:lang w:val="en-US" w:eastAsia="zh-CN"/>
              </w:rPr>
              <w:t>/项目</w:t>
            </w:r>
            <w:r>
              <w:rPr>
                <w:rFonts w:hint="eastAsia" w:ascii="仿宋" w:hAnsi="仿宋" w:eastAsia="仿宋" w:cs="Calibri"/>
                <w:kern w:val="1"/>
                <w:sz w:val="24"/>
                <w:lang w:eastAsia="ar-SA"/>
              </w:rPr>
              <w:t>现场代表</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1DDE7144">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50752837">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E7A8971">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54114467">
            <w:pPr>
              <w:tabs>
                <w:tab w:val="left" w:pos="7980"/>
              </w:tabs>
              <w:spacing w:line="360" w:lineRule="exact"/>
              <w:jc w:val="left"/>
              <w:rPr>
                <w:rFonts w:ascii="仿宋" w:hAnsi="仿宋" w:eastAsia="仿宋" w:cs="Times New Roman"/>
                <w:kern w:val="0"/>
                <w:sz w:val="24"/>
              </w:rPr>
            </w:pPr>
          </w:p>
        </w:tc>
      </w:tr>
      <w:tr w14:paraId="373EBD55">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3880FCC">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12</w:t>
            </w:r>
          </w:p>
        </w:tc>
        <w:tc>
          <w:tcPr>
            <w:tcW w:w="620" w:type="pct"/>
            <w:vMerge w:val="continue"/>
            <w:tcBorders>
              <w:left w:val="single" w:color="000000" w:sz="4" w:space="0"/>
              <w:right w:val="single" w:color="000000" w:sz="4" w:space="0"/>
            </w:tcBorders>
            <w:noWrap/>
            <w:vAlign w:val="center"/>
          </w:tcPr>
          <w:p w14:paraId="129599F1">
            <w:pPr>
              <w:tabs>
                <w:tab w:val="left" w:pos="7980"/>
              </w:tabs>
              <w:spacing w:line="360" w:lineRule="exact"/>
              <w:jc w:val="center"/>
              <w:rPr>
                <w:rFonts w:hint="default" w:ascii="仿宋" w:hAnsi="仿宋" w:eastAsia="仿宋" w:cs="Times New Roman"/>
                <w:kern w:val="0"/>
                <w:sz w:val="24"/>
                <w:lang w:val="en-US"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09735A03">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639F7813">
            <w:pPr>
              <w:tabs>
                <w:tab w:val="left" w:pos="7980"/>
              </w:tabs>
              <w:spacing w:line="360" w:lineRule="exact"/>
              <w:jc w:val="left"/>
              <w:rPr>
                <w:rFonts w:ascii="仿宋" w:hAnsi="仿宋" w:eastAsia="仿宋" w:cs="Times New Roman"/>
                <w:kern w:val="0"/>
                <w:sz w:val="24"/>
                <w:szCs w:val="24"/>
                <w:lang w:val="en-US" w:eastAsia="zh-CN" w:bidi="ar-SA"/>
              </w:rPr>
            </w:pPr>
            <w:r>
              <w:rPr>
                <w:rFonts w:hint="eastAsia" w:ascii="仿宋" w:hAnsi="仿宋" w:eastAsia="仿宋" w:cs="Times New Roman"/>
                <w:kern w:val="0"/>
                <w:sz w:val="24"/>
              </w:rPr>
              <w:t>专职安全生产管理人员</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477E600D">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0E341C0D">
            <w:pPr>
              <w:tabs>
                <w:tab w:val="left" w:pos="7980"/>
              </w:tabs>
              <w:spacing w:line="360" w:lineRule="exact"/>
              <w:jc w:val="left"/>
              <w:rPr>
                <w:rFonts w:ascii="仿宋" w:hAnsi="仿宋" w:eastAsia="仿宋" w:cs="Times New Roman"/>
                <w:kern w:val="0"/>
                <w:sz w:val="24"/>
                <w:szCs w:val="24"/>
                <w:lang w:val="en-US" w:eastAsia="zh-CN" w:bidi="ar-SA"/>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3C925E60">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0629CD13">
            <w:pPr>
              <w:tabs>
                <w:tab w:val="left" w:pos="7980"/>
              </w:tabs>
              <w:spacing w:line="360" w:lineRule="exact"/>
              <w:jc w:val="left"/>
              <w:rPr>
                <w:rFonts w:ascii="仿宋" w:hAnsi="仿宋" w:eastAsia="仿宋" w:cs="Times New Roman"/>
                <w:kern w:val="0"/>
                <w:sz w:val="24"/>
              </w:rPr>
            </w:pPr>
          </w:p>
        </w:tc>
      </w:tr>
      <w:tr w14:paraId="5DD3F633">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2FD20A6">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13</w:t>
            </w:r>
          </w:p>
        </w:tc>
        <w:tc>
          <w:tcPr>
            <w:tcW w:w="620" w:type="pct"/>
            <w:vMerge w:val="continue"/>
            <w:tcBorders>
              <w:left w:val="single" w:color="000000" w:sz="4" w:space="0"/>
              <w:right w:val="single" w:color="000000" w:sz="4" w:space="0"/>
            </w:tcBorders>
            <w:noWrap/>
            <w:vAlign w:val="center"/>
          </w:tcPr>
          <w:p w14:paraId="7E2325E4">
            <w:pPr>
              <w:tabs>
                <w:tab w:val="left" w:pos="7980"/>
              </w:tabs>
              <w:spacing w:line="360" w:lineRule="exact"/>
              <w:jc w:val="center"/>
              <w:rPr>
                <w:rFonts w:hint="default" w:ascii="仿宋" w:hAnsi="仿宋" w:eastAsia="仿宋" w:cs="Times New Roman"/>
                <w:kern w:val="0"/>
                <w:sz w:val="24"/>
                <w:lang w:val="en-US"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3CFEFCD7">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2973F33D">
            <w:pPr>
              <w:tabs>
                <w:tab w:val="left" w:pos="7980"/>
              </w:tabs>
              <w:spacing w:line="360" w:lineRule="exact"/>
              <w:jc w:val="left"/>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rPr>
              <w:t>信息安全责任人</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54456560">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7E282E9">
            <w:pPr>
              <w:tabs>
                <w:tab w:val="left" w:pos="7980"/>
              </w:tabs>
              <w:spacing w:line="360" w:lineRule="exact"/>
              <w:jc w:val="left"/>
              <w:rPr>
                <w:rFonts w:ascii="仿宋" w:hAnsi="仿宋" w:eastAsia="仿宋" w:cs="Times New Roman"/>
                <w:kern w:val="0"/>
                <w:sz w:val="24"/>
                <w:szCs w:val="24"/>
                <w:lang w:val="en-US" w:eastAsia="zh-CN" w:bidi="ar-SA"/>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C1D18BC">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2D9505D8">
            <w:pPr>
              <w:tabs>
                <w:tab w:val="left" w:pos="7980"/>
              </w:tabs>
              <w:spacing w:line="360" w:lineRule="exact"/>
              <w:jc w:val="left"/>
              <w:rPr>
                <w:rFonts w:ascii="仿宋" w:hAnsi="仿宋" w:eastAsia="仿宋" w:cs="Times New Roman"/>
                <w:kern w:val="0"/>
                <w:sz w:val="24"/>
              </w:rPr>
            </w:pPr>
          </w:p>
        </w:tc>
      </w:tr>
      <w:tr w14:paraId="018FE23E">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0F7C4B74">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14</w:t>
            </w:r>
          </w:p>
        </w:tc>
        <w:tc>
          <w:tcPr>
            <w:tcW w:w="620" w:type="pct"/>
            <w:vMerge w:val="continue"/>
            <w:tcBorders>
              <w:left w:val="single" w:color="000000" w:sz="4" w:space="0"/>
              <w:right w:val="single" w:color="000000" w:sz="4" w:space="0"/>
            </w:tcBorders>
            <w:noWrap/>
            <w:vAlign w:val="center"/>
          </w:tcPr>
          <w:p w14:paraId="73B1ED67">
            <w:pPr>
              <w:tabs>
                <w:tab w:val="left" w:pos="7980"/>
              </w:tabs>
              <w:spacing w:line="360" w:lineRule="exact"/>
              <w:jc w:val="center"/>
              <w:rPr>
                <w:rFonts w:hint="default" w:ascii="仿宋" w:hAnsi="仿宋" w:eastAsia="仿宋" w:cs="Times New Roman"/>
                <w:kern w:val="0"/>
                <w:sz w:val="24"/>
                <w:lang w:val="en-US"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3EAD734A">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5D5C2258">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46A96E75">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8DF0E9A">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6FFBB6A">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54B3A7E8">
            <w:pPr>
              <w:tabs>
                <w:tab w:val="left" w:pos="7980"/>
              </w:tabs>
              <w:spacing w:line="360" w:lineRule="exact"/>
              <w:jc w:val="left"/>
              <w:rPr>
                <w:rFonts w:ascii="仿宋" w:hAnsi="仿宋" w:eastAsia="仿宋" w:cs="Times New Roman"/>
                <w:kern w:val="0"/>
                <w:sz w:val="24"/>
              </w:rPr>
            </w:pPr>
          </w:p>
        </w:tc>
      </w:tr>
      <w:tr w14:paraId="47E23B9F">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4CB32548">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w:t>
            </w:r>
          </w:p>
        </w:tc>
        <w:tc>
          <w:tcPr>
            <w:tcW w:w="620" w:type="pct"/>
            <w:vMerge w:val="continue"/>
            <w:tcBorders>
              <w:left w:val="single" w:color="000000" w:sz="4" w:space="0"/>
              <w:bottom w:val="single" w:color="000000" w:sz="4" w:space="0"/>
              <w:right w:val="single" w:color="000000" w:sz="4" w:space="0"/>
            </w:tcBorders>
            <w:noWrap/>
            <w:vAlign w:val="center"/>
          </w:tcPr>
          <w:p w14:paraId="0B1171BE">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41CB4DB9">
            <w:pPr>
              <w:tabs>
                <w:tab w:val="left" w:pos="7980"/>
              </w:tabs>
              <w:spacing w:line="360" w:lineRule="exact"/>
              <w:jc w:val="left"/>
              <w:rPr>
                <w:rFonts w:ascii="仿宋" w:hAnsi="仿宋" w:eastAsia="仿宋" w:cs="Times New Roman"/>
                <w:kern w:val="0"/>
                <w:sz w:val="24"/>
              </w:rPr>
            </w:pPr>
            <w:r>
              <w:rPr>
                <w:rFonts w:hint="eastAsia" w:ascii="仿宋" w:hAnsi="仿宋" w:eastAsia="仿宋" w:cs="Times New Roman"/>
                <w:kern w:val="0"/>
                <w:sz w:val="24"/>
              </w:rPr>
              <w:t>……</w:t>
            </w: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66B43D5">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6EAE37E3">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6BF0FE3">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E67DA76">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5EFCC42C">
            <w:pPr>
              <w:tabs>
                <w:tab w:val="left" w:pos="7980"/>
              </w:tabs>
              <w:spacing w:line="360" w:lineRule="exact"/>
              <w:jc w:val="left"/>
              <w:rPr>
                <w:rFonts w:ascii="仿宋" w:hAnsi="仿宋" w:eastAsia="仿宋" w:cs="Times New Roman"/>
                <w:kern w:val="0"/>
                <w:sz w:val="24"/>
              </w:rPr>
            </w:pPr>
          </w:p>
        </w:tc>
      </w:tr>
      <w:tr w14:paraId="121C9B86">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5578DC4E">
            <w:pPr>
              <w:jc w:val="center"/>
              <w:rPr>
                <w:rFonts w:ascii="宋体" w:hAnsi="宋体" w:eastAsia="宋体" w:cs="宋体"/>
                <w:sz w:val="24"/>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51BE6671">
            <w:pPr>
              <w:jc w:val="center"/>
              <w:rPr>
                <w:rFonts w:ascii="宋体" w:hAnsi="宋体" w:eastAsia="宋体" w:cs="宋体"/>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2AD7C705">
            <w:pPr>
              <w:rPr>
                <w:rFonts w:ascii="宋体" w:hAnsi="宋体" w:eastAsia="宋体" w:cs="宋体"/>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1A81BE7A">
            <w:pPr>
              <w:rPr>
                <w:rFonts w:ascii="宋体" w:hAnsi="宋体" w:eastAsia="宋体" w:cs="宋体"/>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7F74CD8F">
            <w:pPr>
              <w:rPr>
                <w:rFonts w:ascii="宋体" w:hAnsi="宋体" w:eastAsia="宋体" w:cs="宋体"/>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776F4B89">
            <w:pPr>
              <w:rPr>
                <w:rFonts w:ascii="宋体" w:hAnsi="宋体" w:eastAsia="宋体" w:cs="宋体"/>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964CD22">
            <w:pPr>
              <w:rPr>
                <w:rFonts w:ascii="宋体" w:hAnsi="宋体" w:eastAsia="宋体" w:cs="宋体"/>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26920BC0">
            <w:pPr>
              <w:rPr>
                <w:rFonts w:ascii="宋体" w:hAnsi="宋体" w:eastAsia="宋体" w:cs="宋体"/>
                <w:sz w:val="24"/>
              </w:rPr>
            </w:pPr>
          </w:p>
        </w:tc>
      </w:tr>
      <w:tr w14:paraId="4AD72137">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121363A1">
            <w:pPr>
              <w:jc w:val="center"/>
              <w:rPr>
                <w:rFonts w:ascii="宋体" w:hAnsi="宋体" w:eastAsia="宋体" w:cs="宋体"/>
                <w:sz w:val="24"/>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0813C3F9">
            <w:pPr>
              <w:jc w:val="center"/>
              <w:rPr>
                <w:rFonts w:ascii="宋体" w:hAnsi="宋体" w:eastAsia="宋体" w:cs="宋体"/>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5AFC1E34">
            <w:pPr>
              <w:rPr>
                <w:rFonts w:ascii="宋体" w:hAnsi="宋体" w:eastAsia="宋体" w:cs="宋体"/>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8C7BB57">
            <w:pPr>
              <w:rPr>
                <w:rFonts w:ascii="宋体" w:hAnsi="宋体" w:eastAsia="宋体" w:cs="宋体"/>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2744677E">
            <w:pPr>
              <w:rPr>
                <w:rFonts w:ascii="宋体" w:hAnsi="宋体" w:eastAsia="宋体" w:cs="宋体"/>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4379CCDF">
            <w:pPr>
              <w:rPr>
                <w:rFonts w:ascii="宋体" w:hAnsi="宋体" w:eastAsia="宋体" w:cs="宋体"/>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FFA2F79">
            <w:pPr>
              <w:rPr>
                <w:rFonts w:ascii="宋体" w:hAnsi="宋体" w:eastAsia="宋体" w:cs="宋体"/>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1303F859">
            <w:pPr>
              <w:rPr>
                <w:rFonts w:ascii="宋体" w:hAnsi="宋体" w:eastAsia="宋体" w:cs="宋体"/>
                <w:sz w:val="24"/>
              </w:rPr>
            </w:pPr>
          </w:p>
        </w:tc>
      </w:tr>
      <w:tr w14:paraId="48D8F503">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39D4D567">
            <w:pPr>
              <w:rPr>
                <w:rFonts w:ascii="宋体" w:hAnsi="宋体" w:eastAsia="宋体" w:cs="宋体"/>
                <w:sz w:val="24"/>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3E0A337C">
            <w:pPr>
              <w:rPr>
                <w:rFonts w:ascii="宋体" w:hAnsi="宋体" w:eastAsia="宋体" w:cs="宋体"/>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6773DC1E">
            <w:pPr>
              <w:rPr>
                <w:rFonts w:ascii="宋体" w:hAnsi="宋体" w:eastAsia="宋体" w:cs="宋体"/>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F53A082">
            <w:pPr>
              <w:rPr>
                <w:rFonts w:ascii="宋体" w:hAnsi="宋体" w:eastAsia="宋体" w:cs="宋体"/>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1AE21583">
            <w:pPr>
              <w:rPr>
                <w:rFonts w:ascii="宋体" w:hAnsi="宋体" w:eastAsia="宋体" w:cs="宋体"/>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CE1B5C3">
            <w:pPr>
              <w:rPr>
                <w:rFonts w:ascii="宋体" w:hAnsi="宋体" w:eastAsia="宋体" w:cs="宋体"/>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3B2B9E62">
            <w:pPr>
              <w:rPr>
                <w:rFonts w:ascii="宋体" w:hAnsi="宋体" w:eastAsia="宋体" w:cs="宋体"/>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1982E0D3">
            <w:pPr>
              <w:rPr>
                <w:rFonts w:ascii="宋体" w:hAnsi="宋体" w:eastAsia="宋体" w:cs="宋体"/>
                <w:sz w:val="24"/>
              </w:rPr>
            </w:pPr>
          </w:p>
        </w:tc>
      </w:tr>
    </w:tbl>
    <w:p w14:paraId="07868681">
      <w:pPr>
        <w:rPr>
          <w:rFonts w:hint="eastAsia" w:ascii="仿宋" w:hAnsi="仿宋" w:eastAsia="仿宋" w:cs="仿宋"/>
          <w:sz w:val="24"/>
          <w:szCs w:val="24"/>
          <w:lang w:val="en-US" w:eastAsia="zh-CN"/>
        </w:rPr>
      </w:pPr>
    </w:p>
    <w:p w14:paraId="504D78CF">
      <w:pPr>
        <w:rPr>
          <w:rFonts w:ascii="Calibri" w:hAnsi="Calibri" w:eastAsia="宋体" w:cs="Times New Roman"/>
        </w:rPr>
      </w:pPr>
      <w:r>
        <w:rPr>
          <w:rFonts w:hint="eastAsia" w:ascii="仿宋" w:hAnsi="仿宋" w:eastAsia="仿宋" w:cs="Times New Roman"/>
          <w:sz w:val="24"/>
          <w:lang w:val="en-US" w:eastAsia="zh-CN"/>
        </w:rPr>
        <w:t>注：★人员名单需作为合同附件，名单内人员变更需经甲方书面同意。</w:t>
      </w:r>
    </w:p>
    <w:p w14:paraId="485AF02D">
      <w:pPr>
        <w:widowControl/>
        <w:spacing w:line="360" w:lineRule="exact"/>
        <w:jc w:val="left"/>
        <w:rPr>
          <w:rFonts w:hint="eastAsia" w:ascii="仿宋" w:hAnsi="仿宋" w:eastAsia="仿宋" w:cs="Times New Roman"/>
          <w:sz w:val="24"/>
        </w:rPr>
      </w:pPr>
      <w:r>
        <w:rPr>
          <w:rFonts w:hint="eastAsia" w:ascii="仿宋" w:hAnsi="仿宋" w:eastAsia="仿宋" w:cs="Times New Roman"/>
          <w:sz w:val="24"/>
        </w:rPr>
        <w:br w:type="page"/>
      </w:r>
      <w:r>
        <w:rPr>
          <w:rFonts w:hint="eastAsia" w:ascii="仿宋" w:hAnsi="仿宋" w:eastAsia="仿宋" w:cs="Times New Roman"/>
          <w:sz w:val="24"/>
        </w:rPr>
        <w:t>附件</w:t>
      </w:r>
      <w:r>
        <w:rPr>
          <w:rFonts w:hint="eastAsia" w:ascii="仿宋" w:hAnsi="仿宋" w:eastAsia="仿宋" w:cs="Times New Roman"/>
          <w:sz w:val="24"/>
          <w:lang w:val="en-US" w:eastAsia="zh-CN"/>
        </w:rPr>
        <w:t>八</w:t>
      </w:r>
      <w:r>
        <w:rPr>
          <w:rFonts w:hint="eastAsia" w:ascii="仿宋" w:hAnsi="仿宋" w:eastAsia="仿宋" w:cs="Times New Roman"/>
          <w:sz w:val="24"/>
        </w:rPr>
        <w:t>：</w:t>
      </w:r>
      <w:r>
        <w:rPr>
          <w:rFonts w:hint="eastAsia" w:ascii="仿宋" w:hAnsi="仿宋" w:eastAsia="仿宋" w:cs="Times New Roman"/>
          <w:sz w:val="24"/>
          <w:lang w:val="en-US" w:eastAsia="zh-CN"/>
        </w:rPr>
        <w:t>投标</w:t>
      </w:r>
      <w:r>
        <w:rPr>
          <w:rFonts w:hint="eastAsia" w:ascii="仿宋" w:hAnsi="仿宋" w:eastAsia="仿宋" w:cs="Times New Roman"/>
          <w:sz w:val="24"/>
        </w:rPr>
        <w:t xml:space="preserve">文件正偏离信息表 </w:t>
      </w:r>
    </w:p>
    <w:p w14:paraId="50780060">
      <w:pPr>
        <w:widowControl/>
        <w:spacing w:line="360" w:lineRule="exact"/>
        <w:jc w:val="left"/>
        <w:rPr>
          <w:rFonts w:hint="eastAsia" w:ascii="仿宋" w:hAnsi="仿宋" w:eastAsia="仿宋" w:cs="Times New Roman"/>
          <w:sz w:val="24"/>
        </w:rPr>
      </w:pPr>
      <w:r>
        <w:rPr>
          <w:rFonts w:hint="eastAsia" w:ascii="仿宋" w:hAnsi="仿宋" w:eastAsia="仿宋" w:cs="Times New Roman"/>
          <w:sz w:val="24"/>
        </w:rPr>
        <w:br w:type="page"/>
      </w:r>
      <w:r>
        <w:rPr>
          <w:rFonts w:hint="eastAsia" w:ascii="仿宋" w:hAnsi="仿宋" w:eastAsia="仿宋" w:cs="Times New Roman"/>
          <w:sz w:val="24"/>
        </w:rPr>
        <w:t>附件</w:t>
      </w:r>
      <w:r>
        <w:rPr>
          <w:rFonts w:hint="eastAsia" w:ascii="仿宋" w:hAnsi="仿宋" w:eastAsia="仿宋" w:cs="Times New Roman"/>
          <w:sz w:val="24"/>
          <w:lang w:val="en-US" w:eastAsia="zh-CN"/>
        </w:rPr>
        <w:t>九</w:t>
      </w:r>
      <w:r>
        <w:rPr>
          <w:rFonts w:hint="eastAsia" w:ascii="仿宋" w:hAnsi="仿宋" w:eastAsia="仿宋" w:cs="Times New Roman"/>
          <w:sz w:val="24"/>
        </w:rPr>
        <w:t>： 外部组件软件成分信息清单</w:t>
      </w:r>
    </w:p>
    <w:p w14:paraId="38E32B6B">
      <w:pPr>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center"/>
        <w:textAlignment w:val="auto"/>
        <w:outlineLvl w:val="1"/>
        <w:rPr>
          <w:rFonts w:hint="eastAsia" w:ascii="宋体" w:hAnsi="宋体" w:eastAsia="宋体" w:cs="Times New Roman"/>
          <w:b/>
          <w:bCs/>
          <w:kern w:val="2"/>
          <w:sz w:val="24"/>
          <w:szCs w:val="24"/>
          <w:lang w:val="en-US" w:eastAsia="zh-CN" w:bidi="ar-SA"/>
        </w:rPr>
      </w:pPr>
      <w:bookmarkStart w:id="646" w:name="_Toc9400"/>
      <w:bookmarkStart w:id="647" w:name="_Toc9826"/>
      <w:r>
        <w:rPr>
          <w:rFonts w:hint="eastAsia" w:ascii="宋体" w:hAnsi="宋体" w:eastAsia="宋体" w:cs="Times New Roman"/>
          <w:b/>
          <w:bCs/>
          <w:kern w:val="2"/>
          <w:sz w:val="24"/>
          <w:szCs w:val="24"/>
          <w:lang w:val="en-US" w:eastAsia="zh-CN" w:bidi="ar-SA"/>
        </w:rPr>
        <w:t>外部组件软件成分信息清单模版</w:t>
      </w:r>
      <w:bookmarkEnd w:id="646"/>
      <w:bookmarkEnd w:id="647"/>
    </w:p>
    <w:p w14:paraId="2842169E">
      <w:pPr>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填写说明：</w:t>
      </w:r>
    </w:p>
    <w:p w14:paraId="3C883810">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1、应用</w:t>
      </w:r>
      <w:r>
        <w:rPr>
          <w:rFonts w:hint="eastAsia" w:ascii="微软雅黑" w:hAnsi="微软雅黑" w:eastAsia="微软雅黑" w:cs="Times New Roman"/>
          <w:i/>
          <w:color w:val="5B9BD5"/>
          <w:sz w:val="20"/>
          <w:szCs w:val="22"/>
        </w:rPr>
        <w:t>开发</w:t>
      </w:r>
      <w:r>
        <w:rPr>
          <w:rFonts w:ascii="微软雅黑" w:hAnsi="微软雅黑" w:eastAsia="微软雅黑" w:cs="Times New Roman"/>
          <w:i/>
          <w:color w:val="5B9BD5"/>
          <w:sz w:val="20"/>
          <w:szCs w:val="22"/>
        </w:rPr>
        <w:t>软件：</w:t>
      </w:r>
      <w:r>
        <w:rPr>
          <w:rFonts w:hint="eastAsia" w:ascii="微软雅黑" w:hAnsi="微软雅黑" w:eastAsia="微软雅黑" w:cs="Times New Roman"/>
          <w:i/>
          <w:color w:val="5B9BD5"/>
          <w:sz w:val="20"/>
          <w:szCs w:val="22"/>
        </w:rPr>
        <w:t>交付上线、</w:t>
      </w:r>
      <w:r>
        <w:rPr>
          <w:rFonts w:ascii="微软雅黑" w:hAnsi="微软雅黑" w:eastAsia="微软雅黑" w:cs="Times New Roman"/>
          <w:i/>
          <w:color w:val="5B9BD5"/>
          <w:sz w:val="20"/>
          <w:szCs w:val="22"/>
        </w:rPr>
        <w:t>初验、终验阶段必须按照格式提供</w:t>
      </w:r>
      <w:r>
        <w:rPr>
          <w:rFonts w:hint="eastAsia" w:ascii="微软雅黑" w:hAnsi="微软雅黑" w:eastAsia="微软雅黑" w:cs="Times New Roman"/>
          <w:i/>
          <w:color w:val="5B9BD5"/>
          <w:sz w:val="20"/>
          <w:szCs w:val="22"/>
        </w:rPr>
        <w:t>最新</w:t>
      </w:r>
      <w:r>
        <w:rPr>
          <w:rFonts w:ascii="微软雅黑" w:hAnsi="微软雅黑" w:eastAsia="微软雅黑" w:cs="Times New Roman"/>
          <w:i/>
          <w:color w:val="5B9BD5"/>
          <w:sz w:val="20"/>
          <w:szCs w:val="22"/>
        </w:rPr>
        <w:t>完整的软件成分信息</w:t>
      </w:r>
      <w:r>
        <w:rPr>
          <w:rFonts w:hint="eastAsia" w:ascii="微软雅黑" w:hAnsi="微软雅黑" w:eastAsia="微软雅黑" w:cs="Times New Roman"/>
          <w:i/>
          <w:color w:val="5B9BD5"/>
          <w:sz w:val="20"/>
          <w:szCs w:val="22"/>
        </w:rPr>
        <w:t>。</w:t>
      </w:r>
    </w:p>
    <w:p w14:paraId="4DA18AAC">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2、</w:t>
      </w:r>
      <w:r>
        <w:rPr>
          <w:rFonts w:hint="eastAsia" w:ascii="微软雅黑" w:hAnsi="微软雅黑" w:eastAsia="微软雅黑" w:cs="Times New Roman"/>
          <w:i/>
          <w:color w:val="5B9BD5"/>
          <w:sz w:val="20"/>
          <w:szCs w:val="22"/>
        </w:rPr>
        <w:t>成熟商业软件</w:t>
      </w:r>
      <w:r>
        <w:rPr>
          <w:rFonts w:ascii="微软雅黑" w:hAnsi="微软雅黑" w:eastAsia="微软雅黑" w:cs="Times New Roman"/>
          <w:i/>
          <w:color w:val="5B9BD5"/>
          <w:sz w:val="20"/>
          <w:szCs w:val="22"/>
        </w:rPr>
        <w:t>：</w:t>
      </w:r>
      <w:r>
        <w:rPr>
          <w:rFonts w:hint="eastAsia" w:ascii="微软雅黑" w:hAnsi="微软雅黑" w:eastAsia="微软雅黑" w:cs="Times New Roman"/>
          <w:i/>
          <w:color w:val="5B9BD5"/>
          <w:sz w:val="20"/>
          <w:szCs w:val="22"/>
        </w:rPr>
        <w:t>投标文件/参选文件/应答文件</w:t>
      </w:r>
      <w:r>
        <w:rPr>
          <w:rFonts w:ascii="微软雅黑" w:hAnsi="微软雅黑" w:eastAsia="微软雅黑" w:cs="Times New Roman"/>
          <w:i/>
          <w:color w:val="5B9BD5"/>
          <w:sz w:val="20"/>
          <w:szCs w:val="22"/>
        </w:rPr>
        <w:t>、</w:t>
      </w:r>
      <w:r>
        <w:rPr>
          <w:rFonts w:hint="eastAsia" w:ascii="微软雅黑" w:hAnsi="微软雅黑" w:eastAsia="微软雅黑" w:cs="Times New Roman"/>
          <w:i/>
          <w:color w:val="5B9BD5"/>
          <w:sz w:val="20"/>
          <w:szCs w:val="22"/>
        </w:rPr>
        <w:t>合同附件</w:t>
      </w:r>
      <w:r>
        <w:rPr>
          <w:rFonts w:ascii="微软雅黑" w:hAnsi="微软雅黑" w:eastAsia="微软雅黑" w:cs="Times New Roman"/>
          <w:i/>
          <w:color w:val="5B9BD5"/>
          <w:sz w:val="20"/>
          <w:szCs w:val="22"/>
        </w:rPr>
        <w:t>中均必须按照格式提供完整的软件成分信息</w:t>
      </w:r>
    </w:p>
    <w:p w14:paraId="66A3CE8E">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3、如不提供，供应商须提供承诺软件代码均为100%</w:t>
      </w:r>
      <w:r>
        <w:rPr>
          <w:rFonts w:hint="eastAsia" w:ascii="微软雅黑" w:hAnsi="微软雅黑" w:eastAsia="微软雅黑" w:cs="Times New Roman"/>
          <w:i/>
          <w:color w:val="5B9BD5"/>
          <w:sz w:val="20"/>
          <w:szCs w:val="22"/>
        </w:rPr>
        <w:t>自主编写代码。</w:t>
      </w:r>
    </w:p>
    <w:p w14:paraId="088CBB5B">
      <w:pPr>
        <w:spacing w:line="0" w:lineRule="atLeast"/>
        <w:jc w:val="left"/>
        <w:rPr>
          <w:rFonts w:ascii="微软雅黑" w:hAnsi="微软雅黑" w:eastAsia="微软雅黑" w:cs="Times New Roman"/>
          <w:sz w:val="20"/>
          <w:szCs w:val="22"/>
        </w:rPr>
      </w:pPr>
    </w:p>
    <w:p w14:paraId="7BAA211D">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648" w:name="_Toc4492"/>
      <w:bookmarkStart w:id="649" w:name="_Toc813"/>
      <w:bookmarkStart w:id="650" w:name="_Toc11069"/>
      <w:bookmarkStart w:id="651" w:name="_Toc31535"/>
      <w:bookmarkStart w:id="652" w:name="_Toc17677"/>
      <w:bookmarkStart w:id="653" w:name="_Toc14966"/>
      <w:r>
        <w:rPr>
          <w:rFonts w:hint="eastAsia" w:ascii="等线" w:hAnsi="等线" w:eastAsia="等线" w:cs="Times New Roman"/>
          <w:b/>
          <w:kern w:val="2"/>
          <w:sz w:val="24"/>
          <w:szCs w:val="24"/>
          <w:lang w:val="en-US" w:eastAsia="zh-CN" w:bidi="ar-SA"/>
        </w:rPr>
        <w:t>一、软件基本信息</w:t>
      </w:r>
      <w:bookmarkEnd w:id="648"/>
      <w:bookmarkEnd w:id="649"/>
      <w:bookmarkEnd w:id="650"/>
      <w:bookmarkEnd w:id="651"/>
      <w:bookmarkEnd w:id="652"/>
      <w:bookmarkEnd w:id="653"/>
    </w:p>
    <w:tbl>
      <w:tblPr>
        <w:tblStyle w:val="85"/>
        <w:tblW w:w="5000" w:type="pct"/>
        <w:tblInd w:w="0" w:type="dxa"/>
        <w:tblLayout w:type="autofit"/>
        <w:tblCellMar>
          <w:top w:w="0" w:type="dxa"/>
          <w:left w:w="108" w:type="dxa"/>
          <w:bottom w:w="0" w:type="dxa"/>
          <w:right w:w="108" w:type="dxa"/>
        </w:tblCellMar>
      </w:tblPr>
      <w:tblGrid>
        <w:gridCol w:w="1611"/>
        <w:gridCol w:w="2108"/>
        <w:gridCol w:w="2759"/>
        <w:gridCol w:w="2242"/>
      </w:tblGrid>
      <w:tr w14:paraId="6639663E">
        <w:tblPrEx>
          <w:tblCellMar>
            <w:top w:w="0" w:type="dxa"/>
            <w:left w:w="108" w:type="dxa"/>
            <w:bottom w:w="0" w:type="dxa"/>
            <w:right w:w="108" w:type="dxa"/>
          </w:tblCellMar>
        </w:tblPrEx>
        <w:trPr>
          <w:trHeight w:val="330" w:hRule="atLeast"/>
        </w:trPr>
        <w:tc>
          <w:tcPr>
            <w:tcW w:w="924"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1332374D">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类型</w:t>
            </w:r>
          </w:p>
        </w:tc>
        <w:tc>
          <w:tcPr>
            <w:tcW w:w="1209" w:type="pct"/>
            <w:tcBorders>
              <w:top w:val="single" w:color="auto" w:sz="4" w:space="0"/>
              <w:left w:val="nil"/>
              <w:bottom w:val="single" w:color="auto" w:sz="4" w:space="0"/>
              <w:right w:val="single" w:color="auto" w:sz="4" w:space="0"/>
            </w:tcBorders>
            <w:shd w:val="clear" w:color="000000" w:fill="auto"/>
            <w:noWrap w:val="0"/>
            <w:vAlign w:val="center"/>
          </w:tcPr>
          <w:p w14:paraId="4D8DC9B8">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组成项</w:t>
            </w:r>
          </w:p>
        </w:tc>
        <w:tc>
          <w:tcPr>
            <w:tcW w:w="1582" w:type="pct"/>
            <w:tcBorders>
              <w:top w:val="single" w:color="auto" w:sz="4" w:space="0"/>
              <w:left w:val="nil"/>
              <w:bottom w:val="single" w:color="auto" w:sz="4" w:space="0"/>
              <w:right w:val="single" w:color="auto" w:sz="4" w:space="0"/>
            </w:tcBorders>
            <w:shd w:val="clear" w:color="000000" w:fill="auto"/>
            <w:noWrap w:val="0"/>
            <w:vAlign w:val="center"/>
          </w:tcPr>
          <w:p w14:paraId="6DACA446">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描述</w:t>
            </w:r>
          </w:p>
        </w:tc>
        <w:tc>
          <w:tcPr>
            <w:tcW w:w="1285" w:type="pct"/>
            <w:tcBorders>
              <w:top w:val="single" w:color="auto" w:sz="4" w:space="0"/>
              <w:left w:val="nil"/>
              <w:bottom w:val="single" w:color="auto" w:sz="4" w:space="0"/>
              <w:right w:val="single" w:color="auto" w:sz="4" w:space="0"/>
            </w:tcBorders>
            <w:shd w:val="clear" w:color="000000" w:fill="auto"/>
            <w:noWrap w:val="0"/>
            <w:vAlign w:val="center"/>
          </w:tcPr>
          <w:p w14:paraId="751FB9DD">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内容（填写此列）</w:t>
            </w:r>
          </w:p>
        </w:tc>
      </w:tr>
      <w:tr w14:paraId="3F59CD0F">
        <w:tblPrEx>
          <w:tblCellMar>
            <w:top w:w="0" w:type="dxa"/>
            <w:left w:w="108" w:type="dxa"/>
            <w:bottom w:w="0" w:type="dxa"/>
            <w:right w:w="108" w:type="dxa"/>
          </w:tblCellMar>
        </w:tblPrEx>
        <w:trPr>
          <w:trHeight w:val="330" w:hRule="atLeast"/>
        </w:trPr>
        <w:tc>
          <w:tcPr>
            <w:tcW w:w="924" w:type="pct"/>
            <w:vMerge w:val="restart"/>
            <w:tcBorders>
              <w:top w:val="nil"/>
              <w:left w:val="single" w:color="auto" w:sz="4" w:space="0"/>
              <w:bottom w:val="single" w:color="auto" w:sz="4" w:space="0"/>
              <w:right w:val="single" w:color="auto" w:sz="4" w:space="0"/>
            </w:tcBorders>
            <w:noWrap w:val="0"/>
            <w:vAlign w:val="center"/>
          </w:tcPr>
          <w:p w14:paraId="45635758">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软件基本信息</w:t>
            </w:r>
          </w:p>
        </w:tc>
        <w:tc>
          <w:tcPr>
            <w:tcW w:w="1209" w:type="pct"/>
            <w:tcBorders>
              <w:top w:val="nil"/>
              <w:left w:val="nil"/>
              <w:bottom w:val="single" w:color="auto" w:sz="4" w:space="0"/>
              <w:right w:val="single" w:color="auto" w:sz="4" w:space="0"/>
            </w:tcBorders>
            <w:noWrap w:val="0"/>
            <w:vAlign w:val="center"/>
          </w:tcPr>
          <w:p w14:paraId="3A76EA85">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软件名称</w:t>
            </w:r>
          </w:p>
        </w:tc>
        <w:tc>
          <w:tcPr>
            <w:tcW w:w="1582" w:type="pct"/>
            <w:tcBorders>
              <w:top w:val="nil"/>
              <w:left w:val="nil"/>
              <w:bottom w:val="single" w:color="auto" w:sz="4" w:space="0"/>
              <w:right w:val="single" w:color="auto" w:sz="4" w:space="0"/>
            </w:tcBorders>
            <w:noWrap w:val="0"/>
            <w:vAlign w:val="center"/>
          </w:tcPr>
          <w:p w14:paraId="26B26FAB">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标识软件的实体名称</w:t>
            </w:r>
          </w:p>
        </w:tc>
        <w:tc>
          <w:tcPr>
            <w:tcW w:w="1285" w:type="pct"/>
            <w:tcBorders>
              <w:top w:val="nil"/>
              <w:left w:val="nil"/>
              <w:bottom w:val="single" w:color="auto" w:sz="4" w:space="0"/>
              <w:right w:val="single" w:color="auto" w:sz="4" w:space="0"/>
            </w:tcBorders>
            <w:noWrap/>
            <w:vAlign w:val="bottom"/>
          </w:tcPr>
          <w:p w14:paraId="18565232">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53D31FF8">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noWrap w:val="0"/>
            <w:vAlign w:val="center"/>
          </w:tcPr>
          <w:p w14:paraId="15DA3C01">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noWrap w:val="0"/>
            <w:vAlign w:val="center"/>
          </w:tcPr>
          <w:p w14:paraId="2B7F351E">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软件责任主体名称</w:t>
            </w:r>
          </w:p>
        </w:tc>
        <w:tc>
          <w:tcPr>
            <w:tcW w:w="1582" w:type="pct"/>
            <w:tcBorders>
              <w:top w:val="nil"/>
              <w:left w:val="nil"/>
              <w:bottom w:val="single" w:color="auto" w:sz="4" w:space="0"/>
              <w:right w:val="single" w:color="auto" w:sz="4" w:space="0"/>
            </w:tcBorders>
            <w:noWrap w:val="0"/>
            <w:vAlign w:val="center"/>
          </w:tcPr>
          <w:p w14:paraId="30C4C0E4">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软件责任人或团体名称</w:t>
            </w:r>
          </w:p>
        </w:tc>
        <w:tc>
          <w:tcPr>
            <w:tcW w:w="1285" w:type="pct"/>
            <w:tcBorders>
              <w:top w:val="nil"/>
              <w:left w:val="nil"/>
              <w:bottom w:val="single" w:color="auto" w:sz="4" w:space="0"/>
              <w:right w:val="single" w:color="auto" w:sz="4" w:space="0"/>
            </w:tcBorders>
            <w:noWrap/>
            <w:vAlign w:val="bottom"/>
          </w:tcPr>
          <w:p w14:paraId="6B9427EE">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42B648DF">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noWrap w:val="0"/>
            <w:vAlign w:val="center"/>
          </w:tcPr>
          <w:p w14:paraId="428209EC">
            <w:pPr>
              <w:spacing w:line="360" w:lineRule="auto"/>
              <w:jc w:val="center"/>
              <w:rPr>
                <w:rFonts w:ascii="微软雅黑" w:hAnsi="微软雅黑" w:eastAsia="微软雅黑" w:cs="Times New Roman"/>
                <w:sz w:val="20"/>
                <w:szCs w:val="22"/>
                <w:highlight w:val="yellow"/>
              </w:rPr>
            </w:pPr>
          </w:p>
        </w:tc>
        <w:tc>
          <w:tcPr>
            <w:tcW w:w="1209" w:type="pct"/>
            <w:tcBorders>
              <w:top w:val="nil"/>
              <w:left w:val="nil"/>
              <w:bottom w:val="single" w:color="auto" w:sz="4" w:space="0"/>
              <w:right w:val="single" w:color="auto" w:sz="4" w:space="0"/>
            </w:tcBorders>
            <w:noWrap w:val="0"/>
            <w:vAlign w:val="center"/>
          </w:tcPr>
          <w:p w14:paraId="38AE3C79">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软件供应商</w:t>
            </w:r>
          </w:p>
        </w:tc>
        <w:tc>
          <w:tcPr>
            <w:tcW w:w="1582" w:type="pct"/>
            <w:tcBorders>
              <w:top w:val="nil"/>
              <w:left w:val="nil"/>
              <w:bottom w:val="single" w:color="auto" w:sz="4" w:space="0"/>
              <w:right w:val="single" w:color="auto" w:sz="4" w:space="0"/>
            </w:tcBorders>
            <w:noWrap w:val="0"/>
            <w:vAlign w:val="center"/>
          </w:tcPr>
          <w:p w14:paraId="6B712DEB">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原始供应商</w:t>
            </w:r>
          </w:p>
        </w:tc>
        <w:tc>
          <w:tcPr>
            <w:tcW w:w="1285" w:type="pct"/>
            <w:tcBorders>
              <w:top w:val="nil"/>
              <w:left w:val="nil"/>
              <w:bottom w:val="single" w:color="auto" w:sz="4" w:space="0"/>
              <w:right w:val="single" w:color="auto" w:sz="4" w:space="0"/>
            </w:tcBorders>
            <w:noWrap/>
            <w:vAlign w:val="bottom"/>
          </w:tcPr>
          <w:p w14:paraId="73F8A8F4">
            <w:pPr>
              <w:spacing w:line="360" w:lineRule="auto"/>
              <w:jc w:val="center"/>
              <w:rPr>
                <w:rFonts w:ascii="微软雅黑" w:hAnsi="微软雅黑" w:eastAsia="微软雅黑" w:cs="Times New Roman"/>
                <w:sz w:val="20"/>
                <w:szCs w:val="22"/>
                <w:highlight w:val="yellow"/>
              </w:rPr>
            </w:pPr>
          </w:p>
        </w:tc>
      </w:tr>
      <w:tr w14:paraId="71AF70D0">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noWrap w:val="0"/>
            <w:vAlign w:val="center"/>
          </w:tcPr>
          <w:p w14:paraId="1CF31A9D">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noWrap w:val="0"/>
            <w:vAlign w:val="center"/>
          </w:tcPr>
          <w:p w14:paraId="3CCA1F0E">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软件版本</w:t>
            </w:r>
          </w:p>
        </w:tc>
        <w:tc>
          <w:tcPr>
            <w:tcW w:w="1582" w:type="pct"/>
            <w:tcBorders>
              <w:top w:val="nil"/>
              <w:left w:val="nil"/>
              <w:bottom w:val="single" w:color="auto" w:sz="4" w:space="0"/>
              <w:right w:val="single" w:color="auto" w:sz="4" w:space="0"/>
            </w:tcBorders>
            <w:noWrap w:val="0"/>
            <w:vAlign w:val="center"/>
          </w:tcPr>
          <w:p w14:paraId="6FC1C6B4">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供应商用于标识软件修改的版本标识符</w:t>
            </w:r>
          </w:p>
        </w:tc>
        <w:tc>
          <w:tcPr>
            <w:tcW w:w="1285" w:type="pct"/>
            <w:tcBorders>
              <w:top w:val="nil"/>
              <w:left w:val="nil"/>
              <w:bottom w:val="single" w:color="auto" w:sz="4" w:space="0"/>
              <w:right w:val="single" w:color="auto" w:sz="4" w:space="0"/>
            </w:tcBorders>
            <w:noWrap/>
            <w:vAlign w:val="bottom"/>
          </w:tcPr>
          <w:p w14:paraId="51E3E74D">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439E917C">
        <w:tblPrEx>
          <w:tblCellMar>
            <w:top w:w="0" w:type="dxa"/>
            <w:left w:w="108" w:type="dxa"/>
            <w:bottom w:w="0" w:type="dxa"/>
            <w:right w:w="108" w:type="dxa"/>
          </w:tblCellMar>
        </w:tblPrEx>
        <w:trPr>
          <w:trHeight w:val="660" w:hRule="atLeast"/>
        </w:trPr>
        <w:tc>
          <w:tcPr>
            <w:tcW w:w="924" w:type="pct"/>
            <w:vMerge w:val="continue"/>
            <w:tcBorders>
              <w:top w:val="nil"/>
              <w:left w:val="single" w:color="auto" w:sz="4" w:space="0"/>
              <w:bottom w:val="single" w:color="auto" w:sz="4" w:space="0"/>
              <w:right w:val="single" w:color="auto" w:sz="4" w:space="0"/>
            </w:tcBorders>
            <w:noWrap w:val="0"/>
            <w:vAlign w:val="center"/>
          </w:tcPr>
          <w:p w14:paraId="38300627">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noWrap w:val="0"/>
            <w:vAlign w:val="center"/>
          </w:tcPr>
          <w:p w14:paraId="3265FDC5">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软件成分明细</w:t>
            </w:r>
          </w:p>
        </w:tc>
        <w:tc>
          <w:tcPr>
            <w:tcW w:w="1582" w:type="pct"/>
            <w:tcBorders>
              <w:top w:val="nil"/>
              <w:left w:val="nil"/>
              <w:bottom w:val="single" w:color="auto" w:sz="4" w:space="0"/>
              <w:right w:val="single" w:color="auto" w:sz="4" w:space="0"/>
            </w:tcBorders>
            <w:noWrap w:val="0"/>
            <w:vAlign w:val="center"/>
          </w:tcPr>
          <w:p w14:paraId="132DD600">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包含开发工具、第三方软件、开源软件，详细在《软件成分明细》中列出</w:t>
            </w:r>
          </w:p>
        </w:tc>
        <w:tc>
          <w:tcPr>
            <w:tcW w:w="1285" w:type="pct"/>
            <w:tcBorders>
              <w:top w:val="nil"/>
              <w:left w:val="nil"/>
              <w:bottom w:val="single" w:color="auto" w:sz="4" w:space="0"/>
              <w:right w:val="single" w:color="auto" w:sz="4" w:space="0"/>
            </w:tcBorders>
            <w:noWrap/>
            <w:vAlign w:val="bottom"/>
          </w:tcPr>
          <w:p w14:paraId="02E39F12">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2E3BEF83">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noWrap w:val="0"/>
            <w:vAlign w:val="center"/>
          </w:tcPr>
          <w:p w14:paraId="4B410447">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noWrap w:val="0"/>
            <w:vAlign w:val="center"/>
          </w:tcPr>
          <w:p w14:paraId="4074DD8F">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时间戳</w:t>
            </w:r>
          </w:p>
        </w:tc>
        <w:tc>
          <w:tcPr>
            <w:tcW w:w="1582" w:type="pct"/>
            <w:tcBorders>
              <w:top w:val="nil"/>
              <w:left w:val="nil"/>
              <w:bottom w:val="single" w:color="auto" w:sz="4" w:space="0"/>
              <w:right w:val="single" w:color="auto" w:sz="4" w:space="0"/>
            </w:tcBorders>
            <w:noWrap w:val="0"/>
            <w:vAlign w:val="center"/>
          </w:tcPr>
          <w:p w14:paraId="4B033A7F">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记录软件基本信息生成的日期和时间</w:t>
            </w:r>
          </w:p>
        </w:tc>
        <w:tc>
          <w:tcPr>
            <w:tcW w:w="1285" w:type="pct"/>
            <w:tcBorders>
              <w:top w:val="nil"/>
              <w:left w:val="nil"/>
              <w:bottom w:val="single" w:color="auto" w:sz="4" w:space="0"/>
              <w:right w:val="single" w:color="auto" w:sz="4" w:space="0"/>
            </w:tcBorders>
            <w:noWrap/>
            <w:vAlign w:val="bottom"/>
          </w:tcPr>
          <w:p w14:paraId="012804A6">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57FB0A2C">
        <w:tblPrEx>
          <w:tblCellMar>
            <w:top w:w="0" w:type="dxa"/>
            <w:left w:w="108" w:type="dxa"/>
            <w:bottom w:w="0" w:type="dxa"/>
            <w:right w:w="108" w:type="dxa"/>
          </w:tblCellMar>
        </w:tblPrEx>
        <w:trPr>
          <w:trHeight w:val="753" w:hRule="atLeast"/>
        </w:trPr>
        <w:tc>
          <w:tcPr>
            <w:tcW w:w="924" w:type="pct"/>
            <w:vMerge w:val="continue"/>
            <w:tcBorders>
              <w:top w:val="nil"/>
              <w:left w:val="single" w:color="auto" w:sz="4" w:space="0"/>
              <w:bottom w:val="single" w:color="auto" w:sz="4" w:space="0"/>
              <w:right w:val="single" w:color="auto" w:sz="4" w:space="0"/>
            </w:tcBorders>
            <w:noWrap w:val="0"/>
            <w:vAlign w:val="center"/>
          </w:tcPr>
          <w:p w14:paraId="2795E8B0">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noWrap w:val="0"/>
            <w:vAlign w:val="center"/>
          </w:tcPr>
          <w:p w14:paraId="1E980274">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软件信息签名（如校验哈希值）</w:t>
            </w:r>
          </w:p>
        </w:tc>
        <w:tc>
          <w:tcPr>
            <w:tcW w:w="1582" w:type="pct"/>
            <w:tcBorders>
              <w:top w:val="nil"/>
              <w:left w:val="nil"/>
              <w:bottom w:val="single" w:color="auto" w:sz="4" w:space="0"/>
              <w:right w:val="single" w:color="auto" w:sz="4" w:space="0"/>
            </w:tcBorders>
            <w:noWrap w:val="0"/>
            <w:vAlign w:val="center"/>
          </w:tcPr>
          <w:p w14:paraId="5FBFA00E">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保证软件信息真实性、完整性</w:t>
            </w:r>
          </w:p>
        </w:tc>
        <w:tc>
          <w:tcPr>
            <w:tcW w:w="1285" w:type="pct"/>
            <w:tcBorders>
              <w:top w:val="nil"/>
              <w:left w:val="nil"/>
              <w:bottom w:val="single" w:color="auto" w:sz="4" w:space="0"/>
              <w:right w:val="single" w:color="auto" w:sz="4" w:space="0"/>
            </w:tcBorders>
            <w:noWrap/>
            <w:vAlign w:val="bottom"/>
          </w:tcPr>
          <w:p w14:paraId="3111583D">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2F12F1E6">
        <w:tblPrEx>
          <w:tblCellMar>
            <w:top w:w="0" w:type="dxa"/>
            <w:left w:w="108" w:type="dxa"/>
            <w:bottom w:w="0" w:type="dxa"/>
            <w:right w:w="108" w:type="dxa"/>
          </w:tblCellMar>
        </w:tblPrEx>
        <w:trPr>
          <w:trHeight w:val="660" w:hRule="atLeast"/>
        </w:trPr>
        <w:tc>
          <w:tcPr>
            <w:tcW w:w="924" w:type="pct"/>
            <w:tcBorders>
              <w:top w:val="nil"/>
              <w:left w:val="single" w:color="auto" w:sz="4" w:space="0"/>
              <w:bottom w:val="single" w:color="auto" w:sz="4" w:space="0"/>
              <w:right w:val="single" w:color="auto" w:sz="4" w:space="0"/>
            </w:tcBorders>
            <w:noWrap w:val="0"/>
            <w:vAlign w:val="center"/>
          </w:tcPr>
          <w:p w14:paraId="40BE135B">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软件扩展信息</w:t>
            </w:r>
          </w:p>
        </w:tc>
        <w:tc>
          <w:tcPr>
            <w:tcW w:w="1209" w:type="pct"/>
            <w:tcBorders>
              <w:top w:val="nil"/>
              <w:left w:val="nil"/>
              <w:bottom w:val="single" w:color="auto" w:sz="4" w:space="0"/>
              <w:right w:val="single" w:color="auto" w:sz="4" w:space="0"/>
            </w:tcBorders>
            <w:noWrap w:val="0"/>
            <w:vAlign w:val="center"/>
          </w:tcPr>
          <w:p w14:paraId="1A872F2A">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软件知识产权信息</w:t>
            </w:r>
          </w:p>
        </w:tc>
        <w:tc>
          <w:tcPr>
            <w:tcW w:w="1582" w:type="pct"/>
            <w:tcBorders>
              <w:top w:val="nil"/>
              <w:left w:val="nil"/>
              <w:bottom w:val="single" w:color="auto" w:sz="4" w:space="0"/>
              <w:right w:val="single" w:color="auto" w:sz="4" w:space="0"/>
            </w:tcBorders>
            <w:noWrap w:val="0"/>
            <w:vAlign w:val="center"/>
          </w:tcPr>
          <w:p w14:paraId="2F2D01AC">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包含开源许可证版权与开放标准、第三方授权信息等</w:t>
            </w:r>
          </w:p>
        </w:tc>
        <w:tc>
          <w:tcPr>
            <w:tcW w:w="1285" w:type="pct"/>
            <w:tcBorders>
              <w:top w:val="nil"/>
              <w:left w:val="nil"/>
              <w:bottom w:val="single" w:color="auto" w:sz="4" w:space="0"/>
              <w:right w:val="single" w:color="auto" w:sz="4" w:space="0"/>
            </w:tcBorders>
            <w:noWrap/>
            <w:vAlign w:val="bottom"/>
          </w:tcPr>
          <w:p w14:paraId="5EB32172">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bl>
    <w:p w14:paraId="014EDD73">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654" w:name="_Toc23068"/>
      <w:bookmarkStart w:id="655" w:name="_Toc31617"/>
      <w:bookmarkStart w:id="656" w:name="_Toc25766"/>
      <w:bookmarkStart w:id="657" w:name="_Toc23511"/>
      <w:bookmarkStart w:id="658" w:name="_Toc7529"/>
      <w:bookmarkStart w:id="659" w:name="_Toc6165"/>
      <w:r>
        <w:rPr>
          <w:rFonts w:hint="eastAsia" w:ascii="等线" w:hAnsi="等线" w:eastAsia="等线" w:cs="Times New Roman"/>
          <w:b/>
          <w:kern w:val="2"/>
          <w:sz w:val="24"/>
          <w:szCs w:val="24"/>
          <w:lang w:val="en-US" w:eastAsia="zh-CN" w:bidi="ar-SA"/>
        </w:rPr>
        <w:t>二、软件成分明细</w:t>
      </w:r>
      <w:bookmarkEnd w:id="654"/>
      <w:bookmarkEnd w:id="655"/>
      <w:bookmarkEnd w:id="656"/>
      <w:bookmarkEnd w:id="657"/>
      <w:bookmarkEnd w:id="658"/>
      <w:bookmarkEnd w:id="659"/>
    </w:p>
    <w:p w14:paraId="7E6C502E">
      <w:pPr>
        <w:spacing w:line="360" w:lineRule="auto"/>
        <w:jc w:val="left"/>
        <w:rPr>
          <w:rFonts w:ascii="微软雅黑" w:hAnsi="微软雅黑" w:eastAsia="微软雅黑" w:cs="Times New Roman"/>
          <w:i/>
          <w:iCs/>
          <w:color w:val="5B9BD5"/>
          <w:sz w:val="20"/>
          <w:szCs w:val="22"/>
        </w:rPr>
      </w:pPr>
      <w:r>
        <w:rPr>
          <w:rFonts w:hint="eastAsia" w:ascii="微软雅黑" w:hAnsi="微软雅黑" w:eastAsia="微软雅黑" w:cs="Times New Roman"/>
          <w:i/>
          <w:iCs/>
          <w:color w:val="5B9BD5"/>
          <w:sz w:val="20"/>
          <w:szCs w:val="22"/>
        </w:rPr>
        <w:t>填写说明：</w:t>
      </w:r>
    </w:p>
    <w:p w14:paraId="091262A7">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仅针对应用</w:t>
      </w:r>
      <w:r>
        <w:rPr>
          <w:rFonts w:hint="eastAsia" w:ascii="微软雅黑" w:hAnsi="微软雅黑" w:eastAsia="微软雅黑" w:cs="Times New Roman"/>
          <w:i/>
          <w:color w:val="5B9BD5"/>
          <w:sz w:val="20"/>
          <w:szCs w:val="22"/>
        </w:rPr>
        <w:t>开发软件在合同附件中单独提供，列出软件开发设计阶段，计划用到的各类软件成分，否则同《软件基本信息》表同步提供，</w:t>
      </w:r>
      <w:r>
        <w:rPr>
          <w:rFonts w:ascii="微软雅黑" w:hAnsi="微软雅黑" w:eastAsia="微软雅黑" w:cs="Times New Roman"/>
          <w:i/>
          <w:color w:val="5B9BD5"/>
          <w:sz w:val="20"/>
          <w:szCs w:val="22"/>
        </w:rPr>
        <w:t>软件成分</w:t>
      </w:r>
      <w:r>
        <w:rPr>
          <w:rFonts w:hint="eastAsia" w:ascii="微软雅黑" w:hAnsi="微软雅黑" w:eastAsia="微软雅黑" w:cs="Times New Roman"/>
          <w:i/>
          <w:color w:val="5B9BD5"/>
          <w:sz w:val="20"/>
          <w:szCs w:val="22"/>
        </w:rPr>
        <w:t>信息</w:t>
      </w:r>
      <w:r>
        <w:rPr>
          <w:rFonts w:ascii="微软雅黑" w:hAnsi="微软雅黑" w:eastAsia="微软雅黑" w:cs="Times New Roman"/>
          <w:i/>
          <w:color w:val="5B9BD5"/>
          <w:sz w:val="20"/>
          <w:szCs w:val="22"/>
        </w:rPr>
        <w:t>内容需要经过甲方建设单位审核同意</w:t>
      </w:r>
      <w:r>
        <w:rPr>
          <w:rFonts w:hint="eastAsia" w:ascii="微软雅黑" w:hAnsi="微软雅黑" w:eastAsia="微软雅黑" w:cs="Times New Roman"/>
          <w:i/>
          <w:color w:val="5B9BD5"/>
          <w:sz w:val="20"/>
          <w:szCs w:val="22"/>
        </w:rPr>
        <w:t>后使用</w:t>
      </w:r>
      <w:r>
        <w:rPr>
          <w:rFonts w:ascii="微软雅黑" w:hAnsi="微软雅黑" w:eastAsia="微软雅黑" w:cs="Times New Roman"/>
          <w:i/>
          <w:color w:val="5B9BD5"/>
          <w:sz w:val="20"/>
          <w:szCs w:val="22"/>
        </w:rPr>
        <w:t>，后续在软件开发实施过程中，如有更新，须经过审批后同步调整</w:t>
      </w:r>
      <w:r>
        <w:rPr>
          <w:rFonts w:hint="eastAsia" w:ascii="微软雅黑" w:hAnsi="微软雅黑" w:eastAsia="微软雅黑" w:cs="Times New Roman"/>
          <w:i/>
          <w:color w:val="5B9BD5"/>
          <w:sz w:val="20"/>
          <w:szCs w:val="22"/>
        </w:rPr>
        <w:t>。</w:t>
      </w:r>
    </w:p>
    <w:p w14:paraId="2EC3CFCB">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660" w:name="_Toc26363"/>
      <w:bookmarkStart w:id="661" w:name="_Toc15060"/>
      <w:bookmarkStart w:id="662" w:name="_Toc16860"/>
      <w:bookmarkStart w:id="663" w:name="_Toc29718"/>
      <w:bookmarkStart w:id="664" w:name="_Toc5558"/>
      <w:bookmarkStart w:id="665" w:name="_Toc10274"/>
      <w:r>
        <w:rPr>
          <w:rFonts w:hint="eastAsia" w:ascii="等线" w:hAnsi="等线" w:eastAsia="等线" w:cs="Times New Roman"/>
          <w:b/>
          <w:kern w:val="2"/>
          <w:sz w:val="24"/>
          <w:szCs w:val="24"/>
          <w:lang w:val="en-US" w:eastAsia="zh-CN" w:bidi="ar-SA"/>
        </w:rPr>
        <w:t>2.1 开发工具类</w:t>
      </w:r>
      <w:bookmarkEnd w:id="660"/>
      <w:bookmarkEnd w:id="661"/>
      <w:bookmarkEnd w:id="662"/>
      <w:bookmarkEnd w:id="663"/>
      <w:bookmarkEnd w:id="664"/>
      <w:bookmarkEnd w:id="665"/>
    </w:p>
    <w:p w14:paraId="24D80483">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开发工具类是指涉及软件开发管理过程中使用到的工具，含编程语言工具、编译工具、管理工具、代码安全审核/ 审计工具、安全测试工具等。</w:t>
      </w:r>
    </w:p>
    <w:p w14:paraId="1193EDC9">
      <w:pPr>
        <w:spacing w:line="0" w:lineRule="atLeast"/>
        <w:jc w:val="left"/>
        <w:rPr>
          <w:rFonts w:ascii="微软雅黑" w:hAnsi="微软雅黑" w:eastAsia="微软雅黑" w:cs="Times New Roman"/>
          <w:sz w:val="20"/>
          <w:szCs w:val="22"/>
        </w:rPr>
      </w:pPr>
    </w:p>
    <w:tbl>
      <w:tblPr>
        <w:tblStyle w:val="85"/>
        <w:tblW w:w="5000" w:type="pct"/>
        <w:tblInd w:w="0" w:type="dxa"/>
        <w:tblLayout w:type="fixed"/>
        <w:tblCellMar>
          <w:top w:w="0" w:type="dxa"/>
          <w:left w:w="108" w:type="dxa"/>
          <w:bottom w:w="0" w:type="dxa"/>
          <w:right w:w="108" w:type="dxa"/>
        </w:tblCellMar>
      </w:tblPr>
      <w:tblGrid>
        <w:gridCol w:w="557"/>
        <w:gridCol w:w="1077"/>
        <w:gridCol w:w="717"/>
        <w:gridCol w:w="1032"/>
        <w:gridCol w:w="2373"/>
        <w:gridCol w:w="2075"/>
        <w:gridCol w:w="888"/>
      </w:tblGrid>
      <w:tr w14:paraId="055953A2">
        <w:tblPrEx>
          <w:tblCellMar>
            <w:top w:w="0" w:type="dxa"/>
            <w:left w:w="108" w:type="dxa"/>
            <w:bottom w:w="0" w:type="dxa"/>
            <w:right w:w="108" w:type="dxa"/>
          </w:tblCellMar>
        </w:tblPrEx>
        <w:trPr>
          <w:trHeight w:val="1408" w:hRule="atLeast"/>
        </w:trPr>
        <w:tc>
          <w:tcPr>
            <w:tcW w:w="318" w:type="pct"/>
            <w:tcBorders>
              <w:top w:val="single" w:color="auto" w:sz="4" w:space="0"/>
              <w:left w:val="single" w:color="auto" w:sz="4" w:space="0"/>
              <w:bottom w:val="single" w:color="auto" w:sz="4" w:space="0"/>
              <w:right w:val="single" w:color="auto" w:sz="4" w:space="0"/>
            </w:tcBorders>
            <w:noWrap/>
            <w:vAlign w:val="center"/>
          </w:tcPr>
          <w:p w14:paraId="736E4D90">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序号</w:t>
            </w:r>
          </w:p>
        </w:tc>
        <w:tc>
          <w:tcPr>
            <w:tcW w:w="617" w:type="pct"/>
            <w:tcBorders>
              <w:top w:val="single" w:color="auto" w:sz="4" w:space="0"/>
              <w:left w:val="nil"/>
              <w:bottom w:val="single" w:color="auto" w:sz="4" w:space="0"/>
              <w:right w:val="single" w:color="auto" w:sz="4" w:space="0"/>
            </w:tcBorders>
            <w:noWrap/>
            <w:vAlign w:val="center"/>
          </w:tcPr>
          <w:p w14:paraId="64F7ECE2">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软件类别</w:t>
            </w:r>
          </w:p>
        </w:tc>
        <w:tc>
          <w:tcPr>
            <w:tcW w:w="410" w:type="pct"/>
            <w:tcBorders>
              <w:top w:val="single" w:color="auto" w:sz="4" w:space="0"/>
              <w:left w:val="nil"/>
              <w:bottom w:val="single" w:color="auto" w:sz="4" w:space="0"/>
              <w:right w:val="single" w:color="auto" w:sz="4" w:space="0"/>
            </w:tcBorders>
            <w:noWrap/>
            <w:vAlign w:val="center"/>
          </w:tcPr>
          <w:p w14:paraId="7655AD99">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名称</w:t>
            </w:r>
          </w:p>
        </w:tc>
        <w:tc>
          <w:tcPr>
            <w:tcW w:w="592" w:type="pct"/>
            <w:tcBorders>
              <w:top w:val="single" w:color="auto" w:sz="4" w:space="0"/>
              <w:left w:val="nil"/>
              <w:bottom w:val="single" w:color="auto" w:sz="4" w:space="0"/>
              <w:right w:val="single" w:color="auto" w:sz="4" w:space="0"/>
            </w:tcBorders>
            <w:noWrap/>
            <w:vAlign w:val="center"/>
          </w:tcPr>
          <w:p w14:paraId="6750133D">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版本</w:t>
            </w:r>
          </w:p>
        </w:tc>
        <w:tc>
          <w:tcPr>
            <w:tcW w:w="1360" w:type="pct"/>
            <w:tcBorders>
              <w:top w:val="single" w:color="auto" w:sz="4" w:space="0"/>
              <w:left w:val="nil"/>
              <w:bottom w:val="single" w:color="auto" w:sz="4" w:space="0"/>
              <w:right w:val="single" w:color="auto" w:sz="4" w:space="0"/>
            </w:tcBorders>
            <w:noWrap/>
            <w:vAlign w:val="center"/>
          </w:tcPr>
          <w:p w14:paraId="200085F5">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来源</w:t>
            </w:r>
          </w:p>
        </w:tc>
        <w:tc>
          <w:tcPr>
            <w:tcW w:w="1189" w:type="pct"/>
            <w:tcBorders>
              <w:top w:val="single" w:color="auto" w:sz="4" w:space="0"/>
              <w:left w:val="nil"/>
              <w:bottom w:val="single" w:color="auto" w:sz="4" w:space="0"/>
              <w:right w:val="single" w:color="auto" w:sz="4" w:space="0"/>
            </w:tcBorders>
            <w:noWrap/>
            <w:vAlign w:val="center"/>
          </w:tcPr>
          <w:p w14:paraId="5AAC24C5">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授权信息（开源工具-</w:t>
            </w:r>
            <w:r>
              <w:rPr>
                <w:rFonts w:hint="eastAsia" w:ascii="微软雅黑" w:hAnsi="微软雅黑" w:eastAsia="微软雅黑" w:cs="Times New Roman"/>
                <w:b/>
                <w:sz w:val="20"/>
                <w:szCs w:val="22"/>
              </w:rPr>
              <w:t>所使用的开源许可证类型</w:t>
            </w:r>
            <w:r>
              <w:rPr>
                <w:rFonts w:hint="eastAsia" w:ascii="微软雅黑" w:hAnsi="微软雅黑" w:eastAsia="微软雅黑" w:cs="Times New Roman"/>
                <w:sz w:val="20"/>
                <w:szCs w:val="22"/>
              </w:rPr>
              <w:t>、 采购工具-</w:t>
            </w:r>
            <w:r>
              <w:rPr>
                <w:rFonts w:hint="eastAsia" w:ascii="微软雅黑" w:hAnsi="微软雅黑" w:eastAsia="微软雅黑" w:cs="Times New Roman"/>
                <w:b/>
                <w:sz w:val="20"/>
                <w:szCs w:val="22"/>
              </w:rPr>
              <w:t>授权证明截图</w:t>
            </w:r>
            <w:r>
              <w:rPr>
                <w:rFonts w:hint="eastAsia" w:ascii="微软雅黑" w:hAnsi="微软雅黑" w:eastAsia="微软雅黑" w:cs="Times New Roman"/>
                <w:sz w:val="20"/>
                <w:szCs w:val="22"/>
              </w:rPr>
              <w:t>）</w:t>
            </w:r>
          </w:p>
        </w:tc>
        <w:tc>
          <w:tcPr>
            <w:tcW w:w="509" w:type="pct"/>
            <w:tcBorders>
              <w:top w:val="single" w:color="auto" w:sz="4" w:space="0"/>
              <w:left w:val="nil"/>
              <w:bottom w:val="single" w:color="auto" w:sz="4" w:space="0"/>
              <w:right w:val="single" w:color="auto" w:sz="4" w:space="0"/>
            </w:tcBorders>
            <w:noWrap/>
            <w:vAlign w:val="center"/>
          </w:tcPr>
          <w:p w14:paraId="44AC056C">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其他</w:t>
            </w:r>
          </w:p>
        </w:tc>
      </w:tr>
      <w:tr w14:paraId="5F56D4F0">
        <w:tblPrEx>
          <w:tblCellMar>
            <w:top w:w="0" w:type="dxa"/>
            <w:left w:w="108" w:type="dxa"/>
            <w:bottom w:w="0" w:type="dxa"/>
            <w:right w:w="108" w:type="dxa"/>
          </w:tblCellMar>
        </w:tblPrEx>
        <w:trPr>
          <w:trHeight w:val="281" w:hRule="atLeast"/>
        </w:trPr>
        <w:tc>
          <w:tcPr>
            <w:tcW w:w="318" w:type="pct"/>
            <w:tcBorders>
              <w:top w:val="nil"/>
              <w:left w:val="single" w:color="auto" w:sz="4" w:space="0"/>
              <w:bottom w:val="single" w:color="auto" w:sz="4" w:space="0"/>
              <w:right w:val="single" w:color="auto" w:sz="4" w:space="0"/>
            </w:tcBorders>
            <w:noWrap/>
            <w:vAlign w:val="center"/>
          </w:tcPr>
          <w:p w14:paraId="03A29CC5">
            <w:pPr>
              <w:widowControl/>
              <w:spacing w:line="360" w:lineRule="auto"/>
              <w:jc w:val="center"/>
              <w:rPr>
                <w:rFonts w:ascii="等线" w:hAnsi="等线" w:eastAsia="等线" w:cs="宋体"/>
                <w:i/>
                <w:color w:val="5B9BD5"/>
                <w:kern w:val="0"/>
                <w:sz w:val="22"/>
                <w:szCs w:val="22"/>
              </w:rPr>
            </w:pPr>
            <w:r>
              <w:rPr>
                <w:rFonts w:hint="eastAsia" w:ascii="等线" w:hAnsi="等线" w:eastAsia="等线" w:cs="宋体"/>
                <w:i/>
                <w:iCs/>
                <w:color w:val="5B9BD5"/>
                <w:kern w:val="0"/>
                <w:sz w:val="22"/>
                <w:szCs w:val="22"/>
              </w:rPr>
              <w:t>示例</w:t>
            </w:r>
          </w:p>
        </w:tc>
        <w:tc>
          <w:tcPr>
            <w:tcW w:w="617" w:type="pct"/>
            <w:tcBorders>
              <w:top w:val="nil"/>
              <w:left w:val="nil"/>
              <w:bottom w:val="single" w:color="auto" w:sz="4" w:space="0"/>
              <w:right w:val="single" w:color="auto" w:sz="4" w:space="0"/>
            </w:tcBorders>
            <w:noWrap/>
            <w:vAlign w:val="center"/>
          </w:tcPr>
          <w:p w14:paraId="4ABF7B04">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代码编辑工具</w:t>
            </w:r>
          </w:p>
        </w:tc>
        <w:tc>
          <w:tcPr>
            <w:tcW w:w="410" w:type="pct"/>
            <w:tcBorders>
              <w:top w:val="nil"/>
              <w:left w:val="nil"/>
              <w:bottom w:val="single" w:color="auto" w:sz="4" w:space="0"/>
              <w:right w:val="single" w:color="auto" w:sz="4" w:space="0"/>
            </w:tcBorders>
            <w:noWrap/>
            <w:vAlign w:val="center"/>
          </w:tcPr>
          <w:p w14:paraId="62840582">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IntelliJ IDEA</w:t>
            </w:r>
          </w:p>
        </w:tc>
        <w:tc>
          <w:tcPr>
            <w:tcW w:w="592" w:type="pct"/>
            <w:tcBorders>
              <w:top w:val="nil"/>
              <w:left w:val="nil"/>
              <w:bottom w:val="single" w:color="auto" w:sz="4" w:space="0"/>
              <w:right w:val="single" w:color="auto" w:sz="4" w:space="0"/>
            </w:tcBorders>
            <w:noWrap/>
            <w:vAlign w:val="center"/>
          </w:tcPr>
          <w:p w14:paraId="7275CE35">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2024.1</w:t>
            </w:r>
          </w:p>
        </w:tc>
        <w:tc>
          <w:tcPr>
            <w:tcW w:w="1360" w:type="pct"/>
            <w:tcBorders>
              <w:top w:val="nil"/>
              <w:left w:val="nil"/>
              <w:bottom w:val="single" w:color="auto" w:sz="4" w:space="0"/>
              <w:right w:val="single" w:color="auto" w:sz="4" w:space="0"/>
            </w:tcBorders>
            <w:noWrap/>
            <w:vAlign w:val="center"/>
          </w:tcPr>
          <w:p w14:paraId="4541CC9E">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官网下载，下载链接：https://www.jetbrains.com/zh-cn/idea/download/?section=windows</w:t>
            </w:r>
          </w:p>
        </w:tc>
        <w:tc>
          <w:tcPr>
            <w:tcW w:w="1189" w:type="pct"/>
            <w:tcBorders>
              <w:top w:val="nil"/>
              <w:left w:val="nil"/>
              <w:bottom w:val="single" w:color="auto" w:sz="4" w:space="0"/>
              <w:right w:val="single" w:color="auto" w:sz="4" w:space="0"/>
            </w:tcBorders>
            <w:noWrap/>
            <w:vAlign w:val="center"/>
          </w:tcPr>
          <w:p w14:paraId="7063DDFF">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开源，j2ee_license、CDDLv1.0许可</w:t>
            </w:r>
          </w:p>
        </w:tc>
        <w:tc>
          <w:tcPr>
            <w:tcW w:w="509" w:type="pct"/>
            <w:tcBorders>
              <w:top w:val="nil"/>
              <w:left w:val="nil"/>
              <w:bottom w:val="single" w:color="auto" w:sz="4" w:space="0"/>
              <w:right w:val="single" w:color="auto" w:sz="4" w:space="0"/>
            </w:tcBorders>
            <w:noWrap/>
            <w:vAlign w:val="bottom"/>
          </w:tcPr>
          <w:p w14:paraId="5604ED2B">
            <w:pPr>
              <w:widowControl/>
              <w:spacing w:line="360" w:lineRule="auto"/>
              <w:jc w:val="left"/>
              <w:rPr>
                <w:rFonts w:ascii="等线" w:hAnsi="等线" w:eastAsia="等线" w:cs="宋体"/>
                <w:color w:val="5B9BD5"/>
                <w:kern w:val="0"/>
                <w:sz w:val="22"/>
                <w:szCs w:val="22"/>
              </w:rPr>
            </w:pPr>
          </w:p>
        </w:tc>
      </w:tr>
      <w:tr w14:paraId="5B66FC7D">
        <w:tblPrEx>
          <w:tblCellMar>
            <w:top w:w="0" w:type="dxa"/>
            <w:left w:w="108" w:type="dxa"/>
            <w:bottom w:w="0" w:type="dxa"/>
            <w:right w:w="108" w:type="dxa"/>
          </w:tblCellMar>
        </w:tblPrEx>
        <w:trPr>
          <w:trHeight w:val="281" w:hRule="atLeast"/>
        </w:trPr>
        <w:tc>
          <w:tcPr>
            <w:tcW w:w="318" w:type="pct"/>
            <w:tcBorders>
              <w:top w:val="nil"/>
              <w:left w:val="single" w:color="auto" w:sz="4" w:space="0"/>
              <w:bottom w:val="single" w:color="auto" w:sz="4" w:space="0"/>
              <w:right w:val="single" w:color="auto" w:sz="4" w:space="0"/>
            </w:tcBorders>
            <w:noWrap/>
            <w:vAlign w:val="bottom"/>
          </w:tcPr>
          <w:p w14:paraId="3BA2250D">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617" w:type="pct"/>
            <w:tcBorders>
              <w:top w:val="nil"/>
              <w:left w:val="nil"/>
              <w:bottom w:val="single" w:color="auto" w:sz="4" w:space="0"/>
              <w:right w:val="single" w:color="auto" w:sz="4" w:space="0"/>
            </w:tcBorders>
            <w:noWrap/>
            <w:vAlign w:val="center"/>
          </w:tcPr>
          <w:p w14:paraId="78DD2E0A">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编程语言工具</w:t>
            </w:r>
          </w:p>
        </w:tc>
        <w:tc>
          <w:tcPr>
            <w:tcW w:w="410" w:type="pct"/>
            <w:tcBorders>
              <w:top w:val="nil"/>
              <w:left w:val="nil"/>
              <w:bottom w:val="single" w:color="auto" w:sz="4" w:space="0"/>
              <w:right w:val="single" w:color="auto" w:sz="4" w:space="0"/>
            </w:tcBorders>
            <w:noWrap/>
            <w:vAlign w:val="bottom"/>
          </w:tcPr>
          <w:p w14:paraId="6D3A6D59">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92" w:type="pct"/>
            <w:tcBorders>
              <w:top w:val="nil"/>
              <w:left w:val="nil"/>
              <w:bottom w:val="single" w:color="auto" w:sz="4" w:space="0"/>
              <w:right w:val="single" w:color="auto" w:sz="4" w:space="0"/>
            </w:tcBorders>
            <w:noWrap/>
            <w:vAlign w:val="bottom"/>
          </w:tcPr>
          <w:p w14:paraId="061E07A1">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360" w:type="pct"/>
            <w:tcBorders>
              <w:top w:val="nil"/>
              <w:left w:val="nil"/>
              <w:bottom w:val="single" w:color="auto" w:sz="4" w:space="0"/>
              <w:right w:val="single" w:color="auto" w:sz="4" w:space="0"/>
            </w:tcBorders>
            <w:noWrap/>
            <w:vAlign w:val="bottom"/>
          </w:tcPr>
          <w:p w14:paraId="0D99FF86">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89" w:type="pct"/>
            <w:tcBorders>
              <w:top w:val="nil"/>
              <w:left w:val="nil"/>
              <w:bottom w:val="single" w:color="auto" w:sz="4" w:space="0"/>
              <w:right w:val="single" w:color="auto" w:sz="4" w:space="0"/>
            </w:tcBorders>
            <w:noWrap/>
            <w:vAlign w:val="bottom"/>
          </w:tcPr>
          <w:p w14:paraId="43A5CFB7">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9" w:type="pct"/>
            <w:tcBorders>
              <w:top w:val="nil"/>
              <w:left w:val="nil"/>
              <w:bottom w:val="single" w:color="auto" w:sz="4" w:space="0"/>
              <w:right w:val="single" w:color="auto" w:sz="4" w:space="0"/>
            </w:tcBorders>
            <w:noWrap/>
            <w:vAlign w:val="bottom"/>
          </w:tcPr>
          <w:p w14:paraId="749DD87F">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F03367C">
        <w:tblPrEx>
          <w:tblCellMar>
            <w:top w:w="0" w:type="dxa"/>
            <w:left w:w="108" w:type="dxa"/>
            <w:bottom w:w="0" w:type="dxa"/>
            <w:right w:w="108" w:type="dxa"/>
          </w:tblCellMar>
        </w:tblPrEx>
        <w:trPr>
          <w:trHeight w:val="280" w:hRule="atLeast"/>
        </w:trPr>
        <w:tc>
          <w:tcPr>
            <w:tcW w:w="318" w:type="pct"/>
            <w:tcBorders>
              <w:top w:val="nil"/>
              <w:left w:val="single" w:color="auto" w:sz="4" w:space="0"/>
              <w:bottom w:val="single" w:color="auto" w:sz="4" w:space="0"/>
              <w:right w:val="single" w:color="auto" w:sz="4" w:space="0"/>
            </w:tcBorders>
            <w:noWrap/>
            <w:vAlign w:val="bottom"/>
          </w:tcPr>
          <w:p w14:paraId="146741EE">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617" w:type="pct"/>
            <w:tcBorders>
              <w:top w:val="nil"/>
              <w:left w:val="nil"/>
              <w:bottom w:val="single" w:color="auto" w:sz="4" w:space="0"/>
              <w:right w:val="single" w:color="auto" w:sz="4" w:space="0"/>
            </w:tcBorders>
            <w:noWrap/>
            <w:vAlign w:val="center"/>
          </w:tcPr>
          <w:p w14:paraId="28D389E1">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编译工具</w:t>
            </w:r>
          </w:p>
        </w:tc>
        <w:tc>
          <w:tcPr>
            <w:tcW w:w="410" w:type="pct"/>
            <w:tcBorders>
              <w:top w:val="nil"/>
              <w:left w:val="nil"/>
              <w:bottom w:val="single" w:color="auto" w:sz="4" w:space="0"/>
              <w:right w:val="single" w:color="auto" w:sz="4" w:space="0"/>
            </w:tcBorders>
            <w:noWrap/>
            <w:vAlign w:val="bottom"/>
          </w:tcPr>
          <w:p w14:paraId="71938B57">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92" w:type="pct"/>
            <w:tcBorders>
              <w:top w:val="nil"/>
              <w:left w:val="nil"/>
              <w:bottom w:val="single" w:color="auto" w:sz="4" w:space="0"/>
              <w:right w:val="single" w:color="auto" w:sz="4" w:space="0"/>
            </w:tcBorders>
            <w:noWrap/>
            <w:vAlign w:val="bottom"/>
          </w:tcPr>
          <w:p w14:paraId="5A9D6838">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360" w:type="pct"/>
            <w:tcBorders>
              <w:top w:val="nil"/>
              <w:left w:val="nil"/>
              <w:bottom w:val="single" w:color="auto" w:sz="4" w:space="0"/>
              <w:right w:val="single" w:color="auto" w:sz="4" w:space="0"/>
            </w:tcBorders>
            <w:noWrap/>
            <w:vAlign w:val="bottom"/>
          </w:tcPr>
          <w:p w14:paraId="36CB962D">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89" w:type="pct"/>
            <w:tcBorders>
              <w:top w:val="nil"/>
              <w:left w:val="nil"/>
              <w:bottom w:val="single" w:color="auto" w:sz="4" w:space="0"/>
              <w:right w:val="single" w:color="auto" w:sz="4" w:space="0"/>
            </w:tcBorders>
            <w:noWrap/>
            <w:vAlign w:val="bottom"/>
          </w:tcPr>
          <w:p w14:paraId="4FE91B6C">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9" w:type="pct"/>
            <w:tcBorders>
              <w:top w:val="nil"/>
              <w:left w:val="nil"/>
              <w:bottom w:val="single" w:color="auto" w:sz="4" w:space="0"/>
              <w:right w:val="single" w:color="auto" w:sz="4" w:space="0"/>
            </w:tcBorders>
            <w:noWrap/>
            <w:vAlign w:val="bottom"/>
          </w:tcPr>
          <w:p w14:paraId="680EDF13">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0C2A8EB">
        <w:tblPrEx>
          <w:tblCellMar>
            <w:top w:w="0" w:type="dxa"/>
            <w:left w:w="108" w:type="dxa"/>
            <w:bottom w:w="0" w:type="dxa"/>
            <w:right w:w="108" w:type="dxa"/>
          </w:tblCellMar>
        </w:tblPrEx>
        <w:trPr>
          <w:trHeight w:val="644" w:hRule="atLeast"/>
        </w:trPr>
        <w:tc>
          <w:tcPr>
            <w:tcW w:w="318" w:type="pct"/>
            <w:tcBorders>
              <w:top w:val="nil"/>
              <w:left w:val="single" w:color="auto" w:sz="4" w:space="0"/>
              <w:bottom w:val="nil"/>
              <w:right w:val="single" w:color="auto" w:sz="4" w:space="0"/>
            </w:tcBorders>
            <w:noWrap/>
            <w:vAlign w:val="bottom"/>
          </w:tcPr>
          <w:p w14:paraId="20793278">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617" w:type="pct"/>
            <w:tcBorders>
              <w:top w:val="nil"/>
              <w:left w:val="nil"/>
              <w:bottom w:val="nil"/>
              <w:right w:val="single" w:color="auto" w:sz="4" w:space="0"/>
            </w:tcBorders>
            <w:noWrap/>
            <w:vAlign w:val="center"/>
          </w:tcPr>
          <w:p w14:paraId="5DF96F07">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代码安全审核工具</w:t>
            </w:r>
          </w:p>
        </w:tc>
        <w:tc>
          <w:tcPr>
            <w:tcW w:w="410" w:type="pct"/>
            <w:tcBorders>
              <w:top w:val="nil"/>
              <w:left w:val="nil"/>
              <w:bottom w:val="nil"/>
              <w:right w:val="single" w:color="auto" w:sz="4" w:space="0"/>
            </w:tcBorders>
            <w:noWrap/>
            <w:vAlign w:val="bottom"/>
          </w:tcPr>
          <w:p w14:paraId="46274639">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92" w:type="pct"/>
            <w:tcBorders>
              <w:top w:val="nil"/>
              <w:left w:val="nil"/>
              <w:bottom w:val="nil"/>
              <w:right w:val="single" w:color="auto" w:sz="4" w:space="0"/>
            </w:tcBorders>
            <w:noWrap/>
            <w:vAlign w:val="bottom"/>
          </w:tcPr>
          <w:p w14:paraId="50F21F60">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360" w:type="pct"/>
            <w:tcBorders>
              <w:top w:val="nil"/>
              <w:left w:val="nil"/>
              <w:bottom w:val="nil"/>
              <w:right w:val="single" w:color="auto" w:sz="4" w:space="0"/>
            </w:tcBorders>
            <w:noWrap/>
            <w:vAlign w:val="bottom"/>
          </w:tcPr>
          <w:p w14:paraId="1BF6FA49">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89" w:type="pct"/>
            <w:tcBorders>
              <w:top w:val="nil"/>
              <w:left w:val="nil"/>
              <w:bottom w:val="nil"/>
              <w:right w:val="single" w:color="auto" w:sz="4" w:space="0"/>
            </w:tcBorders>
            <w:noWrap/>
            <w:vAlign w:val="bottom"/>
          </w:tcPr>
          <w:p w14:paraId="691EEE68">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9" w:type="pct"/>
            <w:tcBorders>
              <w:top w:val="nil"/>
              <w:left w:val="nil"/>
              <w:bottom w:val="nil"/>
              <w:right w:val="single" w:color="auto" w:sz="4" w:space="0"/>
            </w:tcBorders>
            <w:noWrap/>
            <w:vAlign w:val="bottom"/>
          </w:tcPr>
          <w:p w14:paraId="5B8830BD">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EECEBE8">
        <w:tblPrEx>
          <w:tblCellMar>
            <w:top w:w="0" w:type="dxa"/>
            <w:left w:w="108" w:type="dxa"/>
            <w:bottom w:w="0" w:type="dxa"/>
            <w:right w:w="108" w:type="dxa"/>
          </w:tblCellMar>
        </w:tblPrEx>
        <w:trPr>
          <w:trHeight w:val="280" w:hRule="atLeast"/>
        </w:trPr>
        <w:tc>
          <w:tcPr>
            <w:tcW w:w="318" w:type="pct"/>
            <w:tcBorders>
              <w:top w:val="nil"/>
              <w:left w:val="single" w:color="auto" w:sz="4" w:space="0"/>
              <w:bottom w:val="nil"/>
              <w:right w:val="single" w:color="auto" w:sz="4" w:space="0"/>
            </w:tcBorders>
            <w:noWrap/>
            <w:vAlign w:val="bottom"/>
          </w:tcPr>
          <w:p w14:paraId="7C0AB830">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617" w:type="pct"/>
            <w:tcBorders>
              <w:top w:val="nil"/>
              <w:left w:val="nil"/>
              <w:bottom w:val="nil"/>
              <w:right w:val="single" w:color="auto" w:sz="4" w:space="0"/>
            </w:tcBorders>
            <w:noWrap/>
            <w:vAlign w:val="center"/>
          </w:tcPr>
          <w:p w14:paraId="7B93DE19">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管理工具</w:t>
            </w:r>
          </w:p>
        </w:tc>
        <w:tc>
          <w:tcPr>
            <w:tcW w:w="410" w:type="pct"/>
            <w:tcBorders>
              <w:top w:val="nil"/>
              <w:left w:val="nil"/>
              <w:bottom w:val="nil"/>
              <w:right w:val="single" w:color="auto" w:sz="4" w:space="0"/>
            </w:tcBorders>
            <w:noWrap/>
            <w:vAlign w:val="bottom"/>
          </w:tcPr>
          <w:p w14:paraId="49D07C7D">
            <w:pPr>
              <w:widowControl/>
              <w:spacing w:line="360" w:lineRule="auto"/>
              <w:jc w:val="left"/>
              <w:rPr>
                <w:rFonts w:ascii="等线" w:hAnsi="等线" w:eastAsia="等线" w:cs="宋体"/>
                <w:color w:val="000000"/>
                <w:kern w:val="0"/>
                <w:sz w:val="22"/>
                <w:szCs w:val="22"/>
              </w:rPr>
            </w:pPr>
          </w:p>
        </w:tc>
        <w:tc>
          <w:tcPr>
            <w:tcW w:w="592" w:type="pct"/>
            <w:tcBorders>
              <w:top w:val="nil"/>
              <w:left w:val="nil"/>
              <w:bottom w:val="nil"/>
              <w:right w:val="single" w:color="auto" w:sz="4" w:space="0"/>
            </w:tcBorders>
            <w:noWrap/>
            <w:vAlign w:val="bottom"/>
          </w:tcPr>
          <w:p w14:paraId="6D9B18C0">
            <w:pPr>
              <w:widowControl/>
              <w:spacing w:line="360" w:lineRule="auto"/>
              <w:jc w:val="left"/>
              <w:rPr>
                <w:rFonts w:ascii="等线" w:hAnsi="等线" w:eastAsia="等线" w:cs="宋体"/>
                <w:color w:val="000000"/>
                <w:kern w:val="0"/>
                <w:sz w:val="22"/>
                <w:szCs w:val="22"/>
              </w:rPr>
            </w:pPr>
          </w:p>
        </w:tc>
        <w:tc>
          <w:tcPr>
            <w:tcW w:w="1360" w:type="pct"/>
            <w:tcBorders>
              <w:top w:val="nil"/>
              <w:left w:val="nil"/>
              <w:bottom w:val="nil"/>
              <w:right w:val="single" w:color="auto" w:sz="4" w:space="0"/>
            </w:tcBorders>
            <w:noWrap/>
            <w:vAlign w:val="bottom"/>
          </w:tcPr>
          <w:p w14:paraId="032DF12B">
            <w:pPr>
              <w:widowControl/>
              <w:spacing w:line="360" w:lineRule="auto"/>
              <w:jc w:val="left"/>
              <w:rPr>
                <w:rFonts w:ascii="等线" w:hAnsi="等线" w:eastAsia="等线" w:cs="宋体"/>
                <w:color w:val="000000"/>
                <w:kern w:val="0"/>
                <w:sz w:val="22"/>
                <w:szCs w:val="22"/>
              </w:rPr>
            </w:pPr>
          </w:p>
        </w:tc>
        <w:tc>
          <w:tcPr>
            <w:tcW w:w="1189" w:type="pct"/>
            <w:tcBorders>
              <w:top w:val="nil"/>
              <w:left w:val="nil"/>
              <w:bottom w:val="nil"/>
              <w:right w:val="single" w:color="auto" w:sz="4" w:space="0"/>
            </w:tcBorders>
            <w:noWrap/>
            <w:vAlign w:val="bottom"/>
          </w:tcPr>
          <w:p w14:paraId="533C9F68">
            <w:pPr>
              <w:widowControl/>
              <w:spacing w:line="360" w:lineRule="auto"/>
              <w:jc w:val="left"/>
              <w:rPr>
                <w:rFonts w:ascii="等线" w:hAnsi="等线" w:eastAsia="等线" w:cs="宋体"/>
                <w:color w:val="000000"/>
                <w:kern w:val="0"/>
                <w:sz w:val="22"/>
                <w:szCs w:val="22"/>
              </w:rPr>
            </w:pPr>
          </w:p>
        </w:tc>
        <w:tc>
          <w:tcPr>
            <w:tcW w:w="509" w:type="pct"/>
            <w:tcBorders>
              <w:top w:val="nil"/>
              <w:left w:val="nil"/>
              <w:bottom w:val="nil"/>
              <w:right w:val="single" w:color="auto" w:sz="4" w:space="0"/>
            </w:tcBorders>
            <w:noWrap/>
            <w:vAlign w:val="bottom"/>
          </w:tcPr>
          <w:p w14:paraId="72AE3EC6">
            <w:pPr>
              <w:widowControl/>
              <w:spacing w:line="360" w:lineRule="auto"/>
              <w:jc w:val="left"/>
              <w:rPr>
                <w:rFonts w:ascii="等线" w:hAnsi="等线" w:eastAsia="等线" w:cs="宋体"/>
                <w:color w:val="000000"/>
                <w:kern w:val="0"/>
                <w:sz w:val="22"/>
                <w:szCs w:val="22"/>
              </w:rPr>
            </w:pPr>
          </w:p>
        </w:tc>
      </w:tr>
      <w:tr w14:paraId="1A42FA8A">
        <w:tblPrEx>
          <w:tblCellMar>
            <w:top w:w="0" w:type="dxa"/>
            <w:left w:w="108" w:type="dxa"/>
            <w:bottom w:w="0" w:type="dxa"/>
            <w:right w:w="108" w:type="dxa"/>
          </w:tblCellMar>
        </w:tblPrEx>
        <w:trPr>
          <w:trHeight w:val="280" w:hRule="atLeast"/>
        </w:trPr>
        <w:tc>
          <w:tcPr>
            <w:tcW w:w="318" w:type="pct"/>
            <w:tcBorders>
              <w:top w:val="nil"/>
              <w:left w:val="single" w:color="auto" w:sz="4" w:space="0"/>
              <w:bottom w:val="nil"/>
              <w:right w:val="single" w:color="auto" w:sz="4" w:space="0"/>
            </w:tcBorders>
            <w:noWrap/>
            <w:vAlign w:val="bottom"/>
          </w:tcPr>
          <w:p w14:paraId="3C12D9D0">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617" w:type="pct"/>
            <w:tcBorders>
              <w:top w:val="nil"/>
              <w:left w:val="nil"/>
              <w:bottom w:val="nil"/>
              <w:right w:val="single" w:color="auto" w:sz="4" w:space="0"/>
            </w:tcBorders>
            <w:noWrap/>
            <w:vAlign w:val="center"/>
          </w:tcPr>
          <w:p w14:paraId="7F4B8863">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其他…</w:t>
            </w:r>
          </w:p>
        </w:tc>
        <w:tc>
          <w:tcPr>
            <w:tcW w:w="410" w:type="pct"/>
            <w:tcBorders>
              <w:top w:val="nil"/>
              <w:left w:val="nil"/>
              <w:bottom w:val="nil"/>
              <w:right w:val="single" w:color="auto" w:sz="4" w:space="0"/>
            </w:tcBorders>
            <w:noWrap/>
            <w:vAlign w:val="bottom"/>
          </w:tcPr>
          <w:p w14:paraId="1429C87C">
            <w:pPr>
              <w:widowControl/>
              <w:spacing w:line="360" w:lineRule="auto"/>
              <w:jc w:val="left"/>
              <w:rPr>
                <w:rFonts w:ascii="等线" w:hAnsi="等线" w:eastAsia="等线" w:cs="宋体"/>
                <w:color w:val="000000"/>
                <w:kern w:val="0"/>
                <w:sz w:val="22"/>
                <w:szCs w:val="22"/>
              </w:rPr>
            </w:pPr>
          </w:p>
        </w:tc>
        <w:tc>
          <w:tcPr>
            <w:tcW w:w="592" w:type="pct"/>
            <w:tcBorders>
              <w:top w:val="nil"/>
              <w:left w:val="nil"/>
              <w:bottom w:val="nil"/>
              <w:right w:val="single" w:color="auto" w:sz="4" w:space="0"/>
            </w:tcBorders>
            <w:noWrap/>
            <w:vAlign w:val="bottom"/>
          </w:tcPr>
          <w:p w14:paraId="4683A1B8">
            <w:pPr>
              <w:widowControl/>
              <w:spacing w:line="360" w:lineRule="auto"/>
              <w:jc w:val="left"/>
              <w:rPr>
                <w:rFonts w:ascii="等线" w:hAnsi="等线" w:eastAsia="等线" w:cs="宋体"/>
                <w:color w:val="000000"/>
                <w:kern w:val="0"/>
                <w:sz w:val="22"/>
                <w:szCs w:val="22"/>
              </w:rPr>
            </w:pPr>
          </w:p>
        </w:tc>
        <w:tc>
          <w:tcPr>
            <w:tcW w:w="1360" w:type="pct"/>
            <w:tcBorders>
              <w:top w:val="nil"/>
              <w:left w:val="nil"/>
              <w:bottom w:val="nil"/>
              <w:right w:val="single" w:color="auto" w:sz="4" w:space="0"/>
            </w:tcBorders>
            <w:noWrap/>
            <w:vAlign w:val="bottom"/>
          </w:tcPr>
          <w:p w14:paraId="763274A5">
            <w:pPr>
              <w:widowControl/>
              <w:spacing w:line="360" w:lineRule="auto"/>
              <w:jc w:val="left"/>
              <w:rPr>
                <w:rFonts w:ascii="等线" w:hAnsi="等线" w:eastAsia="等线" w:cs="宋体"/>
                <w:color w:val="000000"/>
                <w:kern w:val="0"/>
                <w:sz w:val="22"/>
                <w:szCs w:val="22"/>
              </w:rPr>
            </w:pPr>
          </w:p>
        </w:tc>
        <w:tc>
          <w:tcPr>
            <w:tcW w:w="1189" w:type="pct"/>
            <w:tcBorders>
              <w:top w:val="nil"/>
              <w:left w:val="nil"/>
              <w:bottom w:val="nil"/>
              <w:right w:val="single" w:color="auto" w:sz="4" w:space="0"/>
            </w:tcBorders>
            <w:noWrap/>
            <w:vAlign w:val="bottom"/>
          </w:tcPr>
          <w:p w14:paraId="76996E0E">
            <w:pPr>
              <w:widowControl/>
              <w:spacing w:line="360" w:lineRule="auto"/>
              <w:jc w:val="left"/>
              <w:rPr>
                <w:rFonts w:ascii="等线" w:hAnsi="等线" w:eastAsia="等线" w:cs="宋体"/>
                <w:color w:val="000000"/>
                <w:kern w:val="0"/>
                <w:sz w:val="22"/>
                <w:szCs w:val="22"/>
              </w:rPr>
            </w:pPr>
          </w:p>
        </w:tc>
        <w:tc>
          <w:tcPr>
            <w:tcW w:w="509" w:type="pct"/>
            <w:tcBorders>
              <w:top w:val="nil"/>
              <w:left w:val="nil"/>
              <w:bottom w:val="nil"/>
              <w:right w:val="single" w:color="auto" w:sz="4" w:space="0"/>
            </w:tcBorders>
            <w:noWrap/>
            <w:vAlign w:val="bottom"/>
          </w:tcPr>
          <w:p w14:paraId="436C0848">
            <w:pPr>
              <w:widowControl/>
              <w:spacing w:line="360" w:lineRule="auto"/>
              <w:jc w:val="left"/>
              <w:rPr>
                <w:rFonts w:ascii="等线" w:hAnsi="等线" w:eastAsia="等线" w:cs="宋体"/>
                <w:color w:val="000000"/>
                <w:kern w:val="0"/>
                <w:sz w:val="22"/>
                <w:szCs w:val="22"/>
              </w:rPr>
            </w:pPr>
          </w:p>
        </w:tc>
      </w:tr>
      <w:tr w14:paraId="50332006">
        <w:tblPrEx>
          <w:tblCellMar>
            <w:top w:w="0" w:type="dxa"/>
            <w:left w:w="108" w:type="dxa"/>
            <w:bottom w:w="0" w:type="dxa"/>
            <w:right w:w="108" w:type="dxa"/>
          </w:tblCellMar>
        </w:tblPrEx>
        <w:trPr>
          <w:trHeight w:val="280" w:hRule="atLeast"/>
        </w:trPr>
        <w:tc>
          <w:tcPr>
            <w:tcW w:w="318" w:type="pct"/>
            <w:tcBorders>
              <w:top w:val="nil"/>
              <w:left w:val="single" w:color="auto" w:sz="4" w:space="0"/>
              <w:bottom w:val="single" w:color="auto" w:sz="4" w:space="0"/>
              <w:right w:val="single" w:color="auto" w:sz="4" w:space="0"/>
            </w:tcBorders>
            <w:noWrap/>
            <w:vAlign w:val="bottom"/>
          </w:tcPr>
          <w:p w14:paraId="474B929F">
            <w:pPr>
              <w:widowControl/>
              <w:spacing w:line="360" w:lineRule="auto"/>
              <w:jc w:val="center"/>
              <w:rPr>
                <w:rFonts w:ascii="等线" w:hAnsi="等线" w:eastAsia="等线" w:cs="宋体"/>
                <w:color w:val="000000"/>
                <w:kern w:val="0"/>
                <w:sz w:val="22"/>
                <w:szCs w:val="22"/>
              </w:rPr>
            </w:pPr>
            <w:r>
              <w:rPr>
                <w:rFonts w:ascii="等线" w:hAnsi="等线" w:eastAsia="等线" w:cs="宋体"/>
                <w:color w:val="000000"/>
                <w:kern w:val="0"/>
                <w:sz w:val="22"/>
                <w:szCs w:val="22"/>
              </w:rPr>
              <w:t>…</w:t>
            </w:r>
          </w:p>
        </w:tc>
        <w:tc>
          <w:tcPr>
            <w:tcW w:w="617" w:type="pct"/>
            <w:tcBorders>
              <w:top w:val="nil"/>
              <w:left w:val="nil"/>
              <w:bottom w:val="single" w:color="auto" w:sz="4" w:space="0"/>
              <w:right w:val="single" w:color="auto" w:sz="4" w:space="0"/>
            </w:tcBorders>
            <w:noWrap/>
            <w:vAlign w:val="center"/>
          </w:tcPr>
          <w:p w14:paraId="4C5A2D29">
            <w:pPr>
              <w:widowControl/>
              <w:spacing w:line="360" w:lineRule="auto"/>
              <w:jc w:val="left"/>
              <w:rPr>
                <w:rFonts w:ascii="等线" w:hAnsi="等线" w:eastAsia="等线" w:cs="宋体"/>
                <w:color w:val="000000"/>
                <w:kern w:val="0"/>
                <w:sz w:val="22"/>
                <w:szCs w:val="22"/>
              </w:rPr>
            </w:pPr>
          </w:p>
        </w:tc>
        <w:tc>
          <w:tcPr>
            <w:tcW w:w="410" w:type="pct"/>
            <w:tcBorders>
              <w:top w:val="nil"/>
              <w:left w:val="nil"/>
              <w:bottom w:val="single" w:color="auto" w:sz="4" w:space="0"/>
              <w:right w:val="single" w:color="auto" w:sz="4" w:space="0"/>
            </w:tcBorders>
            <w:noWrap/>
            <w:vAlign w:val="bottom"/>
          </w:tcPr>
          <w:p w14:paraId="65601B68">
            <w:pPr>
              <w:widowControl/>
              <w:spacing w:line="360" w:lineRule="auto"/>
              <w:jc w:val="left"/>
              <w:rPr>
                <w:rFonts w:ascii="等线" w:hAnsi="等线" w:eastAsia="等线" w:cs="宋体"/>
                <w:color w:val="000000"/>
                <w:kern w:val="0"/>
                <w:sz w:val="22"/>
                <w:szCs w:val="22"/>
              </w:rPr>
            </w:pPr>
          </w:p>
        </w:tc>
        <w:tc>
          <w:tcPr>
            <w:tcW w:w="592" w:type="pct"/>
            <w:tcBorders>
              <w:top w:val="nil"/>
              <w:left w:val="nil"/>
              <w:bottom w:val="single" w:color="auto" w:sz="4" w:space="0"/>
              <w:right w:val="single" w:color="auto" w:sz="4" w:space="0"/>
            </w:tcBorders>
            <w:noWrap/>
            <w:vAlign w:val="bottom"/>
          </w:tcPr>
          <w:p w14:paraId="26A7BB20">
            <w:pPr>
              <w:widowControl/>
              <w:spacing w:line="360" w:lineRule="auto"/>
              <w:jc w:val="left"/>
              <w:rPr>
                <w:rFonts w:ascii="等线" w:hAnsi="等线" w:eastAsia="等线" w:cs="宋体"/>
                <w:color w:val="000000"/>
                <w:kern w:val="0"/>
                <w:sz w:val="22"/>
                <w:szCs w:val="22"/>
              </w:rPr>
            </w:pPr>
          </w:p>
        </w:tc>
        <w:tc>
          <w:tcPr>
            <w:tcW w:w="1360" w:type="pct"/>
            <w:tcBorders>
              <w:top w:val="nil"/>
              <w:left w:val="nil"/>
              <w:bottom w:val="single" w:color="auto" w:sz="4" w:space="0"/>
              <w:right w:val="single" w:color="auto" w:sz="4" w:space="0"/>
            </w:tcBorders>
            <w:noWrap/>
            <w:vAlign w:val="bottom"/>
          </w:tcPr>
          <w:p w14:paraId="2840A39D">
            <w:pPr>
              <w:widowControl/>
              <w:spacing w:line="360" w:lineRule="auto"/>
              <w:jc w:val="left"/>
              <w:rPr>
                <w:rFonts w:ascii="等线" w:hAnsi="等线" w:eastAsia="等线" w:cs="宋体"/>
                <w:color w:val="000000"/>
                <w:kern w:val="0"/>
                <w:sz w:val="22"/>
                <w:szCs w:val="22"/>
              </w:rPr>
            </w:pPr>
          </w:p>
        </w:tc>
        <w:tc>
          <w:tcPr>
            <w:tcW w:w="1189" w:type="pct"/>
            <w:tcBorders>
              <w:top w:val="nil"/>
              <w:left w:val="nil"/>
              <w:bottom w:val="single" w:color="auto" w:sz="4" w:space="0"/>
              <w:right w:val="single" w:color="auto" w:sz="4" w:space="0"/>
            </w:tcBorders>
            <w:noWrap/>
            <w:vAlign w:val="bottom"/>
          </w:tcPr>
          <w:p w14:paraId="78F16306">
            <w:pPr>
              <w:widowControl/>
              <w:spacing w:line="360" w:lineRule="auto"/>
              <w:jc w:val="left"/>
              <w:rPr>
                <w:rFonts w:ascii="等线" w:hAnsi="等线" w:eastAsia="等线" w:cs="宋体"/>
                <w:color w:val="000000"/>
                <w:kern w:val="0"/>
                <w:sz w:val="22"/>
                <w:szCs w:val="22"/>
              </w:rPr>
            </w:pPr>
          </w:p>
        </w:tc>
        <w:tc>
          <w:tcPr>
            <w:tcW w:w="509" w:type="pct"/>
            <w:tcBorders>
              <w:top w:val="nil"/>
              <w:left w:val="nil"/>
              <w:bottom w:val="single" w:color="auto" w:sz="4" w:space="0"/>
              <w:right w:val="single" w:color="auto" w:sz="4" w:space="0"/>
            </w:tcBorders>
            <w:noWrap/>
            <w:vAlign w:val="bottom"/>
          </w:tcPr>
          <w:p w14:paraId="4D21B15C">
            <w:pPr>
              <w:widowControl/>
              <w:spacing w:line="360" w:lineRule="auto"/>
              <w:jc w:val="left"/>
              <w:rPr>
                <w:rFonts w:ascii="等线" w:hAnsi="等线" w:eastAsia="等线" w:cs="宋体"/>
                <w:color w:val="000000"/>
                <w:kern w:val="0"/>
                <w:sz w:val="22"/>
                <w:szCs w:val="22"/>
              </w:rPr>
            </w:pPr>
          </w:p>
        </w:tc>
      </w:tr>
    </w:tbl>
    <w:p w14:paraId="34F268EC">
      <w:pPr>
        <w:spacing w:line="360" w:lineRule="auto"/>
        <w:jc w:val="left"/>
        <w:rPr>
          <w:rFonts w:ascii="微软雅黑" w:hAnsi="微软雅黑" w:eastAsia="微软雅黑" w:cs="Times New Roman"/>
          <w:i/>
          <w:sz w:val="20"/>
          <w:szCs w:val="22"/>
        </w:rPr>
      </w:pPr>
    </w:p>
    <w:p w14:paraId="5DE27EDE">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666" w:name="_Toc10030"/>
      <w:bookmarkStart w:id="667" w:name="_Toc23836"/>
      <w:bookmarkStart w:id="668" w:name="_Toc30582"/>
      <w:bookmarkStart w:id="669" w:name="_Toc11278"/>
      <w:bookmarkStart w:id="670" w:name="_Toc14460"/>
      <w:r>
        <w:rPr>
          <w:rFonts w:hint="eastAsia" w:ascii="等线" w:hAnsi="等线" w:eastAsia="等线" w:cs="Times New Roman"/>
          <w:b/>
          <w:kern w:val="2"/>
          <w:sz w:val="24"/>
          <w:szCs w:val="24"/>
          <w:lang w:val="en-US" w:eastAsia="zh-CN" w:bidi="ar-SA"/>
        </w:rPr>
        <w:t>2.2 第三方软件类</w:t>
      </w:r>
      <w:bookmarkEnd w:id="666"/>
      <w:bookmarkEnd w:id="667"/>
      <w:bookmarkEnd w:id="668"/>
      <w:bookmarkEnd w:id="669"/>
      <w:bookmarkEnd w:id="670"/>
    </w:p>
    <w:p w14:paraId="673C87EA">
      <w:pPr>
        <w:spacing w:line="360" w:lineRule="auto"/>
        <w:jc w:val="left"/>
        <w:rPr>
          <w:rFonts w:ascii="微软雅黑" w:hAnsi="微软雅黑" w:eastAsia="微软雅黑" w:cs="Times New Roman"/>
          <w:iCs/>
          <w:sz w:val="24"/>
          <w:szCs w:val="22"/>
        </w:rPr>
      </w:pPr>
      <w:r>
        <w:rPr>
          <w:rFonts w:hint="eastAsia" w:ascii="微软雅黑" w:hAnsi="微软雅黑" w:eastAsia="微软雅黑" w:cs="Times New Roman"/>
          <w:iCs/>
          <w:sz w:val="20"/>
          <w:szCs w:val="22"/>
        </w:rPr>
        <w:t>第三方软件类是指软件中应用的第三方软件，包括数据库、中间件等。</w:t>
      </w:r>
    </w:p>
    <w:tbl>
      <w:tblPr>
        <w:tblStyle w:val="85"/>
        <w:tblW w:w="8522" w:type="dxa"/>
        <w:tblInd w:w="0" w:type="dxa"/>
        <w:tblLayout w:type="fixed"/>
        <w:tblCellMar>
          <w:top w:w="0" w:type="dxa"/>
          <w:left w:w="108" w:type="dxa"/>
          <w:bottom w:w="0" w:type="dxa"/>
          <w:right w:w="108" w:type="dxa"/>
        </w:tblCellMar>
      </w:tblPr>
      <w:tblGrid>
        <w:gridCol w:w="665"/>
        <w:gridCol w:w="1173"/>
        <w:gridCol w:w="1183"/>
        <w:gridCol w:w="770"/>
        <w:gridCol w:w="2362"/>
        <w:gridCol w:w="1639"/>
        <w:gridCol w:w="730"/>
      </w:tblGrid>
      <w:tr w14:paraId="6E9161C0">
        <w:tblPrEx>
          <w:tblCellMar>
            <w:top w:w="0" w:type="dxa"/>
            <w:left w:w="108" w:type="dxa"/>
            <w:bottom w:w="0" w:type="dxa"/>
            <w:right w:w="108" w:type="dxa"/>
          </w:tblCellMar>
        </w:tblPrEx>
        <w:trPr>
          <w:trHeight w:val="330" w:hRule="atLeast"/>
        </w:trPr>
        <w:tc>
          <w:tcPr>
            <w:tcW w:w="665" w:type="dxa"/>
            <w:tcBorders>
              <w:top w:val="single" w:color="auto" w:sz="4" w:space="0"/>
              <w:left w:val="single" w:color="auto" w:sz="4" w:space="0"/>
              <w:bottom w:val="single" w:color="auto" w:sz="4" w:space="0"/>
              <w:right w:val="single" w:color="auto" w:sz="4" w:space="0"/>
            </w:tcBorders>
            <w:noWrap/>
            <w:vAlign w:val="bottom"/>
          </w:tcPr>
          <w:p w14:paraId="7E1120FB">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序号</w:t>
            </w:r>
          </w:p>
        </w:tc>
        <w:tc>
          <w:tcPr>
            <w:tcW w:w="1173" w:type="dxa"/>
            <w:tcBorders>
              <w:top w:val="single" w:color="auto" w:sz="4" w:space="0"/>
              <w:left w:val="nil"/>
              <w:bottom w:val="single" w:color="auto" w:sz="4" w:space="0"/>
              <w:right w:val="single" w:color="auto" w:sz="4" w:space="0"/>
            </w:tcBorders>
            <w:noWrap/>
            <w:vAlign w:val="bottom"/>
          </w:tcPr>
          <w:p w14:paraId="15C651D4">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软件类别</w:t>
            </w:r>
          </w:p>
        </w:tc>
        <w:tc>
          <w:tcPr>
            <w:tcW w:w="1183" w:type="dxa"/>
            <w:tcBorders>
              <w:top w:val="single" w:color="auto" w:sz="4" w:space="0"/>
              <w:left w:val="nil"/>
              <w:bottom w:val="single" w:color="auto" w:sz="4" w:space="0"/>
              <w:right w:val="single" w:color="auto" w:sz="4" w:space="0"/>
            </w:tcBorders>
            <w:noWrap/>
            <w:vAlign w:val="bottom"/>
          </w:tcPr>
          <w:p w14:paraId="57C3119D">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名称</w:t>
            </w:r>
          </w:p>
        </w:tc>
        <w:tc>
          <w:tcPr>
            <w:tcW w:w="770" w:type="dxa"/>
            <w:tcBorders>
              <w:top w:val="single" w:color="auto" w:sz="4" w:space="0"/>
              <w:left w:val="nil"/>
              <w:bottom w:val="single" w:color="auto" w:sz="4" w:space="0"/>
              <w:right w:val="single" w:color="auto" w:sz="4" w:space="0"/>
            </w:tcBorders>
            <w:noWrap/>
            <w:vAlign w:val="bottom"/>
          </w:tcPr>
          <w:p w14:paraId="633ED7FD">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版本</w:t>
            </w:r>
          </w:p>
        </w:tc>
        <w:tc>
          <w:tcPr>
            <w:tcW w:w="2362" w:type="dxa"/>
            <w:tcBorders>
              <w:top w:val="single" w:color="auto" w:sz="4" w:space="0"/>
              <w:left w:val="nil"/>
              <w:bottom w:val="single" w:color="auto" w:sz="4" w:space="0"/>
              <w:right w:val="single" w:color="auto" w:sz="4" w:space="0"/>
            </w:tcBorders>
            <w:noWrap/>
            <w:vAlign w:val="bottom"/>
          </w:tcPr>
          <w:p w14:paraId="4C9967C7">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来源</w:t>
            </w:r>
          </w:p>
        </w:tc>
        <w:tc>
          <w:tcPr>
            <w:tcW w:w="1639" w:type="dxa"/>
            <w:tcBorders>
              <w:top w:val="single" w:color="auto" w:sz="4" w:space="0"/>
              <w:left w:val="nil"/>
              <w:bottom w:val="single" w:color="auto" w:sz="4" w:space="0"/>
              <w:right w:val="single" w:color="auto" w:sz="4" w:space="0"/>
            </w:tcBorders>
            <w:noWrap/>
            <w:vAlign w:val="bottom"/>
          </w:tcPr>
          <w:p w14:paraId="1968B321">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授权信息</w:t>
            </w:r>
          </w:p>
        </w:tc>
        <w:tc>
          <w:tcPr>
            <w:tcW w:w="730" w:type="dxa"/>
            <w:tcBorders>
              <w:top w:val="single" w:color="auto" w:sz="4" w:space="0"/>
              <w:left w:val="nil"/>
              <w:bottom w:val="single" w:color="auto" w:sz="4" w:space="0"/>
              <w:right w:val="single" w:color="auto" w:sz="4" w:space="0"/>
            </w:tcBorders>
            <w:noWrap/>
            <w:vAlign w:val="bottom"/>
          </w:tcPr>
          <w:p w14:paraId="4935DCEF">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其他</w:t>
            </w:r>
          </w:p>
        </w:tc>
      </w:tr>
      <w:tr w14:paraId="3AEB3DC0">
        <w:tblPrEx>
          <w:tblCellMar>
            <w:top w:w="0" w:type="dxa"/>
            <w:left w:w="108" w:type="dxa"/>
            <w:bottom w:w="0" w:type="dxa"/>
            <w:right w:w="108" w:type="dxa"/>
          </w:tblCellMar>
        </w:tblPrEx>
        <w:trPr>
          <w:trHeight w:val="281" w:hRule="atLeast"/>
        </w:trPr>
        <w:tc>
          <w:tcPr>
            <w:tcW w:w="665" w:type="dxa"/>
            <w:tcBorders>
              <w:top w:val="nil"/>
              <w:left w:val="single" w:color="auto" w:sz="4" w:space="0"/>
              <w:bottom w:val="single" w:color="auto" w:sz="4" w:space="0"/>
              <w:right w:val="single" w:color="auto" w:sz="4" w:space="0"/>
            </w:tcBorders>
            <w:noWrap/>
            <w:vAlign w:val="center"/>
          </w:tcPr>
          <w:p w14:paraId="1DA77A7C">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示例</w:t>
            </w:r>
            <w:r>
              <w:rPr>
                <w:rFonts w:ascii="微软雅黑" w:hAnsi="微软雅黑" w:eastAsia="微软雅黑" w:cs="Times New Roman"/>
                <w:i/>
                <w:color w:val="5B9BD5"/>
                <w:sz w:val="20"/>
                <w:szCs w:val="22"/>
              </w:rPr>
              <w:t>1</w:t>
            </w:r>
          </w:p>
        </w:tc>
        <w:tc>
          <w:tcPr>
            <w:tcW w:w="1173" w:type="dxa"/>
            <w:tcBorders>
              <w:top w:val="nil"/>
              <w:left w:val="nil"/>
              <w:bottom w:val="single" w:color="auto" w:sz="4" w:space="0"/>
              <w:right w:val="single" w:color="auto" w:sz="4" w:space="0"/>
            </w:tcBorders>
            <w:noWrap/>
            <w:vAlign w:val="center"/>
          </w:tcPr>
          <w:p w14:paraId="519946C5">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中间件</w:t>
            </w:r>
          </w:p>
        </w:tc>
        <w:tc>
          <w:tcPr>
            <w:tcW w:w="1183" w:type="dxa"/>
            <w:tcBorders>
              <w:top w:val="nil"/>
              <w:left w:val="nil"/>
              <w:bottom w:val="single" w:color="auto" w:sz="4" w:space="0"/>
              <w:right w:val="single" w:color="auto" w:sz="4" w:space="0"/>
            </w:tcBorders>
            <w:noWrap/>
            <w:vAlign w:val="center"/>
          </w:tcPr>
          <w:p w14:paraId="1248CCC7">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Apache kafka</w:t>
            </w:r>
          </w:p>
        </w:tc>
        <w:tc>
          <w:tcPr>
            <w:tcW w:w="770" w:type="dxa"/>
            <w:tcBorders>
              <w:top w:val="nil"/>
              <w:left w:val="nil"/>
              <w:bottom w:val="single" w:color="auto" w:sz="4" w:space="0"/>
              <w:right w:val="single" w:color="auto" w:sz="4" w:space="0"/>
            </w:tcBorders>
            <w:noWrap/>
            <w:vAlign w:val="center"/>
          </w:tcPr>
          <w:p w14:paraId="199F5DED">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3.7.0</w:t>
            </w:r>
          </w:p>
        </w:tc>
        <w:tc>
          <w:tcPr>
            <w:tcW w:w="2362" w:type="dxa"/>
            <w:tcBorders>
              <w:top w:val="nil"/>
              <w:left w:val="nil"/>
              <w:bottom w:val="single" w:color="auto" w:sz="4" w:space="0"/>
              <w:right w:val="single" w:color="auto" w:sz="4" w:space="0"/>
            </w:tcBorders>
            <w:noWrap/>
            <w:vAlign w:val="center"/>
          </w:tcPr>
          <w:p w14:paraId="71466AEF">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官网下载，下载链接：</w:t>
            </w:r>
            <w:r>
              <w:rPr>
                <w:rFonts w:ascii="微软雅黑" w:hAnsi="微软雅黑" w:eastAsia="微软雅黑" w:cs="Times New Roman"/>
                <w:i/>
                <w:color w:val="5B9BD5"/>
                <w:sz w:val="20"/>
                <w:szCs w:val="22"/>
              </w:rPr>
              <w:t>https://kafka.apache.org/downloads</w:t>
            </w:r>
          </w:p>
        </w:tc>
        <w:tc>
          <w:tcPr>
            <w:tcW w:w="1639" w:type="dxa"/>
            <w:tcBorders>
              <w:top w:val="nil"/>
              <w:left w:val="nil"/>
              <w:bottom w:val="single" w:color="auto" w:sz="4" w:space="0"/>
              <w:right w:val="single" w:color="auto" w:sz="4" w:space="0"/>
            </w:tcBorders>
            <w:noWrap/>
            <w:vAlign w:val="center"/>
          </w:tcPr>
          <w:p w14:paraId="46D29217">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开源，</w:t>
            </w:r>
            <w:r>
              <w:rPr>
                <w:rFonts w:ascii="微软雅黑" w:hAnsi="微软雅黑" w:eastAsia="微软雅黑" w:cs="Times New Roman"/>
                <w:i/>
                <w:color w:val="5B9BD5"/>
                <w:sz w:val="20"/>
                <w:szCs w:val="22"/>
              </w:rPr>
              <w:t>Apache License, Version 2.0</w:t>
            </w:r>
            <w:r>
              <w:rPr>
                <w:rFonts w:hint="eastAsia" w:ascii="微软雅黑" w:hAnsi="微软雅黑" w:eastAsia="微软雅黑" w:cs="Times New Roman"/>
                <w:i/>
                <w:color w:val="5B9BD5"/>
                <w:sz w:val="20"/>
                <w:szCs w:val="22"/>
              </w:rPr>
              <w:t>许可证授权</w:t>
            </w:r>
          </w:p>
        </w:tc>
        <w:tc>
          <w:tcPr>
            <w:tcW w:w="730" w:type="dxa"/>
            <w:tcBorders>
              <w:top w:val="nil"/>
              <w:left w:val="nil"/>
              <w:bottom w:val="single" w:color="auto" w:sz="4" w:space="0"/>
              <w:right w:val="single" w:color="auto" w:sz="4" w:space="0"/>
            </w:tcBorders>
            <w:noWrap/>
            <w:vAlign w:val="bottom"/>
          </w:tcPr>
          <w:p w14:paraId="1D968FFD">
            <w:pPr>
              <w:widowControl/>
              <w:spacing w:line="360" w:lineRule="auto"/>
              <w:jc w:val="left"/>
              <w:rPr>
                <w:rFonts w:ascii="等线" w:hAnsi="等线" w:eastAsia="等线" w:cs="宋体"/>
                <w:color w:val="000000"/>
                <w:kern w:val="0"/>
                <w:sz w:val="22"/>
                <w:szCs w:val="22"/>
              </w:rPr>
            </w:pPr>
          </w:p>
        </w:tc>
      </w:tr>
      <w:tr w14:paraId="2CC25C9A">
        <w:tblPrEx>
          <w:tblCellMar>
            <w:top w:w="0" w:type="dxa"/>
            <w:left w:w="108" w:type="dxa"/>
            <w:bottom w:w="0" w:type="dxa"/>
            <w:right w:w="108" w:type="dxa"/>
          </w:tblCellMar>
        </w:tblPrEx>
        <w:trPr>
          <w:trHeight w:val="281" w:hRule="atLeast"/>
        </w:trPr>
        <w:tc>
          <w:tcPr>
            <w:tcW w:w="665" w:type="dxa"/>
            <w:tcBorders>
              <w:top w:val="nil"/>
              <w:left w:val="single" w:color="auto" w:sz="4" w:space="0"/>
              <w:bottom w:val="single" w:color="auto" w:sz="4" w:space="0"/>
              <w:right w:val="single" w:color="auto" w:sz="4" w:space="0"/>
            </w:tcBorders>
            <w:noWrap/>
            <w:vAlign w:val="center"/>
          </w:tcPr>
          <w:p w14:paraId="5D38D09B">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示例2</w:t>
            </w:r>
          </w:p>
        </w:tc>
        <w:tc>
          <w:tcPr>
            <w:tcW w:w="1173" w:type="dxa"/>
            <w:tcBorders>
              <w:top w:val="nil"/>
              <w:left w:val="nil"/>
              <w:bottom w:val="single" w:color="auto" w:sz="4" w:space="0"/>
              <w:right w:val="single" w:color="auto" w:sz="4" w:space="0"/>
            </w:tcBorders>
            <w:noWrap/>
            <w:vAlign w:val="center"/>
          </w:tcPr>
          <w:p w14:paraId="6449A7C6">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数据库</w:t>
            </w:r>
          </w:p>
        </w:tc>
        <w:tc>
          <w:tcPr>
            <w:tcW w:w="1183" w:type="dxa"/>
            <w:tcBorders>
              <w:top w:val="nil"/>
              <w:left w:val="nil"/>
              <w:bottom w:val="single" w:color="auto" w:sz="4" w:space="0"/>
              <w:right w:val="single" w:color="auto" w:sz="4" w:space="0"/>
            </w:tcBorders>
            <w:noWrap/>
            <w:vAlign w:val="center"/>
          </w:tcPr>
          <w:p w14:paraId="22A7F527">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SQLite</w:t>
            </w:r>
          </w:p>
        </w:tc>
        <w:tc>
          <w:tcPr>
            <w:tcW w:w="770" w:type="dxa"/>
            <w:tcBorders>
              <w:top w:val="nil"/>
              <w:left w:val="nil"/>
              <w:bottom w:val="single" w:color="auto" w:sz="4" w:space="0"/>
              <w:right w:val="single" w:color="auto" w:sz="4" w:space="0"/>
            </w:tcBorders>
            <w:noWrap/>
            <w:vAlign w:val="center"/>
          </w:tcPr>
          <w:p w14:paraId="000A3B2F">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3.38</w:t>
            </w:r>
          </w:p>
        </w:tc>
        <w:tc>
          <w:tcPr>
            <w:tcW w:w="2362" w:type="dxa"/>
            <w:tcBorders>
              <w:top w:val="nil"/>
              <w:left w:val="nil"/>
              <w:bottom w:val="single" w:color="auto" w:sz="4" w:space="0"/>
              <w:right w:val="single" w:color="auto" w:sz="4" w:space="0"/>
            </w:tcBorders>
            <w:noWrap/>
            <w:vAlign w:val="center"/>
          </w:tcPr>
          <w:p w14:paraId="784D6A5F">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开源</w:t>
            </w:r>
            <w:r>
              <w:rPr>
                <w:rFonts w:ascii="微软雅黑" w:hAnsi="微软雅黑" w:eastAsia="微软雅黑" w:cs="Times New Roman"/>
                <w:i/>
                <w:color w:val="5B9BD5"/>
                <w:sz w:val="20"/>
                <w:szCs w:val="22"/>
              </w:rPr>
              <w:t>-</w:t>
            </w:r>
            <w:r>
              <w:rPr>
                <w:rFonts w:ascii="等线" w:hAnsi="等线" w:eastAsia="等线" w:cs="Times New Roman"/>
                <w:szCs w:val="22"/>
              </w:rPr>
              <w:fldChar w:fldCharType="begin"/>
            </w:r>
            <w:r>
              <w:rPr>
                <w:rFonts w:ascii="等线" w:hAnsi="等线" w:eastAsia="等线" w:cs="Times New Roman"/>
                <w:szCs w:val="22"/>
              </w:rPr>
              <w:instrText xml:space="preserve"> HYPERLINK "https://www.sqlite.org/download.html" \t "_blank" </w:instrText>
            </w:r>
            <w:r>
              <w:rPr>
                <w:rFonts w:ascii="等线" w:hAnsi="等线" w:eastAsia="等线" w:cs="Times New Roman"/>
                <w:szCs w:val="22"/>
              </w:rPr>
              <w:fldChar w:fldCharType="separate"/>
            </w:r>
            <w:r>
              <w:rPr>
                <w:rFonts w:ascii="微软雅黑" w:hAnsi="微软雅黑" w:eastAsia="微软雅黑" w:cs="Times New Roman"/>
                <w:i/>
                <w:color w:val="5B9BD5"/>
                <w:sz w:val="20"/>
                <w:szCs w:val="22"/>
              </w:rPr>
              <w:t>https://www.sqlite.org/download.html</w:t>
            </w:r>
            <w:r>
              <w:rPr>
                <w:rFonts w:ascii="微软雅黑" w:hAnsi="微软雅黑" w:eastAsia="微软雅黑" w:cs="Times New Roman"/>
                <w:i/>
                <w:color w:val="5B9BD5"/>
                <w:sz w:val="20"/>
                <w:szCs w:val="22"/>
              </w:rPr>
              <w:fldChar w:fldCharType="end"/>
            </w:r>
          </w:p>
        </w:tc>
        <w:tc>
          <w:tcPr>
            <w:tcW w:w="1639" w:type="dxa"/>
            <w:tcBorders>
              <w:top w:val="nil"/>
              <w:left w:val="nil"/>
              <w:bottom w:val="single" w:color="auto" w:sz="4" w:space="0"/>
              <w:right w:val="single" w:color="auto" w:sz="4" w:space="0"/>
            </w:tcBorders>
            <w:noWrap/>
            <w:vAlign w:val="center"/>
          </w:tcPr>
          <w:p w14:paraId="311E95CE">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BSD</w:t>
            </w:r>
            <w:r>
              <w:rPr>
                <w:rFonts w:hint="eastAsia" w:ascii="微软雅黑" w:hAnsi="微软雅黑" w:eastAsia="微软雅黑" w:cs="Times New Roman"/>
                <w:i/>
                <w:color w:val="5B9BD5"/>
                <w:sz w:val="20"/>
                <w:szCs w:val="22"/>
              </w:rPr>
              <w:t>（</w:t>
            </w:r>
            <w:r>
              <w:rPr>
                <w:rFonts w:ascii="微软雅黑" w:hAnsi="微软雅黑" w:eastAsia="微软雅黑" w:cs="Times New Roman"/>
                <w:i/>
                <w:color w:val="5B9BD5"/>
                <w:sz w:val="20"/>
                <w:szCs w:val="22"/>
              </w:rPr>
              <w:t>SQLite 所采用的开源许可证类型</w:t>
            </w:r>
            <w:r>
              <w:rPr>
                <w:rFonts w:hint="eastAsia" w:ascii="微软雅黑" w:hAnsi="微软雅黑" w:eastAsia="微软雅黑" w:cs="Times New Roman"/>
                <w:i/>
                <w:color w:val="5B9BD5"/>
                <w:sz w:val="20"/>
                <w:szCs w:val="22"/>
              </w:rPr>
              <w:t>）</w:t>
            </w:r>
          </w:p>
        </w:tc>
        <w:tc>
          <w:tcPr>
            <w:tcW w:w="730" w:type="dxa"/>
            <w:tcBorders>
              <w:top w:val="nil"/>
              <w:left w:val="nil"/>
              <w:bottom w:val="single" w:color="auto" w:sz="4" w:space="0"/>
              <w:right w:val="single" w:color="auto" w:sz="4" w:space="0"/>
            </w:tcBorders>
            <w:noWrap/>
            <w:vAlign w:val="bottom"/>
          </w:tcPr>
          <w:p w14:paraId="6B920E55">
            <w:pPr>
              <w:widowControl/>
              <w:spacing w:line="360" w:lineRule="auto"/>
              <w:jc w:val="left"/>
              <w:rPr>
                <w:rFonts w:ascii="等线" w:hAnsi="等线" w:eastAsia="等线" w:cs="宋体"/>
                <w:color w:val="000000"/>
                <w:kern w:val="0"/>
                <w:sz w:val="22"/>
                <w:szCs w:val="22"/>
              </w:rPr>
            </w:pPr>
          </w:p>
        </w:tc>
      </w:tr>
      <w:tr w14:paraId="170C80E0">
        <w:tblPrEx>
          <w:tblCellMar>
            <w:top w:w="0" w:type="dxa"/>
            <w:left w:w="108" w:type="dxa"/>
            <w:bottom w:w="0" w:type="dxa"/>
            <w:right w:w="108" w:type="dxa"/>
          </w:tblCellMar>
        </w:tblPrEx>
        <w:trPr>
          <w:trHeight w:val="281" w:hRule="atLeast"/>
        </w:trPr>
        <w:tc>
          <w:tcPr>
            <w:tcW w:w="665" w:type="dxa"/>
            <w:tcBorders>
              <w:top w:val="nil"/>
              <w:left w:val="single" w:color="auto" w:sz="4" w:space="0"/>
              <w:bottom w:val="single" w:color="auto" w:sz="4" w:space="0"/>
              <w:right w:val="single" w:color="auto" w:sz="4" w:space="0"/>
            </w:tcBorders>
            <w:noWrap/>
            <w:vAlign w:val="bottom"/>
          </w:tcPr>
          <w:p w14:paraId="3697F838">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1</w:t>
            </w:r>
          </w:p>
        </w:tc>
        <w:tc>
          <w:tcPr>
            <w:tcW w:w="1173" w:type="dxa"/>
            <w:tcBorders>
              <w:top w:val="nil"/>
              <w:left w:val="nil"/>
              <w:bottom w:val="single" w:color="auto" w:sz="4" w:space="0"/>
              <w:right w:val="single" w:color="auto" w:sz="4" w:space="0"/>
            </w:tcBorders>
            <w:noWrap/>
            <w:vAlign w:val="bottom"/>
          </w:tcPr>
          <w:p w14:paraId="2ACC40DE">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数据库</w:t>
            </w:r>
          </w:p>
        </w:tc>
        <w:tc>
          <w:tcPr>
            <w:tcW w:w="1183" w:type="dxa"/>
            <w:tcBorders>
              <w:top w:val="nil"/>
              <w:left w:val="nil"/>
              <w:bottom w:val="single" w:color="auto" w:sz="4" w:space="0"/>
              <w:right w:val="single" w:color="auto" w:sz="4" w:space="0"/>
            </w:tcBorders>
            <w:noWrap/>
            <w:vAlign w:val="bottom"/>
          </w:tcPr>
          <w:p w14:paraId="03234BFD">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70" w:type="dxa"/>
            <w:tcBorders>
              <w:top w:val="nil"/>
              <w:left w:val="nil"/>
              <w:bottom w:val="single" w:color="auto" w:sz="4" w:space="0"/>
              <w:right w:val="single" w:color="auto" w:sz="4" w:space="0"/>
            </w:tcBorders>
            <w:noWrap/>
            <w:vAlign w:val="bottom"/>
          </w:tcPr>
          <w:p w14:paraId="7D98C004">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2362" w:type="dxa"/>
            <w:tcBorders>
              <w:top w:val="nil"/>
              <w:left w:val="nil"/>
              <w:bottom w:val="single" w:color="auto" w:sz="4" w:space="0"/>
              <w:right w:val="single" w:color="auto" w:sz="4" w:space="0"/>
            </w:tcBorders>
            <w:noWrap/>
            <w:vAlign w:val="bottom"/>
          </w:tcPr>
          <w:p w14:paraId="0F74A94F">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1639" w:type="dxa"/>
            <w:tcBorders>
              <w:top w:val="nil"/>
              <w:left w:val="nil"/>
              <w:bottom w:val="single" w:color="auto" w:sz="4" w:space="0"/>
              <w:right w:val="single" w:color="auto" w:sz="4" w:space="0"/>
            </w:tcBorders>
            <w:noWrap/>
            <w:vAlign w:val="bottom"/>
          </w:tcPr>
          <w:p w14:paraId="55CEB546">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30" w:type="dxa"/>
            <w:tcBorders>
              <w:top w:val="nil"/>
              <w:left w:val="nil"/>
              <w:bottom w:val="single" w:color="auto" w:sz="4" w:space="0"/>
              <w:right w:val="single" w:color="auto" w:sz="4" w:space="0"/>
            </w:tcBorders>
            <w:noWrap/>
            <w:vAlign w:val="bottom"/>
          </w:tcPr>
          <w:p w14:paraId="19532CD6">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r>
      <w:tr w14:paraId="1FC0432B">
        <w:tblPrEx>
          <w:tblCellMar>
            <w:top w:w="0" w:type="dxa"/>
            <w:left w:w="108" w:type="dxa"/>
            <w:bottom w:w="0" w:type="dxa"/>
            <w:right w:w="108" w:type="dxa"/>
          </w:tblCellMar>
        </w:tblPrEx>
        <w:trPr>
          <w:trHeight w:val="280" w:hRule="atLeast"/>
        </w:trPr>
        <w:tc>
          <w:tcPr>
            <w:tcW w:w="665" w:type="dxa"/>
            <w:tcBorders>
              <w:top w:val="nil"/>
              <w:left w:val="single" w:color="auto" w:sz="4" w:space="0"/>
              <w:bottom w:val="single" w:color="auto" w:sz="4" w:space="0"/>
              <w:right w:val="single" w:color="auto" w:sz="4" w:space="0"/>
            </w:tcBorders>
            <w:noWrap/>
            <w:vAlign w:val="bottom"/>
          </w:tcPr>
          <w:p w14:paraId="266EC1F4">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2</w:t>
            </w:r>
          </w:p>
        </w:tc>
        <w:tc>
          <w:tcPr>
            <w:tcW w:w="1173" w:type="dxa"/>
            <w:tcBorders>
              <w:top w:val="nil"/>
              <w:left w:val="nil"/>
              <w:bottom w:val="single" w:color="auto" w:sz="4" w:space="0"/>
              <w:right w:val="single" w:color="auto" w:sz="4" w:space="0"/>
            </w:tcBorders>
            <w:noWrap/>
            <w:vAlign w:val="bottom"/>
          </w:tcPr>
          <w:p w14:paraId="56C35F36">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中间件</w:t>
            </w:r>
          </w:p>
        </w:tc>
        <w:tc>
          <w:tcPr>
            <w:tcW w:w="1183" w:type="dxa"/>
            <w:tcBorders>
              <w:top w:val="nil"/>
              <w:left w:val="nil"/>
              <w:bottom w:val="single" w:color="auto" w:sz="4" w:space="0"/>
              <w:right w:val="single" w:color="auto" w:sz="4" w:space="0"/>
            </w:tcBorders>
            <w:noWrap/>
            <w:vAlign w:val="bottom"/>
          </w:tcPr>
          <w:p w14:paraId="1E1A8373">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70" w:type="dxa"/>
            <w:tcBorders>
              <w:top w:val="nil"/>
              <w:left w:val="nil"/>
              <w:bottom w:val="single" w:color="auto" w:sz="4" w:space="0"/>
              <w:right w:val="single" w:color="auto" w:sz="4" w:space="0"/>
            </w:tcBorders>
            <w:noWrap/>
            <w:vAlign w:val="bottom"/>
          </w:tcPr>
          <w:p w14:paraId="30A1C329">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2362" w:type="dxa"/>
            <w:tcBorders>
              <w:top w:val="nil"/>
              <w:left w:val="nil"/>
              <w:bottom w:val="single" w:color="auto" w:sz="4" w:space="0"/>
              <w:right w:val="single" w:color="auto" w:sz="4" w:space="0"/>
            </w:tcBorders>
            <w:noWrap/>
            <w:vAlign w:val="bottom"/>
          </w:tcPr>
          <w:p w14:paraId="2B357506">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1639" w:type="dxa"/>
            <w:tcBorders>
              <w:top w:val="nil"/>
              <w:left w:val="nil"/>
              <w:bottom w:val="single" w:color="auto" w:sz="4" w:space="0"/>
              <w:right w:val="single" w:color="auto" w:sz="4" w:space="0"/>
            </w:tcBorders>
            <w:noWrap/>
            <w:vAlign w:val="bottom"/>
          </w:tcPr>
          <w:p w14:paraId="0F05B3A4">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30" w:type="dxa"/>
            <w:tcBorders>
              <w:top w:val="nil"/>
              <w:left w:val="nil"/>
              <w:bottom w:val="single" w:color="auto" w:sz="4" w:space="0"/>
              <w:right w:val="single" w:color="auto" w:sz="4" w:space="0"/>
            </w:tcBorders>
            <w:noWrap/>
            <w:vAlign w:val="bottom"/>
          </w:tcPr>
          <w:p w14:paraId="6D847A10">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r>
      <w:tr w14:paraId="5678224E">
        <w:tblPrEx>
          <w:tblCellMar>
            <w:top w:w="0" w:type="dxa"/>
            <w:left w:w="108" w:type="dxa"/>
            <w:bottom w:w="0" w:type="dxa"/>
            <w:right w:w="108" w:type="dxa"/>
          </w:tblCellMar>
        </w:tblPrEx>
        <w:trPr>
          <w:trHeight w:val="280" w:hRule="atLeast"/>
        </w:trPr>
        <w:tc>
          <w:tcPr>
            <w:tcW w:w="665" w:type="dxa"/>
            <w:tcBorders>
              <w:top w:val="nil"/>
              <w:left w:val="single" w:color="auto" w:sz="4" w:space="0"/>
              <w:bottom w:val="nil"/>
              <w:right w:val="single" w:color="auto" w:sz="4" w:space="0"/>
            </w:tcBorders>
            <w:noWrap/>
            <w:vAlign w:val="bottom"/>
          </w:tcPr>
          <w:p w14:paraId="0D8D1A26">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3</w:t>
            </w:r>
          </w:p>
        </w:tc>
        <w:tc>
          <w:tcPr>
            <w:tcW w:w="1173" w:type="dxa"/>
            <w:tcBorders>
              <w:top w:val="nil"/>
              <w:left w:val="nil"/>
              <w:bottom w:val="nil"/>
              <w:right w:val="single" w:color="auto" w:sz="4" w:space="0"/>
            </w:tcBorders>
            <w:noWrap/>
            <w:vAlign w:val="bottom"/>
          </w:tcPr>
          <w:p w14:paraId="26465DB3">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其他</w:t>
            </w:r>
          </w:p>
        </w:tc>
        <w:tc>
          <w:tcPr>
            <w:tcW w:w="1183" w:type="dxa"/>
            <w:tcBorders>
              <w:top w:val="nil"/>
              <w:left w:val="nil"/>
              <w:bottom w:val="nil"/>
              <w:right w:val="single" w:color="auto" w:sz="4" w:space="0"/>
            </w:tcBorders>
            <w:noWrap/>
            <w:vAlign w:val="bottom"/>
          </w:tcPr>
          <w:p w14:paraId="6E4906EF">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70" w:type="dxa"/>
            <w:tcBorders>
              <w:top w:val="nil"/>
              <w:left w:val="nil"/>
              <w:bottom w:val="nil"/>
              <w:right w:val="single" w:color="auto" w:sz="4" w:space="0"/>
            </w:tcBorders>
            <w:noWrap/>
            <w:vAlign w:val="bottom"/>
          </w:tcPr>
          <w:p w14:paraId="7F46C553">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2362" w:type="dxa"/>
            <w:tcBorders>
              <w:top w:val="nil"/>
              <w:left w:val="nil"/>
              <w:bottom w:val="nil"/>
              <w:right w:val="single" w:color="auto" w:sz="4" w:space="0"/>
            </w:tcBorders>
            <w:noWrap/>
            <w:vAlign w:val="bottom"/>
          </w:tcPr>
          <w:p w14:paraId="7A263264">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1639" w:type="dxa"/>
            <w:tcBorders>
              <w:top w:val="nil"/>
              <w:left w:val="nil"/>
              <w:bottom w:val="nil"/>
              <w:right w:val="single" w:color="auto" w:sz="4" w:space="0"/>
            </w:tcBorders>
            <w:noWrap/>
            <w:vAlign w:val="bottom"/>
          </w:tcPr>
          <w:p w14:paraId="16837DFF">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30" w:type="dxa"/>
            <w:tcBorders>
              <w:top w:val="nil"/>
              <w:left w:val="nil"/>
              <w:bottom w:val="nil"/>
              <w:right w:val="single" w:color="auto" w:sz="4" w:space="0"/>
            </w:tcBorders>
            <w:noWrap/>
            <w:vAlign w:val="bottom"/>
          </w:tcPr>
          <w:p w14:paraId="48E4AE71">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r>
      <w:tr w14:paraId="7EE1A5E7">
        <w:tblPrEx>
          <w:tblCellMar>
            <w:top w:w="0" w:type="dxa"/>
            <w:left w:w="108" w:type="dxa"/>
            <w:bottom w:w="0" w:type="dxa"/>
            <w:right w:w="108" w:type="dxa"/>
          </w:tblCellMar>
        </w:tblPrEx>
        <w:trPr>
          <w:trHeight w:val="280" w:hRule="atLeast"/>
        </w:trPr>
        <w:tc>
          <w:tcPr>
            <w:tcW w:w="665" w:type="dxa"/>
            <w:tcBorders>
              <w:top w:val="nil"/>
              <w:left w:val="single" w:color="auto" w:sz="4" w:space="0"/>
              <w:bottom w:val="single" w:color="auto" w:sz="4" w:space="0"/>
              <w:right w:val="single" w:color="auto" w:sz="4" w:space="0"/>
            </w:tcBorders>
            <w:noWrap/>
            <w:vAlign w:val="bottom"/>
          </w:tcPr>
          <w:p w14:paraId="004C72E6">
            <w:pPr>
              <w:widowControl/>
              <w:spacing w:line="360" w:lineRule="auto"/>
              <w:jc w:val="left"/>
              <w:rPr>
                <w:rFonts w:ascii="等线" w:hAnsi="等线" w:eastAsia="等线" w:cs="宋体"/>
                <w:color w:val="000000"/>
                <w:kern w:val="0"/>
                <w:sz w:val="22"/>
                <w:szCs w:val="22"/>
              </w:rPr>
            </w:pPr>
            <w:r>
              <w:rPr>
                <w:rFonts w:ascii="等线" w:hAnsi="等线" w:eastAsia="等线" w:cs="宋体"/>
                <w:color w:val="000000"/>
                <w:kern w:val="0"/>
                <w:sz w:val="22"/>
                <w:szCs w:val="22"/>
              </w:rPr>
              <w:t>…</w:t>
            </w:r>
          </w:p>
        </w:tc>
        <w:tc>
          <w:tcPr>
            <w:tcW w:w="1173" w:type="dxa"/>
            <w:tcBorders>
              <w:top w:val="nil"/>
              <w:left w:val="nil"/>
              <w:bottom w:val="single" w:color="auto" w:sz="4" w:space="0"/>
              <w:right w:val="single" w:color="auto" w:sz="4" w:space="0"/>
            </w:tcBorders>
            <w:noWrap/>
            <w:vAlign w:val="bottom"/>
          </w:tcPr>
          <w:p w14:paraId="1AEB9BD8">
            <w:pPr>
              <w:widowControl/>
              <w:spacing w:line="360" w:lineRule="auto"/>
              <w:jc w:val="left"/>
              <w:rPr>
                <w:rFonts w:ascii="等线" w:hAnsi="等线" w:eastAsia="等线" w:cs="宋体"/>
                <w:color w:val="000000"/>
                <w:kern w:val="0"/>
                <w:sz w:val="22"/>
                <w:szCs w:val="22"/>
              </w:rPr>
            </w:pPr>
          </w:p>
        </w:tc>
        <w:tc>
          <w:tcPr>
            <w:tcW w:w="1183" w:type="dxa"/>
            <w:tcBorders>
              <w:top w:val="nil"/>
              <w:left w:val="nil"/>
              <w:bottom w:val="single" w:color="auto" w:sz="4" w:space="0"/>
              <w:right w:val="single" w:color="auto" w:sz="4" w:space="0"/>
            </w:tcBorders>
            <w:noWrap/>
            <w:vAlign w:val="bottom"/>
          </w:tcPr>
          <w:p w14:paraId="6F129921">
            <w:pPr>
              <w:widowControl/>
              <w:spacing w:line="360" w:lineRule="auto"/>
              <w:jc w:val="left"/>
              <w:rPr>
                <w:rFonts w:ascii="等线" w:hAnsi="等线" w:eastAsia="等线" w:cs="宋体"/>
                <w:color w:val="000000"/>
                <w:kern w:val="0"/>
                <w:sz w:val="22"/>
                <w:szCs w:val="22"/>
              </w:rPr>
            </w:pPr>
          </w:p>
        </w:tc>
        <w:tc>
          <w:tcPr>
            <w:tcW w:w="770" w:type="dxa"/>
            <w:tcBorders>
              <w:top w:val="nil"/>
              <w:left w:val="nil"/>
              <w:bottom w:val="single" w:color="auto" w:sz="4" w:space="0"/>
              <w:right w:val="single" w:color="auto" w:sz="4" w:space="0"/>
            </w:tcBorders>
            <w:noWrap/>
            <w:vAlign w:val="bottom"/>
          </w:tcPr>
          <w:p w14:paraId="4090AA0C">
            <w:pPr>
              <w:widowControl/>
              <w:spacing w:line="360" w:lineRule="auto"/>
              <w:jc w:val="left"/>
              <w:rPr>
                <w:rFonts w:ascii="等线" w:hAnsi="等线" w:eastAsia="等线" w:cs="宋体"/>
                <w:color w:val="000000"/>
                <w:kern w:val="0"/>
                <w:sz w:val="22"/>
                <w:szCs w:val="22"/>
              </w:rPr>
            </w:pPr>
          </w:p>
        </w:tc>
        <w:tc>
          <w:tcPr>
            <w:tcW w:w="2362" w:type="dxa"/>
            <w:tcBorders>
              <w:top w:val="nil"/>
              <w:left w:val="nil"/>
              <w:bottom w:val="single" w:color="auto" w:sz="4" w:space="0"/>
              <w:right w:val="single" w:color="auto" w:sz="4" w:space="0"/>
            </w:tcBorders>
            <w:noWrap/>
            <w:vAlign w:val="bottom"/>
          </w:tcPr>
          <w:p w14:paraId="0E33BC9D">
            <w:pPr>
              <w:widowControl/>
              <w:spacing w:line="360" w:lineRule="auto"/>
              <w:jc w:val="left"/>
              <w:rPr>
                <w:rFonts w:ascii="等线" w:hAnsi="等线" w:eastAsia="等线" w:cs="宋体"/>
                <w:color w:val="000000"/>
                <w:kern w:val="0"/>
                <w:sz w:val="22"/>
                <w:szCs w:val="22"/>
              </w:rPr>
            </w:pPr>
          </w:p>
        </w:tc>
        <w:tc>
          <w:tcPr>
            <w:tcW w:w="1639" w:type="dxa"/>
            <w:tcBorders>
              <w:top w:val="nil"/>
              <w:left w:val="nil"/>
              <w:bottom w:val="single" w:color="auto" w:sz="4" w:space="0"/>
              <w:right w:val="single" w:color="auto" w:sz="4" w:space="0"/>
            </w:tcBorders>
            <w:noWrap/>
            <w:vAlign w:val="bottom"/>
          </w:tcPr>
          <w:p w14:paraId="717194ED">
            <w:pPr>
              <w:widowControl/>
              <w:spacing w:line="360" w:lineRule="auto"/>
              <w:jc w:val="left"/>
              <w:rPr>
                <w:rFonts w:ascii="等线" w:hAnsi="等线" w:eastAsia="等线" w:cs="宋体"/>
                <w:color w:val="000000"/>
                <w:kern w:val="0"/>
                <w:sz w:val="22"/>
                <w:szCs w:val="22"/>
              </w:rPr>
            </w:pPr>
          </w:p>
        </w:tc>
        <w:tc>
          <w:tcPr>
            <w:tcW w:w="730" w:type="dxa"/>
            <w:tcBorders>
              <w:top w:val="nil"/>
              <w:left w:val="nil"/>
              <w:bottom w:val="single" w:color="auto" w:sz="4" w:space="0"/>
              <w:right w:val="single" w:color="auto" w:sz="4" w:space="0"/>
            </w:tcBorders>
            <w:noWrap/>
            <w:vAlign w:val="bottom"/>
          </w:tcPr>
          <w:p w14:paraId="7CE5C943">
            <w:pPr>
              <w:widowControl/>
              <w:spacing w:line="360" w:lineRule="auto"/>
              <w:jc w:val="left"/>
              <w:rPr>
                <w:rFonts w:ascii="等线" w:hAnsi="等线" w:eastAsia="等线" w:cs="宋体"/>
                <w:color w:val="000000"/>
                <w:kern w:val="0"/>
                <w:sz w:val="22"/>
                <w:szCs w:val="22"/>
              </w:rPr>
            </w:pPr>
          </w:p>
        </w:tc>
      </w:tr>
    </w:tbl>
    <w:p w14:paraId="1533D8A6">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671" w:name="_Toc7737"/>
      <w:bookmarkStart w:id="672" w:name="_Toc19850"/>
      <w:bookmarkStart w:id="673" w:name="_Toc23169"/>
      <w:bookmarkStart w:id="674" w:name="_Toc1755"/>
      <w:bookmarkStart w:id="675" w:name="_Toc24990"/>
      <w:bookmarkStart w:id="676" w:name="_Toc6854"/>
      <w:r>
        <w:rPr>
          <w:rFonts w:hint="eastAsia" w:ascii="等线" w:hAnsi="等线" w:eastAsia="等线" w:cs="Times New Roman"/>
          <w:b/>
          <w:kern w:val="2"/>
          <w:sz w:val="24"/>
          <w:szCs w:val="24"/>
          <w:lang w:val="en-US" w:eastAsia="zh-CN" w:bidi="ar-SA"/>
        </w:rPr>
        <w:t>2.3 开源软件类</w:t>
      </w:r>
      <w:bookmarkEnd w:id="671"/>
      <w:bookmarkEnd w:id="672"/>
      <w:bookmarkEnd w:id="673"/>
      <w:bookmarkEnd w:id="674"/>
      <w:bookmarkEnd w:id="675"/>
      <w:bookmarkEnd w:id="676"/>
    </w:p>
    <w:p w14:paraId="19775E2F">
      <w:pPr>
        <w:spacing w:line="360" w:lineRule="auto"/>
        <w:jc w:val="left"/>
        <w:rPr>
          <w:rFonts w:ascii="等线" w:hAnsi="等线" w:eastAsia="等线" w:cs="Times New Roman"/>
          <w:sz w:val="24"/>
          <w:szCs w:val="24"/>
        </w:rPr>
      </w:pPr>
      <w:r>
        <w:rPr>
          <w:rFonts w:hint="eastAsia" w:ascii="微软雅黑" w:hAnsi="微软雅黑" w:eastAsia="微软雅黑" w:cs="Times New Roman"/>
          <w:iCs/>
          <w:sz w:val="20"/>
          <w:szCs w:val="22"/>
        </w:rPr>
        <w:t>开源软件类是指软件中应用的开源组件。</w:t>
      </w:r>
    </w:p>
    <w:tbl>
      <w:tblPr>
        <w:tblStyle w:val="8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006"/>
        <w:gridCol w:w="737"/>
        <w:gridCol w:w="1448"/>
        <w:gridCol w:w="1448"/>
        <w:gridCol w:w="2299"/>
        <w:gridCol w:w="1125"/>
      </w:tblGrid>
      <w:tr w14:paraId="76DF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376" w:type="pct"/>
            <w:noWrap/>
            <w:vAlign w:val="center"/>
          </w:tcPr>
          <w:p w14:paraId="4530F7B9">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序号</w:t>
            </w:r>
          </w:p>
        </w:tc>
        <w:tc>
          <w:tcPr>
            <w:tcW w:w="577" w:type="pct"/>
            <w:noWrap/>
            <w:vAlign w:val="center"/>
          </w:tcPr>
          <w:p w14:paraId="63412E69">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组件名称</w:t>
            </w:r>
          </w:p>
        </w:tc>
        <w:tc>
          <w:tcPr>
            <w:tcW w:w="423" w:type="pct"/>
            <w:noWrap/>
            <w:vAlign w:val="center"/>
          </w:tcPr>
          <w:p w14:paraId="5B6DBC45">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组件版本</w:t>
            </w:r>
          </w:p>
        </w:tc>
        <w:tc>
          <w:tcPr>
            <w:tcW w:w="830" w:type="pct"/>
            <w:noWrap w:val="0"/>
            <w:vAlign w:val="center"/>
          </w:tcPr>
          <w:p w14:paraId="02E4464E">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组件厂商或托管组织</w:t>
            </w:r>
          </w:p>
        </w:tc>
        <w:tc>
          <w:tcPr>
            <w:tcW w:w="830" w:type="pct"/>
            <w:noWrap/>
            <w:vAlign w:val="center"/>
          </w:tcPr>
          <w:p w14:paraId="78EEDCD7">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组件来源链接</w:t>
            </w:r>
          </w:p>
        </w:tc>
        <w:tc>
          <w:tcPr>
            <w:tcW w:w="1319" w:type="pct"/>
            <w:noWrap/>
            <w:vAlign w:val="center"/>
          </w:tcPr>
          <w:p w14:paraId="352441A7">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依赖关系</w:t>
            </w:r>
          </w:p>
          <w:p w14:paraId="28903C79">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w:t>
            </w:r>
            <w:r>
              <w:rPr>
                <w:rFonts w:hint="eastAsia" w:ascii="微软雅黑" w:hAnsi="微软雅黑" w:eastAsia="微软雅黑" w:cs="Times New Roman"/>
                <w:b/>
                <w:sz w:val="20"/>
                <w:szCs w:val="22"/>
              </w:rPr>
              <w:t>直接依赖</w:t>
            </w:r>
            <w:r>
              <w:rPr>
                <w:rFonts w:hint="eastAsia" w:ascii="微软雅黑" w:hAnsi="微软雅黑" w:eastAsia="微软雅黑" w:cs="Times New Roman"/>
                <w:sz w:val="20"/>
                <w:szCs w:val="22"/>
              </w:rPr>
              <w:t xml:space="preserve">-软件包直接使用的组件、 </w:t>
            </w:r>
            <w:r>
              <w:rPr>
                <w:rFonts w:hint="eastAsia" w:ascii="微软雅黑" w:hAnsi="微软雅黑" w:eastAsia="微软雅黑" w:cs="Times New Roman"/>
                <w:b/>
                <w:sz w:val="20"/>
                <w:szCs w:val="22"/>
              </w:rPr>
              <w:t>间接依赖</w:t>
            </w:r>
            <w:r>
              <w:rPr>
                <w:rFonts w:hint="eastAsia" w:ascii="微软雅黑" w:hAnsi="微软雅黑" w:eastAsia="微软雅黑" w:cs="Times New Roman"/>
                <w:sz w:val="20"/>
                <w:szCs w:val="22"/>
              </w:rPr>
              <w:t>-直接依赖的组件所依赖的组件）</w:t>
            </w:r>
          </w:p>
        </w:tc>
        <w:tc>
          <w:tcPr>
            <w:tcW w:w="645" w:type="pct"/>
            <w:noWrap/>
            <w:vAlign w:val="center"/>
          </w:tcPr>
          <w:p w14:paraId="3FF28913">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许可证</w:t>
            </w:r>
          </w:p>
        </w:tc>
      </w:tr>
      <w:tr w14:paraId="6D19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376" w:type="pct"/>
            <w:noWrap/>
            <w:vAlign w:val="center"/>
          </w:tcPr>
          <w:p w14:paraId="216C47CB">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示例</w:t>
            </w:r>
          </w:p>
        </w:tc>
        <w:tc>
          <w:tcPr>
            <w:tcW w:w="577" w:type="pct"/>
            <w:noWrap/>
            <w:vAlign w:val="center"/>
          </w:tcPr>
          <w:p w14:paraId="5FA2D7EB">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spring-co</w:t>
            </w:r>
          </w:p>
        </w:tc>
        <w:tc>
          <w:tcPr>
            <w:tcW w:w="423" w:type="pct"/>
            <w:noWrap/>
            <w:vAlign w:val="center"/>
          </w:tcPr>
          <w:p w14:paraId="764F3E94">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5.3.19</w:t>
            </w:r>
          </w:p>
        </w:tc>
        <w:tc>
          <w:tcPr>
            <w:tcW w:w="830" w:type="pct"/>
            <w:noWrap w:val="0"/>
            <w:vAlign w:val="center"/>
          </w:tcPr>
          <w:p w14:paraId="65CA2A88">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org.springfr</w:t>
            </w:r>
          </w:p>
        </w:tc>
        <w:tc>
          <w:tcPr>
            <w:tcW w:w="830" w:type="pct"/>
            <w:noWrap/>
            <w:vAlign w:val="center"/>
          </w:tcPr>
          <w:p w14:paraId="2148BF26">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https://mvnre</w:t>
            </w:r>
          </w:p>
        </w:tc>
        <w:tc>
          <w:tcPr>
            <w:tcW w:w="1319" w:type="pct"/>
            <w:noWrap/>
            <w:vAlign w:val="center"/>
          </w:tcPr>
          <w:p w14:paraId="47614955">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直接依赖</w:t>
            </w:r>
          </w:p>
        </w:tc>
        <w:tc>
          <w:tcPr>
            <w:tcW w:w="645" w:type="pct"/>
            <w:noWrap/>
            <w:vAlign w:val="center"/>
          </w:tcPr>
          <w:p w14:paraId="6A8F7C79">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 xml:space="preserve">Apache </w:t>
            </w:r>
          </w:p>
        </w:tc>
      </w:tr>
      <w:tr w14:paraId="167B3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6" w:type="pct"/>
            <w:noWrap/>
            <w:vAlign w:val="center"/>
          </w:tcPr>
          <w:p w14:paraId="5BABD11C">
            <w:pPr>
              <w:widowControl/>
              <w:jc w:val="left"/>
              <w:textAlignment w:val="center"/>
              <w:rPr>
                <w:rFonts w:ascii="微软雅黑" w:hAnsi="微软雅黑" w:eastAsia="微软雅黑" w:cs="宋体"/>
                <w:color w:val="000000"/>
                <w:szCs w:val="21"/>
              </w:rPr>
            </w:pPr>
            <w:r>
              <w:rPr>
                <w:rFonts w:hint="eastAsia" w:ascii="微软雅黑" w:hAnsi="微软雅黑" w:eastAsia="微软雅黑" w:cs="宋体"/>
                <w:color w:val="000000"/>
                <w:szCs w:val="21"/>
              </w:rPr>
              <w:t>1</w:t>
            </w:r>
          </w:p>
        </w:tc>
        <w:tc>
          <w:tcPr>
            <w:tcW w:w="577" w:type="pct"/>
            <w:noWrap/>
            <w:vAlign w:val="center"/>
          </w:tcPr>
          <w:p w14:paraId="543AF97C">
            <w:pPr>
              <w:widowControl/>
              <w:jc w:val="left"/>
              <w:textAlignment w:val="center"/>
              <w:rPr>
                <w:rFonts w:ascii="微软雅黑" w:hAnsi="微软雅黑" w:eastAsia="微软雅黑" w:cs="微软雅黑"/>
                <w:i/>
                <w:iCs/>
                <w:color w:val="000000"/>
                <w:szCs w:val="21"/>
              </w:rPr>
            </w:pPr>
          </w:p>
        </w:tc>
        <w:tc>
          <w:tcPr>
            <w:tcW w:w="423" w:type="pct"/>
            <w:noWrap/>
            <w:vAlign w:val="center"/>
          </w:tcPr>
          <w:p w14:paraId="4FC559DE">
            <w:pPr>
              <w:widowControl/>
              <w:jc w:val="left"/>
              <w:textAlignment w:val="center"/>
              <w:rPr>
                <w:rFonts w:ascii="微软雅黑" w:hAnsi="微软雅黑" w:eastAsia="微软雅黑" w:cs="微软雅黑"/>
                <w:i/>
                <w:iCs/>
                <w:color w:val="000000"/>
                <w:szCs w:val="21"/>
              </w:rPr>
            </w:pPr>
          </w:p>
        </w:tc>
        <w:tc>
          <w:tcPr>
            <w:tcW w:w="830" w:type="pct"/>
            <w:noWrap w:val="0"/>
            <w:vAlign w:val="center"/>
          </w:tcPr>
          <w:p w14:paraId="24B2A419">
            <w:pPr>
              <w:widowControl/>
              <w:jc w:val="left"/>
              <w:textAlignment w:val="center"/>
              <w:rPr>
                <w:rFonts w:ascii="微软雅黑" w:hAnsi="微软雅黑" w:eastAsia="微软雅黑" w:cs="微软雅黑"/>
                <w:i/>
                <w:iCs/>
                <w:color w:val="000000"/>
                <w:szCs w:val="21"/>
              </w:rPr>
            </w:pPr>
          </w:p>
        </w:tc>
        <w:tc>
          <w:tcPr>
            <w:tcW w:w="830" w:type="pct"/>
            <w:noWrap/>
            <w:vAlign w:val="center"/>
          </w:tcPr>
          <w:p w14:paraId="3FE2603E">
            <w:pPr>
              <w:widowControl/>
              <w:jc w:val="left"/>
              <w:textAlignment w:val="center"/>
              <w:rPr>
                <w:rFonts w:ascii="微软雅黑" w:hAnsi="微软雅黑" w:eastAsia="微软雅黑" w:cs="微软雅黑"/>
                <w:i/>
                <w:iCs/>
                <w:color w:val="000000"/>
                <w:szCs w:val="21"/>
              </w:rPr>
            </w:pPr>
          </w:p>
        </w:tc>
        <w:tc>
          <w:tcPr>
            <w:tcW w:w="1319" w:type="pct"/>
            <w:noWrap/>
            <w:vAlign w:val="center"/>
          </w:tcPr>
          <w:p w14:paraId="14BF0128">
            <w:pPr>
              <w:widowControl/>
              <w:jc w:val="left"/>
              <w:textAlignment w:val="center"/>
              <w:rPr>
                <w:rFonts w:ascii="微软雅黑" w:hAnsi="微软雅黑" w:eastAsia="微软雅黑" w:cs="微软雅黑"/>
                <w:i/>
                <w:iCs/>
                <w:color w:val="000000"/>
                <w:szCs w:val="21"/>
              </w:rPr>
            </w:pPr>
          </w:p>
        </w:tc>
        <w:tc>
          <w:tcPr>
            <w:tcW w:w="645" w:type="pct"/>
            <w:noWrap/>
            <w:vAlign w:val="center"/>
          </w:tcPr>
          <w:p w14:paraId="32478471">
            <w:pPr>
              <w:widowControl/>
              <w:jc w:val="left"/>
              <w:textAlignment w:val="center"/>
              <w:rPr>
                <w:rFonts w:ascii="微软雅黑" w:hAnsi="微软雅黑" w:eastAsia="微软雅黑" w:cs="微软雅黑"/>
                <w:i/>
                <w:iCs/>
                <w:color w:val="000000"/>
                <w:szCs w:val="21"/>
              </w:rPr>
            </w:pPr>
          </w:p>
        </w:tc>
      </w:tr>
      <w:tr w14:paraId="16E3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76" w:type="pct"/>
            <w:noWrap/>
            <w:vAlign w:val="center"/>
          </w:tcPr>
          <w:p w14:paraId="27E3A4CB">
            <w:pPr>
              <w:widowControl/>
              <w:jc w:val="left"/>
              <w:textAlignment w:val="center"/>
              <w:rPr>
                <w:rFonts w:ascii="微软雅黑" w:hAnsi="微软雅黑" w:eastAsia="微软雅黑" w:cs="宋体"/>
                <w:color w:val="000000"/>
                <w:szCs w:val="21"/>
              </w:rPr>
            </w:pPr>
            <w:r>
              <w:rPr>
                <w:rFonts w:hint="eastAsia" w:ascii="微软雅黑" w:hAnsi="微软雅黑" w:eastAsia="微软雅黑" w:cs="宋体"/>
                <w:color w:val="000000"/>
                <w:szCs w:val="21"/>
              </w:rPr>
              <w:t>2</w:t>
            </w:r>
          </w:p>
        </w:tc>
        <w:tc>
          <w:tcPr>
            <w:tcW w:w="577" w:type="pct"/>
            <w:noWrap/>
            <w:vAlign w:val="center"/>
          </w:tcPr>
          <w:p w14:paraId="03F0A7D2">
            <w:pPr>
              <w:widowControl/>
              <w:jc w:val="left"/>
              <w:textAlignment w:val="center"/>
              <w:rPr>
                <w:rFonts w:ascii="微软雅黑" w:hAnsi="微软雅黑" w:eastAsia="微软雅黑" w:cs="微软雅黑"/>
                <w:i/>
                <w:iCs/>
                <w:color w:val="000000"/>
                <w:szCs w:val="21"/>
              </w:rPr>
            </w:pPr>
          </w:p>
        </w:tc>
        <w:tc>
          <w:tcPr>
            <w:tcW w:w="423" w:type="pct"/>
            <w:noWrap/>
            <w:vAlign w:val="center"/>
          </w:tcPr>
          <w:p w14:paraId="7B1427DC">
            <w:pPr>
              <w:widowControl/>
              <w:jc w:val="left"/>
              <w:textAlignment w:val="center"/>
              <w:rPr>
                <w:rFonts w:ascii="微软雅黑" w:hAnsi="微软雅黑" w:eastAsia="微软雅黑" w:cs="微软雅黑"/>
                <w:i/>
                <w:iCs/>
                <w:color w:val="000000"/>
                <w:szCs w:val="21"/>
              </w:rPr>
            </w:pPr>
          </w:p>
        </w:tc>
        <w:tc>
          <w:tcPr>
            <w:tcW w:w="830" w:type="pct"/>
            <w:noWrap w:val="0"/>
            <w:vAlign w:val="center"/>
          </w:tcPr>
          <w:p w14:paraId="49F07AF8">
            <w:pPr>
              <w:widowControl/>
              <w:jc w:val="left"/>
              <w:textAlignment w:val="center"/>
              <w:rPr>
                <w:rFonts w:ascii="微软雅黑" w:hAnsi="微软雅黑" w:eastAsia="微软雅黑" w:cs="微软雅黑"/>
                <w:i/>
                <w:iCs/>
                <w:color w:val="000000"/>
                <w:szCs w:val="21"/>
              </w:rPr>
            </w:pPr>
          </w:p>
        </w:tc>
        <w:tc>
          <w:tcPr>
            <w:tcW w:w="830" w:type="pct"/>
            <w:noWrap/>
            <w:vAlign w:val="center"/>
          </w:tcPr>
          <w:p w14:paraId="43FAF534">
            <w:pPr>
              <w:widowControl/>
              <w:jc w:val="left"/>
              <w:textAlignment w:val="center"/>
              <w:rPr>
                <w:rFonts w:ascii="微软雅黑" w:hAnsi="微软雅黑" w:eastAsia="微软雅黑" w:cs="微软雅黑"/>
                <w:i/>
                <w:iCs/>
                <w:color w:val="000000"/>
                <w:szCs w:val="21"/>
              </w:rPr>
            </w:pPr>
          </w:p>
        </w:tc>
        <w:tc>
          <w:tcPr>
            <w:tcW w:w="1319" w:type="pct"/>
            <w:noWrap/>
            <w:vAlign w:val="center"/>
          </w:tcPr>
          <w:p w14:paraId="78438B5A">
            <w:pPr>
              <w:widowControl/>
              <w:jc w:val="left"/>
              <w:textAlignment w:val="center"/>
              <w:rPr>
                <w:rFonts w:ascii="微软雅黑" w:hAnsi="微软雅黑" w:eastAsia="微软雅黑" w:cs="微软雅黑"/>
                <w:i/>
                <w:iCs/>
                <w:color w:val="000000"/>
                <w:szCs w:val="21"/>
              </w:rPr>
            </w:pPr>
          </w:p>
        </w:tc>
        <w:tc>
          <w:tcPr>
            <w:tcW w:w="645" w:type="pct"/>
            <w:noWrap/>
            <w:vAlign w:val="center"/>
          </w:tcPr>
          <w:p w14:paraId="028D5DE8">
            <w:pPr>
              <w:widowControl/>
              <w:jc w:val="left"/>
              <w:textAlignment w:val="center"/>
              <w:rPr>
                <w:rFonts w:ascii="微软雅黑" w:hAnsi="微软雅黑" w:eastAsia="微软雅黑" w:cs="微软雅黑"/>
                <w:i/>
                <w:iCs/>
                <w:color w:val="000000"/>
                <w:szCs w:val="21"/>
              </w:rPr>
            </w:pPr>
          </w:p>
        </w:tc>
      </w:tr>
      <w:tr w14:paraId="2177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76" w:type="pct"/>
            <w:noWrap/>
            <w:vAlign w:val="center"/>
          </w:tcPr>
          <w:p w14:paraId="5446D384">
            <w:pPr>
              <w:widowControl/>
              <w:jc w:val="left"/>
              <w:textAlignment w:val="center"/>
              <w:rPr>
                <w:rFonts w:ascii="微软雅黑" w:hAnsi="微软雅黑" w:eastAsia="微软雅黑" w:cs="宋体"/>
                <w:color w:val="000000"/>
                <w:szCs w:val="21"/>
              </w:rPr>
            </w:pPr>
            <w:r>
              <w:rPr>
                <w:rFonts w:ascii="微软雅黑" w:hAnsi="微软雅黑" w:eastAsia="微软雅黑" w:cs="宋体"/>
                <w:color w:val="000000"/>
                <w:szCs w:val="21"/>
              </w:rPr>
              <w:t>…</w:t>
            </w:r>
          </w:p>
        </w:tc>
        <w:tc>
          <w:tcPr>
            <w:tcW w:w="577" w:type="pct"/>
            <w:noWrap/>
            <w:vAlign w:val="center"/>
          </w:tcPr>
          <w:p w14:paraId="6F4F5697">
            <w:pPr>
              <w:widowControl/>
              <w:jc w:val="left"/>
              <w:textAlignment w:val="center"/>
              <w:rPr>
                <w:rFonts w:ascii="微软雅黑" w:hAnsi="微软雅黑" w:eastAsia="微软雅黑" w:cs="微软雅黑"/>
                <w:i/>
                <w:iCs/>
                <w:color w:val="000000"/>
                <w:szCs w:val="21"/>
              </w:rPr>
            </w:pPr>
          </w:p>
        </w:tc>
        <w:tc>
          <w:tcPr>
            <w:tcW w:w="423" w:type="pct"/>
            <w:noWrap/>
            <w:vAlign w:val="center"/>
          </w:tcPr>
          <w:p w14:paraId="15710950">
            <w:pPr>
              <w:widowControl/>
              <w:jc w:val="left"/>
              <w:textAlignment w:val="center"/>
              <w:rPr>
                <w:rFonts w:ascii="微软雅黑" w:hAnsi="微软雅黑" w:eastAsia="微软雅黑" w:cs="微软雅黑"/>
                <w:i/>
                <w:iCs/>
                <w:color w:val="000000"/>
                <w:szCs w:val="21"/>
              </w:rPr>
            </w:pPr>
          </w:p>
        </w:tc>
        <w:tc>
          <w:tcPr>
            <w:tcW w:w="830" w:type="pct"/>
            <w:noWrap w:val="0"/>
            <w:vAlign w:val="center"/>
          </w:tcPr>
          <w:p w14:paraId="3FBACCBC">
            <w:pPr>
              <w:widowControl/>
              <w:jc w:val="left"/>
              <w:textAlignment w:val="center"/>
              <w:rPr>
                <w:rFonts w:ascii="微软雅黑" w:hAnsi="微软雅黑" w:eastAsia="微软雅黑" w:cs="微软雅黑"/>
                <w:i/>
                <w:iCs/>
                <w:color w:val="000000"/>
                <w:szCs w:val="21"/>
              </w:rPr>
            </w:pPr>
          </w:p>
        </w:tc>
        <w:tc>
          <w:tcPr>
            <w:tcW w:w="830" w:type="pct"/>
            <w:noWrap/>
            <w:vAlign w:val="center"/>
          </w:tcPr>
          <w:p w14:paraId="1660B972">
            <w:pPr>
              <w:widowControl/>
              <w:jc w:val="left"/>
              <w:textAlignment w:val="center"/>
              <w:rPr>
                <w:rFonts w:ascii="微软雅黑" w:hAnsi="微软雅黑" w:eastAsia="微软雅黑" w:cs="微软雅黑"/>
                <w:i/>
                <w:iCs/>
                <w:color w:val="000000"/>
                <w:szCs w:val="21"/>
              </w:rPr>
            </w:pPr>
          </w:p>
        </w:tc>
        <w:tc>
          <w:tcPr>
            <w:tcW w:w="1319" w:type="pct"/>
            <w:noWrap/>
            <w:vAlign w:val="center"/>
          </w:tcPr>
          <w:p w14:paraId="059D39A3">
            <w:pPr>
              <w:widowControl/>
              <w:jc w:val="left"/>
              <w:textAlignment w:val="center"/>
              <w:rPr>
                <w:rFonts w:ascii="微软雅黑" w:hAnsi="微软雅黑" w:eastAsia="微软雅黑" w:cs="微软雅黑"/>
                <w:i/>
                <w:iCs/>
                <w:color w:val="000000"/>
                <w:szCs w:val="21"/>
              </w:rPr>
            </w:pPr>
          </w:p>
        </w:tc>
        <w:tc>
          <w:tcPr>
            <w:tcW w:w="645" w:type="pct"/>
            <w:noWrap/>
            <w:vAlign w:val="center"/>
          </w:tcPr>
          <w:p w14:paraId="523864C7">
            <w:pPr>
              <w:widowControl/>
              <w:jc w:val="left"/>
              <w:textAlignment w:val="center"/>
              <w:rPr>
                <w:rFonts w:ascii="微软雅黑" w:hAnsi="微软雅黑" w:eastAsia="微软雅黑" w:cs="微软雅黑"/>
                <w:i/>
                <w:iCs/>
                <w:color w:val="000000"/>
                <w:szCs w:val="21"/>
              </w:rPr>
            </w:pPr>
          </w:p>
        </w:tc>
      </w:tr>
    </w:tbl>
    <w:p w14:paraId="01EDB9B4">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677" w:name="_Toc8576"/>
      <w:bookmarkStart w:id="678" w:name="_Toc5901"/>
      <w:bookmarkStart w:id="679" w:name="_Toc25661"/>
      <w:bookmarkStart w:id="680" w:name="_Toc27209"/>
      <w:bookmarkStart w:id="681" w:name="_Toc21711"/>
      <w:bookmarkStart w:id="682" w:name="_Toc4881"/>
      <w:r>
        <w:rPr>
          <w:rFonts w:hint="eastAsia" w:ascii="等线" w:hAnsi="等线" w:eastAsia="等线" w:cs="Times New Roman"/>
          <w:b/>
          <w:kern w:val="2"/>
          <w:sz w:val="24"/>
          <w:szCs w:val="24"/>
          <w:lang w:val="en-US" w:eastAsia="zh-CN" w:bidi="ar-SA"/>
        </w:rPr>
        <w:t>三、</w:t>
      </w:r>
      <w:r>
        <w:rPr>
          <w:rFonts w:ascii="等线" w:hAnsi="等线" w:eastAsia="等线" w:cs="Times New Roman"/>
          <w:b/>
          <w:kern w:val="2"/>
          <w:sz w:val="24"/>
          <w:szCs w:val="24"/>
          <w:lang w:val="en-US" w:eastAsia="zh-CN" w:bidi="ar-SA"/>
        </w:rPr>
        <w:t>合法获取</w:t>
      </w:r>
      <w:r>
        <w:rPr>
          <w:rFonts w:hint="eastAsia" w:ascii="等线" w:hAnsi="等线" w:eastAsia="等线" w:cs="Times New Roman"/>
          <w:b/>
          <w:kern w:val="2"/>
          <w:sz w:val="24"/>
          <w:szCs w:val="24"/>
          <w:lang w:val="en-US" w:eastAsia="zh-CN" w:bidi="ar-SA"/>
        </w:rPr>
        <w:t>开发工具、</w:t>
      </w:r>
      <w:r>
        <w:rPr>
          <w:rFonts w:ascii="等线" w:hAnsi="等线" w:eastAsia="等线" w:cs="Times New Roman"/>
          <w:b/>
          <w:kern w:val="2"/>
          <w:sz w:val="24"/>
          <w:szCs w:val="24"/>
          <w:lang w:val="en-US" w:eastAsia="zh-CN" w:bidi="ar-SA"/>
        </w:rPr>
        <w:t>开源软件、第三方软件使用权的证明</w:t>
      </w:r>
      <w:r>
        <w:rPr>
          <w:rFonts w:hint="eastAsia" w:ascii="等线" w:hAnsi="等线" w:eastAsia="等线" w:cs="Times New Roman"/>
          <w:b/>
          <w:kern w:val="2"/>
          <w:sz w:val="24"/>
          <w:szCs w:val="24"/>
          <w:lang w:val="en-US" w:eastAsia="zh-CN" w:bidi="ar-SA"/>
        </w:rPr>
        <w:t>材料</w:t>
      </w:r>
      <w:bookmarkEnd w:id="677"/>
      <w:bookmarkEnd w:id="678"/>
      <w:bookmarkEnd w:id="679"/>
      <w:bookmarkEnd w:id="680"/>
      <w:bookmarkEnd w:id="681"/>
      <w:bookmarkEnd w:id="682"/>
    </w:p>
    <w:p w14:paraId="3CAE2104">
      <w:pPr>
        <w:widowControl/>
        <w:spacing w:line="360" w:lineRule="exact"/>
        <w:jc w:val="left"/>
        <w:rPr>
          <w:rFonts w:hint="eastAsia" w:ascii="仿宋" w:hAnsi="仿宋" w:eastAsia="仿宋" w:cs="Times New Roman"/>
          <w:sz w:val="24"/>
        </w:rPr>
      </w:pPr>
      <w:r>
        <w:rPr>
          <w:rFonts w:hint="eastAsia" w:ascii="仿宋" w:hAnsi="仿宋" w:eastAsia="仿宋" w:cs="Times New Roman"/>
          <w:sz w:val="24"/>
        </w:rPr>
        <w:br w:type="page"/>
      </w:r>
      <w:r>
        <w:rPr>
          <w:rFonts w:hint="eastAsia" w:ascii="仿宋" w:hAnsi="仿宋" w:eastAsia="仿宋" w:cs="Times New Roman"/>
          <w:sz w:val="24"/>
        </w:rPr>
        <w:t>附件十：软件许可使用权证书或其他软件许可使用文件</w:t>
      </w:r>
    </w:p>
    <w:p w14:paraId="197600BC">
      <w:pPr>
        <w:widowControl/>
        <w:spacing w:line="360" w:lineRule="exact"/>
        <w:jc w:val="left"/>
        <w:rPr>
          <w:rFonts w:ascii="仿宋" w:hAnsi="仿宋" w:eastAsia="仿宋" w:cs="Times New Roman"/>
          <w:color w:val="000000"/>
        </w:rPr>
      </w:pPr>
      <w:r>
        <w:rPr>
          <w:rFonts w:ascii="仿宋" w:hAnsi="仿宋" w:eastAsia="仿宋" w:cs="Times New Roman"/>
          <w:color w:val="000000"/>
        </w:rPr>
        <w:br w:type="page"/>
      </w:r>
    </w:p>
    <w:p w14:paraId="32607A94">
      <w:pPr>
        <w:spacing w:line="360" w:lineRule="exact"/>
        <w:rPr>
          <w:rFonts w:hint="default" w:ascii="仿宋" w:hAnsi="仿宋" w:eastAsia="仿宋" w:cs="Times New Roman"/>
          <w:sz w:val="24"/>
          <w:lang w:val="en-US" w:eastAsia="zh-CN"/>
        </w:rPr>
      </w:pPr>
      <w:r>
        <w:rPr>
          <w:rFonts w:hint="eastAsia" w:ascii="仿宋" w:hAnsi="仿宋" w:eastAsia="仿宋" w:cs="Times New Roman"/>
          <w:sz w:val="24"/>
        </w:rPr>
        <w:t>附件</w:t>
      </w:r>
      <w:r>
        <w:rPr>
          <w:rFonts w:hint="eastAsia" w:ascii="仿宋" w:hAnsi="仿宋" w:eastAsia="仿宋" w:cs="Times New Roman"/>
          <w:sz w:val="24"/>
          <w:lang w:val="en-US" w:eastAsia="zh-CN"/>
        </w:rPr>
        <w:t>十一</w:t>
      </w:r>
    </w:p>
    <w:p w14:paraId="64E4553B">
      <w:pPr>
        <w:spacing w:line="360" w:lineRule="exact"/>
        <w:jc w:val="center"/>
        <w:rPr>
          <w:rFonts w:ascii="仿宋" w:hAnsi="仿宋" w:eastAsia="仿宋" w:cs="Times New Roman"/>
          <w:b/>
          <w:sz w:val="28"/>
          <w:szCs w:val="28"/>
        </w:rPr>
      </w:pPr>
      <w:r>
        <w:rPr>
          <w:rFonts w:hint="eastAsia" w:ascii="仿宋" w:hAnsi="仿宋" w:eastAsia="仿宋" w:cs="Times New Roman"/>
          <w:b/>
          <w:sz w:val="28"/>
          <w:szCs w:val="28"/>
        </w:rPr>
        <w:t>廉洁协议</w:t>
      </w:r>
    </w:p>
    <w:p w14:paraId="48197012">
      <w:pPr>
        <w:spacing w:line="360" w:lineRule="exact"/>
        <w:jc w:val="center"/>
        <w:rPr>
          <w:rFonts w:ascii="仿宋" w:hAnsi="仿宋" w:eastAsia="仿宋" w:cs="Times New Roman"/>
          <w:b/>
          <w:sz w:val="28"/>
          <w:szCs w:val="28"/>
        </w:rPr>
      </w:pPr>
    </w:p>
    <w:p w14:paraId="7274EFE6">
      <w:pPr>
        <w:spacing w:line="360" w:lineRule="exact"/>
        <w:rPr>
          <w:rFonts w:ascii="仿宋" w:hAnsi="仿宋" w:eastAsia="仿宋" w:cs="Times New Roman"/>
          <w:sz w:val="24"/>
        </w:rPr>
      </w:pPr>
      <w:r>
        <w:rPr>
          <w:rFonts w:hint="eastAsia" w:ascii="仿宋" w:hAnsi="仿宋" w:eastAsia="仿宋" w:cs="Times New Roman"/>
          <w:sz w:val="24"/>
        </w:rPr>
        <w:t xml:space="preserve">甲方： 中国电信[ </w:t>
      </w:r>
      <w:r>
        <w:rPr>
          <w:rFonts w:hint="eastAsia" w:ascii="仿宋" w:hAnsi="仿宋" w:eastAsia="仿宋" w:cs="Times New Roman"/>
          <w:sz w:val="24"/>
          <w:lang w:val="en-US" w:eastAsia="zh-CN"/>
        </w:rPr>
        <w:t>股份有限公司遵义分</w:t>
      </w:r>
      <w:r>
        <w:rPr>
          <w:rFonts w:hint="eastAsia" w:ascii="仿宋" w:hAnsi="仿宋" w:eastAsia="仿宋" w:cs="Times New Roman"/>
          <w:sz w:val="24"/>
        </w:rPr>
        <w:t xml:space="preserve"> ]公司  </w:t>
      </w:r>
    </w:p>
    <w:p w14:paraId="38BDCC53">
      <w:pPr>
        <w:spacing w:line="360" w:lineRule="exact"/>
        <w:rPr>
          <w:rFonts w:ascii="仿宋" w:hAnsi="仿宋" w:eastAsia="仿宋" w:cs="Times New Roman"/>
          <w:sz w:val="24"/>
        </w:rPr>
      </w:pPr>
      <w:r>
        <w:rPr>
          <w:rFonts w:hint="eastAsia" w:ascii="仿宋" w:hAnsi="仿宋" w:eastAsia="仿宋" w:cs="Times New Roman"/>
          <w:sz w:val="24"/>
        </w:rPr>
        <w:t xml:space="preserve">地址：[ </w:t>
      </w:r>
      <w:r>
        <w:rPr>
          <w:rFonts w:hint="eastAsia" w:ascii="仿宋" w:hAnsi="仿宋" w:eastAsia="仿宋" w:cs="Times New Roman"/>
          <w:color w:val="000000"/>
          <w:sz w:val="24"/>
        </w:rPr>
        <w:t>贵州省遵义市红花岗区大兴路26号</w:t>
      </w:r>
      <w:r>
        <w:rPr>
          <w:rFonts w:hint="eastAsia" w:ascii="仿宋" w:hAnsi="仿宋" w:eastAsia="仿宋" w:cs="Times New Roman"/>
          <w:sz w:val="24"/>
        </w:rPr>
        <w:t xml:space="preserve"> ]     </w:t>
      </w:r>
    </w:p>
    <w:p w14:paraId="032A1396">
      <w:pPr>
        <w:spacing w:line="360" w:lineRule="exact"/>
        <w:rPr>
          <w:rFonts w:ascii="仿宋" w:hAnsi="仿宋" w:eastAsia="仿宋" w:cs="Times New Roman"/>
          <w:sz w:val="24"/>
        </w:rPr>
      </w:pPr>
      <w:r>
        <w:rPr>
          <w:rFonts w:hint="eastAsia" w:ascii="仿宋" w:hAnsi="仿宋" w:eastAsia="仿宋" w:cs="Times New Roman"/>
          <w:sz w:val="24"/>
        </w:rPr>
        <w:t xml:space="preserve">法定代表人/负责人：[ </w:t>
      </w:r>
      <w:r>
        <w:rPr>
          <w:rFonts w:hint="eastAsia" w:ascii="仿宋" w:hAnsi="仿宋" w:eastAsia="仿宋" w:cs="Times New Roman"/>
          <w:sz w:val="24"/>
          <w:lang w:val="en-US" w:eastAsia="zh-CN"/>
        </w:rPr>
        <w:t>任飞</w:t>
      </w:r>
      <w:r>
        <w:rPr>
          <w:rFonts w:hint="eastAsia" w:ascii="仿宋" w:hAnsi="仿宋" w:eastAsia="仿宋" w:cs="Times New Roman"/>
          <w:sz w:val="24"/>
        </w:rPr>
        <w:t xml:space="preserve"> ]           </w:t>
      </w:r>
    </w:p>
    <w:p w14:paraId="1D504C38">
      <w:pPr>
        <w:spacing w:line="360" w:lineRule="exact"/>
        <w:rPr>
          <w:rFonts w:ascii="仿宋" w:hAnsi="仿宋" w:eastAsia="仿宋" w:cs="Times New Roman"/>
          <w:sz w:val="24"/>
        </w:rPr>
      </w:pPr>
    </w:p>
    <w:p w14:paraId="101155E3">
      <w:pPr>
        <w:spacing w:line="360" w:lineRule="exact"/>
        <w:rPr>
          <w:rFonts w:ascii="仿宋" w:hAnsi="仿宋" w:eastAsia="仿宋" w:cs="Times New Roman"/>
          <w:sz w:val="24"/>
        </w:rPr>
      </w:pPr>
      <w:r>
        <w:rPr>
          <w:rFonts w:hint="eastAsia" w:ascii="仿宋" w:hAnsi="仿宋" w:eastAsia="仿宋" w:cs="Times New Roman"/>
          <w:sz w:val="24"/>
        </w:rPr>
        <w:t xml:space="preserve">乙方：[  ]     </w:t>
      </w:r>
    </w:p>
    <w:p w14:paraId="30EC80CE">
      <w:pPr>
        <w:spacing w:line="360" w:lineRule="exact"/>
        <w:rPr>
          <w:rFonts w:ascii="仿宋" w:hAnsi="仿宋" w:eastAsia="仿宋" w:cs="Times New Roman"/>
          <w:sz w:val="24"/>
        </w:rPr>
      </w:pPr>
      <w:r>
        <w:rPr>
          <w:rFonts w:hint="eastAsia" w:ascii="仿宋" w:hAnsi="仿宋" w:eastAsia="仿宋" w:cs="Times New Roman"/>
          <w:sz w:val="24"/>
        </w:rPr>
        <w:t xml:space="preserve">地址：[  ]     </w:t>
      </w:r>
    </w:p>
    <w:p w14:paraId="196ED2BE">
      <w:pPr>
        <w:spacing w:line="360" w:lineRule="exact"/>
        <w:rPr>
          <w:rFonts w:ascii="仿宋" w:hAnsi="仿宋" w:eastAsia="仿宋" w:cs="Times New Roman"/>
          <w:sz w:val="24"/>
        </w:rPr>
      </w:pPr>
      <w:r>
        <w:rPr>
          <w:rFonts w:hint="eastAsia" w:ascii="仿宋" w:hAnsi="仿宋" w:eastAsia="仿宋" w:cs="Times New Roman"/>
          <w:sz w:val="24"/>
        </w:rPr>
        <w:t xml:space="preserve">法定代表人/负责人：[  ]           </w:t>
      </w:r>
    </w:p>
    <w:p w14:paraId="1417D2E0">
      <w:pPr>
        <w:spacing w:line="360" w:lineRule="exact"/>
        <w:rPr>
          <w:rFonts w:ascii="仿宋" w:hAnsi="仿宋" w:eastAsia="仿宋" w:cs="Times New Roman"/>
          <w:sz w:val="24"/>
        </w:rPr>
      </w:pPr>
    </w:p>
    <w:p w14:paraId="1524D07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为确保甲乙双方在签订和履行《[</w:t>
      </w:r>
      <w:r>
        <w:rPr>
          <w:rFonts w:hint="eastAsia" w:ascii="仿宋" w:hAnsi="仿宋" w:eastAsia="仿宋" w:cs="Times New Roman"/>
          <w:sz w:val="24"/>
          <w:u w:val="single"/>
        </w:rPr>
        <w:t xml:space="preserve"> </w:t>
      </w:r>
      <w:r>
        <w:rPr>
          <w:rFonts w:hint="eastAsia" w:ascii="仿宋" w:hAnsi="仿宋" w:eastAsia="仿宋" w:cs="Times New Roman"/>
          <w:sz w:val="24"/>
          <w:u w:val="single"/>
          <w:lang w:eastAsia="zh-CN"/>
        </w:rPr>
        <w:t>2025年中国电信遵义分公司数据库框架物资采购</w:t>
      </w:r>
      <w:r>
        <w:rPr>
          <w:rFonts w:hint="eastAsia" w:ascii="仿宋" w:hAnsi="仿宋" w:eastAsia="仿宋" w:cs="Times New Roman"/>
          <w:sz w:val="24"/>
        </w:rPr>
        <w:t xml:space="preserve"> ]软件许可框架协议》（以下简称“合同”）过程中廉洁自律、诚实守信，防止违法违纪行为发生，保障双方合法权益，依据国家有关法律法规，经双方协商，达成以下协议：</w:t>
      </w:r>
    </w:p>
    <w:p w14:paraId="334585A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第一条甲方承诺</w:t>
      </w:r>
    </w:p>
    <w:p w14:paraId="75930BA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1.1严格遵守国家有关廉政规定。</w:t>
      </w:r>
    </w:p>
    <w:p w14:paraId="78FB1F8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1.2严格遵守中国电信集团廉洁自律有关规定。</w:t>
      </w:r>
    </w:p>
    <w:p w14:paraId="2D3B191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1.3甲方及其工作人员不收受或变相收受乙方提供的礼品、礼金（礼券）、有价证券等任何形式的馈赠或无偿服务；不以任何形式向乙方索要任何财物；不在乙方报销应当由甲方或甲方工作人员个人支付的费用；不参加乙方安排的旅游或消费娱乐活动；不参加乙方宴请；不要求、不接受乙方为甲方工作人员或其亲属在住房、交通、婚丧嫁娶活动、工作安排或经商办企业等方面提供方便；不要求、不接受乙方为甲方工作人员或其亲属谋取利益。</w:t>
      </w:r>
    </w:p>
    <w:p w14:paraId="07473B0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1.4甲方工作人员应当督促并保证其亲属不收受或变相收受乙方赠送的礼品、礼金（礼券）、有价证券等任何形式的馈赠或无偿服务；不以任何形式向乙方索要任何财物；不在乙方报销应当由亲属个人支付的费用；不参加乙方安排的旅游或消费娱乐活动；不参加乙方宴请。</w:t>
      </w:r>
    </w:p>
    <w:p w14:paraId="03670BEE">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1.5合同签订及履行期间不私下约见乙方工作人员。</w:t>
      </w:r>
    </w:p>
    <w:p w14:paraId="426AF4C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1.6除甲方依据合同依法披露外，不向乙方及任何其他第三方泄露甲方的任何商业秘密或技术秘密。</w:t>
      </w:r>
    </w:p>
    <w:p w14:paraId="3330CBE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1.7甲方工作人员不得默许或与乙方或其工作人员串通，为其谋取不正当利益。</w:t>
      </w:r>
    </w:p>
    <w:p w14:paraId="042342A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第二条乙方承诺</w:t>
      </w:r>
    </w:p>
    <w:p w14:paraId="3A3FC9D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2.1严格遵守国家有关廉政规定。</w:t>
      </w:r>
    </w:p>
    <w:p w14:paraId="4D26EF0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2.2乙方及其工作人员不向甲方、甲方工作人员或其亲属提供礼品、礼金（礼券）、有价证券等任何形式的馈赠或无偿服务；不报销应当由甲方、甲方工作人员或其亲属个人支付的费用；不为甲方、甲方工作人员或其亲属安排旅游或消费娱乐活动；不宴请甲方、甲方工作人员或其亲属；不为甲方工作人员或其亲属在住房、交通、婚丧嫁娶活动、工作安排或经商办企业等方面提供任何形式的方便；不为甲方工作人员或其亲属谋取利益。</w:t>
      </w:r>
    </w:p>
    <w:p w14:paraId="2FE700E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2.3合同签订及履行期间不私下约见甲方工作人员；不到甲方工作人员家中或其他非办公场所商谈业务。</w:t>
      </w:r>
    </w:p>
    <w:p w14:paraId="0FBDB73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2.4不通过中介公司或任何单位、个人向甲方工作人员打招呼，施加压力。</w:t>
      </w:r>
    </w:p>
    <w:p w14:paraId="2FE7232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2.5除甲方依据合同约定依法披露外，不向甲方、甲方工作人员或其亲属探听或要求其泄露甲方的任何商业秘密或技术秘密。</w:t>
      </w:r>
    </w:p>
    <w:p w14:paraId="20206AF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2.6不以任何方式与甲方工作人员串通或者贿赂甲方工作人员，为乙方或其工作人员谋取不正当利益。</w:t>
      </w:r>
    </w:p>
    <w:p w14:paraId="7593E10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2.7除乙方及其工作人员外，乙方应当督促并保证与乙方存在关联关系的其他单位或个人不得实施本合同第二条约定的任一行为。</w:t>
      </w:r>
    </w:p>
    <w:p w14:paraId="39CE609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 xml:space="preserve">2.8 [ </w:t>
      </w:r>
      <w:r>
        <w:rPr>
          <w:rFonts w:hint="eastAsia" w:ascii="仿宋" w:hAnsi="仿宋" w:eastAsia="仿宋" w:cs="Times New Roman"/>
          <w:sz w:val="24"/>
          <w:lang w:val="en-US" w:eastAsia="zh-CN"/>
        </w:rPr>
        <w:t>/</w:t>
      </w:r>
      <w:r>
        <w:rPr>
          <w:rFonts w:hint="eastAsia" w:ascii="仿宋" w:hAnsi="仿宋" w:eastAsia="仿宋" w:cs="Times New Roman"/>
          <w:sz w:val="24"/>
        </w:rPr>
        <w:t xml:space="preserve"> ]。</w:t>
      </w:r>
    </w:p>
    <w:p w14:paraId="4B65E20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第三条 监督及责任</w:t>
      </w:r>
    </w:p>
    <w:p w14:paraId="44E4C93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3.1甲乙双方自觉接受监督。</w:t>
      </w:r>
    </w:p>
    <w:p w14:paraId="5A3CB1E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3.2如发现任何违反本合同的行为，双方均可向甲方监察部门举报。甲方监察部门根据规定，视情节对相关人员予以相应组织处理或纪律处分。涉嫌犯罪的，依法移送司法机关追究刑事责任。给对方造成经济损失的，应当予以赔偿。</w:t>
      </w:r>
    </w:p>
    <w:p w14:paraId="7C2BF78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3.3甲方监察部门有权对合同签订及履行全过程进行监督，有权制止、纠正违反本合同的行为。</w:t>
      </w:r>
    </w:p>
    <w:p w14:paraId="18F469F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3.4如乙方违反本合同约定，甲方有权视情节采取终止合同、将乙方纳入甲方违规失信合作商名单、否决乙方参加甲方其他项目的投标、参选和报价等1至3年等措施。</w:t>
      </w:r>
    </w:p>
    <w:p w14:paraId="76F14A8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第四条其他</w:t>
      </w:r>
    </w:p>
    <w:p w14:paraId="183B6B7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本协议自双方签字盖章（若使用电子印章的，经双方盖章）后与合同同时生效。若甲方加盖电子印章的，以加盖甲方电子印章的本协议电子文档所载内容为准。</w:t>
      </w:r>
    </w:p>
    <w:p w14:paraId="6E300F07">
      <w:pPr>
        <w:spacing w:line="360" w:lineRule="exact"/>
        <w:rPr>
          <w:rFonts w:ascii="仿宋" w:hAnsi="仿宋" w:eastAsia="仿宋" w:cs="Times New Roman"/>
          <w:sz w:val="24"/>
        </w:rPr>
      </w:pPr>
    </w:p>
    <w:p w14:paraId="234EF1F0">
      <w:pPr>
        <w:spacing w:line="360" w:lineRule="exact"/>
        <w:rPr>
          <w:rFonts w:ascii="仿宋" w:hAnsi="仿宋" w:eastAsia="仿宋" w:cs="Times New Roman"/>
          <w:sz w:val="24"/>
        </w:rPr>
      </w:pPr>
      <w:r>
        <w:rPr>
          <w:rFonts w:hint="eastAsia" w:ascii="仿宋" w:hAnsi="仿宋" w:eastAsia="仿宋" w:cs="Times New Roman"/>
          <w:sz w:val="24"/>
        </w:rPr>
        <w:t xml:space="preserve">甲方：中国电信[ </w:t>
      </w:r>
      <w:r>
        <w:rPr>
          <w:rFonts w:hint="eastAsia" w:ascii="仿宋" w:hAnsi="仿宋" w:eastAsia="仿宋" w:cs="Times New Roman"/>
          <w:sz w:val="24"/>
          <w:lang w:val="en-US" w:eastAsia="zh-CN"/>
        </w:rPr>
        <w:t>股份有限公司遵义分</w:t>
      </w:r>
      <w:r>
        <w:rPr>
          <w:rFonts w:hint="eastAsia" w:ascii="仿宋" w:hAnsi="仿宋" w:eastAsia="仿宋" w:cs="Times New Roman"/>
          <w:sz w:val="24"/>
        </w:rPr>
        <w:t xml:space="preserve"> ]公司</w:t>
      </w:r>
      <w:r>
        <w:rPr>
          <w:rFonts w:hint="eastAsia" w:ascii="仿宋" w:hAnsi="仿宋" w:eastAsia="仿宋" w:cs="Times New Roman"/>
          <w:sz w:val="24"/>
        </w:rPr>
        <w:tab/>
      </w:r>
      <w:r>
        <w:rPr>
          <w:rFonts w:hint="eastAsia" w:ascii="仿宋" w:hAnsi="仿宋" w:eastAsia="仿宋" w:cs="Times New Roman"/>
          <w:sz w:val="24"/>
        </w:rPr>
        <w:tab/>
      </w:r>
      <w:r>
        <w:rPr>
          <w:rFonts w:hint="eastAsia" w:ascii="仿宋" w:hAnsi="仿宋" w:eastAsia="仿宋" w:cs="Times New Roman"/>
          <w:sz w:val="24"/>
        </w:rPr>
        <w:tab/>
      </w:r>
    </w:p>
    <w:p w14:paraId="19A99664">
      <w:pPr>
        <w:spacing w:line="360" w:lineRule="exact"/>
        <w:rPr>
          <w:rFonts w:ascii="仿宋" w:hAnsi="仿宋" w:eastAsia="仿宋" w:cs="Times New Roman"/>
          <w:sz w:val="24"/>
        </w:rPr>
      </w:pPr>
      <w:r>
        <w:rPr>
          <w:rFonts w:hint="eastAsia" w:ascii="仿宋" w:hAnsi="仿宋" w:eastAsia="仿宋" w:cs="Times New Roman"/>
          <w:sz w:val="24"/>
        </w:rPr>
        <w:t xml:space="preserve">法定代表人/负责人               </w:t>
      </w:r>
    </w:p>
    <w:p w14:paraId="461C2B0E">
      <w:pPr>
        <w:spacing w:line="360" w:lineRule="exact"/>
        <w:rPr>
          <w:rFonts w:ascii="仿宋" w:hAnsi="仿宋" w:eastAsia="仿宋" w:cs="Times New Roman"/>
          <w:sz w:val="24"/>
        </w:rPr>
      </w:pPr>
      <w:r>
        <w:rPr>
          <w:rFonts w:hint="eastAsia" w:ascii="仿宋" w:hAnsi="仿宋" w:eastAsia="仿宋" w:cs="Times New Roman"/>
          <w:sz w:val="24"/>
        </w:rPr>
        <w:t>或授权代表：</w:t>
      </w:r>
    </w:p>
    <w:p w14:paraId="1038935D">
      <w:pPr>
        <w:spacing w:line="360" w:lineRule="exact"/>
        <w:rPr>
          <w:rFonts w:ascii="仿宋" w:hAnsi="仿宋" w:eastAsia="仿宋" w:cs="Times New Roman"/>
          <w:sz w:val="24"/>
        </w:rPr>
      </w:pPr>
    </w:p>
    <w:p w14:paraId="5554AC4D">
      <w:pPr>
        <w:spacing w:line="360" w:lineRule="exact"/>
        <w:rPr>
          <w:rFonts w:ascii="仿宋" w:hAnsi="仿宋" w:eastAsia="仿宋" w:cs="Times New Roman"/>
          <w:sz w:val="24"/>
        </w:rPr>
      </w:pPr>
    </w:p>
    <w:p w14:paraId="2D98AFDA">
      <w:pPr>
        <w:spacing w:line="360" w:lineRule="exact"/>
        <w:rPr>
          <w:rFonts w:ascii="仿宋" w:hAnsi="仿宋" w:eastAsia="仿宋" w:cs="Times New Roman"/>
          <w:sz w:val="24"/>
        </w:rPr>
      </w:pPr>
      <w:r>
        <w:rPr>
          <w:rFonts w:hint="eastAsia" w:ascii="仿宋" w:hAnsi="仿宋" w:eastAsia="仿宋" w:cs="Times New Roman"/>
          <w:sz w:val="24"/>
        </w:rPr>
        <w:t xml:space="preserve">乙方：[  ]    </w:t>
      </w:r>
    </w:p>
    <w:p w14:paraId="665D6C90">
      <w:pPr>
        <w:spacing w:line="360" w:lineRule="exact"/>
        <w:rPr>
          <w:rFonts w:ascii="仿宋" w:hAnsi="仿宋" w:eastAsia="仿宋" w:cs="Times New Roman"/>
          <w:sz w:val="24"/>
        </w:rPr>
      </w:pPr>
      <w:r>
        <w:rPr>
          <w:rFonts w:hint="eastAsia" w:ascii="仿宋" w:hAnsi="仿宋" w:eastAsia="仿宋" w:cs="Times New Roman"/>
          <w:sz w:val="24"/>
        </w:rPr>
        <w:t>法定代表人/负责人</w:t>
      </w:r>
    </w:p>
    <w:p w14:paraId="552B6EB2">
      <w:pPr>
        <w:spacing w:line="360" w:lineRule="exact"/>
        <w:rPr>
          <w:rFonts w:ascii="仿宋" w:hAnsi="仿宋" w:eastAsia="仿宋" w:cs="Times New Roman"/>
          <w:sz w:val="24"/>
        </w:rPr>
      </w:pPr>
      <w:r>
        <w:rPr>
          <w:rFonts w:hint="eastAsia" w:ascii="仿宋" w:hAnsi="仿宋" w:eastAsia="仿宋" w:cs="Times New Roman"/>
          <w:sz w:val="24"/>
        </w:rPr>
        <w:t>或授权代表：</w:t>
      </w:r>
    </w:p>
    <w:p w14:paraId="31500724">
      <w:pPr>
        <w:spacing w:line="360" w:lineRule="exact"/>
        <w:rPr>
          <w:rFonts w:ascii="仿宋" w:hAnsi="仿宋" w:eastAsia="仿宋"/>
          <w:color w:val="000000"/>
        </w:rPr>
      </w:pPr>
    </w:p>
    <w:p w14:paraId="67B501D6">
      <w:pPr>
        <w:spacing w:line="360" w:lineRule="exact"/>
        <w:ind w:left="4620" w:leftChars="2200"/>
        <w:jc w:val="left"/>
        <w:rPr>
          <w:rFonts w:ascii="仿宋" w:hAnsi="仿宋" w:eastAsia="仿宋"/>
          <w:sz w:val="24"/>
        </w:rPr>
      </w:pPr>
    </w:p>
    <w:p w14:paraId="326CE02F">
      <w:pPr>
        <w:ind w:firstLine="422" w:firstLineChars="176"/>
        <w:jc w:val="left"/>
        <w:rPr>
          <w:rFonts w:ascii="仿宋" w:hAnsi="仿宋" w:eastAsia="仿宋"/>
          <w:b/>
          <w:bCs/>
          <w:sz w:val="24"/>
        </w:rPr>
      </w:pPr>
    </w:p>
    <w:p w14:paraId="5AFA366C">
      <w:pPr>
        <w:rPr>
          <w:rFonts w:hint="eastAsia"/>
          <w:sz w:val="28"/>
          <w:szCs w:val="28"/>
        </w:rPr>
      </w:pPr>
      <w:bookmarkStart w:id="683" w:name="_Toc30472"/>
      <w:bookmarkStart w:id="684" w:name="_Toc11642"/>
      <w:bookmarkStart w:id="685" w:name="_Toc9613"/>
    </w:p>
    <w:p w14:paraId="6CD3933E">
      <w:pPr>
        <w:pStyle w:val="3"/>
        <w:bidi w:val="0"/>
        <w:jc w:val="center"/>
        <w:rPr>
          <w:sz w:val="28"/>
          <w:szCs w:val="28"/>
        </w:rPr>
      </w:pPr>
      <w:bookmarkStart w:id="686" w:name="_Toc24002"/>
      <w:bookmarkStart w:id="687" w:name="_Toc11975"/>
      <w:bookmarkStart w:id="688" w:name="_Toc26809"/>
      <w:r>
        <w:rPr>
          <w:rFonts w:hint="eastAsia"/>
          <w:sz w:val="28"/>
          <w:szCs w:val="28"/>
        </w:rPr>
        <w:t>第五章 技术规范书</w:t>
      </w:r>
      <w:bookmarkEnd w:id="635"/>
      <w:bookmarkEnd w:id="636"/>
      <w:bookmarkEnd w:id="637"/>
      <w:bookmarkEnd w:id="638"/>
      <w:bookmarkEnd w:id="639"/>
      <w:bookmarkEnd w:id="640"/>
      <w:bookmarkEnd w:id="641"/>
      <w:bookmarkEnd w:id="683"/>
      <w:bookmarkEnd w:id="684"/>
      <w:bookmarkEnd w:id="685"/>
      <w:bookmarkEnd w:id="686"/>
      <w:bookmarkEnd w:id="687"/>
      <w:bookmarkEnd w:id="688"/>
    </w:p>
    <w:p w14:paraId="4D2B6BB2">
      <w:pPr>
        <w:pStyle w:val="35"/>
        <w:spacing w:line="240" w:lineRule="auto"/>
        <w:ind w:left="31680" w:firstLine="31680"/>
        <w:rPr>
          <w:rFonts w:ascii="宋体"/>
          <w:sz w:val="32"/>
          <w:szCs w:val="32"/>
        </w:rPr>
      </w:pPr>
      <w:bookmarkStart w:id="689" w:name="_PictureBullets"/>
      <w:bookmarkEnd w:id="689"/>
      <w:bookmarkStart w:id="690" w:name="_Toc1695"/>
      <w:bookmarkStart w:id="691" w:name="_Toc38008075"/>
    </w:p>
    <w:p w14:paraId="71D2D2C8">
      <w:pPr>
        <w:pStyle w:val="35"/>
        <w:spacing w:line="240" w:lineRule="auto"/>
        <w:ind w:left="31680" w:firstLine="31680"/>
        <w:rPr>
          <w:rFonts w:ascii="宋体"/>
          <w:sz w:val="32"/>
          <w:szCs w:val="32"/>
        </w:rPr>
      </w:pPr>
    </w:p>
    <w:p w14:paraId="28628793">
      <w:pPr>
        <w:pStyle w:val="21"/>
        <w:ind w:left="-4" w:firstLine="31680"/>
        <w:rPr>
          <w:rFonts w:ascii="宋体"/>
        </w:rPr>
      </w:pPr>
    </w:p>
    <w:p w14:paraId="5DDED410">
      <w:pPr>
        <w:pStyle w:val="21"/>
        <w:ind w:left="-4" w:firstLine="31680"/>
        <w:rPr>
          <w:rFonts w:ascii="宋体"/>
        </w:rPr>
      </w:pPr>
    </w:p>
    <w:p w14:paraId="6AE69586">
      <w:pPr>
        <w:pStyle w:val="21"/>
        <w:ind w:left="-4" w:firstLine="31680"/>
        <w:rPr>
          <w:rFonts w:ascii="宋体"/>
        </w:rPr>
      </w:pPr>
    </w:p>
    <w:p w14:paraId="0BE74379">
      <w:pPr>
        <w:pStyle w:val="21"/>
        <w:tabs>
          <w:tab w:val="left" w:pos="1680"/>
        </w:tabs>
        <w:ind w:left="-4" w:firstLine="31680"/>
        <w:rPr>
          <w:rFonts w:ascii="宋体"/>
        </w:rPr>
      </w:pPr>
    </w:p>
    <w:p w14:paraId="1006B99D">
      <w:pPr>
        <w:pStyle w:val="21"/>
        <w:tabs>
          <w:tab w:val="left" w:pos="1680"/>
        </w:tabs>
        <w:ind w:left="-4" w:firstLine="31680"/>
        <w:rPr>
          <w:rFonts w:ascii="宋体"/>
        </w:rPr>
      </w:pPr>
    </w:p>
    <w:p w14:paraId="127F0A6A">
      <w:pPr>
        <w:pStyle w:val="51"/>
        <w:ind w:firstLine="0"/>
        <w:rPr>
          <w:rFonts w:ascii="宋体"/>
        </w:rPr>
      </w:pPr>
    </w:p>
    <w:p w14:paraId="602DBDFF">
      <w:pPr>
        <w:pStyle w:val="51"/>
        <w:ind w:firstLine="0"/>
        <w:rPr>
          <w:rFonts w:ascii="宋体"/>
        </w:rPr>
      </w:pPr>
    </w:p>
    <w:p w14:paraId="745FAA0D">
      <w:pPr>
        <w:pStyle w:val="51"/>
        <w:ind w:firstLine="0"/>
      </w:pPr>
    </w:p>
    <w:p w14:paraId="73D258C1">
      <w:pPr>
        <w:pStyle w:val="51"/>
        <w:ind w:firstLine="0"/>
      </w:pPr>
    </w:p>
    <w:p w14:paraId="34396DCB">
      <w:pPr>
        <w:pStyle w:val="51"/>
        <w:ind w:firstLine="0"/>
      </w:pPr>
    </w:p>
    <w:p w14:paraId="76E18C17">
      <w:pPr>
        <w:pStyle w:val="51"/>
        <w:ind w:firstLine="0"/>
        <w:rPr>
          <w:rFonts w:ascii="华文中宋" w:hAnsi="华文中宋" w:eastAsia="华文中宋"/>
          <w:sz w:val="32"/>
          <w:szCs w:val="32"/>
        </w:rPr>
        <w:sectPr>
          <w:headerReference r:id="rId10" w:type="first"/>
          <w:footerReference r:id="rId12" w:type="first"/>
          <w:headerReference r:id="rId9" w:type="even"/>
          <w:footerReference r:id="rId11" w:type="even"/>
          <w:pgSz w:w="11907" w:h="16840"/>
          <w:pgMar w:top="1440" w:right="1418" w:bottom="1440" w:left="1985" w:header="851" w:footer="992" w:gutter="0"/>
          <w:pgNumType w:fmt="decimal"/>
          <w:cols w:space="425" w:num="1"/>
          <w:docGrid w:type="linesAndChars" w:linePitch="312" w:charSpace="0"/>
        </w:sectPr>
      </w:pPr>
    </w:p>
    <w:p w14:paraId="4FB97A4F">
      <w:pPr>
        <w:widowControl w:val="0"/>
        <w:spacing w:before="260" w:after="260" w:line="416" w:lineRule="auto"/>
        <w:jc w:val="both"/>
        <w:outlineLvl w:val="1"/>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1总则</w:t>
      </w:r>
    </w:p>
    <w:p w14:paraId="419E615D">
      <w:pPr>
        <w:keepNext/>
        <w:keepLines/>
        <w:widowControl w:val="0"/>
        <w:spacing w:before="260" w:after="260" w:line="413" w:lineRule="auto"/>
        <w:jc w:val="both"/>
        <w:outlineLvl w:val="2"/>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1.1概述</w:t>
      </w:r>
    </w:p>
    <w:p w14:paraId="6B970641">
      <w:pPr>
        <w:rPr>
          <w:rFonts w:hint="eastAsia" w:ascii="宋体" w:hAnsi="宋体" w:eastAsia="宋体" w:cs="宋体"/>
          <w:color w:val="000000"/>
          <w:sz w:val="21"/>
          <w:szCs w:val="21"/>
        </w:rPr>
      </w:pPr>
      <w:r>
        <w:rPr>
          <w:rFonts w:hint="eastAsia" w:ascii="宋体" w:hAnsi="宋体" w:eastAsia="宋体" w:cs="宋体"/>
          <w:color w:val="000000"/>
          <w:sz w:val="21"/>
          <w:szCs w:val="21"/>
        </w:rPr>
        <w:t>1、本文件是中国电信股份有限公司遵义分公司（以下简称甲方）为</w:t>
      </w:r>
      <w:r>
        <w:rPr>
          <w:rFonts w:hint="eastAsia" w:ascii="宋体" w:hAnsi="宋体" w:eastAsia="宋体" w:cs="宋体"/>
          <w:color w:val="000000"/>
          <w:sz w:val="21"/>
          <w:szCs w:val="21"/>
          <w:lang w:val="en-US" w:eastAsia="zh-CN"/>
        </w:rPr>
        <w:t>数据库</w:t>
      </w:r>
      <w:r>
        <w:rPr>
          <w:rFonts w:hint="eastAsia" w:ascii="宋体" w:hAnsi="宋体" w:eastAsia="宋体" w:cs="宋体"/>
          <w:sz w:val="21"/>
          <w:szCs w:val="21"/>
          <w:lang w:val="en-US" w:eastAsia="zh-CN"/>
        </w:rPr>
        <w:t>框架</w:t>
      </w:r>
      <w:r>
        <w:rPr>
          <w:rFonts w:hint="eastAsia" w:ascii="宋体" w:hAnsi="宋体" w:eastAsia="宋体" w:cs="宋体"/>
          <w:sz w:val="21"/>
          <w:szCs w:val="21"/>
        </w:rPr>
        <w:t>采购项目</w:t>
      </w:r>
      <w:r>
        <w:rPr>
          <w:rFonts w:hint="eastAsia" w:ascii="宋体" w:hAnsi="宋体" w:eastAsia="宋体" w:cs="宋体"/>
          <w:color w:val="000000"/>
          <w:sz w:val="21"/>
          <w:szCs w:val="21"/>
        </w:rPr>
        <w:t>制定的技术规范书，提供本项目的公司（以下称乙方）应对技术规范书中的各项要求做出详细答复。</w:t>
      </w:r>
    </w:p>
    <w:p w14:paraId="5364ABEC">
      <w:pPr>
        <w:rPr>
          <w:rFonts w:hint="eastAsia" w:ascii="宋体" w:hAnsi="宋体" w:eastAsia="宋体" w:cs="宋体"/>
          <w:color w:val="000000"/>
          <w:sz w:val="21"/>
          <w:szCs w:val="21"/>
        </w:rPr>
      </w:pPr>
      <w:r>
        <w:rPr>
          <w:rFonts w:hint="eastAsia" w:ascii="宋体" w:hAnsi="宋体" w:eastAsia="宋体" w:cs="宋体"/>
          <w:color w:val="000000"/>
          <w:sz w:val="21"/>
          <w:szCs w:val="21"/>
        </w:rPr>
        <w:t>2、本技术规范书给出了</w:t>
      </w:r>
      <w:r>
        <w:rPr>
          <w:rFonts w:hint="eastAsia" w:ascii="宋体" w:hAnsi="宋体" w:eastAsia="宋体" w:cs="宋体"/>
          <w:sz w:val="21"/>
          <w:szCs w:val="21"/>
          <w:lang w:val="en-US" w:eastAsia="zh-CN"/>
        </w:rPr>
        <w:t>数据库</w:t>
      </w:r>
      <w:r>
        <w:rPr>
          <w:rFonts w:hint="eastAsia" w:ascii="宋体" w:hAnsi="宋体" w:eastAsia="宋体" w:cs="宋体"/>
          <w:sz w:val="21"/>
          <w:szCs w:val="21"/>
        </w:rPr>
        <w:t>采购</w:t>
      </w:r>
      <w:r>
        <w:rPr>
          <w:rFonts w:hint="eastAsia" w:ascii="宋体" w:hAnsi="宋体" w:eastAsia="宋体" w:cs="宋体"/>
          <w:color w:val="000000"/>
          <w:sz w:val="21"/>
          <w:szCs w:val="21"/>
        </w:rPr>
        <w:t>的各项要求，以供乙方编制技术建议书及商务报价之用。乙方应按照本技术规范书要求并结合自己所能提供的服务，给出详细的技术建议书。</w:t>
      </w:r>
    </w:p>
    <w:p w14:paraId="618DD2ED">
      <w:pPr>
        <w:rPr>
          <w:rFonts w:hint="eastAsia" w:ascii="宋体" w:hAnsi="宋体" w:eastAsia="宋体" w:cs="宋体"/>
          <w:color w:val="000000"/>
          <w:sz w:val="21"/>
          <w:szCs w:val="21"/>
        </w:rPr>
      </w:pPr>
      <w:r>
        <w:rPr>
          <w:rFonts w:hint="eastAsia" w:ascii="宋体" w:hAnsi="宋体" w:eastAsia="宋体" w:cs="宋体"/>
          <w:color w:val="000000"/>
          <w:sz w:val="21"/>
          <w:szCs w:val="21"/>
        </w:rPr>
        <w:t>3、本技术规范书编制依据及相关要求如下：</w:t>
      </w:r>
    </w:p>
    <w:p w14:paraId="6A14527E">
      <w:pPr>
        <w:rPr>
          <w:rFonts w:hint="eastAsia" w:ascii="宋体" w:hAnsi="宋体" w:eastAsia="宋体" w:cs="宋体"/>
          <w:color w:val="000000"/>
          <w:sz w:val="21"/>
          <w:szCs w:val="21"/>
        </w:rPr>
      </w:pPr>
      <w:r>
        <w:rPr>
          <w:rFonts w:hint="eastAsia" w:ascii="宋体" w:hAnsi="宋体" w:eastAsia="宋体" w:cs="宋体"/>
          <w:color w:val="000000"/>
          <w:sz w:val="21"/>
          <w:szCs w:val="21"/>
        </w:rPr>
        <w:t>国标、行业标准、企业标准等，对以上规范的扩展定义及版本升级，乙方应予以支持，另外：</w:t>
      </w:r>
    </w:p>
    <w:p w14:paraId="03C4474E">
      <w:pPr>
        <w:rPr>
          <w:rFonts w:hint="eastAsia" w:ascii="宋体" w:hAnsi="宋体" w:eastAsia="宋体" w:cs="宋体"/>
          <w:color w:val="000000"/>
          <w:sz w:val="21"/>
          <w:szCs w:val="21"/>
        </w:rPr>
      </w:pPr>
      <w:r>
        <w:rPr>
          <w:rFonts w:hint="eastAsia" w:ascii="宋体" w:hAnsi="宋体" w:eastAsia="宋体" w:cs="宋体"/>
          <w:color w:val="000000"/>
          <w:sz w:val="21"/>
          <w:szCs w:val="21"/>
        </w:rPr>
        <w:t>（1）若乙方需提供额外服务和自己的专用标准，应在其技术建议书中具体说明，并附上相应的详细技术资料。</w:t>
      </w:r>
    </w:p>
    <w:p w14:paraId="14F07798">
      <w:pPr>
        <w:rPr>
          <w:rFonts w:hint="eastAsia" w:ascii="宋体" w:hAnsi="宋体" w:eastAsia="宋体" w:cs="宋体"/>
          <w:color w:val="000000"/>
          <w:sz w:val="21"/>
          <w:szCs w:val="21"/>
        </w:rPr>
      </w:pPr>
      <w:r>
        <w:rPr>
          <w:rFonts w:hint="eastAsia" w:ascii="宋体" w:hAnsi="宋体" w:eastAsia="宋体" w:cs="宋体"/>
          <w:color w:val="000000"/>
          <w:sz w:val="21"/>
          <w:szCs w:val="21"/>
        </w:rPr>
        <w:t>（2）此规范书中未说明，但相关标准（如ISO、ITU-T（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"https://baike.baidu.com/item/%E5%9B%BD%E9%99%85%E7%94%B5%E4%BF%A1%E8%81%94%E7%9B%9F" \t "_blank" </w:instrText>
      </w:r>
      <w:r>
        <w:rPr>
          <w:rFonts w:hint="eastAsia" w:ascii="宋体" w:hAnsi="宋体" w:eastAsia="宋体" w:cs="宋体"/>
          <w:sz w:val="21"/>
          <w:szCs w:val="21"/>
        </w:rPr>
        <w:fldChar w:fldCharType="separate"/>
      </w:r>
      <w:r>
        <w:rPr>
          <w:rFonts w:hint="eastAsia" w:ascii="宋体" w:hAnsi="宋体" w:eastAsia="宋体" w:cs="宋体"/>
          <w:color w:val="000000"/>
          <w:sz w:val="21"/>
          <w:szCs w:val="21"/>
        </w:rPr>
        <w:t>国际电信联盟</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t>电信标准分局）、国标、通信行业标准等）已有建议和要求的服务性能和功能的条款，应符合相应的最新标准与建议。</w:t>
      </w:r>
    </w:p>
    <w:p w14:paraId="48C80F98">
      <w:pPr>
        <w:rPr>
          <w:rFonts w:hint="eastAsia" w:ascii="宋体" w:hAnsi="宋体" w:eastAsia="宋体" w:cs="宋体"/>
          <w:color w:val="000000"/>
          <w:sz w:val="21"/>
          <w:szCs w:val="21"/>
        </w:rPr>
      </w:pPr>
      <w:r>
        <w:rPr>
          <w:rFonts w:hint="eastAsia" w:ascii="宋体" w:hAnsi="宋体" w:eastAsia="宋体" w:cs="宋体"/>
          <w:color w:val="000000"/>
          <w:sz w:val="21"/>
          <w:szCs w:val="21"/>
        </w:rPr>
        <w:t>4、乙方对于规范书的疑问可以通过书面材料在本项目澄清时限内与甲方联系，甲方将以书面材料给予答复。</w:t>
      </w:r>
    </w:p>
    <w:p w14:paraId="7E2C5736">
      <w:pPr>
        <w:rPr>
          <w:rFonts w:hint="eastAsia" w:ascii="宋体" w:hAnsi="宋体" w:eastAsia="宋体" w:cs="宋体"/>
          <w:color w:val="000000"/>
          <w:sz w:val="21"/>
          <w:szCs w:val="21"/>
        </w:rPr>
      </w:pPr>
      <w:r>
        <w:rPr>
          <w:rFonts w:hint="eastAsia" w:ascii="宋体" w:hAnsi="宋体" w:eastAsia="宋体" w:cs="宋体"/>
          <w:color w:val="000000"/>
          <w:sz w:val="21"/>
          <w:szCs w:val="21"/>
        </w:rPr>
        <w:t>5、在任何时候，甲方保留对本文件的解释权和修改权。甲方有权根据需要修改和补充技术规范书，并以书面形式进行补充澄清，补充澄清后的最终技术规范书将作为合同的附件。在规范书进行修改后，甲方可按照管理要求延长项目相关文件提交的最后期限，以便乙方有充分的时间准备相关文件。</w:t>
      </w:r>
    </w:p>
    <w:p w14:paraId="3994CD25">
      <w:pPr>
        <w:rPr>
          <w:rFonts w:hint="eastAsia" w:ascii="宋体" w:hAnsi="宋体" w:eastAsia="宋体" w:cs="宋体"/>
          <w:color w:val="000000"/>
          <w:sz w:val="21"/>
          <w:szCs w:val="21"/>
        </w:rPr>
      </w:pPr>
      <w:r>
        <w:rPr>
          <w:rFonts w:hint="eastAsia" w:ascii="宋体" w:hAnsi="宋体" w:eastAsia="宋体" w:cs="宋体"/>
          <w:color w:val="000000"/>
          <w:sz w:val="21"/>
          <w:szCs w:val="21"/>
        </w:rPr>
        <w:t>6、本技术规范书在内容或技术指标上如果存在错误（包括印刷错误），乙方可在技术建议书中提出，经双方确认后可对该错误内容或技术指标进行修正。</w:t>
      </w:r>
    </w:p>
    <w:p w14:paraId="699EA503">
      <w:pPr>
        <w:rPr>
          <w:rFonts w:hint="eastAsia" w:ascii="宋体" w:hAnsi="宋体" w:eastAsia="宋体" w:cs="宋体"/>
          <w:color w:val="000000"/>
          <w:sz w:val="21"/>
          <w:szCs w:val="21"/>
        </w:rPr>
      </w:pPr>
      <w:r>
        <w:rPr>
          <w:rFonts w:hint="eastAsia" w:ascii="宋体" w:hAnsi="宋体" w:eastAsia="宋体" w:cs="宋体"/>
          <w:color w:val="000000"/>
          <w:sz w:val="21"/>
          <w:szCs w:val="21"/>
        </w:rPr>
        <w:t>7、乙方在参与本项目中，对于甲方披露和提供的所有信息（包括本规范书）应作为商业秘密对待并予以保护，未经甲方授权不得将任何信息泄漏给第三方，否则甲方有权追究乙方的责任。</w:t>
      </w:r>
    </w:p>
    <w:p w14:paraId="2AC0ABA6">
      <w:pPr>
        <w:rPr>
          <w:rFonts w:hint="eastAsia" w:ascii="宋体" w:hAnsi="宋体" w:eastAsia="宋体" w:cs="宋体"/>
          <w:color w:val="000000"/>
          <w:sz w:val="21"/>
          <w:szCs w:val="21"/>
        </w:rPr>
      </w:pPr>
      <w:r>
        <w:rPr>
          <w:rFonts w:hint="eastAsia" w:ascii="宋体" w:hAnsi="宋体" w:eastAsia="宋体" w:cs="宋体"/>
          <w:color w:val="000000"/>
          <w:sz w:val="21"/>
          <w:szCs w:val="21"/>
        </w:rPr>
        <w:t>8、所有由乙方提供的产品（由乙方提供的解决方案中所涉及到的所有项目包括的服务等）所引发的知识产权纠纷由乙方负责，甲方对此不承担任何责任。</w:t>
      </w:r>
    </w:p>
    <w:p w14:paraId="105077D5">
      <w:pPr>
        <w:rPr>
          <w:rFonts w:hint="eastAsia" w:ascii="宋体" w:hAnsi="宋体" w:eastAsia="宋体" w:cs="宋体"/>
          <w:sz w:val="21"/>
          <w:szCs w:val="21"/>
        </w:rPr>
      </w:pPr>
    </w:p>
    <w:p w14:paraId="44B4B9C9">
      <w:pPr>
        <w:widowControl w:val="0"/>
        <w:tabs>
          <w:tab w:val="left" w:pos="0"/>
        </w:tabs>
        <w:spacing w:before="260" w:after="260" w:line="416" w:lineRule="auto"/>
        <w:ind w:firstLine="210" w:firstLineChars="100"/>
        <w:jc w:val="both"/>
        <w:outlineLvl w:val="1"/>
        <w:rPr>
          <w:rFonts w:hint="eastAsia" w:ascii="宋体" w:hAnsi="宋体" w:eastAsia="宋体" w:cs="宋体"/>
          <w:color w:val="000000"/>
          <w:kern w:val="0"/>
          <w:sz w:val="21"/>
          <w:szCs w:val="21"/>
          <w:lang w:val="en-US" w:eastAsia="zh-CN" w:bidi="ar-SA"/>
        </w:rPr>
      </w:pPr>
      <w:bookmarkStart w:id="692" w:name="_Toc292143839"/>
      <w:bookmarkStart w:id="693" w:name="_Toc477415384"/>
      <w:bookmarkStart w:id="694" w:name="_Toc206818246"/>
      <w:bookmarkStart w:id="695" w:name="_Toc144199754"/>
      <w:r>
        <w:rPr>
          <w:rFonts w:hint="eastAsia" w:ascii="宋体" w:hAnsi="宋体" w:eastAsia="宋体" w:cs="宋体"/>
          <w:color w:val="000000"/>
          <w:kern w:val="0"/>
          <w:sz w:val="21"/>
          <w:szCs w:val="21"/>
          <w:lang w:val="en-US" w:eastAsia="zh-CN" w:bidi="ar-SA"/>
        </w:rPr>
        <w:t>2对乙方技术应答文件要求</w:t>
      </w:r>
      <w:bookmarkEnd w:id="692"/>
      <w:bookmarkEnd w:id="693"/>
      <w:bookmarkEnd w:id="694"/>
      <w:bookmarkEnd w:id="695"/>
    </w:p>
    <w:p w14:paraId="1AACB4BB">
      <w:pPr>
        <w:rPr>
          <w:rFonts w:hint="eastAsia" w:ascii="宋体" w:hAnsi="宋体" w:eastAsia="宋体" w:cs="宋体"/>
          <w:color w:val="000000"/>
          <w:sz w:val="21"/>
          <w:szCs w:val="21"/>
        </w:rPr>
      </w:pPr>
      <w:r>
        <w:rPr>
          <w:rFonts w:hint="eastAsia" w:ascii="宋体" w:hAnsi="宋体" w:eastAsia="宋体" w:cs="宋体"/>
          <w:color w:val="000000"/>
          <w:sz w:val="21"/>
          <w:szCs w:val="21"/>
        </w:rPr>
        <w:t>乙方所反馈的技术应答文件，应包括以下几部分：</w:t>
      </w:r>
    </w:p>
    <w:p w14:paraId="20ABF76E">
      <w:pPr>
        <w:rPr>
          <w:rFonts w:hint="eastAsia" w:ascii="宋体" w:hAnsi="宋体" w:eastAsia="宋体" w:cs="宋体"/>
          <w:color w:val="000000"/>
          <w:sz w:val="21"/>
          <w:szCs w:val="21"/>
        </w:rPr>
      </w:pPr>
      <w:r>
        <w:rPr>
          <w:rFonts w:hint="eastAsia" w:ascii="宋体" w:hAnsi="宋体" w:eastAsia="宋体" w:cs="宋体"/>
          <w:color w:val="000000"/>
          <w:sz w:val="21"/>
          <w:szCs w:val="21"/>
        </w:rPr>
        <w:t>（1）技术规范书点对点应答书；（2）技术建议书。</w:t>
      </w:r>
    </w:p>
    <w:p w14:paraId="689C7186">
      <w:pPr>
        <w:keepNext/>
        <w:keepLines/>
        <w:widowControl w:val="0"/>
        <w:numPr>
          <w:ilvl w:val="2"/>
          <w:numId w:val="0"/>
        </w:numPr>
        <w:spacing w:before="260" w:after="260" w:line="413" w:lineRule="auto"/>
        <w:ind w:firstLine="211" w:firstLineChars="100"/>
        <w:jc w:val="both"/>
        <w:outlineLvl w:val="2"/>
        <w:rPr>
          <w:rFonts w:hint="eastAsia" w:ascii="宋体" w:hAnsi="宋体" w:eastAsia="宋体" w:cs="宋体"/>
          <w:b/>
          <w:color w:val="000000"/>
          <w:kern w:val="2"/>
          <w:sz w:val="21"/>
          <w:szCs w:val="21"/>
          <w:lang w:val="en-US" w:eastAsia="zh-CN" w:bidi="ar-SA"/>
        </w:rPr>
      </w:pPr>
      <w:bookmarkStart w:id="696" w:name="_Toc292143842"/>
      <w:bookmarkStart w:id="697" w:name="_Toc477415387"/>
      <w:r>
        <w:rPr>
          <w:rFonts w:hint="eastAsia" w:ascii="宋体" w:hAnsi="宋体" w:eastAsia="宋体" w:cs="宋体"/>
          <w:b/>
          <w:color w:val="000000"/>
          <w:kern w:val="2"/>
          <w:sz w:val="21"/>
          <w:szCs w:val="21"/>
          <w:lang w:val="en-US" w:eastAsia="zh-CN" w:bidi="ar-SA"/>
        </w:rPr>
        <w:t>2.1其它要求</w:t>
      </w:r>
      <w:bookmarkEnd w:id="696"/>
      <w:bookmarkEnd w:id="697"/>
    </w:p>
    <w:p w14:paraId="312F0665">
      <w:pPr>
        <w:rPr>
          <w:rFonts w:hint="eastAsia" w:ascii="宋体" w:hAnsi="宋体" w:eastAsia="宋体" w:cs="宋体"/>
          <w:color w:val="000000"/>
          <w:sz w:val="21"/>
          <w:szCs w:val="21"/>
        </w:rPr>
      </w:pPr>
      <w:r>
        <w:rPr>
          <w:rFonts w:hint="eastAsia" w:ascii="宋体" w:hAnsi="宋体" w:eastAsia="宋体" w:cs="宋体"/>
          <w:color w:val="000000"/>
          <w:sz w:val="21"/>
          <w:szCs w:val="21"/>
        </w:rPr>
        <w:t>乙方在进行本项目所涉及的服务的配置方案设计时应遵循以下原则：（1）乙方应以技术先进、经济合理，有利于今后发展的原则进行配置。（2）根据甲方的建议和要求，乙方应向甲方提供优化的配置方案。</w:t>
      </w:r>
    </w:p>
    <w:p w14:paraId="6A62C03E">
      <w:pPr>
        <w:keepNext/>
        <w:keepLines/>
        <w:widowControl w:val="0"/>
        <w:numPr>
          <w:ilvl w:val="2"/>
          <w:numId w:val="0"/>
        </w:numPr>
        <w:spacing w:before="260" w:after="260" w:line="413" w:lineRule="auto"/>
        <w:ind w:firstLine="211" w:firstLineChars="100"/>
        <w:jc w:val="both"/>
        <w:outlineLvl w:val="2"/>
        <w:rPr>
          <w:rFonts w:hint="eastAsia" w:ascii="宋体" w:hAnsi="宋体" w:eastAsia="宋体" w:cs="宋体"/>
          <w:b/>
          <w:color w:val="000000"/>
          <w:kern w:val="2"/>
          <w:sz w:val="21"/>
          <w:szCs w:val="21"/>
          <w:lang w:val="en-US" w:eastAsia="zh-CN" w:bidi="ar-SA"/>
        </w:rPr>
      </w:pPr>
      <w:bookmarkStart w:id="698" w:name="_Toc206818249"/>
      <w:bookmarkStart w:id="699" w:name="_Toc144199757"/>
      <w:bookmarkStart w:id="700" w:name="_Toc477415388"/>
      <w:r>
        <w:rPr>
          <w:rFonts w:hint="eastAsia" w:ascii="宋体" w:hAnsi="宋体" w:eastAsia="宋体" w:cs="宋体"/>
          <w:b/>
          <w:color w:val="000000"/>
          <w:kern w:val="2"/>
          <w:sz w:val="21"/>
          <w:szCs w:val="21"/>
          <w:lang w:val="en-US" w:eastAsia="zh-CN" w:bidi="ar-SA"/>
        </w:rPr>
        <w:t>2.2报价要求</w:t>
      </w:r>
      <w:bookmarkEnd w:id="698"/>
      <w:bookmarkEnd w:id="699"/>
      <w:bookmarkEnd w:id="700"/>
    </w:p>
    <w:p w14:paraId="7A962329">
      <w:pPr>
        <w:rPr>
          <w:rFonts w:hint="eastAsia" w:ascii="宋体" w:hAnsi="宋体" w:eastAsia="宋体" w:cs="宋体"/>
          <w:color w:val="000000"/>
          <w:sz w:val="21"/>
          <w:szCs w:val="21"/>
        </w:rPr>
      </w:pPr>
      <w:r>
        <w:rPr>
          <w:rFonts w:hint="eastAsia" w:ascii="宋体" w:hAnsi="宋体" w:eastAsia="宋体" w:cs="宋体"/>
          <w:color w:val="000000"/>
          <w:sz w:val="21"/>
          <w:szCs w:val="21"/>
        </w:rPr>
        <w:t>1、本期服务以人民币为单位报价。</w:t>
      </w:r>
    </w:p>
    <w:p w14:paraId="45599CAB">
      <w:pPr>
        <w:rPr>
          <w:rFonts w:hint="eastAsia" w:ascii="宋体" w:hAnsi="宋体" w:eastAsia="宋体" w:cs="宋体"/>
          <w:color w:val="000000"/>
          <w:sz w:val="21"/>
          <w:szCs w:val="21"/>
        </w:rPr>
      </w:pPr>
      <w:r>
        <w:rPr>
          <w:rFonts w:hint="eastAsia" w:ascii="宋体" w:hAnsi="宋体" w:eastAsia="宋体" w:cs="宋体"/>
          <w:color w:val="000000"/>
          <w:sz w:val="21"/>
          <w:szCs w:val="21"/>
        </w:rPr>
        <w:t>2、本项目所需相关服务的报价，应包含技术服务费、资料费、税费、管理费、培训费等一切费用</w:t>
      </w:r>
      <w:r>
        <w:rPr>
          <w:rFonts w:hint="eastAsia" w:ascii="宋体" w:hAnsi="宋体" w:cs="宋体"/>
          <w:color w:val="000000"/>
          <w:sz w:val="21"/>
          <w:szCs w:val="21"/>
          <w:lang w:eastAsia="zh-CN"/>
        </w:rPr>
        <w:t>。</w:t>
      </w:r>
    </w:p>
    <w:p w14:paraId="0C06D9AA">
      <w:pPr>
        <w:widowControl w:val="0"/>
        <w:tabs>
          <w:tab w:val="left" w:pos="0"/>
        </w:tabs>
        <w:spacing w:before="260" w:after="260" w:line="416" w:lineRule="auto"/>
        <w:jc w:val="both"/>
        <w:outlineLvl w:val="1"/>
        <w:rPr>
          <w:rFonts w:hint="eastAsia" w:ascii="宋体" w:hAnsi="宋体" w:eastAsia="宋体" w:cs="宋体"/>
          <w:b/>
          <w:bCs/>
          <w:color w:val="000000"/>
          <w:kern w:val="0"/>
          <w:sz w:val="21"/>
          <w:szCs w:val="21"/>
          <w:lang w:val="en-US" w:eastAsia="zh-CN" w:bidi="ar-SA"/>
        </w:rPr>
      </w:pPr>
      <w:r>
        <w:rPr>
          <w:rFonts w:hint="eastAsia" w:ascii="宋体" w:hAnsi="宋体" w:eastAsia="宋体" w:cs="宋体"/>
          <w:b/>
          <w:bCs/>
          <w:color w:val="000000"/>
          <w:kern w:val="0"/>
          <w:sz w:val="21"/>
          <w:szCs w:val="21"/>
          <w:lang w:val="en-US" w:eastAsia="zh-CN" w:bidi="ar-SA"/>
        </w:rPr>
        <w:t>3概述</w:t>
      </w:r>
    </w:p>
    <w:p w14:paraId="7C44749C">
      <w:pPr>
        <w:keepNext/>
        <w:keepLines/>
        <w:widowControl w:val="0"/>
        <w:spacing w:before="260" w:after="260" w:line="413" w:lineRule="auto"/>
        <w:ind w:firstLine="420"/>
        <w:jc w:val="both"/>
        <w:outlineLvl w:val="2"/>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3.1项目背景</w:t>
      </w:r>
    </w:p>
    <w:p w14:paraId="48D31BAF">
      <w:pPr>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遵义市作为首批国家智慧试点城市，遵义市大数据发展管理局根据《贵州省推进“一云一网一平台”建设工作方案》，积极推动“云上遵义”建设，并提出在“云上遵义”建设信创政务云需求，为遵义市各个政府部门提供安全可信的云资源服务。为了抓住信创发展机遇，遵义电信按照省公司要求建设信创云资源池，为了满足租户信创上云业务需求，需要采购</w:t>
      </w:r>
      <w:r>
        <w:rPr>
          <w:rFonts w:hint="eastAsia" w:ascii="宋体" w:hAnsi="宋体" w:eastAsia="宋体" w:cs="宋体"/>
          <w:color w:val="000000"/>
          <w:sz w:val="21"/>
          <w:szCs w:val="21"/>
          <w:lang w:val="en-US" w:eastAsia="zh-CN"/>
        </w:rPr>
        <w:t>数据库</w:t>
      </w:r>
      <w:r>
        <w:rPr>
          <w:rFonts w:hint="eastAsia" w:ascii="宋体" w:hAnsi="宋体" w:eastAsia="宋体" w:cs="宋体"/>
          <w:color w:val="000000"/>
          <w:sz w:val="21"/>
          <w:szCs w:val="21"/>
        </w:rPr>
        <w:t>进行部署。</w:t>
      </w:r>
    </w:p>
    <w:p w14:paraId="6C7F90E4">
      <w:pPr>
        <w:keepNext/>
        <w:keepLines/>
        <w:widowControl w:val="0"/>
        <w:spacing w:before="260" w:after="260" w:line="413" w:lineRule="auto"/>
        <w:ind w:firstLine="420"/>
        <w:jc w:val="both"/>
        <w:outlineLvl w:val="2"/>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3.2项目采购规模、内容及服务范围</w:t>
      </w:r>
    </w:p>
    <w:p w14:paraId="41A32CE7">
      <w:pPr>
        <w:numPr>
          <w:ilvl w:val="0"/>
          <w:numId w:val="0"/>
        </w:numPr>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（一）按产品类型划分为2个标包；共计采购预估金额4712040.11元人民币（含税），采购服务期限12个月。具体划分如下：</w:t>
      </w:r>
    </w:p>
    <w:p w14:paraId="423A9C07">
      <w:pPr>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标包1:预估金额3672038.96元(含税)。</w:t>
      </w:r>
    </w:p>
    <w:p w14:paraId="30744DD6">
      <w:pPr>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标包2:预估金额1040001.15元(含税)。</w:t>
      </w:r>
    </w:p>
    <w:p w14:paraId="275E88BD">
      <w:pPr>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注：本项目允许投标人同时中标的最多标包数为【2】个。</w:t>
      </w:r>
    </w:p>
    <w:p w14:paraId="4EAD89CB">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二</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采购</w:t>
      </w:r>
      <w:r>
        <w:rPr>
          <w:rFonts w:hint="eastAsia" w:ascii="宋体" w:hAnsi="宋体" w:eastAsia="宋体" w:cs="宋体"/>
          <w:color w:val="000000"/>
          <w:sz w:val="21"/>
          <w:szCs w:val="21"/>
        </w:rPr>
        <w:t>内容包含：</w:t>
      </w:r>
      <w:r>
        <w:rPr>
          <w:rFonts w:hint="eastAsia" w:ascii="宋体" w:hAnsi="宋体" w:eastAsia="宋体" w:cs="宋体"/>
          <w:color w:val="000000"/>
          <w:sz w:val="21"/>
          <w:szCs w:val="21"/>
          <w:lang w:val="en-US" w:eastAsia="zh-CN"/>
        </w:rPr>
        <w:t>数据库框架采购</w:t>
      </w:r>
      <w:r>
        <w:rPr>
          <w:rFonts w:hint="eastAsia" w:ascii="宋体" w:hAnsi="宋体" w:eastAsia="宋体" w:cs="宋体"/>
          <w:color w:val="000000"/>
          <w:sz w:val="21"/>
          <w:szCs w:val="21"/>
        </w:rPr>
        <w:t>。采购市场主流</w:t>
      </w:r>
      <w:r>
        <w:rPr>
          <w:rFonts w:hint="eastAsia" w:ascii="宋体" w:hAnsi="宋体" w:eastAsia="宋体" w:cs="宋体"/>
          <w:color w:val="000000"/>
          <w:sz w:val="21"/>
          <w:szCs w:val="21"/>
          <w:lang w:val="en-US" w:eastAsia="zh-CN"/>
        </w:rPr>
        <w:t>数据库</w:t>
      </w:r>
      <w:r>
        <w:rPr>
          <w:rFonts w:hint="eastAsia" w:ascii="宋体" w:hAnsi="宋体" w:eastAsia="宋体" w:cs="宋体"/>
          <w:color w:val="000000"/>
          <w:sz w:val="21"/>
          <w:szCs w:val="21"/>
        </w:rPr>
        <w:t>授权，使云平台具备</w:t>
      </w:r>
      <w:r>
        <w:rPr>
          <w:rFonts w:hint="eastAsia" w:ascii="宋体" w:hAnsi="宋体" w:eastAsia="宋体" w:cs="宋体"/>
          <w:color w:val="000000"/>
          <w:sz w:val="21"/>
          <w:szCs w:val="21"/>
          <w:lang w:val="en-US" w:eastAsia="zh-CN"/>
        </w:rPr>
        <w:t>提供</w:t>
      </w:r>
      <w:r>
        <w:rPr>
          <w:rFonts w:hint="eastAsia" w:ascii="宋体" w:hAnsi="宋体" w:eastAsia="宋体" w:cs="宋体"/>
          <w:color w:val="000000"/>
          <w:sz w:val="21"/>
          <w:szCs w:val="21"/>
        </w:rPr>
        <w:t>正版</w:t>
      </w:r>
      <w:r>
        <w:rPr>
          <w:rFonts w:hint="eastAsia" w:ascii="宋体" w:hAnsi="宋体" w:eastAsia="宋体" w:cs="宋体"/>
          <w:color w:val="000000"/>
          <w:sz w:val="21"/>
          <w:szCs w:val="21"/>
          <w:lang w:val="en-US" w:eastAsia="zh-CN"/>
        </w:rPr>
        <w:t>数据库</w:t>
      </w:r>
      <w:r>
        <w:rPr>
          <w:rFonts w:hint="eastAsia" w:ascii="宋体" w:hAnsi="宋体" w:eastAsia="宋体" w:cs="宋体"/>
          <w:color w:val="000000"/>
          <w:sz w:val="21"/>
          <w:szCs w:val="21"/>
        </w:rPr>
        <w:t>的能力。</w:t>
      </w:r>
    </w:p>
    <w:p w14:paraId="5F17CA05">
      <w:pPr>
        <w:keepNext/>
        <w:keepLines/>
        <w:widowControl w:val="0"/>
        <w:spacing w:before="280" w:after="290" w:line="376" w:lineRule="auto"/>
        <w:jc w:val="both"/>
        <w:outlineLvl w:val="4"/>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3.2.1采购产品技术要求</w:t>
      </w:r>
    </w:p>
    <w:p w14:paraId="5C8F868A">
      <w:pPr>
        <w:rPr>
          <w:rFonts w:hint="eastAsia" w:ascii="宋体" w:hAnsi="宋体" w:eastAsia="宋体" w:cs="宋体"/>
          <w:b/>
          <w:sz w:val="21"/>
          <w:szCs w:val="21"/>
        </w:rPr>
      </w:pPr>
      <w:r>
        <w:rPr>
          <w:rFonts w:hint="eastAsia" w:ascii="宋体" w:hAnsi="宋体" w:eastAsia="宋体" w:cs="宋体"/>
          <w:b/>
          <w:sz w:val="21"/>
          <w:szCs w:val="21"/>
        </w:rPr>
        <w:t>具体</w:t>
      </w:r>
      <w:r>
        <w:rPr>
          <w:rFonts w:hint="eastAsia" w:ascii="宋体" w:hAnsi="宋体" w:eastAsia="宋体" w:cs="宋体"/>
          <w:b/>
          <w:sz w:val="21"/>
          <w:szCs w:val="21"/>
          <w:lang w:val="en-US" w:eastAsia="zh-CN"/>
        </w:rPr>
        <w:t>采购</w:t>
      </w:r>
      <w:r>
        <w:rPr>
          <w:rFonts w:hint="eastAsia" w:ascii="宋体" w:hAnsi="宋体" w:eastAsia="宋体" w:cs="宋体"/>
          <w:b/>
          <w:sz w:val="21"/>
          <w:szCs w:val="21"/>
        </w:rPr>
        <w:t>清单如下：</w:t>
      </w:r>
    </w:p>
    <w:tbl>
      <w:tblPr>
        <w:tblStyle w:val="8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0"/>
        <w:gridCol w:w="574"/>
        <w:gridCol w:w="636"/>
        <w:gridCol w:w="3181"/>
        <w:gridCol w:w="781"/>
        <w:gridCol w:w="527"/>
        <w:gridCol w:w="696"/>
        <w:gridCol w:w="846"/>
        <w:gridCol w:w="846"/>
      </w:tblGrid>
      <w:tr w14:paraId="7236F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F24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bookmarkStart w:id="701" w:name="_Toc477415393"/>
            <w:r>
              <w:rPr>
                <w:rFonts w:hint="eastAsia" w:ascii="宋体" w:hAnsi="宋体" w:eastAsia="宋体" w:cs="宋体"/>
                <w:i w:val="0"/>
                <w:iCs w:val="0"/>
                <w:color w:val="000000"/>
                <w:kern w:val="0"/>
                <w:sz w:val="21"/>
                <w:szCs w:val="21"/>
                <w:u w:val="none"/>
                <w:lang w:val="en-US" w:eastAsia="zh-CN" w:bidi="ar"/>
              </w:rPr>
              <w:t>序号</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AD6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产品类型</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57D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6A1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型号、规格、参数</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530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推荐品牌</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D2B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6F7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预计数量</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10E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交货期（</w:t>
            </w:r>
            <w:r>
              <w:rPr>
                <w:rFonts w:hint="eastAsia" w:ascii="宋体" w:hAnsi="宋体" w:cs="宋体"/>
                <w:i w:val="0"/>
                <w:iCs w:val="0"/>
                <w:color w:val="000000"/>
                <w:kern w:val="0"/>
                <w:sz w:val="21"/>
                <w:szCs w:val="21"/>
                <w:u w:val="none"/>
                <w:lang w:val="en-US" w:eastAsia="zh-CN" w:bidi="ar"/>
              </w:rPr>
              <w:t>工作日</w:t>
            </w:r>
            <w:r>
              <w:rPr>
                <w:rFonts w:hint="eastAsia" w:ascii="宋体" w:hAnsi="宋体" w:eastAsia="宋体" w:cs="宋体"/>
                <w:i w:val="0"/>
                <w:iCs w:val="0"/>
                <w:color w:val="000000"/>
                <w:kern w:val="0"/>
                <w:sz w:val="21"/>
                <w:szCs w:val="21"/>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1E2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质保期（月）</w:t>
            </w:r>
          </w:p>
        </w:tc>
      </w:tr>
      <w:tr w14:paraId="6FCEC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196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7D7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数据库</w:t>
            </w:r>
            <w:r>
              <w:rPr>
                <w:rFonts w:hint="eastAsia" w:ascii="宋体" w:hAnsi="宋体" w:cs="宋体"/>
                <w:i w:val="0"/>
                <w:iCs w:val="0"/>
                <w:color w:val="000000"/>
                <w:kern w:val="0"/>
                <w:sz w:val="21"/>
                <w:szCs w:val="21"/>
                <w:u w:val="none"/>
                <w:lang w:val="en-US" w:eastAsia="zh-CN"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25F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数据库2（企业版）</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136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原厂正版授权；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授权方式：终身授权；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授权对象：中国电信股份有限公司遵义分公司；产品为最新版本；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详见《技术规格书》</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6D4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E20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7B1D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E3A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96F9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12</w:t>
            </w:r>
          </w:p>
        </w:tc>
      </w:tr>
      <w:tr w14:paraId="64A6F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D2F2D">
            <w:pPr>
              <w:jc w:val="center"/>
              <w:rPr>
                <w:rFonts w:hint="eastAsia" w:ascii="宋体" w:hAnsi="宋体" w:eastAsia="宋体" w:cs="宋体"/>
                <w:i w:val="0"/>
                <w:iCs w:val="0"/>
                <w:color w:val="000000"/>
                <w:sz w:val="21"/>
                <w:szCs w:val="21"/>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1DB40">
            <w:pPr>
              <w:jc w:val="center"/>
              <w:rPr>
                <w:rFonts w:hint="eastAsia" w:ascii="宋体" w:hAnsi="宋体" w:eastAsia="宋体" w:cs="宋体"/>
                <w:i w:val="0"/>
                <w:iCs w:val="0"/>
                <w:color w:val="000000"/>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E02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数据库2（集群版）</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01A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国产数据库集群软件；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用于对主备数据库软件企业版进行管理，支持主备集群；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原厂正版授权；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授权方式：终身授权；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授权对象：中国电信股份有限公司遵义分公司；产品为最新版本；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详见附件《技术规格书》</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5F5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A5A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B1C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334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3E32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12</w:t>
            </w:r>
          </w:p>
        </w:tc>
      </w:tr>
    </w:tbl>
    <w:p w14:paraId="5CB70DC5">
      <w:pPr>
        <w:keepNext/>
        <w:keepLines/>
        <w:widowControl w:val="0"/>
        <w:spacing w:before="260" w:after="260" w:line="413" w:lineRule="auto"/>
        <w:jc w:val="both"/>
        <w:outlineLvl w:val="2"/>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3.3</w:t>
      </w:r>
      <w:bookmarkEnd w:id="701"/>
      <w:r>
        <w:rPr>
          <w:rFonts w:hint="eastAsia" w:ascii="宋体" w:hAnsi="宋体" w:eastAsia="宋体" w:cs="宋体"/>
          <w:b/>
          <w:kern w:val="2"/>
          <w:sz w:val="21"/>
          <w:szCs w:val="21"/>
          <w:lang w:val="en-US" w:eastAsia="zh-CN" w:bidi="ar-SA"/>
        </w:rPr>
        <w:t>技术规格书</w:t>
      </w:r>
    </w:p>
    <w:p w14:paraId="58D21346">
      <w:pPr>
        <w:keepNext/>
        <w:keepLines/>
        <w:pageBreakBefore w:val="0"/>
        <w:widowControl w:val="0"/>
        <w:numPr>
          <w:ilvl w:val="0"/>
          <w:numId w:val="0"/>
        </w:numPr>
        <w:tabs>
          <w:tab w:val="left" w:pos="0"/>
        </w:tabs>
        <w:kinsoku/>
        <w:wordWrap/>
        <w:overflowPunct/>
        <w:topLinePunct w:val="0"/>
        <w:autoSpaceDE/>
        <w:autoSpaceDN/>
        <w:bidi w:val="0"/>
        <w:adjustRightInd/>
        <w:snapToGrid/>
        <w:spacing w:before="340" w:after="330" w:line="360" w:lineRule="auto"/>
        <w:ind w:left="402" w:leftChars="0"/>
        <w:jc w:val="both"/>
        <w:textAlignment w:val="auto"/>
        <w:outlineLvl w:val="0"/>
        <w:rPr>
          <w:rFonts w:hint="eastAsia" w:ascii="宋体" w:hAnsi="宋体" w:eastAsia="宋体" w:cs="宋体"/>
          <w:b/>
          <w:bCs/>
          <w:color w:val="auto"/>
          <w:kern w:val="44"/>
          <w:sz w:val="21"/>
          <w:szCs w:val="21"/>
          <w:highlight w:val="none"/>
          <w:lang w:val="en-US" w:eastAsia="zh-CN" w:bidi="ar-SA"/>
        </w:rPr>
      </w:pPr>
      <w:r>
        <w:rPr>
          <w:rFonts w:hint="eastAsia" w:ascii="宋体" w:hAnsi="宋体" w:eastAsia="宋体" w:cs="宋体"/>
          <w:b w:val="0"/>
          <w:bCs w:val="0"/>
          <w:color w:val="000000"/>
          <w:kern w:val="44"/>
          <w:sz w:val="21"/>
          <w:szCs w:val="21"/>
          <w:lang w:val="en-US" w:eastAsia="zh-CN" w:bidi="ar-SA"/>
        </w:rPr>
        <w:t>3.3.</w:t>
      </w:r>
      <w:r>
        <w:rPr>
          <w:rFonts w:hint="eastAsia" w:ascii="宋体" w:hAnsi="宋体" w:cs="宋体"/>
          <w:b w:val="0"/>
          <w:bCs w:val="0"/>
          <w:color w:val="000000"/>
          <w:kern w:val="44"/>
          <w:sz w:val="21"/>
          <w:szCs w:val="21"/>
          <w:lang w:val="en-US" w:eastAsia="zh-CN" w:bidi="ar-SA"/>
        </w:rPr>
        <w:t>1</w:t>
      </w:r>
      <w:r>
        <w:rPr>
          <w:rFonts w:hint="eastAsia" w:ascii="宋体" w:hAnsi="宋体" w:eastAsia="宋体" w:cs="宋体"/>
          <w:b w:val="0"/>
          <w:bCs w:val="0"/>
          <w:color w:val="000000"/>
          <w:kern w:val="44"/>
          <w:sz w:val="21"/>
          <w:szCs w:val="21"/>
          <w:lang w:val="en-US" w:eastAsia="zh-CN" w:bidi="ar-SA"/>
        </w:rPr>
        <w:t xml:space="preserve">数据库2（企业版）指标要求 </w:t>
      </w:r>
    </w:p>
    <w:tbl>
      <w:tblPr>
        <w:tblStyle w:val="8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6"/>
        <w:gridCol w:w="950"/>
        <w:gridCol w:w="6408"/>
        <w:gridCol w:w="358"/>
      </w:tblGrid>
      <w:tr w14:paraId="3D65B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2" w:type="pct"/>
            <w:tcBorders>
              <w:top w:val="single" w:color="auto" w:sz="4" w:space="0"/>
              <w:left w:val="single" w:color="auto" w:sz="4" w:space="0"/>
              <w:bottom w:val="single" w:color="auto" w:sz="4" w:space="0"/>
              <w:right w:val="single" w:color="auto" w:sz="4" w:space="0"/>
            </w:tcBorders>
            <w:shd w:val="clear" w:color="auto" w:fill="auto"/>
            <w:vAlign w:val="center"/>
          </w:tcPr>
          <w:p w14:paraId="4FEA1B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类别</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1568E14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指标项</w:t>
            </w:r>
          </w:p>
        </w:tc>
        <w:tc>
          <w:tcPr>
            <w:tcW w:w="3759" w:type="pct"/>
            <w:tcBorders>
              <w:top w:val="single" w:color="auto" w:sz="4" w:space="0"/>
              <w:left w:val="single" w:color="auto" w:sz="4" w:space="0"/>
              <w:bottom w:val="single" w:color="auto" w:sz="4" w:space="0"/>
              <w:right w:val="single" w:color="auto" w:sz="4" w:space="0"/>
            </w:tcBorders>
            <w:shd w:val="clear" w:color="auto" w:fill="auto"/>
            <w:vAlign w:val="center"/>
          </w:tcPr>
          <w:p w14:paraId="543F779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指标要求</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5122C37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48FFD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EE12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资质要求</w:t>
            </w:r>
          </w:p>
        </w:tc>
        <w:tc>
          <w:tcPr>
            <w:tcW w:w="5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125D0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国测要求</w:t>
            </w:r>
          </w:p>
        </w:tc>
        <w:tc>
          <w:tcPr>
            <w:tcW w:w="3759" w:type="pct"/>
            <w:tcBorders>
              <w:top w:val="single" w:color="auto" w:sz="4" w:space="0"/>
              <w:left w:val="single" w:color="auto" w:sz="4" w:space="0"/>
              <w:bottom w:val="single" w:color="auto" w:sz="4" w:space="0"/>
              <w:right w:val="single" w:color="auto" w:sz="4" w:space="0"/>
            </w:tcBorders>
            <w:shd w:val="clear" w:color="auto" w:fill="auto"/>
            <w:vAlign w:val="center"/>
          </w:tcPr>
          <w:p w14:paraId="5ADAF1B7">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国产数据库符合《数据库政府采购需求标准（2023 年版）》标准规范要求；</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3034B4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12CB3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684B14">
            <w:pPr>
              <w:jc w:val="center"/>
              <w:rPr>
                <w:rFonts w:hint="eastAsia" w:ascii="宋体" w:hAnsi="宋体" w:eastAsia="宋体" w:cs="宋体"/>
                <w:i w:val="0"/>
                <w:iCs w:val="0"/>
                <w:color w:val="000000"/>
                <w:sz w:val="21"/>
                <w:szCs w:val="21"/>
                <w:u w:val="none"/>
              </w:rPr>
            </w:pPr>
          </w:p>
        </w:tc>
        <w:tc>
          <w:tcPr>
            <w:tcW w:w="55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CB2B74">
            <w:pPr>
              <w:jc w:val="center"/>
              <w:rPr>
                <w:rFonts w:hint="eastAsia" w:ascii="宋体" w:hAnsi="宋体" w:eastAsia="宋体" w:cs="宋体"/>
                <w:b w:val="0"/>
                <w:bCs w:val="0"/>
                <w:i w:val="0"/>
                <w:iCs w:val="0"/>
                <w:color w:val="000000"/>
                <w:sz w:val="21"/>
                <w:szCs w:val="21"/>
                <w:u w:val="none"/>
              </w:rPr>
            </w:pPr>
          </w:p>
        </w:tc>
        <w:tc>
          <w:tcPr>
            <w:tcW w:w="3759" w:type="pct"/>
            <w:tcBorders>
              <w:top w:val="single" w:color="auto" w:sz="4" w:space="0"/>
              <w:left w:val="single" w:color="auto" w:sz="4" w:space="0"/>
              <w:bottom w:val="single" w:color="auto" w:sz="4" w:space="0"/>
              <w:right w:val="single" w:color="auto" w:sz="4" w:space="0"/>
            </w:tcBorders>
            <w:shd w:val="clear" w:color="auto" w:fill="auto"/>
            <w:vAlign w:val="center"/>
          </w:tcPr>
          <w:p w14:paraId="789E54D3">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产品通过安全可靠测评；提供</w:t>
            </w:r>
            <w:r>
              <w:rPr>
                <w:rFonts w:hint="eastAsia" w:ascii="宋体" w:hAnsi="宋体" w:cs="宋体"/>
                <w:b w:val="0"/>
                <w:bCs w:val="0"/>
                <w:i w:val="0"/>
                <w:iCs w:val="0"/>
                <w:color w:val="000000"/>
                <w:kern w:val="0"/>
                <w:sz w:val="21"/>
                <w:szCs w:val="21"/>
                <w:u w:val="none"/>
                <w:lang w:val="en-US" w:eastAsia="zh-CN" w:bidi="ar"/>
              </w:rPr>
              <w:t>相应的</w:t>
            </w:r>
            <w:r>
              <w:rPr>
                <w:rFonts w:hint="eastAsia" w:ascii="宋体" w:hAnsi="宋体" w:eastAsia="宋体" w:cs="宋体"/>
                <w:b w:val="0"/>
                <w:bCs w:val="0"/>
                <w:i w:val="0"/>
                <w:iCs w:val="0"/>
                <w:color w:val="000000"/>
                <w:kern w:val="0"/>
                <w:sz w:val="21"/>
                <w:szCs w:val="21"/>
                <w:u w:val="none"/>
                <w:lang w:val="en-US" w:eastAsia="zh-CN" w:bidi="ar"/>
              </w:rPr>
              <w:t>测试公告截图。</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0EE12B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34C48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9FAA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架构支持</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054B61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CPU</w:t>
            </w:r>
          </w:p>
        </w:tc>
        <w:tc>
          <w:tcPr>
            <w:tcW w:w="3759" w:type="pct"/>
            <w:tcBorders>
              <w:top w:val="single" w:color="auto" w:sz="4" w:space="0"/>
              <w:left w:val="single" w:color="auto" w:sz="4" w:space="0"/>
              <w:bottom w:val="single" w:color="auto" w:sz="4" w:space="0"/>
              <w:right w:val="single" w:color="auto" w:sz="4" w:space="0"/>
            </w:tcBorders>
            <w:shd w:val="clear" w:color="auto" w:fill="auto"/>
            <w:vAlign w:val="center"/>
          </w:tcPr>
          <w:p w14:paraId="4DD0E1F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支持飞腾、鲲鹏、海光等主流国产CPU。</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4501BB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6AA8C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133537">
            <w:pPr>
              <w:jc w:val="center"/>
              <w:rPr>
                <w:rFonts w:hint="eastAsia" w:ascii="宋体" w:hAnsi="宋体" w:eastAsia="宋体" w:cs="宋体"/>
                <w:i w:val="0"/>
                <w:iCs w:val="0"/>
                <w:color w:val="000000"/>
                <w:sz w:val="21"/>
                <w:szCs w:val="21"/>
                <w:u w:val="none"/>
              </w:rPr>
            </w:pP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2B5E37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w:t>
            </w:r>
          </w:p>
        </w:tc>
        <w:tc>
          <w:tcPr>
            <w:tcW w:w="3759" w:type="pct"/>
            <w:tcBorders>
              <w:top w:val="single" w:color="auto" w:sz="4" w:space="0"/>
              <w:left w:val="single" w:color="auto" w:sz="4" w:space="0"/>
              <w:bottom w:val="single" w:color="auto" w:sz="4" w:space="0"/>
              <w:right w:val="single" w:color="auto" w:sz="4" w:space="0"/>
            </w:tcBorders>
            <w:shd w:val="clear" w:color="auto" w:fill="auto"/>
            <w:vAlign w:val="center"/>
          </w:tcPr>
          <w:p w14:paraId="769E23E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支持UOS、麒麟等主流国产操作系统。</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43F4B8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4CD19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8548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自主创新要求</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74E0C2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自主原创</w:t>
            </w:r>
          </w:p>
        </w:tc>
        <w:tc>
          <w:tcPr>
            <w:tcW w:w="3759" w:type="pct"/>
            <w:tcBorders>
              <w:top w:val="single" w:color="auto" w:sz="4" w:space="0"/>
              <w:left w:val="single" w:color="auto" w:sz="4" w:space="0"/>
              <w:bottom w:val="single" w:color="auto" w:sz="4" w:space="0"/>
              <w:right w:val="single" w:color="auto" w:sz="4" w:space="0"/>
            </w:tcBorders>
            <w:shd w:val="clear" w:color="auto" w:fill="auto"/>
            <w:vAlign w:val="center"/>
          </w:tcPr>
          <w:p w14:paraId="7C299E9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★产品拥有自主知识产权，完全自主可控，且产品核心功能模块的核心源码自主代码比例不低于95%。</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5D8DD1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55717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EABE27">
            <w:pPr>
              <w:jc w:val="center"/>
              <w:rPr>
                <w:rFonts w:hint="eastAsia" w:ascii="宋体" w:hAnsi="宋体" w:eastAsia="宋体" w:cs="宋体"/>
                <w:i w:val="0"/>
                <w:iCs w:val="0"/>
                <w:color w:val="000000"/>
                <w:sz w:val="21"/>
                <w:szCs w:val="21"/>
                <w:u w:val="none"/>
              </w:rPr>
            </w:pP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13C101B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核心技术创新</w:t>
            </w:r>
          </w:p>
        </w:tc>
        <w:tc>
          <w:tcPr>
            <w:tcW w:w="3759" w:type="pct"/>
            <w:tcBorders>
              <w:top w:val="single" w:color="auto" w:sz="4" w:space="0"/>
              <w:left w:val="single" w:color="auto" w:sz="4" w:space="0"/>
              <w:bottom w:val="single" w:color="auto" w:sz="4" w:space="0"/>
              <w:right w:val="single" w:color="auto" w:sz="4" w:space="0"/>
            </w:tcBorders>
            <w:shd w:val="clear" w:color="auto" w:fill="auto"/>
            <w:vAlign w:val="center"/>
          </w:tcPr>
          <w:p w14:paraId="341F3209">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color w:val="000000"/>
                <w:kern w:val="0"/>
                <w:sz w:val="21"/>
                <w:szCs w:val="21"/>
                <w:u w:val="none"/>
                <w:lang w:val="en-US" w:eastAsia="zh-CN" w:bidi="ar"/>
              </w:rPr>
              <w:t>所投产品</w:t>
            </w:r>
            <w:r>
              <w:rPr>
                <w:rFonts w:hint="eastAsia" w:ascii="宋体" w:hAnsi="宋体" w:eastAsia="宋体" w:cs="宋体"/>
                <w:b w:val="0"/>
                <w:bCs w:val="0"/>
                <w:i w:val="0"/>
                <w:iCs w:val="0"/>
                <w:color w:val="000000"/>
                <w:kern w:val="0"/>
                <w:sz w:val="21"/>
                <w:szCs w:val="21"/>
                <w:u w:val="none"/>
                <w:lang w:val="en-US" w:eastAsia="zh-CN" w:bidi="ar"/>
              </w:rPr>
              <w:t>技术研发和创新能力强，在数据库核心技术创新与产业化方面</w:t>
            </w:r>
            <w:r>
              <w:rPr>
                <w:rFonts w:hint="eastAsia" w:ascii="宋体" w:hAnsi="宋体" w:cs="宋体"/>
                <w:b w:val="0"/>
                <w:bCs w:val="0"/>
                <w:i w:val="0"/>
                <w:iCs w:val="0"/>
                <w:color w:val="000000"/>
                <w:kern w:val="0"/>
                <w:sz w:val="21"/>
                <w:szCs w:val="21"/>
                <w:u w:val="none"/>
                <w:lang w:val="en-US" w:eastAsia="zh-CN" w:bidi="ar"/>
              </w:rPr>
              <w:t>获得相关的证书</w:t>
            </w:r>
            <w:r>
              <w:rPr>
                <w:rFonts w:hint="eastAsia" w:ascii="宋体" w:hAnsi="宋体" w:eastAsia="宋体" w:cs="宋体"/>
                <w:b w:val="0"/>
                <w:bCs w:val="0"/>
                <w:i w:val="0"/>
                <w:iCs w:val="0"/>
                <w:color w:val="000000"/>
                <w:kern w:val="0"/>
                <w:sz w:val="21"/>
                <w:szCs w:val="21"/>
                <w:u w:val="none"/>
                <w:lang w:val="en-US" w:eastAsia="zh-CN" w:bidi="ar"/>
              </w:rPr>
              <w:t>；提供证书复印件加盖产品原厂商公章。</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5D097D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2FF0C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37273F">
            <w:pPr>
              <w:jc w:val="center"/>
              <w:rPr>
                <w:rFonts w:hint="eastAsia" w:ascii="宋体" w:hAnsi="宋体" w:eastAsia="宋体" w:cs="宋体"/>
                <w:i w:val="0"/>
                <w:iCs w:val="0"/>
                <w:color w:val="000000"/>
                <w:sz w:val="21"/>
                <w:szCs w:val="21"/>
                <w:u w:val="none"/>
              </w:rPr>
            </w:pP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4E5869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字符集</w:t>
            </w:r>
          </w:p>
        </w:tc>
        <w:tc>
          <w:tcPr>
            <w:tcW w:w="3759" w:type="pct"/>
            <w:tcBorders>
              <w:top w:val="single" w:color="auto" w:sz="4" w:space="0"/>
              <w:left w:val="single" w:color="auto" w:sz="4" w:space="0"/>
              <w:bottom w:val="single" w:color="auto" w:sz="4" w:space="0"/>
              <w:right w:val="single" w:color="auto" w:sz="4" w:space="0"/>
            </w:tcBorders>
            <w:shd w:val="clear" w:color="auto" w:fill="auto"/>
            <w:vAlign w:val="center"/>
          </w:tcPr>
          <w:p w14:paraId="16A681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支持多种语言字符集，如：GB18030、 GB2312、GBK、 UNICODE等并支持编码互相转换。</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2AC391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696B0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54A65C">
            <w:pPr>
              <w:jc w:val="center"/>
              <w:rPr>
                <w:rFonts w:hint="eastAsia" w:ascii="宋体" w:hAnsi="宋体" w:eastAsia="宋体" w:cs="宋体"/>
                <w:i w:val="0"/>
                <w:iCs w:val="0"/>
                <w:color w:val="000000"/>
                <w:sz w:val="21"/>
                <w:szCs w:val="21"/>
                <w:u w:val="none"/>
              </w:rPr>
            </w:pPr>
          </w:p>
        </w:tc>
        <w:tc>
          <w:tcPr>
            <w:tcW w:w="5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F141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基础数据类型</w:t>
            </w:r>
          </w:p>
        </w:tc>
        <w:tc>
          <w:tcPr>
            <w:tcW w:w="3759" w:type="pct"/>
            <w:tcBorders>
              <w:top w:val="single" w:color="auto" w:sz="4" w:space="0"/>
              <w:left w:val="single" w:color="auto" w:sz="4" w:space="0"/>
              <w:bottom w:val="single" w:color="auto" w:sz="4" w:space="0"/>
              <w:right w:val="single" w:color="auto" w:sz="4" w:space="0"/>
            </w:tcBorders>
            <w:shd w:val="clear" w:color="auto" w:fill="auto"/>
            <w:vAlign w:val="center"/>
          </w:tcPr>
          <w:p w14:paraId="6D732F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支持基础数据类型：DATE\NUMBER\RAW\CHAR\VARCHAR2\VARCHAR\</w:t>
            </w:r>
          </w:p>
        </w:tc>
        <w:tc>
          <w:tcPr>
            <w:tcW w:w="21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4115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7698D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88362C">
            <w:pPr>
              <w:jc w:val="center"/>
              <w:rPr>
                <w:rFonts w:hint="eastAsia" w:ascii="宋体" w:hAnsi="宋体" w:eastAsia="宋体" w:cs="宋体"/>
                <w:i w:val="0"/>
                <w:iCs w:val="0"/>
                <w:color w:val="000000"/>
                <w:sz w:val="21"/>
                <w:szCs w:val="21"/>
                <w:u w:val="none"/>
              </w:rPr>
            </w:pPr>
          </w:p>
        </w:tc>
        <w:tc>
          <w:tcPr>
            <w:tcW w:w="55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6890C7">
            <w:pPr>
              <w:jc w:val="center"/>
              <w:rPr>
                <w:rFonts w:hint="eastAsia" w:ascii="宋体" w:hAnsi="宋体" w:eastAsia="宋体" w:cs="宋体"/>
                <w:i w:val="0"/>
                <w:iCs w:val="0"/>
                <w:color w:val="000000"/>
                <w:sz w:val="21"/>
                <w:szCs w:val="21"/>
                <w:u w:val="none"/>
              </w:rPr>
            </w:pPr>
          </w:p>
        </w:tc>
        <w:tc>
          <w:tcPr>
            <w:tcW w:w="3759" w:type="pct"/>
            <w:tcBorders>
              <w:top w:val="single" w:color="auto" w:sz="4" w:space="0"/>
              <w:left w:val="single" w:color="auto" w:sz="4" w:space="0"/>
              <w:bottom w:val="single" w:color="auto" w:sz="4" w:space="0"/>
              <w:right w:val="single" w:color="auto" w:sz="4" w:space="0"/>
            </w:tcBorders>
            <w:shd w:val="clear" w:color="auto" w:fill="auto"/>
            <w:vAlign w:val="center"/>
          </w:tcPr>
          <w:p w14:paraId="13B136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BLOB\BFILE\CLOBTIMESTAMP\TIMESTAMP_TZ\INTERVAL\NCHAR\NVARCHAR2\NCLOB\FLOAT\DOUBLE等。</w:t>
            </w:r>
          </w:p>
        </w:tc>
        <w:tc>
          <w:tcPr>
            <w:tcW w:w="21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6F6A5A">
            <w:pPr>
              <w:jc w:val="center"/>
              <w:rPr>
                <w:rFonts w:hint="eastAsia" w:ascii="宋体" w:hAnsi="宋体" w:eastAsia="宋体" w:cs="宋体"/>
                <w:i w:val="0"/>
                <w:iCs w:val="0"/>
                <w:color w:val="000000"/>
                <w:sz w:val="21"/>
                <w:szCs w:val="21"/>
                <w:u w:val="none"/>
              </w:rPr>
            </w:pPr>
          </w:p>
        </w:tc>
      </w:tr>
      <w:tr w14:paraId="30FE2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4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5651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性能要求</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7CF4AA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扩展数据类型</w:t>
            </w:r>
          </w:p>
        </w:tc>
        <w:tc>
          <w:tcPr>
            <w:tcW w:w="3759" w:type="pct"/>
            <w:tcBorders>
              <w:top w:val="single" w:color="auto" w:sz="4" w:space="0"/>
              <w:left w:val="single" w:color="auto" w:sz="4" w:space="0"/>
              <w:bottom w:val="single" w:color="auto" w:sz="4" w:space="0"/>
              <w:right w:val="single" w:color="auto" w:sz="4" w:space="0"/>
            </w:tcBorders>
            <w:shd w:val="clear" w:color="auto" w:fill="auto"/>
            <w:vAlign w:val="center"/>
          </w:tcPr>
          <w:p w14:paraId="38B4E4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兼容Oracle数据类型LONG RAW、rowid 、urowid、 XMLTYPE数据类型。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 XML 数据类型。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支持JSON数据类型。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支持bytea、oid、clob、blob等数据类型。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支持RANGE数据类型。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支持枚举类型、范围类型、数组类型。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空间数据类型 GIS Object、Gengraphy。</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3BD76B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1094F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A2A06C">
            <w:pPr>
              <w:jc w:val="center"/>
              <w:rPr>
                <w:rFonts w:hint="eastAsia" w:ascii="宋体" w:hAnsi="宋体" w:eastAsia="宋体" w:cs="宋体"/>
                <w:i w:val="0"/>
                <w:iCs w:val="0"/>
                <w:color w:val="000000"/>
                <w:sz w:val="21"/>
                <w:szCs w:val="21"/>
                <w:u w:val="none"/>
              </w:rPr>
            </w:pP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2DD0FB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操作符</w:t>
            </w:r>
          </w:p>
        </w:tc>
        <w:tc>
          <w:tcPr>
            <w:tcW w:w="3759" w:type="pct"/>
            <w:tcBorders>
              <w:top w:val="single" w:color="auto" w:sz="4" w:space="0"/>
              <w:left w:val="single" w:color="auto" w:sz="4" w:space="0"/>
              <w:bottom w:val="single" w:color="auto" w:sz="4" w:space="0"/>
              <w:right w:val="single" w:color="auto" w:sz="4" w:space="0"/>
            </w:tcBorders>
            <w:shd w:val="clear" w:color="auto" w:fill="auto"/>
            <w:vAlign w:val="center"/>
          </w:tcPr>
          <w:p w14:paraId="766A6D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支持算术操作符（/、*、-、+、div、mod、%）、 比较操作符（&lt;、&lt;=、&lt;=&gt;、&lt;&gt;、!=、=、&gt;、&gt;=、between...and、is、in、not in、 is null、is not null、not like、like）、位操作符（&gt;&gt;、&lt;&lt;、^、 ~、|、&amp;）、文本操作符（REGEXP、RLIKE、NOT REGEXP、NOT LIKE、LIKE）；</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支持自定义操作符。</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348C27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12A5E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254AFC">
            <w:pPr>
              <w:jc w:val="center"/>
              <w:rPr>
                <w:rFonts w:hint="eastAsia" w:ascii="宋体" w:hAnsi="宋体" w:eastAsia="宋体" w:cs="宋体"/>
                <w:i w:val="0"/>
                <w:iCs w:val="0"/>
                <w:color w:val="000000"/>
                <w:sz w:val="21"/>
                <w:szCs w:val="21"/>
                <w:u w:val="none"/>
              </w:rPr>
            </w:pP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24BEA6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数据检索</w:t>
            </w:r>
          </w:p>
        </w:tc>
        <w:tc>
          <w:tcPr>
            <w:tcW w:w="3759" w:type="pct"/>
            <w:tcBorders>
              <w:top w:val="single" w:color="auto" w:sz="4" w:space="0"/>
              <w:left w:val="single" w:color="auto" w:sz="4" w:space="0"/>
              <w:bottom w:val="single" w:color="auto" w:sz="4" w:space="0"/>
              <w:right w:val="single" w:color="auto" w:sz="4" w:space="0"/>
            </w:tcBorders>
            <w:shd w:val="clear" w:color="auto" w:fill="auto"/>
            <w:vAlign w:val="center"/>
          </w:tcPr>
          <w:p w14:paraId="51A53D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支持with查询，支持WITHRECURSIVE查询的功能，支持lateral查询。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支持like操作符的全文检索，中文全文检索功能不依赖中文词典。</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397A61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097D1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DA2E40">
            <w:pPr>
              <w:jc w:val="center"/>
              <w:rPr>
                <w:rFonts w:hint="eastAsia" w:ascii="宋体" w:hAnsi="宋体" w:eastAsia="宋体" w:cs="宋体"/>
                <w:i w:val="0"/>
                <w:iCs w:val="0"/>
                <w:color w:val="000000"/>
                <w:sz w:val="21"/>
                <w:szCs w:val="21"/>
                <w:u w:val="none"/>
              </w:rPr>
            </w:pPr>
          </w:p>
        </w:tc>
        <w:tc>
          <w:tcPr>
            <w:tcW w:w="5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6A9A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存储过程</w:t>
            </w:r>
          </w:p>
        </w:tc>
        <w:tc>
          <w:tcPr>
            <w:tcW w:w="3759" w:type="pct"/>
            <w:tcBorders>
              <w:top w:val="single" w:color="auto" w:sz="4" w:space="0"/>
              <w:left w:val="single" w:color="auto" w:sz="4" w:space="0"/>
              <w:bottom w:val="single" w:color="auto" w:sz="4" w:space="0"/>
              <w:right w:val="single" w:color="auto" w:sz="4" w:space="0"/>
            </w:tcBorders>
            <w:shd w:val="clear" w:color="auto" w:fill="auto"/>
            <w:vAlign w:val="center"/>
          </w:tcPr>
          <w:p w14:paraId="50FD1B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支持创建（有参/无参）、修改、查看、调用、删除存储过程。</w:t>
            </w:r>
          </w:p>
        </w:tc>
        <w:tc>
          <w:tcPr>
            <w:tcW w:w="21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5B5B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36E6E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5A6A4C">
            <w:pPr>
              <w:jc w:val="center"/>
              <w:rPr>
                <w:rFonts w:hint="eastAsia" w:ascii="宋体" w:hAnsi="宋体" w:eastAsia="宋体" w:cs="宋体"/>
                <w:i w:val="0"/>
                <w:iCs w:val="0"/>
                <w:color w:val="000000"/>
                <w:sz w:val="21"/>
                <w:szCs w:val="21"/>
                <w:u w:val="none"/>
              </w:rPr>
            </w:pPr>
          </w:p>
        </w:tc>
        <w:tc>
          <w:tcPr>
            <w:tcW w:w="55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898F11">
            <w:pPr>
              <w:jc w:val="center"/>
              <w:rPr>
                <w:rFonts w:hint="eastAsia" w:ascii="宋体" w:hAnsi="宋体" w:eastAsia="宋体" w:cs="宋体"/>
                <w:i w:val="0"/>
                <w:iCs w:val="0"/>
                <w:color w:val="000000"/>
                <w:sz w:val="21"/>
                <w:szCs w:val="21"/>
                <w:u w:val="none"/>
              </w:rPr>
            </w:pPr>
          </w:p>
        </w:tc>
        <w:tc>
          <w:tcPr>
            <w:tcW w:w="3759" w:type="pct"/>
            <w:tcBorders>
              <w:top w:val="single" w:color="auto" w:sz="4" w:space="0"/>
              <w:left w:val="single" w:color="auto" w:sz="4" w:space="0"/>
              <w:bottom w:val="single" w:color="auto" w:sz="4" w:space="0"/>
              <w:right w:val="single" w:color="auto" w:sz="4" w:space="0"/>
            </w:tcBorders>
            <w:shd w:val="clear" w:color="auto" w:fill="auto"/>
            <w:vAlign w:val="center"/>
          </w:tcPr>
          <w:p w14:paraId="14B564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支持存储过程中游标的定义、打开、拨动、关闭。</w:t>
            </w:r>
          </w:p>
        </w:tc>
        <w:tc>
          <w:tcPr>
            <w:tcW w:w="21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D042AD">
            <w:pPr>
              <w:jc w:val="center"/>
              <w:rPr>
                <w:rFonts w:hint="eastAsia" w:ascii="宋体" w:hAnsi="宋体" w:eastAsia="宋体" w:cs="宋体"/>
                <w:i w:val="0"/>
                <w:iCs w:val="0"/>
                <w:color w:val="000000"/>
                <w:sz w:val="21"/>
                <w:szCs w:val="21"/>
                <w:u w:val="none"/>
              </w:rPr>
            </w:pPr>
          </w:p>
        </w:tc>
      </w:tr>
      <w:tr w14:paraId="7AD36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7D25A6">
            <w:pPr>
              <w:jc w:val="center"/>
              <w:rPr>
                <w:rFonts w:hint="eastAsia" w:ascii="宋体" w:hAnsi="宋体" w:eastAsia="宋体" w:cs="宋体"/>
                <w:i w:val="0"/>
                <w:iCs w:val="0"/>
                <w:color w:val="000000"/>
                <w:sz w:val="21"/>
                <w:szCs w:val="21"/>
                <w:u w:val="none"/>
              </w:rPr>
            </w:pPr>
          </w:p>
        </w:tc>
        <w:tc>
          <w:tcPr>
            <w:tcW w:w="55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10B798">
            <w:pPr>
              <w:jc w:val="center"/>
              <w:rPr>
                <w:rFonts w:hint="eastAsia" w:ascii="宋体" w:hAnsi="宋体" w:eastAsia="宋体" w:cs="宋体"/>
                <w:i w:val="0"/>
                <w:iCs w:val="0"/>
                <w:color w:val="000000"/>
                <w:sz w:val="21"/>
                <w:szCs w:val="21"/>
                <w:u w:val="none"/>
              </w:rPr>
            </w:pPr>
          </w:p>
        </w:tc>
        <w:tc>
          <w:tcPr>
            <w:tcW w:w="3759" w:type="pct"/>
            <w:tcBorders>
              <w:top w:val="single" w:color="auto" w:sz="4" w:space="0"/>
              <w:left w:val="single" w:color="auto" w:sz="4" w:space="0"/>
              <w:bottom w:val="single" w:color="auto" w:sz="4" w:space="0"/>
              <w:right w:val="single" w:color="auto" w:sz="4" w:space="0"/>
            </w:tcBorders>
            <w:shd w:val="clear" w:color="auto" w:fill="auto"/>
            <w:vAlign w:val="center"/>
          </w:tcPr>
          <w:p w14:paraId="42F86C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支持存储过程中使用动态SQL语句。</w:t>
            </w:r>
          </w:p>
        </w:tc>
        <w:tc>
          <w:tcPr>
            <w:tcW w:w="21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891347">
            <w:pPr>
              <w:jc w:val="center"/>
              <w:rPr>
                <w:rFonts w:hint="eastAsia" w:ascii="宋体" w:hAnsi="宋体" w:eastAsia="宋体" w:cs="宋体"/>
                <w:i w:val="0"/>
                <w:iCs w:val="0"/>
                <w:color w:val="000000"/>
                <w:sz w:val="21"/>
                <w:szCs w:val="21"/>
                <w:u w:val="none"/>
              </w:rPr>
            </w:pPr>
          </w:p>
        </w:tc>
      </w:tr>
      <w:tr w14:paraId="1826E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69E800">
            <w:pPr>
              <w:jc w:val="center"/>
              <w:rPr>
                <w:rFonts w:hint="eastAsia" w:ascii="宋体" w:hAnsi="宋体" w:eastAsia="宋体" w:cs="宋体"/>
                <w:i w:val="0"/>
                <w:iCs w:val="0"/>
                <w:color w:val="000000"/>
                <w:sz w:val="21"/>
                <w:szCs w:val="21"/>
                <w:u w:val="none"/>
              </w:rPr>
            </w:pP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2FCD19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序列</w:t>
            </w:r>
          </w:p>
        </w:tc>
        <w:tc>
          <w:tcPr>
            <w:tcW w:w="3759" w:type="pct"/>
            <w:tcBorders>
              <w:top w:val="single" w:color="auto" w:sz="4" w:space="0"/>
              <w:left w:val="single" w:color="auto" w:sz="4" w:space="0"/>
              <w:bottom w:val="single" w:color="auto" w:sz="4" w:space="0"/>
              <w:right w:val="single" w:color="auto" w:sz="4" w:space="0"/>
            </w:tcBorders>
            <w:shd w:val="clear" w:color="auto" w:fill="auto"/>
            <w:vAlign w:val="center"/>
          </w:tcPr>
          <w:p w14:paraId="126D53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支持数据库的自增列功能，包括自增列的删插改查与使用等。</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19E3BC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23F89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8B88E0">
            <w:pPr>
              <w:jc w:val="center"/>
              <w:rPr>
                <w:rFonts w:hint="eastAsia" w:ascii="宋体" w:hAnsi="宋体" w:eastAsia="宋体" w:cs="宋体"/>
                <w:i w:val="0"/>
                <w:iCs w:val="0"/>
                <w:color w:val="000000"/>
                <w:sz w:val="21"/>
                <w:szCs w:val="21"/>
                <w:u w:val="none"/>
              </w:rPr>
            </w:pP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6DA026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分区表</w:t>
            </w:r>
          </w:p>
        </w:tc>
        <w:tc>
          <w:tcPr>
            <w:tcW w:w="3759" w:type="pct"/>
            <w:tcBorders>
              <w:top w:val="single" w:color="auto" w:sz="4" w:space="0"/>
              <w:left w:val="single" w:color="auto" w:sz="4" w:space="0"/>
              <w:bottom w:val="single" w:color="auto" w:sz="4" w:space="0"/>
              <w:right w:val="single" w:color="auto" w:sz="4" w:space="0"/>
            </w:tcBorders>
            <w:shd w:val="clear" w:color="auto" w:fill="auto"/>
            <w:vAlign w:val="center"/>
          </w:tcPr>
          <w:p w14:paraId="66E097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支持通过图形化方式进行分区表的创建、 使用、删除、 查询等功能，分区类型包括范围分区、列表分区、哈希分区等；数据库分区键支持表达式。</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52324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09C3B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8102F5">
            <w:pPr>
              <w:jc w:val="center"/>
              <w:rPr>
                <w:rFonts w:hint="eastAsia" w:ascii="宋体" w:hAnsi="宋体" w:eastAsia="宋体" w:cs="宋体"/>
                <w:i w:val="0"/>
                <w:iCs w:val="0"/>
                <w:color w:val="000000"/>
                <w:sz w:val="21"/>
                <w:szCs w:val="21"/>
                <w:u w:val="none"/>
              </w:rPr>
            </w:pP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303718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索引</w:t>
            </w:r>
          </w:p>
        </w:tc>
        <w:tc>
          <w:tcPr>
            <w:tcW w:w="3759" w:type="pct"/>
            <w:tcBorders>
              <w:top w:val="single" w:color="auto" w:sz="4" w:space="0"/>
              <w:left w:val="single" w:color="auto" w:sz="4" w:space="0"/>
              <w:bottom w:val="single" w:color="auto" w:sz="4" w:space="0"/>
              <w:right w:val="single" w:color="auto" w:sz="4" w:space="0"/>
            </w:tcBorders>
            <w:shd w:val="clear" w:color="auto" w:fill="auto"/>
            <w:vAlign w:val="center"/>
          </w:tcPr>
          <w:p w14:paraId="68D663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支持多种索引类型，包括：btree、hash、brin、bloom、gist、gin等。</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5FAB37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63343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7C76D1">
            <w:pPr>
              <w:jc w:val="center"/>
              <w:rPr>
                <w:rFonts w:hint="eastAsia" w:ascii="宋体" w:hAnsi="宋体" w:eastAsia="宋体" w:cs="宋体"/>
                <w:i w:val="0"/>
                <w:iCs w:val="0"/>
                <w:color w:val="000000"/>
                <w:sz w:val="21"/>
                <w:szCs w:val="21"/>
                <w:u w:val="none"/>
              </w:rPr>
            </w:pP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160787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约束</w:t>
            </w:r>
          </w:p>
        </w:tc>
        <w:tc>
          <w:tcPr>
            <w:tcW w:w="3759" w:type="pct"/>
            <w:tcBorders>
              <w:top w:val="single" w:color="auto" w:sz="4" w:space="0"/>
              <w:left w:val="single" w:color="auto" w:sz="4" w:space="0"/>
              <w:bottom w:val="single" w:color="auto" w:sz="4" w:space="0"/>
              <w:right w:val="single" w:color="auto" w:sz="4" w:space="0"/>
            </w:tcBorders>
            <w:shd w:val="clear" w:color="auto" w:fill="auto"/>
            <w:vAlign w:val="center"/>
          </w:tcPr>
          <w:p w14:paraId="2103A9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支持通过图形化方式创建、修改、删除、查看主键/外键唯一约束/check约束功能，支持以上约束的禁止/启用等。</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3D7466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0F4F8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BD82D3">
            <w:pPr>
              <w:jc w:val="center"/>
              <w:rPr>
                <w:rFonts w:hint="eastAsia" w:ascii="宋体" w:hAnsi="宋体" w:eastAsia="宋体" w:cs="宋体"/>
                <w:i w:val="0"/>
                <w:iCs w:val="0"/>
                <w:color w:val="000000"/>
                <w:sz w:val="21"/>
                <w:szCs w:val="21"/>
                <w:u w:val="none"/>
              </w:rPr>
            </w:pP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0B46A1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游标</w:t>
            </w:r>
          </w:p>
        </w:tc>
        <w:tc>
          <w:tcPr>
            <w:tcW w:w="3759" w:type="pct"/>
            <w:tcBorders>
              <w:top w:val="single" w:color="auto" w:sz="4" w:space="0"/>
              <w:left w:val="single" w:color="auto" w:sz="4" w:space="0"/>
              <w:bottom w:val="single" w:color="auto" w:sz="4" w:space="0"/>
              <w:right w:val="single" w:color="auto" w:sz="4" w:space="0"/>
            </w:tcBorders>
            <w:shd w:val="clear" w:color="auto" w:fill="auto"/>
            <w:vAlign w:val="center"/>
          </w:tcPr>
          <w:p w14:paraId="3C8DB5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支持游标跨事务。</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2ABDBA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07187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72CB7C">
            <w:pPr>
              <w:jc w:val="center"/>
              <w:rPr>
                <w:rFonts w:hint="eastAsia" w:ascii="宋体" w:hAnsi="宋体" w:eastAsia="宋体" w:cs="宋体"/>
                <w:i w:val="0"/>
                <w:iCs w:val="0"/>
                <w:color w:val="000000"/>
                <w:sz w:val="21"/>
                <w:szCs w:val="21"/>
                <w:u w:val="none"/>
              </w:rPr>
            </w:pP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784E10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窗口函数</w:t>
            </w:r>
          </w:p>
        </w:tc>
        <w:tc>
          <w:tcPr>
            <w:tcW w:w="3759" w:type="pct"/>
            <w:tcBorders>
              <w:top w:val="single" w:color="auto" w:sz="4" w:space="0"/>
              <w:left w:val="single" w:color="auto" w:sz="4" w:space="0"/>
              <w:bottom w:val="single" w:color="auto" w:sz="4" w:space="0"/>
              <w:right w:val="single" w:color="auto" w:sz="4" w:space="0"/>
            </w:tcBorders>
            <w:shd w:val="clear" w:color="auto" w:fill="auto"/>
            <w:vAlign w:val="center"/>
          </w:tcPr>
          <w:p w14:paraId="723CBA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支持AVG、MAX、MIN、COUNT、EVERY、BOOL_OR、BOOL_AND、BIT_OR、BIT_AND等不少于20种窗口函数，可以支持distinct用法。</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73C22F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6A5E7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BCB890">
            <w:pPr>
              <w:jc w:val="center"/>
              <w:rPr>
                <w:rFonts w:hint="eastAsia" w:ascii="宋体" w:hAnsi="宋体" w:eastAsia="宋体" w:cs="宋体"/>
                <w:i w:val="0"/>
                <w:iCs w:val="0"/>
                <w:color w:val="000000"/>
                <w:sz w:val="21"/>
                <w:szCs w:val="21"/>
                <w:u w:val="none"/>
              </w:rPr>
            </w:pPr>
          </w:p>
        </w:tc>
        <w:tc>
          <w:tcPr>
            <w:tcW w:w="5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78A7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自治事务</w:t>
            </w:r>
          </w:p>
        </w:tc>
        <w:tc>
          <w:tcPr>
            <w:tcW w:w="3759" w:type="pct"/>
            <w:tcBorders>
              <w:top w:val="single" w:color="auto" w:sz="4" w:space="0"/>
              <w:left w:val="single" w:color="auto" w:sz="4" w:space="0"/>
              <w:bottom w:val="single" w:color="auto" w:sz="4" w:space="0"/>
              <w:right w:val="single" w:color="auto" w:sz="4" w:space="0"/>
            </w:tcBorders>
            <w:shd w:val="clear" w:color="auto" w:fill="auto"/>
            <w:vAlign w:val="center"/>
          </w:tcPr>
          <w:p w14:paraId="07F47B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存储过程支持自治事务。</w:t>
            </w:r>
          </w:p>
        </w:tc>
        <w:tc>
          <w:tcPr>
            <w:tcW w:w="21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E2EE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45FCD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2D7487">
            <w:pPr>
              <w:jc w:val="center"/>
              <w:rPr>
                <w:rFonts w:hint="eastAsia" w:ascii="宋体" w:hAnsi="宋体" w:eastAsia="宋体" w:cs="宋体"/>
                <w:i w:val="0"/>
                <w:iCs w:val="0"/>
                <w:color w:val="000000"/>
                <w:sz w:val="21"/>
                <w:szCs w:val="21"/>
                <w:u w:val="none"/>
              </w:rPr>
            </w:pPr>
          </w:p>
        </w:tc>
        <w:tc>
          <w:tcPr>
            <w:tcW w:w="55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3B7B80">
            <w:pPr>
              <w:jc w:val="center"/>
              <w:rPr>
                <w:rFonts w:hint="eastAsia" w:ascii="宋体" w:hAnsi="宋体" w:eastAsia="宋体" w:cs="宋体"/>
                <w:i w:val="0"/>
                <w:iCs w:val="0"/>
                <w:color w:val="000000"/>
                <w:sz w:val="21"/>
                <w:szCs w:val="21"/>
                <w:u w:val="none"/>
              </w:rPr>
            </w:pPr>
          </w:p>
        </w:tc>
        <w:tc>
          <w:tcPr>
            <w:tcW w:w="3759" w:type="pct"/>
            <w:tcBorders>
              <w:top w:val="single" w:color="auto" w:sz="4" w:space="0"/>
              <w:left w:val="single" w:color="auto" w:sz="4" w:space="0"/>
              <w:bottom w:val="single" w:color="auto" w:sz="4" w:space="0"/>
              <w:right w:val="single" w:color="auto" w:sz="4" w:space="0"/>
            </w:tcBorders>
            <w:shd w:val="clear" w:color="auto" w:fill="auto"/>
            <w:vAlign w:val="center"/>
          </w:tcPr>
          <w:p w14:paraId="2DC8E3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自定义函数支持自治事务。</w:t>
            </w:r>
          </w:p>
        </w:tc>
        <w:tc>
          <w:tcPr>
            <w:tcW w:w="21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E3E438">
            <w:pPr>
              <w:jc w:val="center"/>
              <w:rPr>
                <w:rFonts w:hint="eastAsia" w:ascii="宋体" w:hAnsi="宋体" w:eastAsia="宋体" w:cs="宋体"/>
                <w:i w:val="0"/>
                <w:iCs w:val="0"/>
                <w:color w:val="000000"/>
                <w:sz w:val="21"/>
                <w:szCs w:val="21"/>
                <w:u w:val="none"/>
              </w:rPr>
            </w:pPr>
          </w:p>
        </w:tc>
      </w:tr>
      <w:tr w14:paraId="63D8B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94B29B">
            <w:pPr>
              <w:jc w:val="center"/>
              <w:rPr>
                <w:rFonts w:hint="eastAsia" w:ascii="宋体" w:hAnsi="宋体" w:eastAsia="宋体" w:cs="宋体"/>
                <w:i w:val="0"/>
                <w:iCs w:val="0"/>
                <w:color w:val="000000"/>
                <w:sz w:val="21"/>
                <w:szCs w:val="21"/>
                <w:u w:val="none"/>
              </w:rPr>
            </w:pP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179F1C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复杂SQL</w:t>
            </w:r>
          </w:p>
        </w:tc>
        <w:tc>
          <w:tcPr>
            <w:tcW w:w="3759" w:type="pct"/>
            <w:tcBorders>
              <w:top w:val="single" w:color="auto" w:sz="4" w:space="0"/>
              <w:left w:val="single" w:color="auto" w:sz="4" w:space="0"/>
              <w:bottom w:val="single" w:color="auto" w:sz="4" w:space="0"/>
              <w:right w:val="single" w:color="auto" w:sz="4" w:space="0"/>
            </w:tcBorders>
            <w:shd w:val="clear" w:color="auto" w:fill="auto"/>
            <w:vAlign w:val="center"/>
          </w:tcPr>
          <w:p w14:paraId="164E02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支持一个语句内同时更新多个表语法功能；支持更新和删除语句通过 LIMIT 子句和 ORDER BY 子句的同时使用，限定操作影响的行数。（提供具有CNAS或CMA资质的第三方测试机构出具的有效期内的检测报告，原件备查。）</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1F1211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59E74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7F8F66">
            <w:pPr>
              <w:jc w:val="center"/>
              <w:rPr>
                <w:rFonts w:hint="eastAsia" w:ascii="宋体" w:hAnsi="宋体" w:eastAsia="宋体" w:cs="宋体"/>
                <w:i w:val="0"/>
                <w:iCs w:val="0"/>
                <w:color w:val="000000"/>
                <w:sz w:val="21"/>
                <w:szCs w:val="21"/>
                <w:u w:val="none"/>
              </w:rPr>
            </w:pP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64E0DD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性能优化</w:t>
            </w:r>
          </w:p>
        </w:tc>
        <w:tc>
          <w:tcPr>
            <w:tcW w:w="3759" w:type="pct"/>
            <w:tcBorders>
              <w:top w:val="single" w:color="auto" w:sz="4" w:space="0"/>
              <w:left w:val="single" w:color="auto" w:sz="4" w:space="0"/>
              <w:bottom w:val="single" w:color="auto" w:sz="4" w:space="0"/>
              <w:right w:val="single" w:color="auto" w:sz="4" w:space="0"/>
            </w:tcBorders>
            <w:shd w:val="clear" w:color="auto" w:fill="auto"/>
            <w:vAlign w:val="center"/>
          </w:tcPr>
          <w:p w14:paraId="57A576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★支持针对符合规则的SQL进行等价变换，包括不等式变换、合并exists子链接、not in子链接提升、合并子查询作为公共表达式等。（提供具有CNAS或CMA资质的第三方测试机构出具的有效期内的检测报告，原件备查。）</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7130E6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7CF48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B56F5F">
            <w:pPr>
              <w:jc w:val="center"/>
              <w:rPr>
                <w:rFonts w:hint="eastAsia" w:ascii="宋体" w:hAnsi="宋体" w:eastAsia="宋体" w:cs="宋体"/>
                <w:i w:val="0"/>
                <w:iCs w:val="0"/>
                <w:color w:val="000000"/>
                <w:sz w:val="21"/>
                <w:szCs w:val="21"/>
                <w:u w:val="none"/>
              </w:rPr>
            </w:pP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2CB0D6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TPCC</w:t>
            </w:r>
          </w:p>
        </w:tc>
        <w:tc>
          <w:tcPr>
            <w:tcW w:w="3759" w:type="pct"/>
            <w:tcBorders>
              <w:top w:val="single" w:color="auto" w:sz="4" w:space="0"/>
              <w:left w:val="single" w:color="auto" w:sz="4" w:space="0"/>
              <w:bottom w:val="single" w:color="auto" w:sz="4" w:space="0"/>
              <w:right w:val="single" w:color="auto" w:sz="4" w:space="0"/>
            </w:tcBorders>
            <w:shd w:val="clear" w:color="auto" w:fill="auto"/>
            <w:vAlign w:val="center"/>
          </w:tcPr>
          <w:p w14:paraId="7998EDF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双路国产处理器平台上，每轮以100个仓库和200个终端进行10分钟的TPCC基准测试，至少进行3轮，测试结果均可达到150万tpmC以上。（提供具有CNAS或CMA资质的第三方测试机构出具的有效期内的检测报告，原件备查。）</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1E18B6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385C3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ED944A">
            <w:pPr>
              <w:jc w:val="center"/>
              <w:rPr>
                <w:rFonts w:hint="eastAsia" w:ascii="宋体" w:hAnsi="宋体" w:eastAsia="宋体" w:cs="宋体"/>
                <w:i w:val="0"/>
                <w:iCs w:val="0"/>
                <w:color w:val="000000"/>
                <w:sz w:val="21"/>
                <w:szCs w:val="21"/>
                <w:u w:val="none"/>
              </w:rPr>
            </w:pP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0F7B7E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稳定性</w:t>
            </w:r>
          </w:p>
        </w:tc>
        <w:tc>
          <w:tcPr>
            <w:tcW w:w="3759" w:type="pct"/>
            <w:tcBorders>
              <w:top w:val="single" w:color="auto" w:sz="4" w:space="0"/>
              <w:left w:val="single" w:color="auto" w:sz="4" w:space="0"/>
              <w:bottom w:val="single" w:color="auto" w:sz="4" w:space="0"/>
              <w:right w:val="single" w:color="auto" w:sz="4" w:space="0"/>
            </w:tcBorders>
            <w:shd w:val="clear" w:color="auto" w:fill="auto"/>
            <w:vAlign w:val="center"/>
          </w:tcPr>
          <w:p w14:paraId="7DD8186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单机支持15万以上物理并发连接，65小时以上未掉线。（提供具有CNAS或CMA资质的第三方测试机构出具的有效期内的检测报告，原件备查。）</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3D4F4E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6BE74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5D1BBC">
            <w:pPr>
              <w:jc w:val="center"/>
              <w:rPr>
                <w:rFonts w:hint="eastAsia" w:ascii="宋体" w:hAnsi="宋体" w:eastAsia="宋体" w:cs="宋体"/>
                <w:i w:val="0"/>
                <w:iCs w:val="0"/>
                <w:color w:val="000000"/>
                <w:sz w:val="21"/>
                <w:szCs w:val="21"/>
                <w:u w:val="none"/>
              </w:rPr>
            </w:pP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6544C7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迁移速度</w:t>
            </w:r>
          </w:p>
        </w:tc>
        <w:tc>
          <w:tcPr>
            <w:tcW w:w="3759" w:type="pct"/>
            <w:tcBorders>
              <w:top w:val="single" w:color="auto" w:sz="4" w:space="0"/>
              <w:left w:val="single" w:color="auto" w:sz="4" w:space="0"/>
              <w:bottom w:val="single" w:color="auto" w:sz="4" w:space="0"/>
              <w:right w:val="single" w:color="auto" w:sz="4" w:space="0"/>
            </w:tcBorders>
            <w:shd w:val="clear" w:color="auto" w:fill="auto"/>
            <w:vAlign w:val="center"/>
          </w:tcPr>
          <w:p w14:paraId="3591B9F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数据库全量数据迁移速度不低于35MB/秒：在不少于5次迁移过程中，创建100万条任务记录的数据库增量数据迁移，迁移过程中无报错，且迁移速度不得低于全量迁移速度的 70%。（提供具有CNAS或CMA资质的第三方测试机构出具的有效期内的检测报告，原件备查）</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6F5AF4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464BC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62CAD1">
            <w:pPr>
              <w:jc w:val="center"/>
              <w:rPr>
                <w:rFonts w:hint="eastAsia" w:ascii="宋体" w:hAnsi="宋体" w:eastAsia="宋体" w:cs="宋体"/>
                <w:i w:val="0"/>
                <w:iCs w:val="0"/>
                <w:color w:val="000000"/>
                <w:sz w:val="21"/>
                <w:szCs w:val="21"/>
                <w:u w:val="none"/>
              </w:rPr>
            </w:pP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0E8C66DE">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可信数据库</w:t>
            </w:r>
          </w:p>
        </w:tc>
        <w:tc>
          <w:tcPr>
            <w:tcW w:w="3759" w:type="pct"/>
            <w:tcBorders>
              <w:top w:val="single" w:color="auto" w:sz="4" w:space="0"/>
              <w:left w:val="single" w:color="auto" w:sz="4" w:space="0"/>
              <w:bottom w:val="single" w:color="auto" w:sz="4" w:space="0"/>
              <w:right w:val="single" w:color="auto" w:sz="4" w:space="0"/>
            </w:tcBorders>
            <w:shd w:val="clear" w:color="auto" w:fill="auto"/>
            <w:vAlign w:val="center"/>
          </w:tcPr>
          <w:p w14:paraId="013E9C0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★产品通过可信数据库评测，在金融场景下核心业务的事务性能、ACID能力、高可用能力等方面，均满足集中式数据库性能测试要求；（提供集中式事务数据库性能专项测评证书复印件加盖产品原厂商公章）</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18CC2856">
            <w:pPr>
              <w:jc w:val="center"/>
              <w:rPr>
                <w:rFonts w:hint="eastAsia" w:ascii="宋体" w:hAnsi="宋体" w:eastAsia="宋体" w:cs="宋体"/>
                <w:i w:val="0"/>
                <w:iCs w:val="0"/>
                <w:color w:val="000000"/>
                <w:sz w:val="21"/>
                <w:szCs w:val="21"/>
                <w:u w:val="none"/>
              </w:rPr>
            </w:pPr>
          </w:p>
        </w:tc>
      </w:tr>
      <w:tr w14:paraId="5E63A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4E0C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兼容性要求</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60AD54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Oracle兼容性</w:t>
            </w:r>
          </w:p>
        </w:tc>
        <w:tc>
          <w:tcPr>
            <w:tcW w:w="3759" w:type="pct"/>
            <w:tcBorders>
              <w:top w:val="single" w:color="auto" w:sz="4" w:space="0"/>
              <w:left w:val="single" w:color="auto" w:sz="4" w:space="0"/>
              <w:bottom w:val="single" w:color="auto" w:sz="4" w:space="0"/>
              <w:right w:val="single" w:color="auto" w:sz="4" w:space="0"/>
            </w:tcBorders>
            <w:shd w:val="clear" w:color="auto" w:fill="auto"/>
            <w:vAlign w:val="center"/>
          </w:tcPr>
          <w:p w14:paraId="39B2235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能够与Oracle数据库良好兼容，支持Oracle高达95%以上的PL/SQL语法。在遇到任何PL/SQL语法不兼容的情况时，数据库产品原厂商承诺提供免费的PL/SQL兼容性改造补丁；原厂提供补丁时间以周为单位，3周以内提供。提供数据库产品原厂商承诺函。</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38B91845">
            <w:pPr>
              <w:jc w:val="center"/>
              <w:rPr>
                <w:rFonts w:hint="eastAsia" w:ascii="宋体" w:hAnsi="宋体" w:eastAsia="宋体" w:cs="宋体"/>
                <w:i w:val="0"/>
                <w:iCs w:val="0"/>
                <w:color w:val="000000"/>
                <w:sz w:val="21"/>
                <w:szCs w:val="21"/>
                <w:u w:val="none"/>
              </w:rPr>
            </w:pPr>
          </w:p>
        </w:tc>
      </w:tr>
      <w:tr w14:paraId="057E9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41DAB2">
            <w:pPr>
              <w:jc w:val="center"/>
              <w:rPr>
                <w:rFonts w:hint="eastAsia" w:ascii="宋体" w:hAnsi="宋体" w:eastAsia="宋体" w:cs="宋体"/>
                <w:i w:val="0"/>
                <w:iCs w:val="0"/>
                <w:color w:val="000000"/>
                <w:sz w:val="21"/>
                <w:szCs w:val="21"/>
                <w:u w:val="none"/>
              </w:rPr>
            </w:pP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7F7AD3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表继承兼容</w:t>
            </w:r>
          </w:p>
        </w:tc>
        <w:tc>
          <w:tcPr>
            <w:tcW w:w="3759" w:type="pct"/>
            <w:tcBorders>
              <w:top w:val="single" w:color="auto" w:sz="4" w:space="0"/>
              <w:left w:val="single" w:color="auto" w:sz="4" w:space="0"/>
              <w:bottom w:val="single" w:color="auto" w:sz="4" w:space="0"/>
              <w:right w:val="single" w:color="auto" w:sz="4" w:space="0"/>
            </w:tcBorders>
            <w:shd w:val="clear" w:color="auto" w:fill="auto"/>
            <w:vAlign w:val="center"/>
          </w:tcPr>
          <w:p w14:paraId="63A3B40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★产品支持在 Oracle、MySQL、SQLServer 三种数据库兼容模式下支持表继承的功能。父表支持普通表和外部表，父表的 DML 操作可以通过定义控制对子表的级联影响。（提供具有CNAS或CMA资质的第三方测试机构出具的有效期内的检测报告，原件备查。）</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597D6756">
            <w:pPr>
              <w:jc w:val="center"/>
              <w:rPr>
                <w:rFonts w:hint="eastAsia" w:ascii="宋体" w:hAnsi="宋体" w:eastAsia="宋体" w:cs="宋体"/>
                <w:i w:val="0"/>
                <w:iCs w:val="0"/>
                <w:color w:val="000000"/>
                <w:sz w:val="21"/>
                <w:szCs w:val="21"/>
                <w:u w:val="none"/>
              </w:rPr>
            </w:pPr>
          </w:p>
        </w:tc>
      </w:tr>
      <w:tr w14:paraId="4EF2D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A33822">
            <w:pPr>
              <w:jc w:val="center"/>
              <w:rPr>
                <w:rFonts w:hint="eastAsia" w:ascii="宋体" w:hAnsi="宋体" w:eastAsia="宋体" w:cs="宋体"/>
                <w:i w:val="0"/>
                <w:iCs w:val="0"/>
                <w:color w:val="000000"/>
                <w:sz w:val="21"/>
                <w:szCs w:val="21"/>
                <w:u w:val="none"/>
              </w:rPr>
            </w:pP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3C4A4F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接口、开发框架兼容</w:t>
            </w:r>
          </w:p>
        </w:tc>
        <w:tc>
          <w:tcPr>
            <w:tcW w:w="3759" w:type="pct"/>
            <w:tcBorders>
              <w:top w:val="single" w:color="auto" w:sz="4" w:space="0"/>
              <w:left w:val="single" w:color="auto" w:sz="4" w:space="0"/>
              <w:bottom w:val="single" w:color="auto" w:sz="4" w:space="0"/>
              <w:right w:val="single" w:color="auto" w:sz="4" w:space="0"/>
            </w:tcBorders>
            <w:shd w:val="clear" w:color="auto" w:fill="auto"/>
            <w:vAlign w:val="center"/>
          </w:tcPr>
          <w:p w14:paraId="37E90E1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产品支持JDBC、ODBC标准接口；支持Mybatis、Spring、NHibernate等开发框架；支持Mycat、ShardingSphere-Proxy等分布式中间件；提供具有CNAS或CMA资质的第三方测试机构出具的有效期内的检测报告，原件备查。</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540ADCEA">
            <w:pPr>
              <w:jc w:val="center"/>
              <w:rPr>
                <w:rFonts w:hint="eastAsia" w:ascii="宋体" w:hAnsi="宋体" w:eastAsia="宋体" w:cs="宋体"/>
                <w:i w:val="0"/>
                <w:iCs w:val="0"/>
                <w:color w:val="000000"/>
                <w:sz w:val="21"/>
                <w:szCs w:val="21"/>
                <w:u w:val="none"/>
              </w:rPr>
            </w:pPr>
          </w:p>
        </w:tc>
      </w:tr>
      <w:tr w14:paraId="7A91B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52A4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安全性</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26BBE3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接口安全</w:t>
            </w:r>
          </w:p>
        </w:tc>
        <w:tc>
          <w:tcPr>
            <w:tcW w:w="3759" w:type="pct"/>
            <w:tcBorders>
              <w:top w:val="single" w:color="auto" w:sz="4" w:space="0"/>
              <w:left w:val="single" w:color="auto" w:sz="4" w:space="0"/>
              <w:bottom w:val="single" w:color="auto" w:sz="4" w:space="0"/>
              <w:right w:val="single" w:color="auto" w:sz="4" w:space="0"/>
            </w:tcBorders>
            <w:shd w:val="clear" w:color="auto" w:fill="auto"/>
            <w:vAlign w:val="center"/>
          </w:tcPr>
          <w:p w14:paraId="0B7B45B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DBC接口和原生C接口支持信息安全技术传输层密码协议（TLCP），可以在传输层上提供端到端的加密和身份认证服务，有效防止网络安全威胁。（提供具有CNAS或CMA资质的第三方测试机构出具的有效期内的检测报告，原件备查。）</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7ED768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5E28A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34E1D1">
            <w:pPr>
              <w:jc w:val="center"/>
              <w:rPr>
                <w:rFonts w:hint="eastAsia" w:ascii="宋体" w:hAnsi="宋体" w:eastAsia="宋体" w:cs="宋体"/>
                <w:i w:val="0"/>
                <w:iCs w:val="0"/>
                <w:color w:val="000000"/>
                <w:sz w:val="21"/>
                <w:szCs w:val="21"/>
                <w:u w:val="none"/>
              </w:rPr>
            </w:pP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30F35F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数据脱敏</w:t>
            </w:r>
          </w:p>
        </w:tc>
        <w:tc>
          <w:tcPr>
            <w:tcW w:w="3759" w:type="pct"/>
            <w:tcBorders>
              <w:top w:val="single" w:color="auto" w:sz="4" w:space="0"/>
              <w:left w:val="single" w:color="auto" w:sz="4" w:space="0"/>
              <w:bottom w:val="single" w:color="auto" w:sz="4" w:space="0"/>
              <w:right w:val="single" w:color="auto" w:sz="4" w:space="0"/>
            </w:tcBorders>
            <w:shd w:val="clear" w:color="auto" w:fill="auto"/>
            <w:vAlign w:val="center"/>
          </w:tcPr>
          <w:p w14:paraId="55A0A5B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产品支持对敏感数据的动态脱敏功能，包括默认脱敏、随机脱敏、部分脱敏、邮件脱敏。</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6E6A9FE1">
            <w:pPr>
              <w:jc w:val="center"/>
              <w:rPr>
                <w:rFonts w:hint="eastAsia" w:ascii="宋体" w:hAnsi="宋体" w:eastAsia="宋体" w:cs="宋体"/>
                <w:i w:val="0"/>
                <w:iCs w:val="0"/>
                <w:color w:val="000000"/>
                <w:sz w:val="21"/>
                <w:szCs w:val="21"/>
                <w:u w:val="none"/>
              </w:rPr>
            </w:pPr>
          </w:p>
        </w:tc>
      </w:tr>
      <w:tr w14:paraId="10328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09BE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工具需求</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39C2D9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迁移评估</w:t>
            </w:r>
          </w:p>
        </w:tc>
        <w:tc>
          <w:tcPr>
            <w:tcW w:w="3759" w:type="pct"/>
            <w:tcBorders>
              <w:top w:val="single" w:color="auto" w:sz="4" w:space="0"/>
              <w:left w:val="single" w:color="auto" w:sz="4" w:space="0"/>
              <w:bottom w:val="single" w:color="auto" w:sz="4" w:space="0"/>
              <w:right w:val="single" w:color="auto" w:sz="4" w:space="0"/>
            </w:tcBorders>
            <w:shd w:val="clear" w:color="auto" w:fill="auto"/>
            <w:vAlign w:val="center"/>
          </w:tcPr>
          <w:p w14:paraId="6B53110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支持对Oracle、SQLServer、MySQL、DB2等数据库对象进行迁移和评估。</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6B547B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4699F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9CEBD4">
            <w:pPr>
              <w:jc w:val="center"/>
              <w:rPr>
                <w:rFonts w:hint="eastAsia" w:ascii="宋体" w:hAnsi="宋体" w:eastAsia="宋体" w:cs="宋体"/>
                <w:i w:val="0"/>
                <w:iCs w:val="0"/>
                <w:color w:val="000000"/>
                <w:sz w:val="21"/>
                <w:szCs w:val="21"/>
                <w:u w:val="none"/>
              </w:rPr>
            </w:pP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3EAFD3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对象管理</w:t>
            </w:r>
          </w:p>
        </w:tc>
        <w:tc>
          <w:tcPr>
            <w:tcW w:w="3759" w:type="pct"/>
            <w:tcBorders>
              <w:top w:val="single" w:color="auto" w:sz="4" w:space="0"/>
              <w:left w:val="single" w:color="auto" w:sz="4" w:space="0"/>
              <w:bottom w:val="single" w:color="auto" w:sz="4" w:space="0"/>
              <w:right w:val="single" w:color="auto" w:sz="4" w:space="0"/>
            </w:tcBorders>
            <w:shd w:val="clear" w:color="auto" w:fill="auto"/>
            <w:vAlign w:val="center"/>
          </w:tcPr>
          <w:p w14:paraId="569F974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管理工具支持提示机制，可以向开发和运维人员提示当前操作界面所连接的数据库系统类型为生产库，或是开发/测试库。</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2F8A1E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2A04E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7590E0">
            <w:pPr>
              <w:jc w:val="center"/>
              <w:rPr>
                <w:rFonts w:hint="eastAsia" w:ascii="宋体" w:hAnsi="宋体" w:eastAsia="宋体" w:cs="宋体"/>
                <w:i w:val="0"/>
                <w:iCs w:val="0"/>
                <w:color w:val="000000"/>
                <w:sz w:val="21"/>
                <w:szCs w:val="21"/>
                <w:u w:val="none"/>
              </w:rPr>
            </w:pP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238177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数据库运维</w:t>
            </w:r>
          </w:p>
        </w:tc>
        <w:tc>
          <w:tcPr>
            <w:tcW w:w="3759" w:type="pct"/>
            <w:tcBorders>
              <w:top w:val="single" w:color="auto" w:sz="4" w:space="0"/>
              <w:left w:val="single" w:color="auto" w:sz="4" w:space="0"/>
              <w:bottom w:val="single" w:color="auto" w:sz="4" w:space="0"/>
              <w:right w:val="single" w:color="auto" w:sz="4" w:space="0"/>
            </w:tcBorders>
            <w:shd w:val="clear" w:color="auto" w:fill="auto"/>
            <w:vAlign w:val="center"/>
          </w:tcPr>
          <w:p w14:paraId="1935B02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对集群日志、数据库日志，可以按照需求，进行正则匹配的方式对多个数据库节点一键收集汇总，并进行系统时间矫正后，反馈收集分析结果</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0AABF0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4F9A2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04DA9B">
            <w:pPr>
              <w:jc w:val="center"/>
              <w:rPr>
                <w:rFonts w:hint="eastAsia" w:ascii="宋体" w:hAnsi="宋体" w:eastAsia="宋体" w:cs="宋体"/>
                <w:i w:val="0"/>
                <w:iCs w:val="0"/>
                <w:color w:val="000000"/>
                <w:sz w:val="21"/>
                <w:szCs w:val="21"/>
                <w:u w:val="none"/>
              </w:rPr>
            </w:pP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63C097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数据库应用开发</w:t>
            </w:r>
          </w:p>
        </w:tc>
        <w:tc>
          <w:tcPr>
            <w:tcW w:w="3759" w:type="pct"/>
            <w:tcBorders>
              <w:top w:val="single" w:color="auto" w:sz="4" w:space="0"/>
              <w:left w:val="single" w:color="auto" w:sz="4" w:space="0"/>
              <w:bottom w:val="single" w:color="auto" w:sz="4" w:space="0"/>
              <w:right w:val="single" w:color="auto" w:sz="4" w:space="0"/>
            </w:tcBorders>
            <w:shd w:val="clear" w:color="auto" w:fill="auto"/>
            <w:vAlign w:val="center"/>
          </w:tcPr>
          <w:p w14:paraId="7E25893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支持自动生成数据库设计文档，以word和html的形式展现数据库中表的所有字段，标识，注释信息。（提供具有CNAS或CMA资质的第三方测试机构出具的有效期内的检测报告，原件备查。）</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38A442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58F0D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ACEF72">
            <w:pPr>
              <w:jc w:val="center"/>
              <w:rPr>
                <w:rFonts w:hint="eastAsia" w:ascii="宋体" w:hAnsi="宋体" w:eastAsia="宋体" w:cs="宋体"/>
                <w:i w:val="0"/>
                <w:iCs w:val="0"/>
                <w:color w:val="000000"/>
                <w:sz w:val="21"/>
                <w:szCs w:val="21"/>
                <w:u w:val="none"/>
              </w:rPr>
            </w:pP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5F6DF7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操作方式</w:t>
            </w:r>
          </w:p>
        </w:tc>
        <w:tc>
          <w:tcPr>
            <w:tcW w:w="3759" w:type="pct"/>
            <w:tcBorders>
              <w:top w:val="single" w:color="auto" w:sz="4" w:space="0"/>
              <w:left w:val="single" w:color="auto" w:sz="4" w:space="0"/>
              <w:bottom w:val="single" w:color="auto" w:sz="4" w:space="0"/>
              <w:right w:val="single" w:color="auto" w:sz="4" w:space="0"/>
            </w:tcBorders>
            <w:shd w:val="clear" w:color="auto" w:fill="auto"/>
            <w:vAlign w:val="center"/>
          </w:tcPr>
          <w:p w14:paraId="23C4BA5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支持一键自动部署集群。</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624C70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38BE7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1BE3FE">
            <w:pPr>
              <w:jc w:val="center"/>
              <w:rPr>
                <w:rFonts w:hint="eastAsia" w:ascii="宋体" w:hAnsi="宋体" w:eastAsia="宋体" w:cs="宋体"/>
                <w:i w:val="0"/>
                <w:iCs w:val="0"/>
                <w:color w:val="000000"/>
                <w:sz w:val="21"/>
                <w:szCs w:val="21"/>
                <w:u w:val="none"/>
              </w:rPr>
            </w:pP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3DE8AF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实例监控</w:t>
            </w:r>
          </w:p>
        </w:tc>
        <w:tc>
          <w:tcPr>
            <w:tcW w:w="3759" w:type="pct"/>
            <w:tcBorders>
              <w:top w:val="single" w:color="auto" w:sz="4" w:space="0"/>
              <w:left w:val="single" w:color="auto" w:sz="4" w:space="0"/>
              <w:bottom w:val="single" w:color="auto" w:sz="4" w:space="0"/>
              <w:right w:val="single" w:color="auto" w:sz="4" w:space="0"/>
            </w:tcBorders>
            <w:shd w:val="clear" w:color="auto" w:fill="auto"/>
            <w:vAlign w:val="center"/>
          </w:tcPr>
          <w:p w14:paraId="6A6BAEA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支持完整的数据库服务申请、审核、发放、回收、启停全流程管理。</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6189BC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01C2B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F4F233">
            <w:pPr>
              <w:jc w:val="center"/>
              <w:rPr>
                <w:rFonts w:hint="eastAsia" w:ascii="宋体" w:hAnsi="宋体" w:eastAsia="宋体" w:cs="宋体"/>
                <w:i w:val="0"/>
                <w:iCs w:val="0"/>
                <w:color w:val="000000"/>
                <w:sz w:val="21"/>
                <w:szCs w:val="21"/>
                <w:u w:val="none"/>
              </w:rPr>
            </w:pP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09EFAB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运维工具</w:t>
            </w:r>
          </w:p>
        </w:tc>
        <w:tc>
          <w:tcPr>
            <w:tcW w:w="3759" w:type="pct"/>
            <w:tcBorders>
              <w:top w:val="single" w:color="auto" w:sz="4" w:space="0"/>
              <w:left w:val="single" w:color="auto" w:sz="4" w:space="0"/>
              <w:bottom w:val="single" w:color="auto" w:sz="4" w:space="0"/>
              <w:right w:val="single" w:color="auto" w:sz="4" w:space="0"/>
            </w:tcBorders>
            <w:shd w:val="clear" w:color="auto" w:fill="auto"/>
            <w:vAlign w:val="center"/>
          </w:tcPr>
          <w:p w14:paraId="7FE8E71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★产品具有配套的运维管理平台工具， 满足T/CCSA 575-2024《数据库集中运维管理平台技术要求》，且通过第三方测评机构数据库管理平台基础能力测试。提供具有CNAS或CMA资质的第三方测试机构出具的有效期内的检测报告。</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207F85E9">
            <w:pPr>
              <w:jc w:val="center"/>
              <w:rPr>
                <w:rFonts w:hint="eastAsia" w:ascii="宋体" w:hAnsi="宋体" w:eastAsia="宋体" w:cs="宋体"/>
                <w:i w:val="0"/>
                <w:iCs w:val="0"/>
                <w:color w:val="000000"/>
                <w:sz w:val="21"/>
                <w:szCs w:val="21"/>
                <w:u w:val="none"/>
              </w:rPr>
            </w:pPr>
          </w:p>
        </w:tc>
      </w:tr>
      <w:tr w14:paraId="50501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72" w:type="pct"/>
            <w:tcBorders>
              <w:top w:val="single" w:color="auto" w:sz="4" w:space="0"/>
              <w:left w:val="single" w:color="auto" w:sz="4" w:space="0"/>
              <w:bottom w:val="single" w:color="auto" w:sz="4" w:space="0"/>
              <w:right w:val="single" w:color="auto" w:sz="4" w:space="0"/>
            </w:tcBorders>
            <w:shd w:val="clear" w:color="auto" w:fill="auto"/>
            <w:vAlign w:val="center"/>
          </w:tcPr>
          <w:p w14:paraId="5AD729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其他要求</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327E51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稳定性</w:t>
            </w:r>
          </w:p>
        </w:tc>
        <w:tc>
          <w:tcPr>
            <w:tcW w:w="3759" w:type="pct"/>
            <w:tcBorders>
              <w:top w:val="single" w:color="auto" w:sz="4" w:space="0"/>
              <w:left w:val="single" w:color="auto" w:sz="4" w:space="0"/>
              <w:bottom w:val="single" w:color="auto" w:sz="4" w:space="0"/>
              <w:right w:val="single" w:color="auto" w:sz="4" w:space="0"/>
            </w:tcBorders>
            <w:shd w:val="clear" w:color="auto" w:fill="auto"/>
            <w:vAlign w:val="center"/>
          </w:tcPr>
          <w:p w14:paraId="426F70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共享存储集群支持国产平台、x64 平台 TPC-C 基准测试，10000 仓数据、1000 并发用户，7×24 小时运行无故障、无故障率为 100%。</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0BD44F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bl>
    <w:p w14:paraId="647C574A">
      <w:pPr>
        <w:keepNext/>
        <w:keepLines/>
        <w:pageBreakBefore w:val="0"/>
        <w:widowControl w:val="0"/>
        <w:numPr>
          <w:ilvl w:val="0"/>
          <w:numId w:val="0"/>
        </w:numPr>
        <w:tabs>
          <w:tab w:val="left" w:pos="0"/>
        </w:tabs>
        <w:kinsoku/>
        <w:wordWrap/>
        <w:overflowPunct/>
        <w:topLinePunct w:val="0"/>
        <w:autoSpaceDE/>
        <w:autoSpaceDN/>
        <w:bidi w:val="0"/>
        <w:adjustRightInd/>
        <w:snapToGrid/>
        <w:spacing w:before="340" w:after="330" w:line="360" w:lineRule="auto"/>
        <w:ind w:left="402" w:leftChars="0"/>
        <w:jc w:val="both"/>
        <w:textAlignment w:val="auto"/>
        <w:outlineLvl w:val="0"/>
        <w:rPr>
          <w:rFonts w:hint="eastAsia" w:ascii="宋体" w:hAnsi="宋体" w:eastAsia="宋体" w:cs="宋体"/>
          <w:b w:val="0"/>
          <w:bCs w:val="0"/>
          <w:color w:val="000000"/>
          <w:kern w:val="44"/>
          <w:sz w:val="21"/>
          <w:szCs w:val="21"/>
          <w:lang w:val="en-US" w:eastAsia="zh-CN" w:bidi="ar-SA"/>
        </w:rPr>
      </w:pPr>
      <w:r>
        <w:rPr>
          <w:rFonts w:hint="eastAsia" w:ascii="宋体" w:hAnsi="宋体" w:eastAsia="宋体" w:cs="宋体"/>
          <w:b w:val="0"/>
          <w:bCs w:val="0"/>
          <w:color w:val="000000"/>
          <w:kern w:val="44"/>
          <w:sz w:val="21"/>
          <w:szCs w:val="21"/>
          <w:lang w:val="en-US" w:eastAsia="zh-CN" w:bidi="ar-SA"/>
        </w:rPr>
        <w:t>3.3.</w:t>
      </w:r>
      <w:r>
        <w:rPr>
          <w:rFonts w:hint="eastAsia" w:ascii="宋体" w:hAnsi="宋体" w:cs="宋体"/>
          <w:b w:val="0"/>
          <w:bCs w:val="0"/>
          <w:color w:val="000000"/>
          <w:kern w:val="44"/>
          <w:sz w:val="21"/>
          <w:szCs w:val="21"/>
          <w:lang w:val="en-US" w:eastAsia="zh-CN" w:bidi="ar-SA"/>
        </w:rPr>
        <w:t>2</w:t>
      </w:r>
      <w:r>
        <w:rPr>
          <w:rFonts w:hint="eastAsia" w:ascii="宋体" w:hAnsi="宋体" w:eastAsia="宋体" w:cs="宋体"/>
          <w:b w:val="0"/>
          <w:bCs w:val="0"/>
          <w:color w:val="000000"/>
          <w:kern w:val="44"/>
          <w:sz w:val="21"/>
          <w:szCs w:val="21"/>
          <w:lang w:val="en-US" w:eastAsia="zh-CN" w:bidi="ar-SA"/>
        </w:rPr>
        <w:t xml:space="preserve">数据库2（集群版）指标要求 </w:t>
      </w:r>
    </w:p>
    <w:tbl>
      <w:tblPr>
        <w:tblStyle w:val="8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0"/>
        <w:gridCol w:w="7700"/>
      </w:tblGrid>
      <w:tr w14:paraId="45BE4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70838B9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4518"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583AED0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技术规格要求</w:t>
            </w:r>
          </w:p>
        </w:tc>
      </w:tr>
      <w:tr w14:paraId="20118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58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248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主备集群支持基于备机的主机数据坏块修复，当主机数据块损坏时，可以自动从备机复制对应数据块对损坏的主机数据块进行实时修复。</w:t>
            </w:r>
          </w:p>
        </w:tc>
      </w:tr>
      <w:tr w14:paraId="6AB93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C3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EFF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数据库具有集群管理功能，可以做到一键部署集群，一键启动、停止集群；一键修改集群密码。</w:t>
            </w:r>
          </w:p>
        </w:tc>
      </w:tr>
      <w:tr w14:paraId="5B870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9B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EED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两地三中心部署架构，支持单中心多数派算法，在网络分割场景下，多数派选主，少数派会自动关闭数据节点，有效避免脑裂。</w:t>
            </w:r>
          </w:p>
        </w:tc>
      </w:tr>
      <w:tr w14:paraId="068ED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54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D06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集群支持在多网络段IP组网环境中部署，并做到软件层的冗余，在多网段有大部分故障的场景下，仍可以找寻可用的网络进行通信，而不会触发集群间的故障转移。</w:t>
            </w:r>
          </w:p>
        </w:tc>
      </w:tr>
      <w:tr w14:paraId="586FF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54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D98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数据分片多副本容灾，保证任一数据副本故障时不损失用户数据；具备容灾能力，支持两地三中心或三地五中心等多活部署；物理备份支持加密备份功能，对备份文件进行加密，加密算法支持国密加密算法SM4；</w:t>
            </w:r>
            <w:r>
              <w:rPr>
                <w:rFonts w:hint="eastAsia" w:ascii="宋体" w:hAnsi="宋体" w:eastAsia="宋体" w:cs="宋体"/>
                <w:color w:val="000000"/>
                <w:kern w:val="0"/>
                <w:sz w:val="21"/>
                <w:szCs w:val="21"/>
                <w:lang w:bidi="ar"/>
              </w:rPr>
              <w:t>需提供具备CMA资质或CNAS认可的检测机构出具的</w:t>
            </w:r>
            <w:r>
              <w:rPr>
                <w:rFonts w:hint="eastAsia" w:ascii="宋体" w:hAnsi="宋体" w:eastAsia="宋体" w:cs="宋体"/>
                <w:color w:val="000000"/>
                <w:kern w:val="0"/>
                <w:sz w:val="21"/>
                <w:szCs w:val="21"/>
                <w:lang w:val="en-US" w:eastAsia="zh-CN" w:bidi="ar"/>
              </w:rPr>
              <w:t>有效期内的</w:t>
            </w:r>
            <w:r>
              <w:rPr>
                <w:rFonts w:hint="eastAsia" w:ascii="宋体" w:hAnsi="宋体" w:eastAsia="宋体" w:cs="宋体"/>
                <w:color w:val="000000"/>
                <w:kern w:val="0"/>
                <w:sz w:val="21"/>
                <w:szCs w:val="21"/>
                <w:lang w:bidi="ar"/>
              </w:rPr>
              <w:t>测试报告。</w:t>
            </w:r>
            <w:r>
              <w:rPr>
                <w:rFonts w:hint="eastAsia" w:ascii="宋体" w:hAnsi="宋体" w:eastAsia="宋体" w:cs="宋体"/>
                <w:i w:val="0"/>
                <w:iCs w:val="0"/>
                <w:color w:val="000000"/>
                <w:kern w:val="0"/>
                <w:sz w:val="21"/>
                <w:szCs w:val="21"/>
                <w:u w:val="none"/>
                <w:lang w:val="en-US" w:eastAsia="zh-CN" w:bidi="ar"/>
              </w:rPr>
              <w:t>。</w:t>
            </w:r>
          </w:p>
        </w:tc>
      </w:tr>
      <w:tr w14:paraId="7875F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0AF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A7B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支持2节点集群做自动故障转移，不依赖第三方节点部署额外程序；支持2节点及3个节点的多实例热备及故障自动切换功能。</w:t>
            </w:r>
          </w:p>
        </w:tc>
      </w:tr>
      <w:tr w14:paraId="676C0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DA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774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兼容Oracle数据库管理和优化语法功能，包括支持MTTR功能，可调整数据库故障恢复时间。</w:t>
            </w:r>
          </w:p>
        </w:tc>
      </w:tr>
      <w:tr w14:paraId="4B4FC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4C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B76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数据库内核自带检测坏块函数，可以通过该内置函数发现丢失的文件，并可以修复。对于表文件损坏的页面，不借助任何工具通过备库自动修复。</w:t>
            </w:r>
          </w:p>
        </w:tc>
      </w:tr>
      <w:tr w14:paraId="40D28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9F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4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867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对任意用户表、database对象做逻辑保护，不会被逻辑删除；支持操作系统级数据保护功能，可以防止在操作系统层面使用rm命令误删除数据表空间目录或数据文件。</w:t>
            </w:r>
          </w:p>
        </w:tc>
      </w:tr>
    </w:tbl>
    <w:p w14:paraId="3C95CB7A">
      <w:pPr>
        <w:keepNext/>
        <w:keepLines/>
        <w:widowControl w:val="0"/>
        <w:spacing w:before="280" w:after="290" w:line="372" w:lineRule="auto"/>
        <w:jc w:val="both"/>
        <w:outlineLvl w:val="3"/>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3.3 项目进度、保修期及验收等相关服务要求</w:t>
      </w:r>
    </w:p>
    <w:p w14:paraId="48EE1733">
      <w:pPr>
        <w:tabs>
          <w:tab w:val="left" w:pos="0"/>
        </w:tabs>
        <w:rPr>
          <w:rFonts w:hint="eastAsia" w:ascii="宋体" w:hAnsi="宋体" w:eastAsia="宋体" w:cs="宋体"/>
          <w:b/>
          <w:bCs/>
          <w:snapToGrid w:val="0"/>
          <w:sz w:val="21"/>
          <w:szCs w:val="21"/>
        </w:rPr>
      </w:pPr>
      <w:bookmarkStart w:id="702" w:name="_Toc257188334"/>
      <w:bookmarkStart w:id="703" w:name="_Toc402351838"/>
      <w:bookmarkStart w:id="704" w:name="_Toc405818849"/>
      <w:bookmarkStart w:id="705" w:name="_Toc314789076"/>
      <w:bookmarkStart w:id="706" w:name="_Toc322003395"/>
      <w:bookmarkStart w:id="707" w:name="_Toc477415430"/>
      <w:r>
        <w:rPr>
          <w:rFonts w:hint="eastAsia" w:ascii="宋体" w:hAnsi="宋体" w:eastAsia="宋体" w:cs="宋体"/>
          <w:b/>
          <w:bCs/>
          <w:snapToGrid w:val="0"/>
          <w:sz w:val="21"/>
          <w:szCs w:val="21"/>
        </w:rPr>
        <w:t>3.3.</w:t>
      </w:r>
      <w:bookmarkEnd w:id="702"/>
      <w:bookmarkEnd w:id="703"/>
      <w:bookmarkEnd w:id="704"/>
      <w:bookmarkEnd w:id="705"/>
      <w:bookmarkEnd w:id="706"/>
      <w:bookmarkEnd w:id="707"/>
      <w:r>
        <w:rPr>
          <w:rFonts w:hint="eastAsia" w:ascii="宋体" w:hAnsi="宋体" w:cs="宋体"/>
          <w:b/>
          <w:bCs/>
          <w:snapToGrid w:val="0"/>
          <w:sz w:val="21"/>
          <w:szCs w:val="21"/>
          <w:lang w:val="en-US" w:eastAsia="zh-CN"/>
        </w:rPr>
        <w:t>1</w:t>
      </w:r>
      <w:r>
        <w:rPr>
          <w:rFonts w:hint="eastAsia" w:ascii="宋体" w:hAnsi="宋体" w:eastAsia="宋体" w:cs="宋体"/>
          <w:b/>
          <w:bCs/>
          <w:snapToGrid w:val="0"/>
          <w:sz w:val="21"/>
          <w:szCs w:val="21"/>
        </w:rPr>
        <w:t>项目进度</w:t>
      </w:r>
    </w:p>
    <w:p w14:paraId="5223CA44">
      <w:pPr>
        <w:ind w:firstLine="420" w:firstLineChars="200"/>
        <w:rPr>
          <w:rFonts w:hint="eastAsia" w:ascii="宋体" w:hAnsi="宋体" w:eastAsia="宋体" w:cs="宋体"/>
          <w:sz w:val="21"/>
          <w:szCs w:val="21"/>
        </w:rPr>
      </w:pPr>
      <w:r>
        <w:rPr>
          <w:rFonts w:hint="eastAsia" w:ascii="宋体" w:hAnsi="宋体" w:eastAsia="宋体" w:cs="宋体"/>
          <w:sz w:val="21"/>
          <w:szCs w:val="21"/>
        </w:rPr>
        <w:t>合同签订之日起，</w:t>
      </w:r>
      <w:r>
        <w:rPr>
          <w:rFonts w:hint="eastAsia" w:ascii="宋体" w:hAnsi="宋体" w:eastAsia="宋体" w:cs="宋体"/>
          <w:sz w:val="21"/>
          <w:szCs w:val="21"/>
          <w:lang w:val="en-US" w:eastAsia="zh-CN"/>
        </w:rPr>
        <w:t>乙方接收到甲方订单</w:t>
      </w:r>
      <w:r>
        <w:rPr>
          <w:rFonts w:hint="eastAsia" w:ascii="宋体" w:hAnsi="宋体" w:eastAsia="宋体" w:cs="宋体"/>
          <w:sz w:val="21"/>
          <w:szCs w:val="21"/>
        </w:rPr>
        <w:t>后</w:t>
      </w:r>
      <w:r>
        <w:rPr>
          <w:rFonts w:hint="eastAsia" w:ascii="宋体" w:hAnsi="宋体" w:eastAsia="宋体" w:cs="宋体"/>
          <w:sz w:val="21"/>
          <w:szCs w:val="21"/>
          <w:lang w:val="en-US" w:eastAsia="zh-CN"/>
        </w:rPr>
        <w:t>30</w:t>
      </w:r>
      <w:r>
        <w:rPr>
          <w:rFonts w:hint="eastAsia" w:ascii="宋体" w:hAnsi="宋体" w:eastAsia="宋体" w:cs="宋体"/>
          <w:sz w:val="21"/>
          <w:szCs w:val="21"/>
        </w:rPr>
        <w:t>个工作日内完成软件的部署交付。</w:t>
      </w:r>
    </w:p>
    <w:p w14:paraId="5531DC10">
      <w:pPr>
        <w:numPr>
          <w:ilvl w:val="3"/>
          <w:numId w:val="0"/>
        </w:numPr>
        <w:tabs>
          <w:tab w:val="left" w:pos="0"/>
        </w:tabs>
        <w:rPr>
          <w:rFonts w:hint="eastAsia" w:ascii="宋体" w:hAnsi="宋体" w:eastAsia="宋体" w:cs="宋体"/>
          <w:b/>
          <w:bCs/>
          <w:sz w:val="21"/>
          <w:szCs w:val="21"/>
        </w:rPr>
      </w:pPr>
      <w:bookmarkStart w:id="708" w:name="_Toc405818850"/>
      <w:bookmarkStart w:id="709" w:name="_Toc257188335"/>
      <w:bookmarkStart w:id="710" w:name="_Toc322003396"/>
      <w:bookmarkStart w:id="711" w:name="_Toc314789077"/>
      <w:bookmarkStart w:id="712" w:name="_Toc402351839"/>
      <w:bookmarkStart w:id="713" w:name="_Toc477415431"/>
      <w:r>
        <w:rPr>
          <w:rFonts w:hint="eastAsia" w:ascii="宋体" w:hAnsi="宋体" w:eastAsia="宋体" w:cs="宋体"/>
          <w:b/>
          <w:bCs/>
          <w:snapToGrid w:val="0"/>
          <w:sz w:val="21"/>
          <w:szCs w:val="21"/>
        </w:rPr>
        <w:t>3.3.</w:t>
      </w:r>
      <w:r>
        <w:rPr>
          <w:rFonts w:hint="eastAsia" w:ascii="宋体" w:hAnsi="宋体" w:cs="宋体"/>
          <w:b/>
          <w:bCs/>
          <w:snapToGrid w:val="0"/>
          <w:sz w:val="21"/>
          <w:szCs w:val="21"/>
          <w:lang w:val="en-US" w:eastAsia="zh-CN"/>
        </w:rPr>
        <w:t>2</w:t>
      </w:r>
      <w:r>
        <w:rPr>
          <w:rFonts w:hint="eastAsia" w:ascii="宋体" w:hAnsi="宋体" w:eastAsia="宋体" w:cs="宋体"/>
          <w:b/>
          <w:bCs/>
          <w:snapToGrid w:val="0"/>
          <w:sz w:val="21"/>
          <w:szCs w:val="21"/>
        </w:rPr>
        <w:t>服务地点</w:t>
      </w:r>
    </w:p>
    <w:p w14:paraId="4739D2F8">
      <w:pPr>
        <w:widowControl w:val="0"/>
        <w:ind w:firstLine="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贵州省遵义市红花岗区</w:t>
      </w:r>
    </w:p>
    <w:bookmarkEnd w:id="708"/>
    <w:bookmarkEnd w:id="709"/>
    <w:bookmarkEnd w:id="710"/>
    <w:bookmarkEnd w:id="711"/>
    <w:bookmarkEnd w:id="712"/>
    <w:bookmarkEnd w:id="713"/>
    <w:p w14:paraId="1EFC8DD5">
      <w:pPr>
        <w:keepNext/>
        <w:keepLines/>
        <w:widowControl w:val="0"/>
        <w:spacing w:before="280" w:after="290" w:line="372" w:lineRule="auto"/>
        <w:jc w:val="both"/>
        <w:outlineLvl w:val="3"/>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3.3.3保修期</w:t>
      </w:r>
    </w:p>
    <w:p w14:paraId="03AD47CE">
      <w:pPr>
        <w:widowControl/>
        <w:spacing w:before="105" w:after="105"/>
        <w:ind w:firstLine="420" w:firstLineChars="200"/>
        <w:rPr>
          <w:rFonts w:hint="eastAsia" w:ascii="宋体" w:hAnsi="宋体" w:eastAsia="宋体" w:cs="宋体"/>
          <w:b/>
          <w:bCs/>
          <w:snapToGrid w:val="0"/>
          <w:sz w:val="21"/>
          <w:szCs w:val="21"/>
        </w:rPr>
      </w:pPr>
      <w:r>
        <w:rPr>
          <w:rFonts w:hint="eastAsia" w:ascii="宋体" w:hAnsi="宋体" w:eastAsia="宋体" w:cs="宋体"/>
          <w:sz w:val="21"/>
          <w:szCs w:val="21"/>
          <w:lang w:val="en-US" w:eastAsia="zh-CN"/>
        </w:rPr>
        <w:t>保修</w:t>
      </w:r>
      <w:r>
        <w:rPr>
          <w:rFonts w:hint="eastAsia" w:ascii="宋体" w:hAnsi="宋体" w:eastAsia="宋体" w:cs="宋体"/>
          <w:sz w:val="21"/>
          <w:szCs w:val="21"/>
        </w:rPr>
        <w:t>期：</w:t>
      </w:r>
      <w:r>
        <w:rPr>
          <w:rFonts w:hint="eastAsia" w:ascii="宋体" w:hAnsi="宋体" w:cs="宋体"/>
          <w:sz w:val="21"/>
          <w:szCs w:val="21"/>
          <w:lang w:eastAsia="zh-CN"/>
        </w:rPr>
        <w:t>软件保修期为12个月，质保期自项目正式验收合格之日起计算。。</w:t>
      </w:r>
      <w:r>
        <w:rPr>
          <w:rFonts w:hint="eastAsia" w:ascii="宋体" w:hAnsi="宋体" w:eastAsia="宋体" w:cs="宋体"/>
          <w:sz w:val="21"/>
          <w:szCs w:val="21"/>
          <w:lang w:val="en-US" w:eastAsia="zh-CN"/>
        </w:rPr>
        <w:t>供应商</w:t>
      </w:r>
      <w:r>
        <w:rPr>
          <w:rFonts w:hint="eastAsia" w:ascii="宋体" w:hAnsi="宋体" w:eastAsia="宋体" w:cs="宋体"/>
          <w:sz w:val="21"/>
          <w:szCs w:val="21"/>
        </w:rPr>
        <w:t>应保证所提供产品授权方式为终身授权，授权对象为</w:t>
      </w:r>
      <w:r>
        <w:rPr>
          <w:rFonts w:hint="eastAsia" w:ascii="宋体" w:hAnsi="宋体" w:eastAsia="宋体" w:cs="宋体"/>
          <w:sz w:val="21"/>
          <w:szCs w:val="21"/>
          <w:lang w:val="en-US" w:eastAsia="zh-CN"/>
        </w:rPr>
        <w:t>中国电信股份有限公司遵义分公司，甲方可自行分配或更换授权给不同的项目使用</w:t>
      </w:r>
      <w:r>
        <w:rPr>
          <w:rFonts w:hint="eastAsia" w:ascii="宋体" w:hAnsi="宋体" w:eastAsia="宋体" w:cs="宋体"/>
          <w:sz w:val="21"/>
          <w:szCs w:val="21"/>
        </w:rPr>
        <w:t>。乙方负责提供激活方式，甲方予以必要的配合。</w:t>
      </w:r>
    </w:p>
    <w:p w14:paraId="37DC5B42">
      <w:pPr>
        <w:numPr>
          <w:ilvl w:val="3"/>
          <w:numId w:val="0"/>
        </w:numPr>
        <w:tabs>
          <w:tab w:val="left" w:pos="0"/>
        </w:tabs>
        <w:ind w:left="240"/>
        <w:rPr>
          <w:rFonts w:hint="eastAsia" w:ascii="宋体" w:hAnsi="宋体" w:eastAsia="宋体" w:cs="宋体"/>
          <w:b/>
          <w:bCs/>
          <w:snapToGrid w:val="0"/>
          <w:sz w:val="21"/>
          <w:szCs w:val="21"/>
        </w:rPr>
      </w:pPr>
      <w:r>
        <w:rPr>
          <w:rFonts w:hint="eastAsia" w:ascii="宋体" w:hAnsi="宋体" w:eastAsia="宋体" w:cs="宋体"/>
          <w:b/>
          <w:bCs/>
          <w:snapToGrid w:val="0"/>
          <w:sz w:val="21"/>
          <w:szCs w:val="21"/>
        </w:rPr>
        <w:t>3.3.</w:t>
      </w:r>
      <w:r>
        <w:rPr>
          <w:rFonts w:hint="eastAsia" w:ascii="宋体" w:hAnsi="宋体" w:cs="宋体"/>
          <w:b/>
          <w:bCs/>
          <w:snapToGrid w:val="0"/>
          <w:sz w:val="21"/>
          <w:szCs w:val="21"/>
          <w:lang w:val="en-US" w:eastAsia="zh-CN"/>
        </w:rPr>
        <w:t>4</w:t>
      </w:r>
      <w:r>
        <w:rPr>
          <w:rFonts w:hint="eastAsia" w:ascii="宋体" w:hAnsi="宋体" w:eastAsia="宋体" w:cs="宋体"/>
          <w:b/>
          <w:bCs/>
          <w:snapToGrid w:val="0"/>
          <w:sz w:val="21"/>
          <w:szCs w:val="21"/>
        </w:rPr>
        <w:t>安装调测</w:t>
      </w:r>
    </w:p>
    <w:p w14:paraId="711E5EF6">
      <w:pPr>
        <w:rPr>
          <w:rFonts w:hint="eastAsia" w:ascii="宋体" w:hAnsi="宋体" w:eastAsia="宋体" w:cs="宋体"/>
          <w:b/>
          <w:bCs/>
          <w:snapToGrid w:val="0"/>
          <w:sz w:val="21"/>
          <w:szCs w:val="21"/>
        </w:rPr>
      </w:pPr>
      <w:r>
        <w:rPr>
          <w:rFonts w:hint="eastAsia" w:ascii="宋体" w:hAnsi="宋体" w:eastAsia="宋体" w:cs="宋体"/>
          <w:b/>
          <w:bCs/>
          <w:snapToGrid w:val="0"/>
          <w:sz w:val="21"/>
          <w:szCs w:val="21"/>
        </w:rPr>
        <w:t>服务规范</w:t>
      </w:r>
    </w:p>
    <w:p w14:paraId="41492BC3">
      <w:pPr>
        <w:ind w:firstLine="211" w:firstLineChars="100"/>
        <w:rPr>
          <w:rFonts w:hint="eastAsia" w:ascii="宋体" w:hAnsi="宋体" w:eastAsia="宋体" w:cs="宋体"/>
          <w:b/>
          <w:bCs/>
          <w:snapToGrid w:val="0"/>
          <w:sz w:val="21"/>
          <w:szCs w:val="21"/>
        </w:rPr>
      </w:pPr>
      <w:r>
        <w:rPr>
          <w:rFonts w:hint="eastAsia" w:ascii="宋体" w:hAnsi="宋体" w:eastAsia="宋体" w:cs="宋体"/>
          <w:b/>
          <w:bCs/>
          <w:snapToGrid w:val="0"/>
          <w:sz w:val="21"/>
          <w:szCs w:val="21"/>
        </w:rPr>
        <w:t>1.安装指南</w:t>
      </w:r>
    </w:p>
    <w:p w14:paraId="219B19B8">
      <w:pPr>
        <w:keepNext w:val="0"/>
        <w:keepLines w:val="0"/>
        <w:pageBreakBefore w:val="0"/>
        <w:widowControl w:val="0"/>
        <w:numPr>
          <w:ilvl w:val="3"/>
          <w:numId w:val="0"/>
        </w:numPr>
        <w:tabs>
          <w:tab w:val="left" w:pos="0"/>
        </w:tabs>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bookmarkStart w:id="714" w:name="_Toc477415427"/>
      <w:r>
        <w:rPr>
          <w:rFonts w:hint="eastAsia" w:ascii="宋体" w:hAnsi="宋体" w:eastAsia="宋体" w:cs="宋体"/>
          <w:sz w:val="21"/>
          <w:szCs w:val="21"/>
        </w:rPr>
        <w:t>环境准备：供应商需提供详细的系统安装前准备工作指南，包括硬件兼容性列表、最低配置要求（CPU、内存、硬盘空间等）、网络设置建议及必要的外围设备支持情况。</w:t>
      </w:r>
    </w:p>
    <w:p w14:paraId="1699260B">
      <w:pPr>
        <w:keepNext w:val="0"/>
        <w:keepLines w:val="0"/>
        <w:pageBreakBefore w:val="0"/>
        <w:widowControl w:val="0"/>
        <w:numPr>
          <w:ilvl w:val="3"/>
          <w:numId w:val="0"/>
        </w:numPr>
        <w:tabs>
          <w:tab w:val="left" w:pos="0"/>
        </w:tabs>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安装介质：提供官方正版的</w:t>
      </w:r>
      <w:r>
        <w:rPr>
          <w:rFonts w:hint="eastAsia" w:ascii="宋体" w:hAnsi="宋体" w:eastAsia="宋体" w:cs="宋体"/>
          <w:sz w:val="21"/>
          <w:szCs w:val="21"/>
          <w:lang w:val="en-US" w:eastAsia="zh-CN"/>
        </w:rPr>
        <w:t>数据库</w:t>
      </w:r>
      <w:r>
        <w:rPr>
          <w:rFonts w:hint="eastAsia" w:ascii="宋体" w:hAnsi="宋体" w:eastAsia="宋体" w:cs="宋体"/>
          <w:sz w:val="21"/>
          <w:szCs w:val="21"/>
        </w:rPr>
        <w:t>安装</w:t>
      </w:r>
      <w:r>
        <w:rPr>
          <w:rFonts w:hint="eastAsia" w:ascii="宋体" w:hAnsi="宋体" w:eastAsia="宋体" w:cs="宋体"/>
          <w:sz w:val="21"/>
          <w:szCs w:val="21"/>
          <w:lang w:val="en-US" w:eastAsia="zh-CN"/>
        </w:rPr>
        <w:t>软</w:t>
      </w:r>
      <w:r>
        <w:rPr>
          <w:rFonts w:hint="eastAsia" w:ascii="宋体" w:hAnsi="宋体" w:eastAsia="宋体" w:cs="宋体"/>
          <w:sz w:val="21"/>
          <w:szCs w:val="21"/>
        </w:rPr>
        <w:t>件，并确保其可通过光盘、USB驱动器等多种方式启动安装过程。同时，应附带所有必需的驱动程序和补丁更新包。</w:t>
      </w:r>
    </w:p>
    <w:p w14:paraId="795728ED">
      <w:pPr>
        <w:keepNext w:val="0"/>
        <w:keepLines w:val="0"/>
        <w:pageBreakBefore w:val="0"/>
        <w:widowControl w:val="0"/>
        <w:numPr>
          <w:ilvl w:val="3"/>
          <w:numId w:val="0"/>
        </w:numPr>
        <w:tabs>
          <w:tab w:val="left" w:pos="0"/>
        </w:tabs>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自动化部署：支持大规模自动化部署工具或脚本，能够实现无人值守批量安装，适用于不同规模的企业级应用环境。</w:t>
      </w:r>
    </w:p>
    <w:p w14:paraId="1D34E5E6">
      <w:pPr>
        <w:keepNext w:val="0"/>
        <w:keepLines w:val="0"/>
        <w:pageBreakBefore w:val="0"/>
        <w:widowControl w:val="0"/>
        <w:numPr>
          <w:ilvl w:val="3"/>
          <w:numId w:val="0"/>
        </w:numPr>
        <w:tabs>
          <w:tab w:val="left" w:pos="0"/>
        </w:tabs>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多语言支持：在安装过程中提供简体中文及其他指定语言选项，方便用户根据自身需求选择界面语言。</w:t>
      </w:r>
    </w:p>
    <w:p w14:paraId="46A092F1">
      <w:pPr>
        <w:keepNext w:val="0"/>
        <w:keepLines w:val="0"/>
        <w:pageBreakBefore w:val="0"/>
        <w:widowControl w:val="0"/>
        <w:numPr>
          <w:ilvl w:val="3"/>
          <w:numId w:val="0"/>
        </w:numPr>
        <w:tabs>
          <w:tab w:val="left" w:pos="0"/>
        </w:tabs>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自定义安装选项：允许用户根据实际需要选择性安装组件和服务，以优化系统性能并节省资源。</w:t>
      </w:r>
    </w:p>
    <w:p w14:paraId="388CD96E">
      <w:pPr>
        <w:numPr>
          <w:ilvl w:val="3"/>
          <w:numId w:val="0"/>
        </w:numPr>
        <w:tabs>
          <w:tab w:val="left" w:pos="0"/>
        </w:tabs>
        <w:ind w:firstLine="211" w:firstLineChars="100"/>
        <w:rPr>
          <w:rFonts w:hint="eastAsia" w:ascii="宋体" w:hAnsi="宋体" w:eastAsia="宋体" w:cs="宋体"/>
          <w:b/>
          <w:bCs/>
          <w:sz w:val="21"/>
          <w:szCs w:val="21"/>
        </w:rPr>
      </w:pPr>
      <w:r>
        <w:rPr>
          <w:rFonts w:hint="eastAsia" w:ascii="宋体" w:hAnsi="宋体" w:eastAsia="宋体" w:cs="宋体"/>
          <w:b/>
          <w:bCs/>
          <w:sz w:val="21"/>
          <w:szCs w:val="21"/>
        </w:rPr>
        <w:t>2.调试与测试</w:t>
      </w:r>
    </w:p>
    <w:p w14:paraId="3F5E3377">
      <w:pPr>
        <w:keepNext w:val="0"/>
        <w:keepLines w:val="0"/>
        <w:pageBreakBefore w:val="0"/>
        <w:widowControl w:val="0"/>
        <w:numPr>
          <w:ilvl w:val="3"/>
          <w:numId w:val="0"/>
        </w:numPr>
        <w:tabs>
          <w:tab w:val="left" w:pos="0"/>
        </w:tabs>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初始设置向导：提供直观易用的新手引导流程，帮助管理员快速完成基本系统配置</w:t>
      </w:r>
      <w:r>
        <w:rPr>
          <w:rFonts w:hint="eastAsia" w:ascii="宋体" w:hAnsi="宋体" w:eastAsia="宋体" w:cs="宋体"/>
          <w:sz w:val="21"/>
          <w:szCs w:val="21"/>
          <w:lang w:eastAsia="zh-CN"/>
        </w:rPr>
        <w:t>。</w:t>
      </w:r>
    </w:p>
    <w:p w14:paraId="5EB00EEB">
      <w:pPr>
        <w:keepNext w:val="0"/>
        <w:keepLines w:val="0"/>
        <w:pageBreakBefore w:val="0"/>
        <w:widowControl w:val="0"/>
        <w:numPr>
          <w:ilvl w:val="3"/>
          <w:numId w:val="0"/>
        </w:numPr>
        <w:tabs>
          <w:tab w:val="left" w:pos="0"/>
        </w:tabs>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系统优化指导：给出针对特定应用场景下的系统优化建议，例如服务器角色配置、数据库服务调优、虚拟化技术支持等。</w:t>
      </w:r>
    </w:p>
    <w:p w14:paraId="62A03735">
      <w:pPr>
        <w:keepNext w:val="0"/>
        <w:keepLines w:val="0"/>
        <w:pageBreakBefore w:val="0"/>
        <w:widowControl w:val="0"/>
        <w:numPr>
          <w:ilvl w:val="3"/>
          <w:numId w:val="0"/>
        </w:numPr>
        <w:tabs>
          <w:tab w:val="left" w:pos="0"/>
        </w:tabs>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安全加固措施：详细介绍如何开启防火墙、关闭不必要的服务端口、定期更新安全补丁等基础安全防护步骤。</w:t>
      </w:r>
    </w:p>
    <w:p w14:paraId="7C8A8A59">
      <w:pPr>
        <w:keepNext w:val="0"/>
        <w:keepLines w:val="0"/>
        <w:pageBreakBefore w:val="0"/>
        <w:widowControl w:val="0"/>
        <w:numPr>
          <w:ilvl w:val="3"/>
          <w:numId w:val="0"/>
        </w:numPr>
        <w:tabs>
          <w:tab w:val="left" w:pos="0"/>
        </w:tabs>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备份恢复策略：制定详尽的数据备份计划和灾难恢复方案，确保业务连续性和数据安全性。</w:t>
      </w:r>
    </w:p>
    <w:p w14:paraId="65BF1582">
      <w:pPr>
        <w:keepNext w:val="0"/>
        <w:keepLines w:val="0"/>
        <w:pageBreakBefore w:val="0"/>
        <w:widowControl w:val="0"/>
        <w:numPr>
          <w:ilvl w:val="3"/>
          <w:numId w:val="0"/>
        </w:numPr>
        <w:tabs>
          <w:tab w:val="left" w:pos="0"/>
        </w:tabs>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集成测试：对已安装的</w:t>
      </w:r>
      <w:r>
        <w:rPr>
          <w:rFonts w:hint="eastAsia" w:ascii="宋体" w:hAnsi="宋体" w:eastAsia="宋体" w:cs="宋体"/>
          <w:sz w:val="21"/>
          <w:szCs w:val="21"/>
          <w:lang w:val="en-US" w:eastAsia="zh-CN"/>
        </w:rPr>
        <w:t>数据库</w:t>
      </w:r>
      <w:r>
        <w:rPr>
          <w:rFonts w:hint="eastAsia" w:ascii="宋体" w:hAnsi="宋体" w:eastAsia="宋体" w:cs="宋体"/>
          <w:sz w:val="21"/>
          <w:szCs w:val="21"/>
        </w:rPr>
        <w:t>进行全面的功能性测试，验证各项功能模块是否正常运作，并与现有IT基础设施无缝对接。</w:t>
      </w:r>
    </w:p>
    <w:p w14:paraId="2A43AE06">
      <w:pPr>
        <w:keepNext w:val="0"/>
        <w:keepLines w:val="0"/>
        <w:pageBreakBefore w:val="0"/>
        <w:widowControl w:val="0"/>
        <w:numPr>
          <w:ilvl w:val="3"/>
          <w:numId w:val="0"/>
        </w:numPr>
        <w:tabs>
          <w:tab w:val="left" w:pos="0"/>
        </w:tabs>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项目安装、调试完成，</w:t>
      </w:r>
      <w:r>
        <w:rPr>
          <w:rFonts w:hint="eastAsia" w:ascii="宋体" w:hAnsi="宋体" w:eastAsia="宋体" w:cs="宋体"/>
          <w:sz w:val="21"/>
          <w:szCs w:val="21"/>
          <w:lang w:val="en-US" w:eastAsia="zh-CN"/>
        </w:rPr>
        <w:t>由甲方</w:t>
      </w:r>
      <w:r>
        <w:rPr>
          <w:rFonts w:hint="eastAsia" w:ascii="宋体" w:hAnsi="宋体" w:eastAsia="宋体" w:cs="宋体"/>
          <w:sz w:val="21"/>
          <w:szCs w:val="21"/>
        </w:rPr>
        <w:t>进行统一验收。系统验收合格的条件必须至少满足以下要求：已提供了合同要求的货物和资料；性能测试时出现的问题已被解决。</w:t>
      </w:r>
    </w:p>
    <w:p w14:paraId="14ADA336">
      <w:pPr>
        <w:keepNext w:val="0"/>
        <w:keepLines w:val="0"/>
        <w:pageBreakBefore w:val="0"/>
        <w:widowControl w:val="0"/>
        <w:numPr>
          <w:ilvl w:val="3"/>
          <w:numId w:val="0"/>
        </w:numPr>
        <w:tabs>
          <w:tab w:val="left" w:pos="0"/>
        </w:tabs>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验收过程中，</w:t>
      </w:r>
      <w:r>
        <w:rPr>
          <w:rFonts w:hint="eastAsia" w:ascii="宋体" w:hAnsi="宋体" w:eastAsia="宋体" w:cs="宋体"/>
          <w:sz w:val="21"/>
          <w:szCs w:val="21"/>
          <w:lang w:val="en-US" w:eastAsia="zh-CN"/>
        </w:rPr>
        <w:t>甲方</w:t>
      </w:r>
      <w:r>
        <w:rPr>
          <w:rFonts w:hint="eastAsia" w:ascii="宋体" w:hAnsi="宋体" w:eastAsia="宋体" w:cs="宋体"/>
          <w:sz w:val="21"/>
          <w:szCs w:val="21"/>
        </w:rPr>
        <w:t>有权对项目内的产品对照招标参数要求及投标文件产品技术响应参数进行检测。</w:t>
      </w:r>
    </w:p>
    <w:p w14:paraId="32E4F789">
      <w:pPr>
        <w:numPr>
          <w:ilvl w:val="3"/>
          <w:numId w:val="0"/>
        </w:numPr>
        <w:tabs>
          <w:tab w:val="left" w:pos="0"/>
        </w:tabs>
        <w:rPr>
          <w:rFonts w:hint="eastAsia" w:ascii="宋体" w:hAnsi="宋体" w:eastAsia="宋体" w:cs="宋体"/>
          <w:sz w:val="21"/>
          <w:szCs w:val="21"/>
        </w:rPr>
      </w:pPr>
      <w:r>
        <w:rPr>
          <w:rFonts w:hint="eastAsia" w:ascii="宋体" w:hAnsi="宋体" w:eastAsia="宋体" w:cs="宋体"/>
          <w:b/>
          <w:bCs/>
          <w:snapToGrid w:val="0"/>
          <w:sz w:val="21"/>
          <w:szCs w:val="21"/>
        </w:rPr>
        <w:t>3.3.</w:t>
      </w:r>
      <w:r>
        <w:rPr>
          <w:rFonts w:hint="eastAsia" w:ascii="宋体" w:hAnsi="宋体" w:cs="宋体"/>
          <w:b/>
          <w:bCs/>
          <w:snapToGrid w:val="0"/>
          <w:sz w:val="21"/>
          <w:szCs w:val="21"/>
          <w:lang w:val="en-US" w:eastAsia="zh-CN"/>
        </w:rPr>
        <w:t>5</w:t>
      </w:r>
      <w:r>
        <w:rPr>
          <w:rFonts w:hint="eastAsia" w:ascii="宋体" w:hAnsi="宋体" w:eastAsia="宋体" w:cs="宋体"/>
          <w:b/>
          <w:bCs/>
          <w:sz w:val="21"/>
          <w:szCs w:val="21"/>
        </w:rPr>
        <w:t>验收标准</w:t>
      </w:r>
      <w:r>
        <w:rPr>
          <w:rFonts w:hint="eastAsia" w:ascii="宋体" w:hAnsi="宋体" w:eastAsia="宋体" w:cs="宋体"/>
          <w:b/>
          <w:bCs/>
          <w:color w:val="FF0000"/>
          <w:sz w:val="21"/>
          <w:szCs w:val="21"/>
        </w:rPr>
        <w:t xml:space="preserve"> </w:t>
      </w:r>
      <w:bookmarkEnd w:id="714"/>
    </w:p>
    <w:p w14:paraId="6B2A367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甲方对乙方提交的货物依据招标文件上的技术规格要求、乙方投标时的技术响应承诺和国家有关质量标准进行现场初步验收，功能、说明书符合招标文件技术要求和投标技术响应的，给予签收，初步验收不合格的不予签收。货到后，甲方需在五个工作日内验收。</w:t>
      </w:r>
    </w:p>
    <w:p w14:paraId="1EEFB9F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（2）乙方交货前应对产品作出全面检查和对验收文件进行整理，并列出清单，作为甲方收货验收和使用的技术条件依据，检验的结果应随货物交甲方。</w:t>
      </w:r>
    </w:p>
    <w:p w14:paraId="5E2C186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（3）甲方对乙方提供的货物在使用前进行调试时，乙方需负责安装并培训甲方的使用操作人员，并协助甲方一起调试，直到符合技术要求，甲方才做最终验收。</w:t>
      </w:r>
    </w:p>
    <w:p w14:paraId="104A036C">
      <w:pPr>
        <w:keepNext/>
        <w:keepLines/>
        <w:widowControl w:val="0"/>
        <w:spacing w:before="280" w:after="290" w:line="372" w:lineRule="auto"/>
        <w:jc w:val="both"/>
        <w:outlineLvl w:val="3"/>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3.</w:t>
      </w:r>
      <w:r>
        <w:rPr>
          <w:rFonts w:hint="eastAsia" w:ascii="宋体" w:hAnsi="宋体" w:cs="宋体"/>
          <w:b/>
          <w:kern w:val="2"/>
          <w:sz w:val="21"/>
          <w:szCs w:val="21"/>
          <w:lang w:val="en-US" w:eastAsia="zh-CN" w:bidi="ar-SA"/>
        </w:rPr>
        <w:t>4</w:t>
      </w:r>
      <w:r>
        <w:rPr>
          <w:rFonts w:hint="eastAsia" w:ascii="宋体" w:hAnsi="宋体" w:eastAsia="宋体" w:cs="宋体"/>
          <w:b/>
          <w:kern w:val="2"/>
          <w:sz w:val="21"/>
          <w:szCs w:val="21"/>
          <w:lang w:val="en-US" w:eastAsia="zh-CN" w:bidi="ar-SA"/>
        </w:rPr>
        <w:t xml:space="preserve"> 技术服务和技术培训</w:t>
      </w:r>
    </w:p>
    <w:p w14:paraId="23CACDC1">
      <w:pPr>
        <w:rPr>
          <w:rFonts w:hint="eastAsia" w:ascii="宋体" w:hAnsi="宋体" w:eastAsia="宋体" w:cs="宋体"/>
          <w:b/>
          <w:bCs/>
          <w:sz w:val="21"/>
          <w:szCs w:val="21"/>
        </w:rPr>
      </w:pPr>
      <w:r>
        <w:rPr>
          <w:rFonts w:hint="eastAsia" w:ascii="宋体" w:hAnsi="宋体" w:eastAsia="宋体" w:cs="宋体"/>
          <w:b/>
          <w:bCs/>
          <w:sz w:val="21"/>
          <w:szCs w:val="21"/>
        </w:rPr>
        <w:t>3.4.1技术服务</w:t>
      </w:r>
    </w:p>
    <w:p w14:paraId="03D5A55D">
      <w:pPr>
        <w:adjustRightInd w:val="0"/>
        <w:ind w:firstLine="420" w:firstLineChars="200"/>
        <w:rPr>
          <w:rFonts w:hint="eastAsia" w:ascii="宋体" w:hAnsi="宋体" w:eastAsia="宋体" w:cs="宋体"/>
          <w:sz w:val="21"/>
          <w:szCs w:val="21"/>
        </w:rPr>
      </w:pPr>
      <w:bookmarkStart w:id="715" w:name="_Toc24530458"/>
      <w:bookmarkStart w:id="716" w:name="_Toc508586985"/>
      <w:bookmarkStart w:id="717" w:name="_Toc527633476"/>
      <w:bookmarkStart w:id="718" w:name="_Toc477415435"/>
      <w:bookmarkStart w:id="719" w:name="_Toc343680581"/>
      <w:r>
        <w:rPr>
          <w:rFonts w:hint="eastAsia" w:ascii="宋体" w:hAnsi="宋体" w:eastAsia="宋体" w:cs="宋体"/>
          <w:sz w:val="21"/>
          <w:szCs w:val="21"/>
        </w:rPr>
        <w:t>1、技术支持</w:t>
      </w:r>
    </w:p>
    <w:p w14:paraId="7339F523">
      <w:pPr>
        <w:adjustRightInd w:val="0"/>
        <w:ind w:firstLine="420" w:firstLineChars="200"/>
        <w:rPr>
          <w:rFonts w:hint="eastAsia" w:ascii="宋体" w:hAnsi="宋体" w:eastAsia="宋体" w:cs="宋体"/>
          <w:sz w:val="21"/>
          <w:szCs w:val="21"/>
        </w:rPr>
      </w:pPr>
      <w:r>
        <w:rPr>
          <w:rFonts w:hint="eastAsia" w:ascii="宋体" w:hAnsi="宋体" w:eastAsia="宋体" w:cs="宋体"/>
          <w:sz w:val="21"/>
          <w:szCs w:val="21"/>
        </w:rPr>
        <w:t>7X24小时电话技术支持</w:t>
      </w:r>
    </w:p>
    <w:p w14:paraId="41287C32">
      <w:pPr>
        <w:adjustRightInd w:val="0"/>
        <w:ind w:firstLine="420" w:firstLineChars="200"/>
        <w:rPr>
          <w:rFonts w:hint="eastAsia" w:ascii="宋体" w:hAnsi="宋体" w:eastAsia="宋体" w:cs="宋体"/>
          <w:sz w:val="21"/>
          <w:szCs w:val="21"/>
        </w:rPr>
      </w:pPr>
      <w:r>
        <w:rPr>
          <w:rFonts w:hint="eastAsia" w:ascii="宋体" w:hAnsi="宋体" w:eastAsia="宋体" w:cs="宋体"/>
          <w:sz w:val="21"/>
          <w:szCs w:val="21"/>
        </w:rPr>
        <w:t>工作时间(周一到周五上午8:00到晚上6:00)远程调试支持</w:t>
      </w:r>
    </w:p>
    <w:p w14:paraId="7E6D9445">
      <w:pPr>
        <w:adjustRightInd w:val="0"/>
        <w:ind w:firstLine="420" w:firstLineChars="200"/>
        <w:rPr>
          <w:rFonts w:hint="eastAsia" w:ascii="宋体" w:hAnsi="宋体" w:eastAsia="宋体" w:cs="宋体"/>
          <w:sz w:val="21"/>
          <w:szCs w:val="21"/>
        </w:rPr>
      </w:pPr>
      <w:r>
        <w:rPr>
          <w:rFonts w:hint="eastAsia" w:ascii="宋体" w:hAnsi="宋体" w:eastAsia="宋体" w:cs="宋体"/>
          <w:sz w:val="21"/>
          <w:szCs w:val="21"/>
        </w:rPr>
        <w:t>每年不限服务次数</w:t>
      </w:r>
    </w:p>
    <w:p w14:paraId="07BD5FFC">
      <w:pPr>
        <w:adjustRightInd w:val="0"/>
        <w:ind w:firstLine="420" w:firstLineChars="200"/>
        <w:rPr>
          <w:rFonts w:hint="eastAsia" w:ascii="宋体" w:hAnsi="宋体" w:eastAsia="宋体" w:cs="宋体"/>
          <w:sz w:val="21"/>
          <w:szCs w:val="21"/>
        </w:rPr>
      </w:pPr>
      <w:r>
        <w:rPr>
          <w:rFonts w:hint="eastAsia" w:ascii="宋体" w:hAnsi="宋体" w:eastAsia="宋体" w:cs="宋体"/>
          <w:sz w:val="21"/>
          <w:szCs w:val="21"/>
        </w:rPr>
        <w:t>出现紧急系统故障要求供应商8小时内派人到场并修复故障，无法修复需提供解决方案。</w:t>
      </w:r>
      <w:bookmarkStart w:id="720" w:name="_Toc952"/>
      <w:bookmarkStart w:id="721" w:name="_Toc56527724"/>
      <w:bookmarkStart w:id="722" w:name="_Toc92228202"/>
      <w:bookmarkStart w:id="723" w:name="_Toc25822544"/>
    </w:p>
    <w:p w14:paraId="5F3148D9">
      <w:pPr>
        <w:adjustRightInd w:val="0"/>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2、定期巡检服务</w:t>
      </w:r>
      <w:bookmarkEnd w:id="720"/>
      <w:bookmarkEnd w:id="721"/>
      <w:bookmarkEnd w:id="722"/>
      <w:bookmarkEnd w:id="723"/>
    </w:p>
    <w:p w14:paraId="39ECAE87">
      <w:pPr>
        <w:adjustRightInd w:val="0"/>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本项目服务期内定期组织技术力量对已经部署的备份服务进行巡检，发现问题并解决问题，同时形成巡检报告交</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单位留存。</w:t>
      </w:r>
    </w:p>
    <w:p w14:paraId="161A3D28">
      <w:pPr>
        <w:adjustRightInd w:val="0"/>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3、恢复演练服务</w:t>
      </w:r>
    </w:p>
    <w:p w14:paraId="635274F0">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在本项目的服务期内按</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单位要求定期抽取已经备份的任务进行数据恢复测试，以验证备份数据的可用性，并提交相应的报告交我单位留存。</w:t>
      </w:r>
    </w:p>
    <w:p w14:paraId="192DB8D9">
      <w:pPr>
        <w:numPr>
          <w:ilvl w:val="0"/>
          <w:numId w:val="90"/>
        </w:num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软件定时更新服务</w:t>
      </w:r>
    </w:p>
    <w:p w14:paraId="749968AF">
      <w:pPr>
        <w:numPr>
          <w:ilvl w:val="0"/>
          <w:numId w:val="0"/>
        </w:numPr>
        <w:ind w:firstLine="420" w:firstLineChars="200"/>
        <w:rPr>
          <w:rFonts w:hint="eastAsia" w:ascii="宋体" w:hAnsi="宋体" w:eastAsia="宋体" w:cs="宋体"/>
          <w:sz w:val="21"/>
          <w:szCs w:val="21"/>
        </w:rPr>
      </w:pPr>
      <w:r>
        <w:rPr>
          <w:rFonts w:hint="eastAsia" w:ascii="宋体" w:hAnsi="宋体" w:eastAsia="宋体" w:cs="宋体"/>
          <w:color w:val="auto"/>
          <w:sz w:val="21"/>
          <w:szCs w:val="21"/>
          <w:lang w:val="en-US" w:eastAsia="zh-CN"/>
        </w:rPr>
        <w:t>乙方需提供至少每季度一次的常规更新服务，包括但不限于功能改进、性能优化及安全补丁。对于紧急安全漏洞，应在发现后72小时内提供修复方案或补丁，数据库需定期进行更新升级，漏洞修复。所有提供的更新和修复必须确保与现有数据库版本以及第三方软件的兼容性。乙方需提前测试并提供相应的兼容性声明。</w:t>
      </w:r>
    </w:p>
    <w:p w14:paraId="3B20BDE1">
      <w:pPr>
        <w:adjustRightInd w:val="0"/>
        <w:rPr>
          <w:rFonts w:hint="eastAsia" w:ascii="宋体" w:hAnsi="宋体" w:eastAsia="宋体" w:cs="宋体"/>
          <w:b/>
          <w:bCs/>
          <w:sz w:val="21"/>
          <w:szCs w:val="21"/>
        </w:rPr>
      </w:pPr>
      <w:bookmarkStart w:id="724" w:name="OLE_LINK14"/>
      <w:r>
        <w:rPr>
          <w:rFonts w:hint="eastAsia" w:ascii="宋体" w:hAnsi="宋体" w:eastAsia="宋体" w:cs="宋体"/>
          <w:b/>
          <w:bCs/>
          <w:sz w:val="21"/>
          <w:szCs w:val="21"/>
        </w:rPr>
        <w:t>3.4.2技术培训</w:t>
      </w:r>
      <w:bookmarkEnd w:id="715"/>
      <w:bookmarkEnd w:id="716"/>
      <w:bookmarkEnd w:id="717"/>
      <w:bookmarkEnd w:id="718"/>
      <w:bookmarkEnd w:id="719"/>
    </w:p>
    <w:bookmarkEnd w:id="724"/>
    <w:p w14:paraId="4C83E239">
      <w:pPr>
        <w:adjustRightInd w:val="0"/>
        <w:ind w:left="-4" w:firstLine="420" w:firstLineChars="200"/>
        <w:rPr>
          <w:rFonts w:hint="eastAsia" w:ascii="宋体" w:hAnsi="宋体" w:eastAsia="宋体" w:cs="宋体"/>
          <w:sz w:val="21"/>
          <w:szCs w:val="21"/>
        </w:rPr>
      </w:pPr>
      <w:r>
        <w:rPr>
          <w:rFonts w:hint="eastAsia" w:ascii="宋体" w:hAnsi="宋体" w:eastAsia="宋体" w:cs="宋体"/>
          <w:sz w:val="21"/>
          <w:szCs w:val="21"/>
        </w:rPr>
        <w:t>乙方应负责对甲方的管理、操作、维护人员的技术培训，培训内容包括但不仅限于：</w:t>
      </w:r>
    </w:p>
    <w:p w14:paraId="61CE8A66">
      <w:pPr>
        <w:adjustRightInd w:val="0"/>
        <w:ind w:left="-4" w:firstLine="420" w:firstLineChars="200"/>
        <w:rPr>
          <w:rFonts w:hint="eastAsia" w:ascii="宋体" w:hAnsi="宋体" w:eastAsia="宋体" w:cs="宋体"/>
          <w:sz w:val="21"/>
          <w:szCs w:val="21"/>
        </w:rPr>
      </w:pPr>
      <w:r>
        <w:rPr>
          <w:rFonts w:hint="eastAsia" w:ascii="宋体" w:hAnsi="宋体" w:eastAsia="宋体" w:cs="宋体"/>
          <w:sz w:val="21"/>
          <w:szCs w:val="21"/>
        </w:rPr>
        <w:t>（1）对本项目所提供</w:t>
      </w:r>
      <w:r>
        <w:rPr>
          <w:rFonts w:hint="eastAsia" w:ascii="宋体" w:hAnsi="宋体" w:eastAsia="宋体" w:cs="宋体"/>
          <w:sz w:val="21"/>
          <w:szCs w:val="21"/>
          <w:lang w:val="en-US" w:eastAsia="zh-CN"/>
        </w:rPr>
        <w:t>数据库</w:t>
      </w:r>
      <w:r>
        <w:rPr>
          <w:rFonts w:hint="eastAsia" w:ascii="宋体" w:hAnsi="宋体" w:eastAsia="宋体" w:cs="宋体"/>
          <w:sz w:val="21"/>
          <w:szCs w:val="21"/>
        </w:rPr>
        <w:t>的安装、调试培训，并提供相应的培训资料。</w:t>
      </w:r>
    </w:p>
    <w:p w14:paraId="392047F2">
      <w:pPr>
        <w:tabs>
          <w:tab w:val="left" w:pos="2160"/>
        </w:tabs>
        <w:adjustRightInd w:val="0"/>
        <w:ind w:left="-4" w:firstLine="420" w:firstLineChars="200"/>
        <w:rPr>
          <w:rFonts w:hint="eastAsia" w:ascii="宋体" w:hAnsi="宋体" w:eastAsia="宋体" w:cs="宋体"/>
          <w:sz w:val="21"/>
          <w:szCs w:val="21"/>
        </w:rPr>
      </w:pPr>
      <w:r>
        <w:rPr>
          <w:rFonts w:hint="eastAsia" w:ascii="宋体" w:hAnsi="宋体" w:eastAsia="宋体" w:cs="宋体"/>
          <w:sz w:val="21"/>
          <w:szCs w:val="21"/>
        </w:rPr>
        <w:t>（2）对本项目所提供</w:t>
      </w:r>
      <w:r>
        <w:rPr>
          <w:rFonts w:hint="eastAsia" w:ascii="宋体" w:hAnsi="宋体" w:eastAsia="宋体" w:cs="宋体"/>
          <w:sz w:val="21"/>
          <w:szCs w:val="21"/>
          <w:lang w:val="en-US" w:eastAsia="zh-CN"/>
        </w:rPr>
        <w:t>数据库</w:t>
      </w:r>
      <w:r>
        <w:rPr>
          <w:rFonts w:hint="eastAsia" w:ascii="宋体" w:hAnsi="宋体" w:eastAsia="宋体" w:cs="宋体"/>
          <w:sz w:val="21"/>
          <w:szCs w:val="21"/>
        </w:rPr>
        <w:t>的操作培训，并提供相应的培训资料。</w:t>
      </w:r>
    </w:p>
    <w:p w14:paraId="6CBAEDA2">
      <w:pPr>
        <w:adjustRightInd w:val="0"/>
        <w:ind w:left="-4" w:firstLine="420" w:firstLineChars="200"/>
        <w:rPr>
          <w:rFonts w:hint="eastAsia" w:ascii="宋体" w:hAnsi="宋体" w:eastAsia="宋体" w:cs="宋体"/>
          <w:sz w:val="21"/>
          <w:szCs w:val="21"/>
        </w:rPr>
      </w:pPr>
      <w:r>
        <w:rPr>
          <w:rFonts w:hint="eastAsia" w:ascii="宋体" w:hAnsi="宋体" w:eastAsia="宋体" w:cs="宋体"/>
          <w:sz w:val="21"/>
          <w:szCs w:val="21"/>
        </w:rPr>
        <w:t>（3）对本项目所提供</w:t>
      </w:r>
      <w:r>
        <w:rPr>
          <w:rFonts w:hint="eastAsia" w:ascii="宋体" w:hAnsi="宋体" w:eastAsia="宋体" w:cs="宋体"/>
          <w:sz w:val="21"/>
          <w:szCs w:val="21"/>
          <w:lang w:val="en-US" w:eastAsia="zh-CN"/>
        </w:rPr>
        <w:t>数据库</w:t>
      </w:r>
      <w:r>
        <w:rPr>
          <w:rFonts w:hint="eastAsia" w:ascii="宋体" w:hAnsi="宋体" w:eastAsia="宋体" w:cs="宋体"/>
          <w:sz w:val="21"/>
          <w:szCs w:val="21"/>
        </w:rPr>
        <w:t>维护培训，并提供相应的培训资料，满足甲方能独立进行本项目所提供服务的维护需要。</w:t>
      </w:r>
    </w:p>
    <w:p w14:paraId="24FF1D74">
      <w:pPr>
        <w:adjustRightInd w:val="0"/>
        <w:rPr>
          <w:rFonts w:hint="eastAsia" w:ascii="宋体" w:hAnsi="宋体" w:eastAsia="宋体" w:cs="宋体"/>
          <w:b/>
          <w:bCs/>
          <w:sz w:val="21"/>
          <w:szCs w:val="21"/>
        </w:rPr>
      </w:pPr>
      <w:bookmarkStart w:id="725" w:name="_Toc211758134"/>
      <w:bookmarkStart w:id="726" w:name="_Toc198708785"/>
      <w:bookmarkStart w:id="727" w:name="_Toc101257004"/>
      <w:bookmarkStart w:id="728" w:name="_Toc206818258"/>
      <w:bookmarkStart w:id="729" w:name="_Toc167271976"/>
      <w:bookmarkStart w:id="730" w:name="_Toc212279674"/>
      <w:bookmarkStart w:id="731" w:name="_Toc193597851"/>
      <w:bookmarkStart w:id="732" w:name="_Toc101251920"/>
      <w:bookmarkStart w:id="733" w:name="_Toc236556281"/>
      <w:bookmarkStart w:id="734" w:name="_Toc244681349"/>
      <w:bookmarkStart w:id="735" w:name="_Toc210280727"/>
      <w:bookmarkStart w:id="736" w:name="_Toc211758002"/>
      <w:bookmarkStart w:id="737" w:name="_Toc244681377"/>
      <w:bookmarkStart w:id="738" w:name="_Toc146092618"/>
      <w:r>
        <w:rPr>
          <w:rFonts w:hint="eastAsia" w:ascii="宋体" w:hAnsi="宋体" w:eastAsia="宋体" w:cs="宋体"/>
          <w:b/>
          <w:bCs/>
          <w:sz w:val="21"/>
          <w:szCs w:val="21"/>
        </w:rPr>
        <w:t>3.4.3技术资料</w:t>
      </w:r>
    </w:p>
    <w:p w14:paraId="6818AA57">
      <w:pPr>
        <w:adjustRightInd w:val="0"/>
        <w:ind w:firstLine="420" w:firstLineChars="200"/>
        <w:rPr>
          <w:rFonts w:hint="eastAsia" w:ascii="宋体" w:hAnsi="宋体" w:eastAsia="宋体" w:cs="宋体"/>
          <w:sz w:val="21"/>
          <w:szCs w:val="21"/>
        </w:rPr>
      </w:pPr>
      <w:r>
        <w:rPr>
          <w:rFonts w:hint="eastAsia" w:ascii="宋体" w:hAnsi="宋体" w:eastAsia="宋体" w:cs="宋体"/>
          <w:sz w:val="21"/>
          <w:szCs w:val="21"/>
        </w:rPr>
        <w:t>乙方提供的书面技术资料应能满足</w:t>
      </w:r>
      <w:r>
        <w:rPr>
          <w:rFonts w:hint="eastAsia" w:ascii="宋体" w:hAnsi="宋体" w:eastAsia="宋体" w:cs="宋体"/>
          <w:sz w:val="21"/>
          <w:szCs w:val="21"/>
          <w:lang w:val="en-US" w:eastAsia="zh-CN"/>
        </w:rPr>
        <w:t>数据库</w:t>
      </w:r>
      <w:r>
        <w:rPr>
          <w:rFonts w:hint="eastAsia" w:ascii="宋体" w:hAnsi="宋体" w:eastAsia="宋体" w:cs="宋体"/>
          <w:sz w:val="21"/>
          <w:szCs w:val="21"/>
        </w:rPr>
        <w:t>正常运行所需的管理、运营及维护的全套文件。乙方提供的技术资料至少应包括：</w:t>
      </w:r>
    </w:p>
    <w:p w14:paraId="78D26F2B">
      <w:pPr>
        <w:adjustRightInd w:val="0"/>
        <w:ind w:firstLine="420" w:firstLineChars="200"/>
        <w:rPr>
          <w:rFonts w:hint="eastAsia" w:ascii="宋体" w:hAnsi="宋体" w:eastAsia="宋体" w:cs="宋体"/>
          <w:sz w:val="21"/>
          <w:szCs w:val="21"/>
        </w:rPr>
      </w:pPr>
      <w:r>
        <w:rPr>
          <w:rFonts w:hint="eastAsia" w:ascii="宋体" w:hAnsi="宋体" w:eastAsia="宋体" w:cs="宋体"/>
          <w:sz w:val="21"/>
          <w:szCs w:val="21"/>
        </w:rPr>
        <w:t>技术手册（安装、调测、操作、维护、故障排除等）</w:t>
      </w:r>
    </w:p>
    <w:p w14:paraId="7A012C0C">
      <w:pPr>
        <w:adjustRightInd w:val="0"/>
        <w:ind w:firstLine="420" w:firstLineChars="200"/>
        <w:rPr>
          <w:rFonts w:hint="eastAsia" w:ascii="宋体" w:hAnsi="宋体" w:eastAsia="宋体" w:cs="宋体"/>
          <w:sz w:val="21"/>
          <w:szCs w:val="21"/>
        </w:rPr>
      </w:pPr>
      <w:r>
        <w:rPr>
          <w:rFonts w:hint="eastAsia" w:ascii="宋体" w:hAnsi="宋体" w:eastAsia="宋体" w:cs="宋体"/>
          <w:sz w:val="21"/>
          <w:szCs w:val="21"/>
        </w:rPr>
        <w:t>用户使用手册</w:t>
      </w:r>
      <w:bookmarkStart w:id="739" w:name="_Toc4417"/>
    </w:p>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14:paraId="72B2CE13">
      <w:pPr>
        <w:widowControl w:val="0"/>
        <w:spacing w:before="260" w:after="260" w:line="416" w:lineRule="auto"/>
        <w:jc w:val="both"/>
        <w:outlineLvl w:val="1"/>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4.付款约定</w:t>
      </w:r>
    </w:p>
    <w:p w14:paraId="7156D677">
      <w:pPr>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甲乙双方框架合同签订后，合同订单金额由甲方下单并验收合格后且甲方收到乙方下列全部单据后[30]个工作日内，向乙方支付该笔订单[99]% 的款项 ：</w:t>
      </w:r>
    </w:p>
    <w:p w14:paraId="4D21A3DC">
      <w:pPr>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(1)付款通知书，原件一份。</w:t>
      </w:r>
    </w:p>
    <w:p w14:paraId="4D7AE522">
      <w:pPr>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(2)相应金额的、符合国家规定的增值税专用发票</w:t>
      </w:r>
    </w:p>
    <w:p w14:paraId="5D3AFC54">
      <w:pPr>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(3)项目验收报告原件一份。</w:t>
      </w:r>
    </w:p>
    <w:p w14:paraId="11F714AE">
      <w:pPr>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维保期满后，甲方收到乙方提供的下列全部单据后[30]个工作日内，甲方向乙方支付该笔订单剩余 [1 ]%的款项：</w:t>
      </w:r>
    </w:p>
    <w:p w14:paraId="72C1A6B1">
      <w:pPr>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(1)付款通知书，原件一份。</w:t>
      </w:r>
    </w:p>
    <w:p w14:paraId="2A4BD929">
      <w:pPr>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(2)相应金额的、符合国家规定的增值税专用发票。</w:t>
      </w:r>
    </w:p>
    <w:p w14:paraId="73953D52">
      <w:pPr>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(3)保修期满证书原件</w:t>
      </w:r>
    </w:p>
    <w:p w14:paraId="316DBE5B">
      <w:pPr>
        <w:widowControl w:val="0"/>
        <w:spacing w:before="260" w:after="260" w:line="416" w:lineRule="auto"/>
        <w:jc w:val="both"/>
        <w:outlineLvl w:val="1"/>
        <w:rPr>
          <w:rFonts w:hint="eastAsia" w:ascii="宋体" w:hAnsi="宋体" w:eastAsia="宋体" w:cs="宋体"/>
          <w:b/>
          <w:bCs/>
          <w:kern w:val="0"/>
          <w:sz w:val="21"/>
          <w:szCs w:val="21"/>
          <w:lang w:val="en-US" w:eastAsia="zh-CN" w:bidi="ar-SA"/>
        </w:rPr>
      </w:pPr>
      <w:r>
        <w:rPr>
          <w:rFonts w:hint="eastAsia" w:ascii="宋体" w:hAnsi="宋体" w:cs="宋体"/>
          <w:b/>
          <w:bCs/>
          <w:kern w:val="0"/>
          <w:sz w:val="21"/>
          <w:szCs w:val="21"/>
          <w:lang w:val="en-US" w:eastAsia="zh-CN" w:bidi="ar-SA"/>
        </w:rPr>
        <w:t>5</w:t>
      </w:r>
      <w:r>
        <w:rPr>
          <w:rFonts w:hint="eastAsia" w:ascii="宋体" w:hAnsi="宋体" w:eastAsia="宋体" w:cs="宋体"/>
          <w:b/>
          <w:bCs/>
          <w:kern w:val="0"/>
          <w:sz w:val="21"/>
          <w:szCs w:val="21"/>
          <w:lang w:val="en-US" w:eastAsia="zh-CN" w:bidi="ar-SA"/>
        </w:rPr>
        <w:t>.合同特别条款</w:t>
      </w:r>
    </w:p>
    <w:p w14:paraId="38FF3FFA">
      <w:pPr>
        <w:widowControl w:val="0"/>
        <w:ind w:firstLine="0" w:firstLineChars="0"/>
        <w:jc w:val="both"/>
        <w:rPr>
          <w:rFonts w:ascii="仿宋_GB2312" w:hAnsi="仿宋" w:eastAsia="仿宋_GB2312" w:cs="仿宋"/>
          <w:b/>
          <w:bCs/>
          <w:color w:val="auto"/>
          <w:sz w:val="28"/>
          <w:szCs w:val="28"/>
        </w:rPr>
      </w:pPr>
      <w:r>
        <w:rPr>
          <w:rFonts w:hint="eastAsia" w:ascii="宋体" w:hAnsi="宋体" w:eastAsia="宋体" w:cs="宋体"/>
          <w:kern w:val="2"/>
          <w:sz w:val="21"/>
          <w:szCs w:val="21"/>
          <w:lang w:val="en-US" w:eastAsia="zh-CN" w:bidi="ar-SA"/>
        </w:rPr>
        <w:t>无</w:t>
      </w:r>
      <w:r>
        <w:rPr>
          <w:rFonts w:hint="eastAsia" w:ascii="宋体" w:hAnsi="宋体" w:eastAsia="宋体" w:cs="宋体"/>
          <w:color w:val="auto"/>
          <w:sz w:val="21"/>
          <w:szCs w:val="21"/>
          <w:highlight w:val="none"/>
        </w:rPr>
        <w:br w:type="page"/>
      </w:r>
    </w:p>
    <w:p w14:paraId="478C6DBC">
      <w:pPr>
        <w:spacing w:line="416" w:lineRule="auto"/>
        <w:ind w:firstLine="560" w:firstLineChars="200"/>
        <w:rPr>
          <w:rFonts w:ascii="仿宋" w:hAnsi="仿宋" w:eastAsia="仿宋" w:cs="仿宋"/>
          <w:color w:val="auto"/>
          <w:sz w:val="28"/>
          <w:szCs w:val="36"/>
        </w:rPr>
      </w:pPr>
    </w:p>
    <w:p w14:paraId="4DD94BFD">
      <w:pPr>
        <w:pStyle w:val="100"/>
        <w:numPr>
          <w:ilvl w:val="0"/>
          <w:numId w:val="91"/>
        </w:numPr>
        <w:spacing w:before="240" w:after="120"/>
        <w:rPr>
          <w:rFonts w:cs="宋体" w:asciiTheme="minorEastAsia" w:hAnsiTheme="minorEastAsia" w:eastAsiaTheme="minorEastAsia"/>
          <w:b/>
          <w:bCs w:val="0"/>
          <w:color w:val="auto"/>
          <w:kern w:val="0"/>
          <w:sz w:val="28"/>
          <w:szCs w:val="28"/>
          <w:highlight w:val="none"/>
        </w:rPr>
      </w:pPr>
      <w:r>
        <w:rPr>
          <w:rFonts w:hint="eastAsia" w:cs="宋体" w:asciiTheme="minorEastAsia" w:hAnsiTheme="minorEastAsia" w:eastAsiaTheme="minorEastAsia"/>
          <w:b/>
          <w:bCs w:val="0"/>
          <w:color w:val="auto"/>
          <w:kern w:val="0"/>
          <w:sz w:val="28"/>
          <w:szCs w:val="28"/>
          <w:highlight w:val="none"/>
        </w:rPr>
        <w:t xml:space="preserve"> </w:t>
      </w:r>
      <w:bookmarkStart w:id="740" w:name="_Toc28954"/>
      <w:bookmarkStart w:id="741" w:name="_Toc20696"/>
      <w:bookmarkStart w:id="742" w:name="_Toc20300"/>
      <w:bookmarkStart w:id="743" w:name="_Toc27008"/>
      <w:bookmarkStart w:id="744" w:name="_Toc6791"/>
      <w:bookmarkStart w:id="745" w:name="_Toc1208"/>
      <w:bookmarkStart w:id="746" w:name="_Toc21419"/>
      <w:bookmarkStart w:id="747" w:name="_Toc22437"/>
      <w:bookmarkStart w:id="748" w:name="_Toc4443"/>
      <w:bookmarkStart w:id="749" w:name="_Toc11974"/>
      <w:r>
        <w:rPr>
          <w:rFonts w:hint="eastAsia" w:cs="宋体" w:asciiTheme="minorEastAsia" w:hAnsiTheme="minorEastAsia" w:eastAsiaTheme="minorEastAsia"/>
          <w:b/>
          <w:bCs w:val="0"/>
          <w:color w:val="auto"/>
          <w:kern w:val="0"/>
          <w:sz w:val="28"/>
          <w:szCs w:val="28"/>
          <w:highlight w:val="none"/>
        </w:rPr>
        <w:t>投标文件格式</w:t>
      </w:r>
      <w:bookmarkEnd w:id="642"/>
      <w:bookmarkEnd w:id="643"/>
      <w:bookmarkEnd w:id="644"/>
      <w:bookmarkEnd w:id="690"/>
      <w:bookmarkEnd w:id="691"/>
      <w:bookmarkEnd w:id="740"/>
      <w:bookmarkEnd w:id="741"/>
      <w:bookmarkEnd w:id="742"/>
      <w:bookmarkEnd w:id="743"/>
      <w:bookmarkEnd w:id="744"/>
      <w:bookmarkEnd w:id="745"/>
      <w:bookmarkEnd w:id="746"/>
      <w:bookmarkEnd w:id="747"/>
      <w:bookmarkEnd w:id="748"/>
      <w:bookmarkEnd w:id="749"/>
    </w:p>
    <w:p w14:paraId="6BFD47CF">
      <w:pPr>
        <w:pStyle w:val="101"/>
        <w:widowControl w:val="0"/>
        <w:numPr>
          <w:ilvl w:val="0"/>
          <w:numId w:val="0"/>
        </w:numPr>
        <w:tabs>
          <w:tab w:val="left" w:pos="567"/>
        </w:tabs>
        <w:adjustRightInd w:val="0"/>
        <w:snapToGrid w:val="0"/>
        <w:spacing w:line="440" w:lineRule="exact"/>
        <w:jc w:val="both"/>
        <w:rPr>
          <w:rFonts w:cs="宋体" w:asciiTheme="minorEastAsia" w:hAnsiTheme="minorEastAsia" w:eastAsiaTheme="minorEastAsia"/>
          <w:color w:val="auto"/>
          <w:szCs w:val="21"/>
          <w:highlight w:val="none"/>
        </w:rPr>
      </w:pPr>
    </w:p>
    <w:p w14:paraId="3837327E">
      <w:pPr>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br w:type="page"/>
      </w:r>
    </w:p>
    <w:p w14:paraId="3B4B5E8A">
      <w:pPr>
        <w:pStyle w:val="101"/>
        <w:tabs>
          <w:tab w:val="left" w:pos="567"/>
          <w:tab w:val="left" w:pos="795"/>
        </w:tabs>
        <w:adjustRightInd w:val="0"/>
        <w:snapToGrid w:val="0"/>
        <w:spacing w:line="440" w:lineRule="exact"/>
        <w:ind w:firstLine="0" w:firstLineChars="0"/>
        <w:jc w:val="left"/>
        <w:rPr>
          <w:rFonts w:ascii="宋体" w:hAnsi="宋体"/>
          <w:b/>
          <w:color w:val="auto"/>
          <w:szCs w:val="21"/>
        </w:rPr>
      </w:pPr>
      <w:r>
        <w:rPr>
          <w:rFonts w:hint="eastAsia" w:ascii="宋体" w:hAnsi="宋体"/>
          <w:b/>
          <w:color w:val="auto"/>
          <w:szCs w:val="21"/>
        </w:rPr>
        <w:t>第一分册 商务投标文件</w:t>
      </w:r>
    </w:p>
    <w:p w14:paraId="65C349CC">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1</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商务投标文件封面</w:t>
      </w:r>
    </w:p>
    <w:p w14:paraId="5A7E3572">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2</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初步评审索引表</w:t>
      </w:r>
    </w:p>
    <w:p w14:paraId="603FED7E">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3</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商务及服务评审索引表</w:t>
      </w:r>
    </w:p>
    <w:p w14:paraId="76316015">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4</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投标专用印章授权函（如有）</w:t>
      </w:r>
    </w:p>
    <w:p w14:paraId="3D814D8C">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5</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投标函</w:t>
      </w:r>
    </w:p>
    <w:p w14:paraId="479E6245">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6</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法定代表人/负责人身份证明</w:t>
      </w:r>
    </w:p>
    <w:p w14:paraId="0BEDF8E8">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7</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法定代表人/负责人授权委托书</w:t>
      </w:r>
    </w:p>
    <w:p w14:paraId="1F590A36">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8</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廉洁投标承诺书</w:t>
      </w:r>
    </w:p>
    <w:p w14:paraId="78182AAE">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9</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近【五】年发生的诉讼及仲裁情况</w:t>
      </w:r>
    </w:p>
    <w:p w14:paraId="2F558C3E">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10</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招标代理服务费支付承诺函</w:t>
      </w:r>
    </w:p>
    <w:p w14:paraId="1360F35C">
      <w:pPr>
        <w:pStyle w:val="101"/>
        <w:numPr>
          <w:ilvl w:val="0"/>
          <w:numId w:val="0"/>
        </w:numPr>
        <w:tabs>
          <w:tab w:val="left" w:pos="567"/>
        </w:tabs>
        <w:topLinePunct w:val="0"/>
        <w:adjustRightInd w:val="0"/>
        <w:snapToGrid w:val="0"/>
        <w:spacing w:line="440" w:lineRule="exact"/>
        <w:ind w:left="425" w:leftChars="0" w:hanging="425" w:firstLineChars="0"/>
        <w:rPr>
          <w:rFonts w:hint="eastAsia" w:ascii="宋体" w:hAnsi="宋体" w:cs="宋体"/>
          <w:color w:val="auto"/>
          <w:szCs w:val="21"/>
        </w:rPr>
      </w:pPr>
      <w:r>
        <w:rPr>
          <w:rFonts w:hint="eastAsia" w:ascii="宋体" w:hAnsi="宋体" w:cs="宋体"/>
          <w:b w:val="0"/>
          <w:color w:val="auto"/>
          <w:kern w:val="2"/>
          <w:sz w:val="21"/>
          <w:szCs w:val="21"/>
          <w:lang w:val="en-US" w:eastAsia="zh-CN" w:bidi="ar-SA"/>
        </w:rPr>
        <w:t>11</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不得存在情形承诺</w:t>
      </w:r>
    </w:p>
    <w:p w14:paraId="55A6748F">
      <w:pPr>
        <w:pStyle w:val="101"/>
        <w:numPr>
          <w:ilvl w:val="0"/>
          <w:numId w:val="0"/>
        </w:numPr>
        <w:tabs>
          <w:tab w:val="left" w:pos="567"/>
        </w:tabs>
        <w:topLinePunct w:val="0"/>
        <w:adjustRightInd w:val="0"/>
        <w:snapToGrid w:val="0"/>
        <w:spacing w:line="440" w:lineRule="exact"/>
        <w:ind w:left="425" w:leftChars="0" w:hanging="425" w:firstLineChars="0"/>
        <w:rPr>
          <w:rFonts w:hint="default" w:ascii="宋体" w:hAnsi="宋体" w:eastAsia="宋体" w:cs="宋体"/>
          <w:color w:val="auto"/>
          <w:szCs w:val="21"/>
          <w:lang w:val="en-US" w:eastAsia="zh-CN"/>
        </w:rPr>
      </w:pPr>
      <w:r>
        <w:rPr>
          <w:rFonts w:hint="eastAsia" w:ascii="宋体" w:hAnsi="宋体" w:cs="宋体"/>
          <w:color w:val="auto"/>
          <w:szCs w:val="21"/>
          <w:lang w:val="en-US" w:eastAsia="zh-CN"/>
        </w:rPr>
        <w:t>12.开具增值税专用发票承诺</w:t>
      </w:r>
    </w:p>
    <w:p w14:paraId="3AA0CB14">
      <w:pPr>
        <w:pStyle w:val="101"/>
        <w:numPr>
          <w:ilvl w:val="0"/>
          <w:numId w:val="0"/>
        </w:numPr>
        <w:tabs>
          <w:tab w:val="left" w:pos="567"/>
        </w:tabs>
        <w:topLinePunct w:val="0"/>
        <w:adjustRightInd w:val="0"/>
        <w:snapToGrid w:val="0"/>
        <w:spacing w:line="440" w:lineRule="exact"/>
        <w:ind w:left="425" w:leftChars="0" w:hanging="425" w:firstLineChars="0"/>
        <w:rPr>
          <w:rFonts w:hint="eastAsia" w:ascii="宋体" w:hAnsi="宋体" w:eastAsia="宋体" w:cs="宋体"/>
          <w:b w:val="0"/>
          <w:color w:val="auto"/>
          <w:kern w:val="2"/>
          <w:sz w:val="21"/>
          <w:szCs w:val="21"/>
          <w:lang w:val="en-US" w:eastAsia="zh-CN" w:bidi="ar-SA"/>
        </w:rPr>
      </w:pPr>
      <w:r>
        <w:rPr>
          <w:rFonts w:hint="eastAsia" w:ascii="宋体" w:hAnsi="宋体" w:cs="宋体"/>
          <w:b w:val="0"/>
          <w:color w:val="auto"/>
          <w:kern w:val="2"/>
          <w:sz w:val="21"/>
          <w:szCs w:val="21"/>
          <w:lang w:val="en-US" w:eastAsia="zh-CN" w:bidi="ar-SA"/>
        </w:rPr>
        <w:t>13</w:t>
      </w:r>
      <w:r>
        <w:rPr>
          <w:rFonts w:hint="eastAsia" w:ascii="宋体" w:hAnsi="宋体" w:eastAsia="宋体" w:cs="宋体"/>
          <w:b w:val="0"/>
          <w:color w:val="auto"/>
          <w:kern w:val="2"/>
          <w:sz w:val="21"/>
          <w:szCs w:val="21"/>
          <w:lang w:val="en-US" w:eastAsia="zh-CN" w:bidi="ar-SA"/>
        </w:rPr>
        <w:t>.特定关系信息收集表</w:t>
      </w:r>
    </w:p>
    <w:p w14:paraId="7A24C635">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14.</w:t>
      </w:r>
      <w:r>
        <w:rPr>
          <w:rFonts w:hint="eastAsia" w:ascii="宋体" w:hAnsi="宋体" w:cs="宋体"/>
          <w:color w:val="auto"/>
          <w:szCs w:val="21"/>
        </w:rPr>
        <w:t>资格审查资料</w:t>
      </w:r>
    </w:p>
    <w:p w14:paraId="25FDDBBF">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15</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投标人控股及管理关系情况申报表</w:t>
      </w:r>
    </w:p>
    <w:p w14:paraId="11EF8704">
      <w:pPr>
        <w:pStyle w:val="101"/>
        <w:numPr>
          <w:ilvl w:val="0"/>
          <w:numId w:val="0"/>
        </w:numPr>
        <w:tabs>
          <w:tab w:val="left" w:pos="567"/>
        </w:tabs>
        <w:topLinePunct w:val="0"/>
        <w:adjustRightInd w:val="0"/>
        <w:snapToGrid w:val="0"/>
        <w:spacing w:line="440" w:lineRule="exact"/>
        <w:ind w:left="425" w:leftChars="0" w:hanging="425" w:firstLineChars="0"/>
        <w:rPr>
          <w:rFonts w:hint="eastAsia" w:ascii="宋体" w:hAnsi="宋体" w:eastAsia="宋体" w:cs="宋体"/>
          <w:b w:val="0"/>
          <w:color w:val="auto"/>
          <w:kern w:val="2"/>
          <w:sz w:val="21"/>
          <w:szCs w:val="21"/>
          <w:lang w:val="en-US" w:eastAsia="zh-CN" w:bidi="ar-SA"/>
        </w:rPr>
      </w:pPr>
      <w:r>
        <w:rPr>
          <w:rFonts w:hint="eastAsia" w:ascii="宋体" w:hAnsi="宋体" w:cs="宋体"/>
          <w:b w:val="0"/>
          <w:color w:val="auto"/>
          <w:kern w:val="2"/>
          <w:sz w:val="21"/>
          <w:szCs w:val="21"/>
          <w:lang w:val="en-US" w:eastAsia="zh-CN" w:bidi="ar-SA"/>
        </w:rPr>
        <w:t>16</w:t>
      </w:r>
      <w:r>
        <w:rPr>
          <w:rFonts w:hint="eastAsia" w:ascii="宋体" w:hAnsi="宋体" w:eastAsia="宋体" w:cs="宋体"/>
          <w:b w:val="0"/>
          <w:color w:val="auto"/>
          <w:kern w:val="2"/>
          <w:sz w:val="21"/>
          <w:szCs w:val="21"/>
          <w:lang w:val="en-US" w:eastAsia="zh-CN" w:bidi="ar-SA"/>
        </w:rPr>
        <w:t>.商务条款偏离表</w:t>
      </w:r>
    </w:p>
    <w:p w14:paraId="1B1DCAF8">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color w:val="auto"/>
          <w:szCs w:val="21"/>
          <w:lang w:val="en-US" w:eastAsia="zh-CN"/>
        </w:rPr>
        <w:t>17.</w:t>
      </w:r>
      <w:r>
        <w:rPr>
          <w:rFonts w:hint="eastAsia" w:ascii="宋体" w:hAnsi="宋体" w:cs="宋体"/>
          <w:color w:val="auto"/>
          <w:szCs w:val="21"/>
        </w:rPr>
        <w:t>合同条款偏离表</w:t>
      </w:r>
    </w:p>
    <w:p w14:paraId="1FD1A316">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18</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投标人须知前附表偏离表</w:t>
      </w:r>
    </w:p>
    <w:p w14:paraId="62BCC044">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19</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网络</w:t>
      </w:r>
      <w:r>
        <w:rPr>
          <w:rFonts w:hint="eastAsia" w:ascii="宋体" w:hAnsi="宋体" w:cs="宋体"/>
          <w:color w:val="auto"/>
          <w:szCs w:val="21"/>
          <w:lang w:val="en-US" w:eastAsia="zh-CN"/>
        </w:rPr>
        <w:t>及</w:t>
      </w:r>
      <w:r>
        <w:rPr>
          <w:rFonts w:hint="eastAsia" w:ascii="宋体" w:hAnsi="宋体" w:cs="宋体"/>
          <w:color w:val="auto"/>
          <w:szCs w:val="21"/>
        </w:rPr>
        <w:t>信息安全承诺书</w:t>
      </w:r>
    </w:p>
    <w:p w14:paraId="3762FC81">
      <w:pPr>
        <w:pStyle w:val="101"/>
        <w:numPr>
          <w:ilvl w:val="0"/>
          <w:numId w:val="0"/>
        </w:numPr>
        <w:tabs>
          <w:tab w:val="left" w:pos="567"/>
        </w:tabs>
        <w:topLinePunct w:val="0"/>
        <w:adjustRightInd w:val="0"/>
        <w:snapToGrid w:val="0"/>
        <w:spacing w:line="440" w:lineRule="exact"/>
        <w:ind w:left="425" w:leftChars="0" w:hanging="425" w:firstLineChars="0"/>
        <w:rPr>
          <w:rFonts w:hint="eastAsia" w:ascii="宋体" w:hAnsi="宋体" w:cs="宋体"/>
          <w:color w:val="auto"/>
          <w:szCs w:val="21"/>
        </w:rPr>
      </w:pPr>
      <w:r>
        <w:rPr>
          <w:rFonts w:hint="eastAsia" w:ascii="宋体" w:hAnsi="宋体" w:cs="宋体"/>
          <w:b w:val="0"/>
          <w:color w:val="auto"/>
          <w:kern w:val="2"/>
          <w:sz w:val="21"/>
          <w:szCs w:val="21"/>
          <w:lang w:val="en-US" w:eastAsia="zh-CN" w:bidi="ar-SA"/>
        </w:rPr>
        <w:t>20</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开源软件、第三方软件清单及合法获取开源软件、第三方软件使用权的证明</w:t>
      </w:r>
    </w:p>
    <w:p w14:paraId="3AF4AB62">
      <w:pPr>
        <w:pStyle w:val="101"/>
        <w:numPr>
          <w:ilvl w:val="0"/>
          <w:numId w:val="0"/>
        </w:numPr>
        <w:tabs>
          <w:tab w:val="left" w:pos="567"/>
        </w:tabs>
        <w:topLinePunct w:val="0"/>
        <w:adjustRightInd w:val="0"/>
        <w:snapToGrid w:val="0"/>
        <w:spacing w:line="440" w:lineRule="exact"/>
        <w:ind w:left="425" w:leftChars="0" w:hanging="425" w:firstLineChars="0"/>
        <w:rPr>
          <w:rFonts w:hint="eastAsia" w:ascii="宋体" w:hAnsi="宋体" w:cs="宋体"/>
          <w:color w:val="auto"/>
          <w:szCs w:val="21"/>
        </w:rPr>
      </w:pPr>
      <w:r>
        <w:rPr>
          <w:rFonts w:hint="eastAsia" w:ascii="宋体" w:hAnsi="宋体" w:cs="宋体"/>
          <w:color w:val="auto"/>
          <w:szCs w:val="21"/>
          <w:lang w:val="en-US" w:eastAsia="zh-CN"/>
        </w:rPr>
        <w:t>21.</w:t>
      </w:r>
      <w:r>
        <w:rPr>
          <w:rFonts w:hint="eastAsia" w:ascii="宋体" w:hAnsi="宋体" w:cs="宋体"/>
          <w:color w:val="auto"/>
          <w:szCs w:val="21"/>
        </w:rPr>
        <w:t>销售/转许可同意函</w:t>
      </w:r>
    </w:p>
    <w:p w14:paraId="58EB10E9">
      <w:pPr>
        <w:pStyle w:val="101"/>
        <w:numPr>
          <w:ilvl w:val="0"/>
          <w:numId w:val="0"/>
        </w:numPr>
        <w:tabs>
          <w:tab w:val="left" w:pos="567"/>
        </w:tabs>
        <w:topLinePunct w:val="0"/>
        <w:adjustRightInd w:val="0"/>
        <w:snapToGrid w:val="0"/>
        <w:spacing w:line="440" w:lineRule="exact"/>
        <w:ind w:left="425" w:leftChars="0" w:hanging="425" w:firstLineChars="0"/>
        <w:rPr>
          <w:rFonts w:hint="default" w:ascii="宋体" w:hAnsi="宋体" w:eastAsia="宋体" w:cs="宋体"/>
          <w:b w:val="0"/>
          <w:color w:val="auto"/>
          <w:kern w:val="2"/>
          <w:sz w:val="21"/>
          <w:szCs w:val="21"/>
          <w:lang w:val="en-US" w:eastAsia="zh-CN" w:bidi="ar-SA"/>
        </w:rPr>
      </w:pPr>
      <w:r>
        <w:rPr>
          <w:rFonts w:hint="eastAsia" w:ascii="宋体" w:hAnsi="宋体" w:cs="宋体"/>
          <w:b w:val="0"/>
          <w:color w:val="auto"/>
          <w:kern w:val="2"/>
          <w:sz w:val="21"/>
          <w:szCs w:val="21"/>
          <w:lang w:val="en-US" w:eastAsia="zh-CN" w:bidi="ar-SA"/>
        </w:rPr>
        <w:t>22</w:t>
      </w:r>
      <w:r>
        <w:rPr>
          <w:rFonts w:hint="eastAsia" w:ascii="宋体" w:hAnsi="宋体" w:eastAsia="宋体" w:cs="宋体"/>
          <w:b w:val="0"/>
          <w:color w:val="auto"/>
          <w:kern w:val="2"/>
          <w:sz w:val="21"/>
          <w:szCs w:val="21"/>
          <w:lang w:val="en-US" w:eastAsia="zh-CN" w:bidi="ar-SA"/>
        </w:rPr>
        <w:t>.</w:t>
      </w:r>
      <w:r>
        <w:rPr>
          <w:rFonts w:hint="eastAsia" w:ascii="宋体" w:hAnsi="宋体" w:cs="宋体"/>
          <w:b w:val="0"/>
          <w:color w:val="auto"/>
          <w:kern w:val="2"/>
          <w:sz w:val="21"/>
          <w:szCs w:val="21"/>
          <w:lang w:val="en-US" w:eastAsia="zh-CN" w:bidi="ar-SA"/>
        </w:rPr>
        <w:t>投标保函</w:t>
      </w:r>
    </w:p>
    <w:p w14:paraId="69BA2E35">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23</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基本开户银行情况</w:t>
      </w:r>
    </w:p>
    <w:p w14:paraId="3B25CF4E">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24</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业绩情况表</w:t>
      </w:r>
    </w:p>
    <w:p w14:paraId="7A258FB0">
      <w:pPr>
        <w:pStyle w:val="101"/>
        <w:numPr>
          <w:ilvl w:val="0"/>
          <w:numId w:val="0"/>
        </w:numPr>
        <w:tabs>
          <w:tab w:val="left" w:pos="567"/>
        </w:tabs>
        <w:topLinePunct w:val="0"/>
        <w:adjustRightInd w:val="0"/>
        <w:snapToGrid w:val="0"/>
        <w:spacing w:line="440" w:lineRule="exact"/>
        <w:ind w:left="425" w:leftChars="0" w:hanging="425" w:firstLineChars="0"/>
        <w:rPr>
          <w:rFonts w:hint="eastAsia" w:ascii="宋体" w:hAnsi="宋体" w:cs="宋体"/>
          <w:color w:val="auto"/>
          <w:szCs w:val="21"/>
        </w:rPr>
      </w:pPr>
      <w:r>
        <w:rPr>
          <w:rFonts w:hint="eastAsia" w:ascii="宋体" w:hAnsi="宋体" w:cs="宋体"/>
          <w:b w:val="0"/>
          <w:color w:val="auto"/>
          <w:kern w:val="2"/>
          <w:sz w:val="21"/>
          <w:szCs w:val="21"/>
          <w:lang w:val="en-US" w:eastAsia="zh-CN" w:bidi="ar-SA"/>
        </w:rPr>
        <w:t>25</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社会保险经办机构出具的投标人为职工缴纳社会保险的单位缴费信息记录</w:t>
      </w:r>
    </w:p>
    <w:p w14:paraId="57D312B8">
      <w:pPr>
        <w:pStyle w:val="101"/>
        <w:numPr>
          <w:ilvl w:val="0"/>
          <w:numId w:val="0"/>
        </w:numPr>
        <w:tabs>
          <w:tab w:val="left" w:pos="567"/>
        </w:tabs>
        <w:topLinePunct w:val="0"/>
        <w:adjustRightInd w:val="0"/>
        <w:snapToGrid w:val="0"/>
        <w:spacing w:line="440" w:lineRule="exact"/>
        <w:ind w:left="425" w:leftChars="0" w:hanging="425" w:firstLineChars="0"/>
        <w:rPr>
          <w:rFonts w:hint="eastAsia" w:ascii="宋体" w:hAnsi="宋体" w:cs="宋体"/>
          <w:color w:val="auto"/>
          <w:szCs w:val="21"/>
        </w:rPr>
      </w:pPr>
      <w:r>
        <w:rPr>
          <w:rFonts w:hint="eastAsia" w:ascii="宋体" w:hAnsi="宋体" w:cs="宋体"/>
          <w:b w:val="0"/>
          <w:color w:val="auto"/>
          <w:kern w:val="2"/>
          <w:sz w:val="21"/>
          <w:szCs w:val="21"/>
          <w:lang w:val="en-US" w:eastAsia="zh-CN" w:bidi="ar-SA"/>
        </w:rPr>
        <w:t>26</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知识产权不侵权承诺函</w:t>
      </w:r>
    </w:p>
    <w:p w14:paraId="60E76280">
      <w:pPr>
        <w:pStyle w:val="101"/>
        <w:numPr>
          <w:ilvl w:val="0"/>
          <w:numId w:val="0"/>
        </w:numPr>
        <w:tabs>
          <w:tab w:val="left" w:pos="567"/>
        </w:tabs>
        <w:topLinePunct w:val="0"/>
        <w:adjustRightInd w:val="0"/>
        <w:snapToGrid w:val="0"/>
        <w:spacing w:line="440" w:lineRule="exact"/>
        <w:ind w:left="425" w:leftChars="0" w:hanging="425" w:firstLineChars="0"/>
        <w:rPr>
          <w:rFonts w:hint="default" w:ascii="宋体" w:hAnsi="宋体" w:eastAsia="宋体" w:cs="宋体"/>
          <w:color w:val="auto"/>
          <w:szCs w:val="21"/>
          <w:lang w:val="en-US" w:eastAsia="zh-CN"/>
        </w:rPr>
      </w:pPr>
      <w:r>
        <w:rPr>
          <w:rFonts w:hint="eastAsia" w:ascii="宋体" w:hAnsi="宋体" w:cs="宋体"/>
          <w:color w:val="auto"/>
          <w:szCs w:val="21"/>
          <w:lang w:val="en-US" w:eastAsia="zh-CN"/>
        </w:rPr>
        <w:t>27.供应链数字化配合说明</w:t>
      </w:r>
    </w:p>
    <w:p w14:paraId="4FAF8D15">
      <w:pPr>
        <w:pStyle w:val="101"/>
        <w:tabs>
          <w:tab w:val="left" w:pos="567"/>
          <w:tab w:val="left" w:pos="795"/>
        </w:tabs>
        <w:adjustRightInd w:val="0"/>
        <w:snapToGrid w:val="0"/>
        <w:spacing w:line="440" w:lineRule="exact"/>
        <w:ind w:firstLine="0" w:firstLineChars="0"/>
        <w:jc w:val="left"/>
        <w:rPr>
          <w:rFonts w:ascii="宋体" w:hAnsi="宋体" w:cs="宋体"/>
          <w:b/>
          <w:color w:val="auto"/>
          <w:szCs w:val="21"/>
        </w:rPr>
      </w:pPr>
      <w:r>
        <w:rPr>
          <w:rFonts w:hint="eastAsia" w:ascii="宋体" w:hAnsi="宋体" w:cs="宋体"/>
          <w:b/>
          <w:color w:val="auto"/>
          <w:szCs w:val="21"/>
        </w:rPr>
        <w:t>第二分册 技术投标文件</w:t>
      </w:r>
    </w:p>
    <w:p w14:paraId="3DF8C292">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28</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技术投标文件封面</w:t>
      </w:r>
    </w:p>
    <w:p w14:paraId="01E2133B">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29</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技术</w:t>
      </w:r>
      <w:r>
        <w:rPr>
          <w:rFonts w:hint="eastAsia" w:ascii="宋体" w:hAnsi="宋体" w:cs="宋体"/>
          <w:color w:val="auto"/>
          <w:szCs w:val="21"/>
          <w:lang w:val="en-US" w:eastAsia="zh-CN"/>
        </w:rPr>
        <w:t>服务</w:t>
      </w:r>
      <w:r>
        <w:rPr>
          <w:rFonts w:hint="eastAsia" w:ascii="宋体" w:hAnsi="宋体" w:cs="宋体"/>
          <w:color w:val="auto"/>
          <w:szCs w:val="21"/>
        </w:rPr>
        <w:t>评审索引表</w:t>
      </w:r>
    </w:p>
    <w:p w14:paraId="1DAA4CCD">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30</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技术</w:t>
      </w:r>
      <w:r>
        <w:rPr>
          <w:rFonts w:hint="eastAsia" w:ascii="宋体" w:hAnsi="宋体" w:cs="宋体"/>
          <w:color w:val="auto"/>
          <w:szCs w:val="21"/>
          <w:lang w:val="en-US" w:eastAsia="zh-CN"/>
        </w:rPr>
        <w:t>规范书</w:t>
      </w:r>
      <w:r>
        <w:rPr>
          <w:rFonts w:hint="eastAsia" w:ascii="宋体" w:hAnsi="宋体" w:cs="宋体"/>
          <w:color w:val="auto"/>
          <w:szCs w:val="21"/>
        </w:rPr>
        <w:t>偏离表</w:t>
      </w:r>
    </w:p>
    <w:p w14:paraId="10208DEB">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31</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技术</w:t>
      </w:r>
      <w:r>
        <w:rPr>
          <w:rFonts w:hint="eastAsia" w:ascii="宋体" w:hAnsi="宋体" w:cs="宋体"/>
          <w:color w:val="auto"/>
          <w:szCs w:val="21"/>
          <w:lang w:val="en-US" w:eastAsia="zh-CN"/>
        </w:rPr>
        <w:t>规范书</w:t>
      </w:r>
      <w:r>
        <w:rPr>
          <w:rFonts w:hint="eastAsia" w:ascii="宋体" w:hAnsi="宋体" w:cs="宋体"/>
          <w:color w:val="auto"/>
          <w:szCs w:val="21"/>
        </w:rPr>
        <w:t>点对点应答</w:t>
      </w:r>
    </w:p>
    <w:p w14:paraId="2C6D660F">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32</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技术建议书</w:t>
      </w:r>
    </w:p>
    <w:p w14:paraId="1F13D77D">
      <w:pPr>
        <w:pStyle w:val="101"/>
        <w:numPr>
          <w:ilvl w:val="0"/>
          <w:numId w:val="0"/>
        </w:numPr>
        <w:tabs>
          <w:tab w:val="left" w:pos="567"/>
        </w:tabs>
        <w:topLinePunct w:val="0"/>
        <w:adjustRightInd w:val="0"/>
        <w:snapToGrid w:val="0"/>
        <w:spacing w:line="440" w:lineRule="exact"/>
        <w:ind w:left="425" w:leftChars="0" w:hanging="425" w:firstLineChars="0"/>
        <w:rPr>
          <w:rFonts w:hint="eastAsia" w:ascii="宋体" w:hAnsi="宋体" w:eastAsia="宋体" w:cs="宋体"/>
          <w:b w:val="0"/>
          <w:color w:val="auto"/>
          <w:kern w:val="2"/>
          <w:sz w:val="21"/>
          <w:szCs w:val="21"/>
          <w:lang w:val="en-US" w:eastAsia="zh-CN" w:bidi="ar-SA"/>
        </w:rPr>
      </w:pPr>
      <w:r>
        <w:rPr>
          <w:rFonts w:hint="eastAsia" w:ascii="宋体" w:hAnsi="宋体" w:cs="宋体"/>
          <w:b w:val="0"/>
          <w:color w:val="auto"/>
          <w:kern w:val="2"/>
          <w:sz w:val="21"/>
          <w:szCs w:val="21"/>
          <w:lang w:val="en-US" w:eastAsia="zh-CN" w:bidi="ar-SA"/>
        </w:rPr>
        <w:t>33</w:t>
      </w:r>
      <w:r>
        <w:rPr>
          <w:rFonts w:hint="eastAsia" w:ascii="宋体" w:hAnsi="宋体" w:eastAsia="宋体" w:cs="宋体"/>
          <w:b w:val="0"/>
          <w:color w:val="auto"/>
          <w:kern w:val="2"/>
          <w:sz w:val="21"/>
          <w:szCs w:val="21"/>
          <w:lang w:val="en-US" w:eastAsia="zh-CN" w:bidi="ar-SA"/>
        </w:rPr>
        <w:t>.技术规范书中明确要求投标人提供的其他相关文件</w:t>
      </w:r>
    </w:p>
    <w:p w14:paraId="6FBD7C12">
      <w:pPr>
        <w:pStyle w:val="101"/>
        <w:numPr>
          <w:ilvl w:val="0"/>
          <w:numId w:val="0"/>
        </w:numPr>
        <w:tabs>
          <w:tab w:val="left" w:pos="567"/>
        </w:tabs>
        <w:topLinePunct w:val="0"/>
        <w:adjustRightInd w:val="0"/>
        <w:snapToGrid w:val="0"/>
        <w:spacing w:line="440" w:lineRule="exact"/>
        <w:ind w:left="425" w:leftChars="0" w:hanging="425" w:firstLineChars="0"/>
        <w:rPr>
          <w:rFonts w:hint="default" w:ascii="宋体" w:hAnsi="宋体" w:eastAsia="宋体" w:cs="宋体"/>
          <w:color w:val="auto"/>
          <w:szCs w:val="21"/>
          <w:lang w:val="en-US" w:eastAsia="zh-CN"/>
        </w:rPr>
      </w:pPr>
      <w:r>
        <w:rPr>
          <w:rFonts w:hint="eastAsia" w:ascii="宋体" w:hAnsi="宋体" w:cs="宋体"/>
          <w:color w:val="auto"/>
          <w:szCs w:val="21"/>
          <w:lang w:val="en-US" w:eastAsia="zh-CN"/>
        </w:rPr>
        <w:t>34.外部组件软件成分信息清单模版</w:t>
      </w:r>
    </w:p>
    <w:p w14:paraId="42938FA5">
      <w:pPr>
        <w:pStyle w:val="101"/>
        <w:tabs>
          <w:tab w:val="left" w:pos="567"/>
          <w:tab w:val="left" w:pos="795"/>
        </w:tabs>
        <w:adjustRightInd w:val="0"/>
        <w:snapToGrid w:val="0"/>
        <w:spacing w:line="440" w:lineRule="exact"/>
        <w:ind w:firstLine="0" w:firstLineChars="0"/>
        <w:jc w:val="left"/>
        <w:rPr>
          <w:rFonts w:ascii="宋体" w:hAnsi="宋体" w:cs="宋体"/>
          <w:b/>
          <w:color w:val="auto"/>
          <w:szCs w:val="21"/>
        </w:rPr>
      </w:pPr>
      <w:r>
        <w:rPr>
          <w:rFonts w:hint="eastAsia" w:ascii="宋体" w:hAnsi="宋体" w:cs="宋体"/>
          <w:b/>
          <w:color w:val="auto"/>
          <w:szCs w:val="21"/>
        </w:rPr>
        <w:t>第三分册 报价文件</w:t>
      </w:r>
    </w:p>
    <w:p w14:paraId="2C43866E">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35</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报价文件封面</w:t>
      </w:r>
    </w:p>
    <w:p w14:paraId="59BAF6A9">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36</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投标一览表</w:t>
      </w:r>
    </w:p>
    <w:p w14:paraId="0FF10100">
      <w:pPr>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br w:type="page"/>
      </w:r>
    </w:p>
    <w:p w14:paraId="2D7E11D6">
      <w:pPr>
        <w:pStyle w:val="101"/>
        <w:widowControl w:val="0"/>
        <w:numPr>
          <w:ilvl w:val="0"/>
          <w:numId w:val="0"/>
        </w:numPr>
        <w:tabs>
          <w:tab w:val="left" w:pos="567"/>
        </w:tabs>
        <w:adjustRightInd w:val="0"/>
        <w:snapToGrid w:val="0"/>
        <w:spacing w:line="440" w:lineRule="exact"/>
        <w:jc w:val="both"/>
        <w:rPr>
          <w:rFonts w:cs="宋体" w:asciiTheme="minorEastAsia" w:hAnsiTheme="minorEastAsia" w:eastAsiaTheme="minorEastAsia"/>
          <w:color w:val="auto"/>
          <w:szCs w:val="21"/>
          <w:highlight w:val="none"/>
        </w:rPr>
        <w:sectPr>
          <w:pgSz w:w="11906" w:h="16838"/>
          <w:pgMar w:top="1440" w:right="1800" w:bottom="1440" w:left="1800" w:header="851" w:footer="992" w:gutter="0"/>
          <w:pgNumType w:fmt="decimal"/>
          <w:cols w:space="425" w:num="1"/>
          <w:docGrid w:type="lines" w:linePitch="312" w:charSpace="0"/>
        </w:sectPr>
      </w:pPr>
    </w:p>
    <w:p w14:paraId="64CF2C25">
      <w:pPr>
        <w:pStyle w:val="81"/>
        <w:tabs>
          <w:tab w:val="left" w:pos="588"/>
        </w:tabs>
        <w:snapToGrid w:val="0"/>
        <w:spacing w:before="120" w:after="120" w:line="440" w:lineRule="exact"/>
        <w:jc w:val="left"/>
        <w:rPr>
          <w:rFonts w:asciiTheme="minorEastAsia" w:hAnsiTheme="minorEastAsia" w:eastAsiaTheme="minorEastAsia"/>
          <w:color w:val="auto"/>
          <w:sz w:val="24"/>
          <w:szCs w:val="24"/>
          <w:highlight w:val="none"/>
        </w:rPr>
      </w:pPr>
      <w:bookmarkStart w:id="750" w:name="_Toc28678"/>
      <w:bookmarkStart w:id="751" w:name="_Toc2698"/>
      <w:bookmarkStart w:id="752" w:name="_Toc413"/>
      <w:bookmarkStart w:id="753" w:name="_Toc557"/>
      <w:bookmarkStart w:id="754" w:name="_Toc27352"/>
      <w:bookmarkStart w:id="755" w:name="_Toc6108"/>
      <w:bookmarkStart w:id="756" w:name="_Toc38008076"/>
      <w:bookmarkStart w:id="757" w:name="_Toc2450"/>
      <w:bookmarkStart w:id="758" w:name="_Toc30665"/>
      <w:bookmarkStart w:id="759" w:name="_Toc24914"/>
      <w:bookmarkStart w:id="760" w:name="_Toc28853"/>
      <w:bookmarkStart w:id="761" w:name="_Toc9220"/>
      <w:bookmarkStart w:id="762" w:name="_Toc475472670"/>
      <w:bookmarkStart w:id="763" w:name="_Hlk167299890"/>
      <w:bookmarkStart w:id="764" w:name="OLE_LINK10"/>
      <w:r>
        <w:rPr>
          <w:rFonts w:hint="eastAsia" w:asciiTheme="minorEastAsia" w:hAnsiTheme="minorEastAsia" w:eastAsiaTheme="minorEastAsia"/>
          <w:color w:val="auto"/>
          <w:sz w:val="24"/>
          <w:szCs w:val="24"/>
          <w:highlight w:val="none"/>
        </w:rPr>
        <w:t>第一分册 商务投标文件</w:t>
      </w:r>
      <w:bookmarkEnd w:id="750"/>
      <w:bookmarkEnd w:id="751"/>
      <w:bookmarkEnd w:id="752"/>
      <w:bookmarkEnd w:id="753"/>
      <w:bookmarkEnd w:id="754"/>
      <w:bookmarkEnd w:id="755"/>
      <w:bookmarkEnd w:id="756"/>
      <w:bookmarkEnd w:id="757"/>
      <w:bookmarkEnd w:id="758"/>
      <w:bookmarkEnd w:id="759"/>
      <w:bookmarkEnd w:id="760"/>
      <w:bookmarkEnd w:id="761"/>
    </w:p>
    <w:p w14:paraId="787B912E">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color w:val="auto"/>
          <w:sz w:val="24"/>
          <w:szCs w:val="24"/>
        </w:rPr>
      </w:pPr>
      <w:bookmarkStart w:id="765" w:name="_Toc31674"/>
      <w:bookmarkStart w:id="766" w:name="_Toc1269"/>
      <w:bookmarkStart w:id="767" w:name="_Toc1762"/>
      <w:bookmarkStart w:id="768" w:name="_Toc26294"/>
      <w:bookmarkStart w:id="769" w:name="_Toc30766"/>
      <w:bookmarkStart w:id="770" w:name="_Toc7542"/>
      <w:bookmarkStart w:id="771" w:name="_Toc28815"/>
      <w:bookmarkStart w:id="772" w:name="_Toc25443"/>
      <w:bookmarkStart w:id="773" w:name="_Toc18950"/>
      <w:bookmarkStart w:id="774" w:name="_Toc38008077"/>
      <w:bookmarkStart w:id="775" w:name="_Toc8583"/>
      <w:bookmarkStart w:id="776" w:name="_Toc19336"/>
      <w:r>
        <w:rPr>
          <w:rFonts w:hint="eastAsia" w:cs="Times New Roman" w:asciiTheme="minorEastAsia" w:hAnsiTheme="minorEastAsia" w:eastAsiaTheme="minorEastAsia"/>
          <w:b/>
          <w:bCs/>
          <w:color w:val="auto"/>
          <w:kern w:val="2"/>
          <w:sz w:val="24"/>
          <w:szCs w:val="24"/>
          <w:lang w:val="en-US" w:eastAsia="zh-CN" w:bidi="ar-SA"/>
        </w:rPr>
        <w:t>1.</w:t>
      </w:r>
      <w:r>
        <w:rPr>
          <w:rFonts w:hint="eastAsia" w:asciiTheme="minorEastAsia" w:hAnsiTheme="minorEastAsia" w:eastAsiaTheme="minorEastAsia"/>
          <w:color w:val="auto"/>
          <w:sz w:val="24"/>
          <w:szCs w:val="24"/>
        </w:rPr>
        <w:t>商务投标文件封面</w:t>
      </w:r>
      <w:bookmarkEnd w:id="762"/>
      <w:bookmarkEnd w:id="765"/>
      <w:bookmarkEnd w:id="766"/>
      <w:bookmarkEnd w:id="767"/>
      <w:bookmarkEnd w:id="768"/>
      <w:bookmarkEnd w:id="769"/>
      <w:bookmarkEnd w:id="770"/>
      <w:bookmarkEnd w:id="771"/>
      <w:bookmarkEnd w:id="772"/>
      <w:bookmarkEnd w:id="773"/>
      <w:bookmarkEnd w:id="774"/>
      <w:bookmarkEnd w:id="775"/>
      <w:bookmarkEnd w:id="776"/>
    </w:p>
    <w:bookmarkEnd w:id="763"/>
    <w:p w14:paraId="46E7B011">
      <w:pPr>
        <w:spacing w:after="120" w:line="360" w:lineRule="atLeast"/>
        <w:jc w:val="center"/>
        <w:rPr>
          <w:rFonts w:cs="宋体" w:asciiTheme="minorEastAsia" w:hAnsiTheme="minorEastAsia" w:eastAsiaTheme="minorEastAsia"/>
          <w:color w:val="auto"/>
          <w:sz w:val="32"/>
          <w:szCs w:val="32"/>
          <w:highlight w:val="none"/>
          <w:u w:val="single"/>
        </w:rPr>
      </w:pPr>
    </w:p>
    <w:p w14:paraId="4D2A5F8B">
      <w:pPr>
        <w:spacing w:after="120" w:line="360" w:lineRule="atLeast"/>
        <w:jc w:val="center"/>
        <w:rPr>
          <w:rFonts w:hint="eastAsia" w:ascii="宋体" w:hAnsi="宋体"/>
          <w:color w:val="auto"/>
          <w:sz w:val="28"/>
          <w:szCs w:val="28"/>
        </w:rPr>
      </w:pPr>
    </w:p>
    <w:p w14:paraId="7E87F915">
      <w:pPr>
        <w:spacing w:after="120" w:line="360" w:lineRule="atLeast"/>
        <w:jc w:val="center"/>
        <w:rPr>
          <w:rFonts w:hint="eastAsia" w:ascii="宋体" w:hAnsi="宋体"/>
          <w:color w:val="auto"/>
          <w:sz w:val="28"/>
          <w:szCs w:val="28"/>
        </w:rPr>
      </w:pPr>
    </w:p>
    <w:p w14:paraId="305CB3E0">
      <w:pPr>
        <w:spacing w:after="120" w:line="360" w:lineRule="atLeast"/>
        <w:jc w:val="center"/>
        <w:rPr>
          <w:rFonts w:cs="宋体" w:asciiTheme="minorEastAsia" w:hAnsiTheme="minorEastAsia" w:eastAsiaTheme="minorEastAsia"/>
          <w:color w:val="auto"/>
          <w:sz w:val="32"/>
          <w:szCs w:val="32"/>
          <w:highlight w:val="none"/>
          <w:u w:val="single"/>
        </w:rPr>
      </w:pPr>
      <w:r>
        <w:rPr>
          <w:rFonts w:hint="eastAsia" w:ascii="宋体" w:hAnsi="宋体"/>
          <w:color w:val="auto"/>
          <w:sz w:val="28"/>
          <w:szCs w:val="28"/>
        </w:rPr>
        <w:t>（项目名称）</w:t>
      </w:r>
    </w:p>
    <w:p w14:paraId="0540FB67">
      <w:pPr>
        <w:jc w:val="center"/>
        <w:rPr>
          <w:rFonts w:cs="宋体" w:asciiTheme="minorEastAsia" w:hAnsiTheme="minorEastAsia" w:eastAsiaTheme="minorEastAsia"/>
          <w:color w:val="auto"/>
          <w:szCs w:val="21"/>
          <w:highlight w:val="none"/>
        </w:rPr>
      </w:pPr>
    </w:p>
    <w:p w14:paraId="58CC92C8">
      <w:pPr>
        <w:spacing w:after="120"/>
        <w:jc w:val="center"/>
        <w:rPr>
          <w:rFonts w:hint="eastAsia" w:cs="宋体" w:asciiTheme="minorEastAsia" w:hAnsiTheme="minorEastAsia" w:eastAsiaTheme="minorEastAsia"/>
          <w:b/>
          <w:color w:val="auto"/>
          <w:sz w:val="36"/>
          <w:szCs w:val="36"/>
          <w:highlight w:val="none"/>
        </w:rPr>
      </w:pPr>
    </w:p>
    <w:p w14:paraId="43B1118F">
      <w:pPr>
        <w:spacing w:after="120"/>
        <w:jc w:val="center"/>
        <w:rPr>
          <w:rFonts w:hint="eastAsia" w:cs="宋体" w:asciiTheme="minorEastAsia" w:hAnsiTheme="minorEastAsia" w:eastAsiaTheme="minorEastAsia"/>
          <w:b/>
          <w:color w:val="auto"/>
          <w:sz w:val="36"/>
          <w:szCs w:val="36"/>
          <w:highlight w:val="none"/>
        </w:rPr>
      </w:pPr>
    </w:p>
    <w:p w14:paraId="70E1509B">
      <w:pPr>
        <w:spacing w:after="120"/>
        <w:jc w:val="center"/>
        <w:rPr>
          <w:rFonts w:hint="eastAsia" w:cs="宋体" w:asciiTheme="minorEastAsia" w:hAnsiTheme="minorEastAsia" w:eastAsiaTheme="minorEastAsia"/>
          <w:b/>
          <w:color w:val="auto"/>
          <w:sz w:val="36"/>
          <w:szCs w:val="36"/>
          <w:highlight w:val="none"/>
        </w:rPr>
      </w:pPr>
    </w:p>
    <w:p w14:paraId="54284961">
      <w:pPr>
        <w:spacing w:after="120"/>
        <w:jc w:val="center"/>
        <w:rPr>
          <w:rFonts w:cs="宋体" w:asciiTheme="minorEastAsia" w:hAnsiTheme="minorEastAsia" w:eastAsiaTheme="minorEastAsia"/>
          <w:b/>
          <w:color w:val="auto"/>
          <w:sz w:val="36"/>
          <w:szCs w:val="36"/>
          <w:highlight w:val="none"/>
        </w:rPr>
      </w:pPr>
      <w:r>
        <w:rPr>
          <w:rFonts w:hint="eastAsia" w:cs="宋体" w:asciiTheme="minorEastAsia" w:hAnsiTheme="minorEastAsia" w:eastAsiaTheme="minorEastAsia"/>
          <w:b/>
          <w:color w:val="auto"/>
          <w:sz w:val="36"/>
          <w:szCs w:val="36"/>
          <w:highlight w:val="none"/>
        </w:rPr>
        <w:t>投标文件【商务投标文件】部分</w:t>
      </w:r>
    </w:p>
    <w:p w14:paraId="168E03C9">
      <w:pPr>
        <w:spacing w:after="120"/>
        <w:jc w:val="center"/>
        <w:rPr>
          <w:rFonts w:cs="宋体" w:asciiTheme="minorEastAsia" w:hAnsiTheme="minorEastAsia" w:eastAsiaTheme="minorEastAsia"/>
          <w:b/>
          <w:color w:val="auto"/>
          <w:sz w:val="32"/>
          <w:szCs w:val="32"/>
          <w:highlight w:val="none"/>
        </w:rPr>
      </w:pPr>
    </w:p>
    <w:p w14:paraId="23382783">
      <w:pPr>
        <w:spacing w:after="120"/>
        <w:jc w:val="center"/>
        <w:rPr>
          <w:rFonts w:cs="宋体" w:asciiTheme="minorEastAsia" w:hAnsiTheme="minorEastAsia" w:eastAsiaTheme="minorEastAsia"/>
          <w:b/>
          <w:color w:val="auto"/>
          <w:sz w:val="32"/>
          <w:szCs w:val="32"/>
          <w:highlight w:val="none"/>
        </w:rPr>
      </w:pPr>
    </w:p>
    <w:p w14:paraId="2555E742">
      <w:pPr>
        <w:spacing w:after="120"/>
        <w:jc w:val="both"/>
        <w:rPr>
          <w:rFonts w:cs="宋体" w:asciiTheme="minorEastAsia" w:hAnsiTheme="minorEastAsia" w:eastAsiaTheme="minorEastAsia"/>
          <w:b/>
          <w:color w:val="auto"/>
          <w:sz w:val="32"/>
          <w:szCs w:val="32"/>
          <w:highlight w:val="none"/>
        </w:rPr>
      </w:pPr>
    </w:p>
    <w:p w14:paraId="6BA96620">
      <w:pPr>
        <w:spacing w:after="120"/>
        <w:jc w:val="center"/>
        <w:rPr>
          <w:rFonts w:cs="宋体" w:asciiTheme="minorEastAsia" w:hAnsiTheme="minorEastAsia" w:eastAsiaTheme="minorEastAsia"/>
          <w:b/>
          <w:color w:val="auto"/>
          <w:sz w:val="32"/>
          <w:szCs w:val="32"/>
          <w:highlight w:val="none"/>
        </w:rPr>
      </w:pPr>
    </w:p>
    <w:p w14:paraId="494F535E">
      <w:pPr>
        <w:spacing w:after="120"/>
        <w:jc w:val="center"/>
        <w:rPr>
          <w:rFonts w:cs="宋体" w:asciiTheme="minorEastAsia" w:hAnsiTheme="minorEastAsia" w:eastAsiaTheme="minorEastAsia"/>
          <w:b/>
          <w:color w:val="auto"/>
          <w:sz w:val="32"/>
          <w:szCs w:val="32"/>
          <w:highlight w:val="none"/>
        </w:rPr>
      </w:pPr>
    </w:p>
    <w:p w14:paraId="2A6047E6">
      <w:pPr>
        <w:spacing w:line="440" w:lineRule="exact"/>
        <w:ind w:firstLine="566" w:firstLineChars="236"/>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投标人名称：</w:t>
      </w:r>
      <w:r>
        <w:rPr>
          <w:rFonts w:hint="eastAsia" w:asciiTheme="minorEastAsia" w:hAnsiTheme="minorEastAsia" w:eastAsiaTheme="minorEastAsia"/>
          <w:color w:val="auto"/>
          <w:sz w:val="24"/>
          <w:szCs w:val="21"/>
          <w:highlight w:val="none"/>
          <w:u w:val="single"/>
        </w:rPr>
        <w:t xml:space="preserve">　　　　　　　　                 </w:t>
      </w:r>
    </w:p>
    <w:p w14:paraId="260D2749">
      <w:pPr>
        <w:adjustRightInd w:val="0"/>
        <w:snapToGrid w:val="0"/>
        <w:spacing w:line="440" w:lineRule="exact"/>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u w:val="single"/>
        </w:rPr>
        <w:t xml:space="preserve">_    __ </w:t>
      </w:r>
      <w:r>
        <w:rPr>
          <w:rFonts w:hint="eastAsia" w:cs="宋体" w:asciiTheme="minorEastAsia" w:hAnsiTheme="minorEastAsia" w:eastAsiaTheme="minorEastAsia"/>
          <w:color w:val="auto"/>
          <w:sz w:val="24"/>
          <w:highlight w:val="none"/>
        </w:rPr>
        <w:t>年</w:t>
      </w:r>
      <w:r>
        <w:rPr>
          <w:rFonts w:cs="宋体" w:asciiTheme="minorEastAsia" w:hAnsiTheme="minorEastAsia" w:eastAsiaTheme="minorEastAsia"/>
          <w:color w:val="auto"/>
          <w:sz w:val="24"/>
          <w:highlight w:val="none"/>
          <w:u w:val="single"/>
        </w:rPr>
        <w:t>_    __</w:t>
      </w:r>
      <w:r>
        <w:rPr>
          <w:rFonts w:hint="eastAsia" w:cs="宋体" w:asciiTheme="minorEastAsia" w:hAnsiTheme="minorEastAsia" w:eastAsiaTheme="minorEastAsia"/>
          <w:color w:val="auto"/>
          <w:sz w:val="24"/>
          <w:highlight w:val="none"/>
        </w:rPr>
        <w:t>月</w:t>
      </w:r>
      <w:r>
        <w:rPr>
          <w:rFonts w:cs="宋体" w:asciiTheme="minorEastAsia" w:hAnsiTheme="minorEastAsia" w:eastAsiaTheme="minorEastAsia"/>
          <w:color w:val="auto"/>
          <w:sz w:val="24"/>
          <w:highlight w:val="none"/>
          <w:u w:val="single"/>
        </w:rPr>
        <w:t>_    __</w:t>
      </w:r>
      <w:r>
        <w:rPr>
          <w:rFonts w:hint="eastAsia" w:cs="宋体" w:asciiTheme="minorEastAsia" w:hAnsiTheme="minorEastAsia" w:eastAsiaTheme="minorEastAsia"/>
          <w:color w:val="auto"/>
          <w:sz w:val="24"/>
          <w:highlight w:val="none"/>
        </w:rPr>
        <w:t>日</w:t>
      </w:r>
    </w:p>
    <w:p w14:paraId="324F2E3A">
      <w:pPr>
        <w:adjustRightInd w:val="0"/>
        <w:snapToGrid w:val="0"/>
        <w:spacing w:line="440" w:lineRule="exact"/>
        <w:jc w:val="center"/>
        <w:rPr>
          <w:rFonts w:cs="宋体" w:asciiTheme="minorEastAsia" w:hAnsiTheme="minorEastAsia" w:eastAsiaTheme="minorEastAsia"/>
          <w:color w:val="auto"/>
          <w:sz w:val="24"/>
          <w:highlight w:val="none"/>
        </w:rPr>
      </w:pPr>
    </w:p>
    <w:p w14:paraId="2F628DED">
      <w:pPr>
        <w:adjustRightInd w:val="0"/>
        <w:snapToGrid w:val="0"/>
        <w:spacing w:line="440" w:lineRule="exact"/>
        <w:jc w:val="center"/>
        <w:rPr>
          <w:rFonts w:cs="宋体" w:asciiTheme="minorEastAsia" w:hAnsiTheme="minorEastAsia" w:eastAsiaTheme="minorEastAsia"/>
          <w:color w:val="auto"/>
          <w:highlight w:val="none"/>
        </w:rPr>
      </w:pPr>
    </w:p>
    <w:p w14:paraId="42EC26AD">
      <w:pPr>
        <w:topLinePunct/>
        <w:spacing w:line="440" w:lineRule="exact"/>
        <w:jc w:val="left"/>
        <w:rPr>
          <w:rFonts w:hint="eastAsia" w:asciiTheme="minorEastAsia" w:hAnsiTheme="minorEastAsia" w:eastAsiaTheme="minorEastAsia"/>
          <w:b/>
          <w:color w:val="auto"/>
          <w:highlight w:val="none"/>
          <w:lang w:eastAsia="zh-CN"/>
        </w:rPr>
      </w:pPr>
      <w:r>
        <w:rPr>
          <w:rFonts w:hint="eastAsia" w:asciiTheme="minorEastAsia" w:hAnsiTheme="minorEastAsia" w:eastAsiaTheme="minorEastAsia"/>
          <w:b/>
          <w:color w:val="auto"/>
          <w:highlight w:val="none"/>
          <w:lang w:eastAsia="zh-CN"/>
        </w:rPr>
        <w:t>编制要求：投标人可以根据实际情况对本文件进行调整和修改，但应满足集中招标文件对本文件的要求。</w:t>
      </w:r>
    </w:p>
    <w:p w14:paraId="590976D9">
      <w:pPr>
        <w:topLinePunct/>
        <w:spacing w:line="440" w:lineRule="exact"/>
        <w:jc w:val="left"/>
        <w:rPr>
          <w:rFonts w:hint="eastAsia" w:asciiTheme="minorEastAsia" w:hAnsiTheme="minorEastAsia" w:eastAsiaTheme="minorEastAsia"/>
          <w:b/>
          <w:color w:val="auto"/>
          <w:highlight w:val="none"/>
          <w:lang w:eastAsia="zh-CN"/>
        </w:rPr>
        <w:sectPr>
          <w:pgSz w:w="11906" w:h="16838"/>
          <w:pgMar w:top="1440" w:right="1800" w:bottom="1440" w:left="1800" w:header="851" w:footer="992" w:gutter="0"/>
          <w:pgNumType w:fmt="decimal"/>
          <w:cols w:space="425" w:num="1"/>
          <w:docGrid w:type="lines" w:linePitch="312" w:charSpace="0"/>
        </w:sectPr>
      </w:pPr>
    </w:p>
    <w:p w14:paraId="43931526">
      <w:pPr>
        <w:pStyle w:val="81"/>
        <w:numPr>
          <w:ilvl w:val="0"/>
          <w:numId w:val="0"/>
        </w:numPr>
        <w:tabs>
          <w:tab w:val="left" w:pos="588"/>
        </w:tabs>
        <w:snapToGrid w:val="0"/>
        <w:spacing w:before="120" w:after="120" w:line="440" w:lineRule="exact"/>
        <w:ind w:left="635" w:leftChars="0" w:hanging="425" w:firstLineChars="0"/>
        <w:jc w:val="left"/>
        <w:rPr>
          <w:rFonts w:asciiTheme="minorEastAsia" w:hAnsiTheme="minorEastAsia" w:eastAsiaTheme="minorEastAsia"/>
          <w:sz w:val="24"/>
          <w:szCs w:val="24"/>
          <w:highlight w:val="none"/>
        </w:rPr>
      </w:pPr>
      <w:bookmarkStart w:id="777" w:name="_Toc2183"/>
      <w:bookmarkStart w:id="778" w:name="_Toc15964"/>
      <w:bookmarkStart w:id="779" w:name="_Toc20065"/>
      <w:bookmarkStart w:id="780" w:name="_Toc7009"/>
      <w:bookmarkStart w:id="781" w:name="_Toc1935"/>
      <w:bookmarkStart w:id="782" w:name="_Toc24778"/>
      <w:bookmarkStart w:id="783" w:name="_Toc19253"/>
      <w:bookmarkStart w:id="784" w:name="_Toc27223"/>
      <w:bookmarkStart w:id="785" w:name="_Toc31474"/>
      <w:bookmarkStart w:id="786" w:name="_Toc26031"/>
      <w:bookmarkStart w:id="787" w:name="_Toc30211"/>
      <w:bookmarkStart w:id="788" w:name="_Hlk167299897"/>
      <w:bookmarkStart w:id="789" w:name="_Toc475472671"/>
      <w:bookmarkStart w:id="790" w:name="_Toc38008078"/>
      <w:bookmarkStart w:id="791" w:name="_Toc438052118"/>
      <w:bookmarkStart w:id="792" w:name="_Toc447265603"/>
      <w:bookmarkStart w:id="793" w:name="_Toc447265317"/>
      <w:r>
        <w:rPr>
          <w:rFonts w:hint="eastAsia" w:cs="Times New Roman" w:asciiTheme="minorEastAsia" w:hAnsiTheme="minorEastAsia" w:eastAsiaTheme="minorEastAsia"/>
          <w:b/>
          <w:bCs/>
          <w:kern w:val="2"/>
          <w:sz w:val="24"/>
          <w:szCs w:val="24"/>
          <w:lang w:val="en-US" w:eastAsia="zh-CN" w:bidi="ar-SA"/>
        </w:rPr>
        <w:t>2.</w:t>
      </w:r>
      <w:r>
        <w:rPr>
          <w:rFonts w:hint="eastAsia" w:asciiTheme="minorEastAsia" w:hAnsiTheme="minorEastAsia" w:eastAsiaTheme="minorEastAsia"/>
          <w:sz w:val="24"/>
          <w:szCs w:val="24"/>
          <w:highlight w:val="none"/>
        </w:rPr>
        <w:t>初步评审索引表</w:t>
      </w:r>
      <w:bookmarkEnd w:id="777"/>
      <w:bookmarkEnd w:id="778"/>
      <w:bookmarkEnd w:id="779"/>
      <w:bookmarkEnd w:id="780"/>
      <w:bookmarkEnd w:id="781"/>
      <w:bookmarkEnd w:id="782"/>
      <w:bookmarkEnd w:id="783"/>
      <w:bookmarkEnd w:id="784"/>
      <w:bookmarkEnd w:id="785"/>
      <w:bookmarkEnd w:id="786"/>
      <w:bookmarkEnd w:id="787"/>
    </w:p>
    <w:bookmarkEnd w:id="788"/>
    <w:p w14:paraId="798FD189">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初步评审索引表</w:t>
      </w:r>
    </w:p>
    <w:p w14:paraId="33446982">
      <w:pPr>
        <w:jc w:val="center"/>
        <w:rPr>
          <w:rFonts w:asciiTheme="minorEastAsia" w:hAnsiTheme="minorEastAsia" w:eastAsiaTheme="minorEastAsia"/>
          <w:b/>
          <w:highlight w:val="none"/>
        </w:rPr>
      </w:pPr>
    </w:p>
    <w:p w14:paraId="12ACFFDD">
      <w:pPr>
        <w:jc w:val="left"/>
        <w:rPr>
          <w:rFonts w:asciiTheme="minorEastAsia" w:hAnsiTheme="minorEastAsia" w:eastAsiaTheme="minorEastAsia"/>
          <w:b/>
          <w:highlight w:val="none"/>
        </w:rPr>
      </w:pPr>
    </w:p>
    <w:tbl>
      <w:tblPr>
        <w:tblStyle w:val="85"/>
        <w:tblW w:w="8397"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2551"/>
        <w:gridCol w:w="1985"/>
        <w:gridCol w:w="1275"/>
        <w:gridCol w:w="1560"/>
      </w:tblGrid>
      <w:tr w14:paraId="41CF3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0C335DB8">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条款号</w:t>
            </w:r>
          </w:p>
        </w:tc>
        <w:tc>
          <w:tcPr>
            <w:tcW w:w="2551" w:type="dxa"/>
            <w:vAlign w:val="center"/>
          </w:tcPr>
          <w:p w14:paraId="250600A2">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评审因素</w:t>
            </w:r>
          </w:p>
        </w:tc>
        <w:tc>
          <w:tcPr>
            <w:tcW w:w="1985" w:type="dxa"/>
            <w:vAlign w:val="center"/>
          </w:tcPr>
          <w:p w14:paraId="5A961E20">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投标文件组成</w:t>
            </w:r>
          </w:p>
        </w:tc>
        <w:tc>
          <w:tcPr>
            <w:tcW w:w="1275" w:type="dxa"/>
            <w:vAlign w:val="center"/>
          </w:tcPr>
          <w:p w14:paraId="7253C48F">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对应页码</w:t>
            </w:r>
          </w:p>
        </w:tc>
        <w:tc>
          <w:tcPr>
            <w:tcW w:w="1560" w:type="dxa"/>
            <w:vAlign w:val="center"/>
          </w:tcPr>
          <w:p w14:paraId="0F3EA0FF">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备注或者说明</w:t>
            </w:r>
          </w:p>
        </w:tc>
      </w:tr>
      <w:tr w14:paraId="0C69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62F81694">
            <w:pPr>
              <w:tabs>
                <w:tab w:val="left" w:pos="720"/>
              </w:tabs>
              <w:spacing w:line="360" w:lineRule="auto"/>
              <w:ind w:left="-2" w:firstLine="1"/>
              <w:jc w:val="center"/>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1</w:t>
            </w:r>
          </w:p>
        </w:tc>
        <w:tc>
          <w:tcPr>
            <w:tcW w:w="2551" w:type="dxa"/>
            <w:vAlign w:val="center"/>
          </w:tcPr>
          <w:p w14:paraId="041D0E1F">
            <w:pPr>
              <w:tabs>
                <w:tab w:val="left" w:pos="720"/>
              </w:tabs>
              <w:spacing w:line="360" w:lineRule="auto"/>
              <w:ind w:left="-2" w:firstLine="1"/>
              <w:jc w:val="center"/>
              <w:rPr>
                <w:rFonts w:asciiTheme="minorEastAsia" w:hAnsiTheme="minorEastAsia" w:eastAsiaTheme="minorEastAsia"/>
                <w:szCs w:val="21"/>
                <w:highlight w:val="none"/>
              </w:rPr>
            </w:pPr>
            <w:r>
              <w:rPr>
                <w:rFonts w:hint="eastAsia" w:ascii="宋体" w:hAnsi="宋体" w:cs="宋体"/>
                <w:color w:val="000000" w:themeColor="text1"/>
                <w:kern w:val="0"/>
                <w:szCs w:val="21"/>
                <w:highlight w:val="none"/>
                <w14:textFill>
                  <w14:solidFill>
                    <w14:schemeClr w14:val="tx1"/>
                  </w14:solidFill>
                </w14:textFill>
              </w:rPr>
              <w:t>投标人名称</w:t>
            </w:r>
          </w:p>
        </w:tc>
        <w:tc>
          <w:tcPr>
            <w:tcW w:w="1985" w:type="dxa"/>
          </w:tcPr>
          <w:p w14:paraId="72B74D12">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601C21B8">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1171F70D">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445A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3F9CBD5B">
            <w:pPr>
              <w:tabs>
                <w:tab w:val="left" w:pos="720"/>
              </w:tabs>
              <w:spacing w:line="360" w:lineRule="auto"/>
              <w:jc w:val="center"/>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2</w:t>
            </w:r>
          </w:p>
        </w:tc>
        <w:tc>
          <w:tcPr>
            <w:tcW w:w="2551" w:type="dxa"/>
            <w:vAlign w:val="center"/>
          </w:tcPr>
          <w:p w14:paraId="171259D1">
            <w:pPr>
              <w:tabs>
                <w:tab w:val="left" w:pos="720"/>
              </w:tabs>
              <w:spacing w:line="360" w:lineRule="auto"/>
              <w:jc w:val="center"/>
              <w:rPr>
                <w:rFonts w:asciiTheme="minorEastAsia" w:hAnsiTheme="minorEastAsia" w:eastAsiaTheme="minorEastAsia"/>
                <w:szCs w:val="21"/>
                <w:highlight w:val="none"/>
              </w:rPr>
            </w:pPr>
            <w:r>
              <w:rPr>
                <w:rFonts w:hint="eastAsia" w:ascii="宋体" w:hAnsi="宋体" w:cs="宋体"/>
                <w:color w:val="000000" w:themeColor="text1"/>
                <w:kern w:val="0"/>
                <w:szCs w:val="21"/>
                <w:highlight w:val="none"/>
                <w14:textFill>
                  <w14:solidFill>
                    <w14:schemeClr w14:val="tx1"/>
                  </w14:solidFill>
                </w14:textFill>
              </w:rPr>
              <w:t>投标函</w:t>
            </w:r>
          </w:p>
        </w:tc>
        <w:tc>
          <w:tcPr>
            <w:tcW w:w="1985" w:type="dxa"/>
          </w:tcPr>
          <w:p w14:paraId="4FED0B1D">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1046F40A">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74076376">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6EE7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75D6C425">
            <w:pPr>
              <w:tabs>
                <w:tab w:val="left" w:pos="720"/>
              </w:tabs>
              <w:spacing w:line="360" w:lineRule="auto"/>
              <w:jc w:val="center"/>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3</w:t>
            </w:r>
          </w:p>
        </w:tc>
        <w:tc>
          <w:tcPr>
            <w:tcW w:w="2551" w:type="dxa"/>
            <w:vAlign w:val="center"/>
          </w:tcPr>
          <w:p w14:paraId="2EB62933">
            <w:pPr>
              <w:tabs>
                <w:tab w:val="left" w:pos="720"/>
              </w:tabs>
              <w:spacing w:line="360" w:lineRule="auto"/>
              <w:jc w:val="center"/>
              <w:rPr>
                <w:rFonts w:asciiTheme="minorEastAsia" w:hAnsiTheme="minorEastAsia" w:eastAsiaTheme="minorEastAsia"/>
                <w:szCs w:val="21"/>
                <w:highlight w:val="none"/>
              </w:rPr>
            </w:pPr>
            <w:r>
              <w:rPr>
                <w:rFonts w:hint="eastAsia" w:ascii="宋体" w:hAnsi="宋体" w:cs="宋体"/>
                <w:color w:val="000000" w:themeColor="text1"/>
                <w:kern w:val="0"/>
                <w:szCs w:val="21"/>
                <w:highlight w:val="none"/>
                <w14:textFill>
                  <w14:solidFill>
                    <w14:schemeClr w14:val="tx1"/>
                  </w14:solidFill>
                </w14:textFill>
              </w:rPr>
              <w:t>营业执照和资质证书</w:t>
            </w:r>
          </w:p>
        </w:tc>
        <w:tc>
          <w:tcPr>
            <w:tcW w:w="1985" w:type="dxa"/>
          </w:tcPr>
          <w:p w14:paraId="14B998F1">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2DE40510">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6F589208">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03C3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687D6239">
            <w:pPr>
              <w:tabs>
                <w:tab w:val="left" w:pos="720"/>
              </w:tabs>
              <w:spacing w:line="360" w:lineRule="auto"/>
              <w:jc w:val="center"/>
              <w:rPr>
                <w:rFonts w:asciiTheme="minorEastAsia" w:hAnsiTheme="minorEastAsia" w:eastAsiaTheme="minorEastAsia"/>
                <w:szCs w:val="21"/>
                <w:highlight w:val="none"/>
              </w:rPr>
            </w:pPr>
            <w:r>
              <w:rPr>
                <w:rFonts w:ascii="宋体" w:hAnsi="宋体"/>
                <w:color w:val="000000" w:themeColor="text1"/>
                <w:szCs w:val="21"/>
                <w:highlight w:val="none"/>
                <w14:textFill>
                  <w14:solidFill>
                    <w14:schemeClr w14:val="tx1"/>
                  </w14:solidFill>
                </w14:textFill>
              </w:rPr>
              <w:t>4</w:t>
            </w:r>
          </w:p>
        </w:tc>
        <w:tc>
          <w:tcPr>
            <w:tcW w:w="2551" w:type="dxa"/>
            <w:vAlign w:val="center"/>
          </w:tcPr>
          <w:p w14:paraId="1566DAB8">
            <w:pPr>
              <w:tabs>
                <w:tab w:val="left" w:pos="720"/>
              </w:tabs>
              <w:spacing w:line="360" w:lineRule="auto"/>
              <w:jc w:val="center"/>
              <w:rPr>
                <w:rFonts w:asciiTheme="minorEastAsia" w:hAnsiTheme="minorEastAsia" w:eastAsiaTheme="minorEastAsia"/>
                <w:szCs w:val="21"/>
                <w:highlight w:val="none"/>
              </w:rPr>
            </w:pPr>
            <w:r>
              <w:rPr>
                <w:rFonts w:hint="eastAsia" w:ascii="宋体" w:hAnsi="宋体" w:cs="宋体"/>
                <w:color w:val="000000" w:themeColor="text1"/>
                <w:kern w:val="0"/>
                <w:szCs w:val="21"/>
                <w:highlight w:val="none"/>
                <w14:textFill>
                  <w14:solidFill>
                    <w14:schemeClr w14:val="tx1"/>
                  </w14:solidFill>
                </w14:textFill>
              </w:rPr>
              <w:t>投标文件签字盖章</w:t>
            </w:r>
          </w:p>
        </w:tc>
        <w:tc>
          <w:tcPr>
            <w:tcW w:w="1985" w:type="dxa"/>
          </w:tcPr>
          <w:p w14:paraId="674F8BE0">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44496793">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01041CF8">
            <w:pPr>
              <w:tabs>
                <w:tab w:val="left" w:pos="720"/>
              </w:tabs>
              <w:spacing w:line="360" w:lineRule="auto"/>
              <w:jc w:val="center"/>
              <w:rPr>
                <w:rFonts w:asciiTheme="minorEastAsia" w:hAnsiTheme="minorEastAsia" w:eastAsiaTheme="minorEastAsia"/>
                <w:szCs w:val="21"/>
                <w:highlight w:val="none"/>
              </w:rPr>
            </w:pPr>
          </w:p>
        </w:tc>
      </w:tr>
      <w:tr w14:paraId="348B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328D42CE">
            <w:pPr>
              <w:tabs>
                <w:tab w:val="left" w:pos="720"/>
              </w:tabs>
              <w:spacing w:line="360" w:lineRule="auto"/>
              <w:jc w:val="center"/>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5</w:t>
            </w:r>
          </w:p>
        </w:tc>
        <w:tc>
          <w:tcPr>
            <w:tcW w:w="2551" w:type="dxa"/>
            <w:vAlign w:val="center"/>
          </w:tcPr>
          <w:p w14:paraId="02D82442">
            <w:pPr>
              <w:tabs>
                <w:tab w:val="left" w:pos="720"/>
              </w:tabs>
              <w:spacing w:line="360" w:lineRule="auto"/>
              <w:jc w:val="center"/>
              <w:rPr>
                <w:rFonts w:asciiTheme="minorEastAsia" w:hAnsiTheme="minorEastAsia" w:eastAsiaTheme="minorEastAsia"/>
                <w:szCs w:val="21"/>
                <w:highlight w:val="none"/>
              </w:rPr>
            </w:pPr>
            <w:r>
              <w:rPr>
                <w:rFonts w:hint="eastAsia" w:ascii="宋体" w:hAnsi="宋体" w:cs="宋体"/>
                <w:color w:val="000000" w:themeColor="text1"/>
                <w:kern w:val="0"/>
                <w:szCs w:val="21"/>
                <w:highlight w:val="none"/>
                <w14:textFill>
                  <w14:solidFill>
                    <w14:schemeClr w14:val="tx1"/>
                  </w14:solidFill>
                </w14:textFill>
              </w:rPr>
              <w:t>法定代表人/负责人授权书</w:t>
            </w:r>
          </w:p>
        </w:tc>
        <w:tc>
          <w:tcPr>
            <w:tcW w:w="1985" w:type="dxa"/>
          </w:tcPr>
          <w:p w14:paraId="569BAC41">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408C8338">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7A8A5DCC">
            <w:pPr>
              <w:tabs>
                <w:tab w:val="left" w:pos="720"/>
              </w:tabs>
              <w:spacing w:line="360" w:lineRule="auto"/>
              <w:jc w:val="center"/>
              <w:rPr>
                <w:rFonts w:asciiTheme="minorEastAsia" w:hAnsiTheme="minorEastAsia" w:eastAsiaTheme="minorEastAsia"/>
                <w:szCs w:val="21"/>
                <w:highlight w:val="none"/>
              </w:rPr>
            </w:pPr>
          </w:p>
        </w:tc>
      </w:tr>
      <w:tr w14:paraId="667A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3D26F8C2">
            <w:pPr>
              <w:tabs>
                <w:tab w:val="left" w:pos="720"/>
              </w:tabs>
              <w:spacing w:line="360" w:lineRule="auto"/>
              <w:jc w:val="center"/>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6</w:t>
            </w:r>
          </w:p>
        </w:tc>
        <w:tc>
          <w:tcPr>
            <w:tcW w:w="2551" w:type="dxa"/>
            <w:vAlign w:val="center"/>
          </w:tcPr>
          <w:p w14:paraId="0E95ED8C">
            <w:pPr>
              <w:tabs>
                <w:tab w:val="left" w:pos="720"/>
              </w:tabs>
              <w:spacing w:line="360" w:lineRule="auto"/>
              <w:jc w:val="center"/>
              <w:rPr>
                <w:rFonts w:asciiTheme="minorEastAsia" w:hAnsiTheme="minorEastAsia" w:eastAsiaTheme="minorEastAsia"/>
                <w:szCs w:val="21"/>
                <w:highlight w:val="none"/>
              </w:rPr>
            </w:pPr>
            <w:r>
              <w:rPr>
                <w:rFonts w:hint="eastAsia" w:ascii="宋体" w:hAnsi="宋体" w:cs="宋体"/>
                <w:color w:val="000000" w:themeColor="text1"/>
                <w:kern w:val="0"/>
                <w:szCs w:val="21"/>
                <w:highlight w:val="none"/>
                <w14:textFill>
                  <w14:solidFill>
                    <w14:schemeClr w14:val="tx1"/>
                  </w14:solidFill>
                </w14:textFill>
              </w:rPr>
              <w:t>投标文件格式</w:t>
            </w:r>
          </w:p>
        </w:tc>
        <w:tc>
          <w:tcPr>
            <w:tcW w:w="1985" w:type="dxa"/>
          </w:tcPr>
          <w:p w14:paraId="552CE95F">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5004E935">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0D39BDDE">
            <w:pPr>
              <w:tabs>
                <w:tab w:val="left" w:pos="720"/>
              </w:tabs>
              <w:spacing w:line="360" w:lineRule="auto"/>
              <w:jc w:val="center"/>
              <w:rPr>
                <w:rFonts w:asciiTheme="minorEastAsia" w:hAnsiTheme="minorEastAsia" w:eastAsiaTheme="minorEastAsia"/>
                <w:szCs w:val="21"/>
                <w:highlight w:val="none"/>
              </w:rPr>
            </w:pPr>
          </w:p>
        </w:tc>
      </w:tr>
      <w:tr w14:paraId="0FF26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776EB116">
            <w:pPr>
              <w:tabs>
                <w:tab w:val="left" w:pos="720"/>
              </w:tabs>
              <w:spacing w:line="360" w:lineRule="auto"/>
              <w:jc w:val="center"/>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7</w:t>
            </w:r>
          </w:p>
        </w:tc>
        <w:tc>
          <w:tcPr>
            <w:tcW w:w="2551" w:type="dxa"/>
            <w:vAlign w:val="center"/>
          </w:tcPr>
          <w:p w14:paraId="26F9DF1E">
            <w:pPr>
              <w:tabs>
                <w:tab w:val="left" w:pos="720"/>
              </w:tabs>
              <w:spacing w:line="360" w:lineRule="auto"/>
              <w:jc w:val="center"/>
              <w:rPr>
                <w:rFonts w:asciiTheme="minorEastAsia" w:hAnsiTheme="minorEastAsia" w:eastAsiaTheme="minorEastAsia"/>
                <w:szCs w:val="21"/>
                <w:highlight w:val="none"/>
              </w:rPr>
            </w:pPr>
            <w:r>
              <w:rPr>
                <w:rFonts w:hint="eastAsia" w:ascii="宋体" w:hAnsi="宋体" w:cs="宋体"/>
                <w:color w:val="000000" w:themeColor="text1"/>
                <w:kern w:val="0"/>
                <w:szCs w:val="21"/>
                <w:highlight w:val="none"/>
                <w14:textFill>
                  <w14:solidFill>
                    <w14:schemeClr w14:val="tx1"/>
                  </w14:solidFill>
                </w14:textFill>
              </w:rPr>
              <w:t>投标保证金</w:t>
            </w:r>
          </w:p>
        </w:tc>
        <w:tc>
          <w:tcPr>
            <w:tcW w:w="1985" w:type="dxa"/>
          </w:tcPr>
          <w:p w14:paraId="5694798A">
            <w:pPr>
              <w:tabs>
                <w:tab w:val="left" w:pos="720"/>
              </w:tabs>
              <w:spacing w:line="360" w:lineRule="auto"/>
              <w:ind w:left="420"/>
              <w:jc w:val="center"/>
              <w:rPr>
                <w:rFonts w:asciiTheme="minorEastAsia" w:hAnsiTheme="minorEastAsia" w:eastAsiaTheme="minorEastAsia"/>
                <w:szCs w:val="21"/>
                <w:highlight w:val="none"/>
              </w:rPr>
            </w:pPr>
          </w:p>
        </w:tc>
        <w:tc>
          <w:tcPr>
            <w:tcW w:w="1275" w:type="dxa"/>
            <w:vAlign w:val="center"/>
          </w:tcPr>
          <w:p w14:paraId="33D15941">
            <w:pPr>
              <w:tabs>
                <w:tab w:val="left" w:pos="720"/>
              </w:tabs>
              <w:spacing w:line="360" w:lineRule="auto"/>
              <w:ind w:left="420"/>
              <w:jc w:val="center"/>
              <w:rPr>
                <w:rFonts w:asciiTheme="minorEastAsia" w:hAnsiTheme="minorEastAsia" w:eastAsiaTheme="minorEastAsia"/>
                <w:szCs w:val="21"/>
                <w:highlight w:val="none"/>
              </w:rPr>
            </w:pPr>
          </w:p>
        </w:tc>
        <w:tc>
          <w:tcPr>
            <w:tcW w:w="1560" w:type="dxa"/>
            <w:vAlign w:val="center"/>
          </w:tcPr>
          <w:p w14:paraId="1F22189A">
            <w:pPr>
              <w:tabs>
                <w:tab w:val="left" w:pos="720"/>
              </w:tabs>
              <w:spacing w:line="360" w:lineRule="auto"/>
              <w:ind w:left="420"/>
              <w:jc w:val="center"/>
              <w:rPr>
                <w:rFonts w:asciiTheme="minorEastAsia" w:hAnsiTheme="minorEastAsia" w:eastAsiaTheme="minorEastAsia"/>
                <w:szCs w:val="21"/>
                <w:highlight w:val="none"/>
              </w:rPr>
            </w:pPr>
          </w:p>
        </w:tc>
      </w:tr>
      <w:tr w14:paraId="3C5E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25D59BBC">
            <w:pPr>
              <w:tabs>
                <w:tab w:val="left" w:pos="720"/>
              </w:tabs>
              <w:spacing w:line="360" w:lineRule="auto"/>
              <w:jc w:val="center"/>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8</w:t>
            </w:r>
          </w:p>
        </w:tc>
        <w:tc>
          <w:tcPr>
            <w:tcW w:w="2551" w:type="dxa"/>
            <w:vAlign w:val="center"/>
          </w:tcPr>
          <w:p w14:paraId="68B2682D">
            <w:pPr>
              <w:tabs>
                <w:tab w:val="left" w:pos="720"/>
              </w:tabs>
              <w:spacing w:line="360" w:lineRule="auto"/>
              <w:jc w:val="center"/>
              <w:rPr>
                <w:rFonts w:asciiTheme="minorEastAsia" w:hAnsiTheme="minorEastAsia" w:eastAsiaTheme="minorEastAsia"/>
                <w:szCs w:val="21"/>
                <w:highlight w:val="none"/>
              </w:rPr>
            </w:pPr>
            <w:r>
              <w:rPr>
                <w:rFonts w:hint="eastAsia" w:ascii="宋体" w:hAnsi="宋体" w:cs="宋体"/>
                <w:color w:val="000000" w:themeColor="text1"/>
                <w:kern w:val="0"/>
                <w:szCs w:val="21"/>
                <w:highlight w:val="none"/>
                <w14:textFill>
                  <w14:solidFill>
                    <w14:schemeClr w14:val="tx1"/>
                  </w14:solidFill>
                </w14:textFill>
              </w:rPr>
              <w:t>资格条件</w:t>
            </w:r>
          </w:p>
        </w:tc>
        <w:tc>
          <w:tcPr>
            <w:tcW w:w="1985" w:type="dxa"/>
          </w:tcPr>
          <w:p w14:paraId="35216F0D">
            <w:pPr>
              <w:tabs>
                <w:tab w:val="left" w:pos="720"/>
              </w:tabs>
              <w:spacing w:line="360" w:lineRule="auto"/>
              <w:ind w:left="420"/>
              <w:jc w:val="center"/>
              <w:rPr>
                <w:rFonts w:asciiTheme="minorEastAsia" w:hAnsiTheme="minorEastAsia" w:eastAsiaTheme="minorEastAsia"/>
                <w:szCs w:val="21"/>
                <w:highlight w:val="none"/>
              </w:rPr>
            </w:pPr>
          </w:p>
        </w:tc>
        <w:tc>
          <w:tcPr>
            <w:tcW w:w="1275" w:type="dxa"/>
            <w:vAlign w:val="center"/>
          </w:tcPr>
          <w:p w14:paraId="06FA0950">
            <w:pPr>
              <w:tabs>
                <w:tab w:val="left" w:pos="720"/>
              </w:tabs>
              <w:spacing w:line="360" w:lineRule="auto"/>
              <w:ind w:left="420"/>
              <w:jc w:val="center"/>
              <w:rPr>
                <w:rFonts w:asciiTheme="minorEastAsia" w:hAnsiTheme="minorEastAsia" w:eastAsiaTheme="minorEastAsia"/>
                <w:szCs w:val="21"/>
                <w:highlight w:val="none"/>
              </w:rPr>
            </w:pPr>
          </w:p>
        </w:tc>
        <w:tc>
          <w:tcPr>
            <w:tcW w:w="1560" w:type="dxa"/>
            <w:vAlign w:val="center"/>
          </w:tcPr>
          <w:p w14:paraId="0BB760E7">
            <w:pPr>
              <w:tabs>
                <w:tab w:val="left" w:pos="720"/>
              </w:tabs>
              <w:spacing w:line="360" w:lineRule="auto"/>
              <w:jc w:val="center"/>
              <w:rPr>
                <w:rFonts w:asciiTheme="minorEastAsia" w:hAnsiTheme="minorEastAsia" w:eastAsiaTheme="minorEastAsia"/>
                <w:szCs w:val="21"/>
                <w:highlight w:val="none"/>
              </w:rPr>
            </w:pPr>
          </w:p>
        </w:tc>
      </w:tr>
      <w:tr w14:paraId="1DAA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0C454B0C">
            <w:pPr>
              <w:tabs>
                <w:tab w:val="left" w:pos="720"/>
              </w:tabs>
              <w:spacing w:line="360" w:lineRule="auto"/>
              <w:jc w:val="center"/>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9</w:t>
            </w:r>
          </w:p>
        </w:tc>
        <w:tc>
          <w:tcPr>
            <w:tcW w:w="2551" w:type="dxa"/>
            <w:vAlign w:val="center"/>
          </w:tcPr>
          <w:p w14:paraId="1F8BE83F">
            <w:pPr>
              <w:tabs>
                <w:tab w:val="left" w:pos="720"/>
              </w:tabs>
              <w:spacing w:line="360" w:lineRule="auto"/>
              <w:jc w:val="center"/>
              <w:rPr>
                <w:rFonts w:asciiTheme="minorEastAsia" w:hAnsiTheme="minorEastAsia" w:eastAsiaTheme="minorEastAsia"/>
                <w:szCs w:val="21"/>
                <w:highlight w:val="none"/>
              </w:rPr>
            </w:pPr>
            <w:r>
              <w:rPr>
                <w:rFonts w:hint="eastAsia" w:ascii="宋体" w:hAnsi="宋体" w:cs="宋体"/>
                <w:color w:val="000000" w:themeColor="text1"/>
                <w:kern w:val="0"/>
                <w:szCs w:val="21"/>
                <w:highlight w:val="none"/>
                <w14:textFill>
                  <w14:solidFill>
                    <w14:schemeClr w14:val="tx1"/>
                  </w14:solidFill>
                </w14:textFill>
              </w:rPr>
              <w:t>不得存在的情形</w:t>
            </w:r>
          </w:p>
        </w:tc>
        <w:tc>
          <w:tcPr>
            <w:tcW w:w="1985" w:type="dxa"/>
          </w:tcPr>
          <w:p w14:paraId="123034AD">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65DF3627">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36234BBF">
            <w:pPr>
              <w:tabs>
                <w:tab w:val="left" w:pos="720"/>
              </w:tabs>
              <w:spacing w:line="360" w:lineRule="auto"/>
              <w:jc w:val="center"/>
              <w:rPr>
                <w:rFonts w:asciiTheme="minorEastAsia" w:hAnsiTheme="minorEastAsia" w:eastAsiaTheme="minorEastAsia"/>
                <w:szCs w:val="21"/>
                <w:highlight w:val="none"/>
              </w:rPr>
            </w:pPr>
          </w:p>
        </w:tc>
      </w:tr>
      <w:tr w14:paraId="6615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287EDFCA">
            <w:pPr>
              <w:tabs>
                <w:tab w:val="left" w:pos="720"/>
              </w:tabs>
              <w:spacing w:line="360" w:lineRule="auto"/>
              <w:jc w:val="center"/>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0</w:t>
            </w:r>
          </w:p>
        </w:tc>
        <w:tc>
          <w:tcPr>
            <w:tcW w:w="2551" w:type="dxa"/>
            <w:vAlign w:val="center"/>
          </w:tcPr>
          <w:p w14:paraId="443F5738">
            <w:pPr>
              <w:tabs>
                <w:tab w:val="left" w:pos="720"/>
              </w:tabs>
              <w:spacing w:line="360" w:lineRule="auto"/>
              <w:jc w:val="center"/>
              <w:rPr>
                <w:rFonts w:asciiTheme="minorEastAsia" w:hAnsiTheme="minorEastAsia" w:eastAsiaTheme="minorEastAsia"/>
                <w:szCs w:val="21"/>
                <w:highlight w:val="none"/>
              </w:rPr>
            </w:pPr>
            <w:r>
              <w:rPr>
                <w:rFonts w:hint="eastAsia" w:ascii="宋体" w:hAnsi="宋体" w:cs="宋体"/>
                <w:color w:val="000000" w:themeColor="text1"/>
                <w:kern w:val="0"/>
                <w:szCs w:val="21"/>
                <w:highlight w:val="none"/>
                <w14:textFill>
                  <w14:solidFill>
                    <w14:schemeClr w14:val="tx1"/>
                  </w14:solidFill>
                </w14:textFill>
              </w:rPr>
              <w:t>投标有效期</w:t>
            </w:r>
          </w:p>
        </w:tc>
        <w:tc>
          <w:tcPr>
            <w:tcW w:w="1985" w:type="dxa"/>
          </w:tcPr>
          <w:p w14:paraId="3640A76D">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34C1C35B">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0B043828">
            <w:pPr>
              <w:tabs>
                <w:tab w:val="left" w:pos="720"/>
              </w:tabs>
              <w:spacing w:line="360" w:lineRule="auto"/>
              <w:jc w:val="center"/>
              <w:rPr>
                <w:rFonts w:asciiTheme="minorEastAsia" w:hAnsiTheme="minorEastAsia" w:eastAsiaTheme="minorEastAsia"/>
                <w:szCs w:val="21"/>
                <w:highlight w:val="none"/>
              </w:rPr>
            </w:pPr>
          </w:p>
        </w:tc>
      </w:tr>
      <w:tr w14:paraId="5AE03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6EBA1AFF">
            <w:pPr>
              <w:tabs>
                <w:tab w:val="left" w:pos="720"/>
              </w:tabs>
              <w:spacing w:line="360" w:lineRule="auto"/>
              <w:jc w:val="center"/>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1</w:t>
            </w:r>
          </w:p>
        </w:tc>
        <w:tc>
          <w:tcPr>
            <w:tcW w:w="2551" w:type="dxa"/>
            <w:vAlign w:val="center"/>
          </w:tcPr>
          <w:p w14:paraId="4B35A8C3">
            <w:pPr>
              <w:tabs>
                <w:tab w:val="left" w:pos="720"/>
              </w:tabs>
              <w:spacing w:line="360" w:lineRule="auto"/>
              <w:jc w:val="center"/>
              <w:rPr>
                <w:rFonts w:asciiTheme="minorEastAsia" w:hAnsiTheme="minorEastAsia" w:eastAsiaTheme="minorEastAsia"/>
                <w:szCs w:val="21"/>
                <w:highlight w:val="none"/>
              </w:rPr>
            </w:pPr>
            <w:r>
              <w:rPr>
                <w:rFonts w:hint="eastAsia" w:ascii="宋体" w:hAnsi="宋体" w:cs="宋体"/>
                <w:color w:val="000000" w:themeColor="text1"/>
                <w:kern w:val="0"/>
                <w:szCs w:val="21"/>
                <w:highlight w:val="none"/>
                <w14:textFill>
                  <w14:solidFill>
                    <w14:schemeClr w14:val="tx1"/>
                  </w14:solidFill>
                </w14:textFill>
              </w:rPr>
              <w:t>实质性响应</w:t>
            </w:r>
          </w:p>
        </w:tc>
        <w:tc>
          <w:tcPr>
            <w:tcW w:w="1985" w:type="dxa"/>
          </w:tcPr>
          <w:p w14:paraId="3B497B8B">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45961759">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030F4F0E">
            <w:pPr>
              <w:tabs>
                <w:tab w:val="left" w:pos="720"/>
              </w:tabs>
              <w:spacing w:line="360" w:lineRule="auto"/>
              <w:jc w:val="center"/>
              <w:rPr>
                <w:rFonts w:asciiTheme="minorEastAsia" w:hAnsiTheme="minorEastAsia" w:eastAsiaTheme="minorEastAsia"/>
                <w:szCs w:val="21"/>
                <w:highlight w:val="none"/>
              </w:rPr>
            </w:pPr>
          </w:p>
        </w:tc>
      </w:tr>
      <w:tr w14:paraId="3176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36A257ED">
            <w:pPr>
              <w:tabs>
                <w:tab w:val="left" w:pos="720"/>
              </w:tabs>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2</w:t>
            </w:r>
          </w:p>
        </w:tc>
        <w:tc>
          <w:tcPr>
            <w:tcW w:w="2551" w:type="dxa"/>
            <w:vAlign w:val="center"/>
          </w:tcPr>
          <w:p w14:paraId="7ABBF153">
            <w:pPr>
              <w:tabs>
                <w:tab w:val="left" w:pos="720"/>
              </w:tabs>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商务报价</w:t>
            </w:r>
          </w:p>
        </w:tc>
        <w:tc>
          <w:tcPr>
            <w:tcW w:w="1985" w:type="dxa"/>
          </w:tcPr>
          <w:p w14:paraId="2C782C38">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779D66C6">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61CAC3FA">
            <w:pPr>
              <w:tabs>
                <w:tab w:val="left" w:pos="720"/>
              </w:tabs>
              <w:spacing w:line="360" w:lineRule="auto"/>
              <w:jc w:val="center"/>
              <w:rPr>
                <w:rFonts w:asciiTheme="minorEastAsia" w:hAnsiTheme="minorEastAsia" w:eastAsiaTheme="minorEastAsia"/>
                <w:szCs w:val="21"/>
                <w:highlight w:val="none"/>
              </w:rPr>
            </w:pPr>
          </w:p>
        </w:tc>
      </w:tr>
      <w:tr w14:paraId="12A6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16BBF901">
            <w:pPr>
              <w:tabs>
                <w:tab w:val="left" w:pos="720"/>
              </w:tabs>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13</w:t>
            </w:r>
          </w:p>
        </w:tc>
        <w:tc>
          <w:tcPr>
            <w:tcW w:w="2551" w:type="dxa"/>
            <w:vAlign w:val="center"/>
          </w:tcPr>
          <w:p w14:paraId="26D0C651">
            <w:pPr>
              <w:tabs>
                <w:tab w:val="left" w:pos="720"/>
              </w:tabs>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廉洁投标承诺书</w:t>
            </w:r>
          </w:p>
        </w:tc>
        <w:tc>
          <w:tcPr>
            <w:tcW w:w="1985" w:type="dxa"/>
          </w:tcPr>
          <w:p w14:paraId="3B9A547F">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2634714E">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0B2977A2">
            <w:pPr>
              <w:tabs>
                <w:tab w:val="left" w:pos="720"/>
              </w:tabs>
              <w:spacing w:line="360" w:lineRule="auto"/>
              <w:jc w:val="center"/>
              <w:rPr>
                <w:rFonts w:asciiTheme="minorEastAsia" w:hAnsiTheme="minorEastAsia" w:eastAsiaTheme="minorEastAsia"/>
                <w:szCs w:val="21"/>
                <w:highlight w:val="none"/>
              </w:rPr>
            </w:pPr>
          </w:p>
        </w:tc>
      </w:tr>
      <w:tr w14:paraId="14A15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4CFC2F51">
            <w:pPr>
              <w:tabs>
                <w:tab w:val="left" w:pos="720"/>
              </w:tabs>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4</w:t>
            </w:r>
          </w:p>
        </w:tc>
        <w:tc>
          <w:tcPr>
            <w:tcW w:w="2551" w:type="dxa"/>
            <w:vAlign w:val="center"/>
          </w:tcPr>
          <w:p w14:paraId="2014196C">
            <w:pPr>
              <w:tabs>
                <w:tab w:val="left" w:pos="720"/>
              </w:tabs>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商务及合同条款</w:t>
            </w:r>
          </w:p>
        </w:tc>
        <w:tc>
          <w:tcPr>
            <w:tcW w:w="1985" w:type="dxa"/>
          </w:tcPr>
          <w:p w14:paraId="1242928E">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13584F20">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2E455862">
            <w:pPr>
              <w:tabs>
                <w:tab w:val="left" w:pos="720"/>
              </w:tabs>
              <w:spacing w:line="360" w:lineRule="auto"/>
              <w:jc w:val="center"/>
              <w:rPr>
                <w:rFonts w:asciiTheme="minorEastAsia" w:hAnsiTheme="minorEastAsia" w:eastAsiaTheme="minorEastAsia"/>
                <w:szCs w:val="21"/>
                <w:highlight w:val="none"/>
              </w:rPr>
            </w:pPr>
          </w:p>
        </w:tc>
      </w:tr>
      <w:tr w14:paraId="6E8E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1F9A03B0">
            <w:pPr>
              <w:tabs>
                <w:tab w:val="left" w:pos="720"/>
              </w:tabs>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5</w:t>
            </w:r>
          </w:p>
        </w:tc>
        <w:tc>
          <w:tcPr>
            <w:tcW w:w="2551" w:type="dxa"/>
            <w:vAlign w:val="center"/>
          </w:tcPr>
          <w:p w14:paraId="4484B956">
            <w:pPr>
              <w:tabs>
                <w:tab w:val="left" w:pos="720"/>
              </w:tabs>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技术条款</w:t>
            </w:r>
          </w:p>
        </w:tc>
        <w:tc>
          <w:tcPr>
            <w:tcW w:w="1985" w:type="dxa"/>
          </w:tcPr>
          <w:p w14:paraId="259497F2">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7CE2C6D4">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54C086CE">
            <w:pPr>
              <w:tabs>
                <w:tab w:val="left" w:pos="720"/>
              </w:tabs>
              <w:spacing w:line="360" w:lineRule="auto"/>
              <w:jc w:val="center"/>
              <w:rPr>
                <w:rFonts w:asciiTheme="minorEastAsia" w:hAnsiTheme="minorEastAsia" w:eastAsiaTheme="minorEastAsia"/>
                <w:szCs w:val="21"/>
                <w:highlight w:val="none"/>
              </w:rPr>
            </w:pPr>
          </w:p>
        </w:tc>
      </w:tr>
      <w:tr w14:paraId="66AE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798290D1">
            <w:pPr>
              <w:tabs>
                <w:tab w:val="left" w:pos="720"/>
              </w:tabs>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6</w:t>
            </w:r>
          </w:p>
        </w:tc>
        <w:tc>
          <w:tcPr>
            <w:tcW w:w="2551" w:type="dxa"/>
            <w:vAlign w:val="center"/>
          </w:tcPr>
          <w:p w14:paraId="68D91AD5">
            <w:pPr>
              <w:tabs>
                <w:tab w:val="left" w:pos="720"/>
              </w:tabs>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其它要求</w:t>
            </w:r>
          </w:p>
        </w:tc>
        <w:tc>
          <w:tcPr>
            <w:tcW w:w="1985" w:type="dxa"/>
          </w:tcPr>
          <w:p w14:paraId="0BB5DC23">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3BCBC646">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5570D2FC">
            <w:pPr>
              <w:tabs>
                <w:tab w:val="left" w:pos="720"/>
              </w:tabs>
              <w:spacing w:line="360" w:lineRule="auto"/>
              <w:jc w:val="center"/>
              <w:rPr>
                <w:rFonts w:asciiTheme="minorEastAsia" w:hAnsiTheme="minorEastAsia" w:eastAsiaTheme="minorEastAsia"/>
                <w:szCs w:val="21"/>
                <w:highlight w:val="none"/>
              </w:rPr>
            </w:pPr>
          </w:p>
        </w:tc>
      </w:tr>
      <w:tr w14:paraId="36D8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338F47B1">
            <w:pPr>
              <w:tabs>
                <w:tab w:val="left" w:pos="720"/>
              </w:tabs>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p>
        </w:tc>
        <w:tc>
          <w:tcPr>
            <w:tcW w:w="2551" w:type="dxa"/>
            <w:vAlign w:val="center"/>
          </w:tcPr>
          <w:p w14:paraId="79AD4E30">
            <w:pPr>
              <w:tabs>
                <w:tab w:val="left" w:pos="720"/>
              </w:tabs>
              <w:spacing w:line="360" w:lineRule="auto"/>
              <w:jc w:val="center"/>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w:t>
            </w:r>
          </w:p>
        </w:tc>
        <w:tc>
          <w:tcPr>
            <w:tcW w:w="1985" w:type="dxa"/>
          </w:tcPr>
          <w:p w14:paraId="228053CE">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0B672A1F">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35219E89">
            <w:pPr>
              <w:tabs>
                <w:tab w:val="left" w:pos="720"/>
              </w:tabs>
              <w:spacing w:line="360" w:lineRule="auto"/>
              <w:jc w:val="center"/>
              <w:rPr>
                <w:rFonts w:asciiTheme="minorEastAsia" w:hAnsiTheme="minorEastAsia" w:eastAsiaTheme="minorEastAsia"/>
                <w:szCs w:val="21"/>
                <w:highlight w:val="none"/>
              </w:rPr>
            </w:pPr>
          </w:p>
        </w:tc>
      </w:tr>
    </w:tbl>
    <w:p w14:paraId="44C2296C">
      <w:pPr>
        <w:widowControl/>
        <w:jc w:val="left"/>
        <w:rPr>
          <w:rFonts w:asciiTheme="minorEastAsia" w:hAnsiTheme="minorEastAsia" w:eastAsiaTheme="minorEastAsia"/>
          <w:b/>
          <w:bCs/>
          <w:sz w:val="24"/>
          <w:highlight w:val="none"/>
        </w:rPr>
      </w:pPr>
    </w:p>
    <w:p w14:paraId="0D596747">
      <w:pPr>
        <w:rPr>
          <w:highlight w:val="none"/>
        </w:rPr>
      </w:pPr>
    </w:p>
    <w:p w14:paraId="3DBFEE0D">
      <w:pPr>
        <w:rPr>
          <w:highlight w:val="none"/>
        </w:rPr>
      </w:pPr>
    </w:p>
    <w:p w14:paraId="38B5747C">
      <w:pPr>
        <w:topLinePunct/>
        <w:spacing w:line="440" w:lineRule="exact"/>
        <w:jc w:val="left"/>
        <w:rPr>
          <w:rFonts w:hint="eastAsia" w:asciiTheme="minorEastAsia" w:hAnsiTheme="minorEastAsia" w:eastAsiaTheme="minorEastAsia"/>
          <w:b/>
          <w:highlight w:val="none"/>
          <w:lang w:eastAsia="zh-CN"/>
        </w:rPr>
      </w:pPr>
      <w:r>
        <w:rPr>
          <w:rFonts w:hint="eastAsia" w:asciiTheme="minorEastAsia" w:hAnsiTheme="minorEastAsia" w:eastAsiaTheme="minorEastAsia"/>
          <w:b/>
          <w:highlight w:val="none"/>
          <w:lang w:eastAsia="zh-CN"/>
        </w:rPr>
        <w:t>编制要求：投标人可以根据实际情况对本文件进行调整和修改，但应满足集中招标文件对本文件的要求。</w:t>
      </w:r>
    </w:p>
    <w:p w14:paraId="1E4D5E77">
      <w:pPr>
        <w:topLinePunct/>
        <w:spacing w:line="440" w:lineRule="exact"/>
        <w:jc w:val="left"/>
        <w:rPr>
          <w:rFonts w:hint="eastAsia" w:asciiTheme="minorEastAsia" w:hAnsiTheme="minorEastAsia" w:eastAsiaTheme="minorEastAsia"/>
          <w:b/>
          <w:highlight w:val="none"/>
          <w:lang w:eastAsia="zh-CN"/>
        </w:rPr>
      </w:pPr>
    </w:p>
    <w:p w14:paraId="58A5E064">
      <w:pPr>
        <w:widowControl/>
        <w:jc w:val="left"/>
        <w:rPr>
          <w:rFonts w:asciiTheme="minorEastAsia" w:hAnsiTheme="minorEastAsia" w:eastAsiaTheme="minorEastAsia"/>
          <w:b/>
          <w:bCs/>
          <w:sz w:val="24"/>
          <w:highlight w:val="none"/>
        </w:rPr>
      </w:pPr>
    </w:p>
    <w:p w14:paraId="4D41FCF2">
      <w:pPr>
        <w:widowControl/>
        <w:jc w:val="left"/>
        <w:rPr>
          <w:rFonts w:asciiTheme="minorEastAsia" w:hAnsiTheme="minorEastAsia" w:eastAsiaTheme="minorEastAsia"/>
          <w:b/>
          <w:bCs/>
          <w:sz w:val="24"/>
          <w:highlight w:val="none"/>
        </w:rPr>
      </w:pPr>
    </w:p>
    <w:p w14:paraId="67D64BA6">
      <w:pPr>
        <w:widowControl/>
        <w:jc w:val="left"/>
        <w:rPr>
          <w:rFonts w:asciiTheme="minorEastAsia" w:hAnsiTheme="minorEastAsia" w:eastAsiaTheme="minorEastAsia"/>
          <w:b/>
          <w:bCs/>
          <w:sz w:val="24"/>
          <w:highlight w:val="none"/>
        </w:rPr>
      </w:pPr>
      <w:r>
        <w:rPr>
          <w:rFonts w:asciiTheme="minorEastAsia" w:hAnsiTheme="minorEastAsia" w:eastAsiaTheme="minorEastAsia"/>
          <w:sz w:val="24"/>
          <w:highlight w:val="none"/>
        </w:rPr>
        <w:br w:type="page"/>
      </w:r>
    </w:p>
    <w:p w14:paraId="0BF76823">
      <w:pPr>
        <w:pStyle w:val="81"/>
        <w:numPr>
          <w:ilvl w:val="0"/>
          <w:numId w:val="0"/>
        </w:numPr>
        <w:tabs>
          <w:tab w:val="left" w:pos="588"/>
        </w:tabs>
        <w:snapToGrid w:val="0"/>
        <w:spacing w:before="120" w:after="120" w:line="440" w:lineRule="exact"/>
        <w:ind w:left="635" w:leftChars="0" w:hanging="425" w:firstLineChars="0"/>
        <w:jc w:val="left"/>
        <w:rPr>
          <w:rFonts w:asciiTheme="minorEastAsia" w:hAnsiTheme="minorEastAsia" w:eastAsiaTheme="minorEastAsia"/>
          <w:sz w:val="24"/>
          <w:szCs w:val="24"/>
          <w:highlight w:val="none"/>
        </w:rPr>
      </w:pPr>
      <w:bookmarkStart w:id="794" w:name="_Toc1941"/>
      <w:bookmarkStart w:id="795" w:name="_Toc26312"/>
      <w:bookmarkStart w:id="796" w:name="_Toc24054"/>
      <w:bookmarkStart w:id="797" w:name="_Toc11551"/>
      <w:bookmarkStart w:id="798" w:name="_Toc12608"/>
      <w:bookmarkStart w:id="799" w:name="_Toc6851"/>
      <w:bookmarkStart w:id="800" w:name="_Toc26802"/>
      <w:bookmarkStart w:id="801" w:name="_Toc21007"/>
      <w:bookmarkStart w:id="802" w:name="_Toc12664"/>
      <w:bookmarkStart w:id="803" w:name="_Toc31305"/>
      <w:bookmarkStart w:id="804" w:name="_Toc8956"/>
      <w:bookmarkStart w:id="805" w:name="_Hlk167299903"/>
      <w:r>
        <w:rPr>
          <w:rFonts w:hint="eastAsia" w:cs="Times New Roman" w:asciiTheme="minorEastAsia" w:hAnsiTheme="minorEastAsia" w:eastAsiaTheme="minorEastAsia"/>
          <w:b/>
          <w:bCs/>
          <w:kern w:val="2"/>
          <w:sz w:val="24"/>
          <w:szCs w:val="24"/>
          <w:lang w:val="en-US" w:eastAsia="zh-CN" w:bidi="ar-SA"/>
        </w:rPr>
        <w:t>3.</w:t>
      </w:r>
      <w:r>
        <w:rPr>
          <w:rFonts w:hint="eastAsia" w:asciiTheme="minorEastAsia" w:hAnsiTheme="minorEastAsia" w:eastAsiaTheme="minorEastAsia"/>
          <w:sz w:val="24"/>
          <w:szCs w:val="24"/>
          <w:highlight w:val="none"/>
        </w:rPr>
        <w:t>商务</w:t>
      </w:r>
      <w:r>
        <w:rPr>
          <w:rFonts w:hint="eastAsia" w:asciiTheme="minorEastAsia" w:hAnsiTheme="minorEastAsia" w:eastAsiaTheme="minorEastAsia"/>
          <w:sz w:val="24"/>
          <w:szCs w:val="24"/>
          <w:highlight w:val="none"/>
          <w:lang w:val="en-US" w:eastAsia="zh-CN"/>
        </w:rPr>
        <w:t>及服务</w:t>
      </w:r>
      <w:r>
        <w:rPr>
          <w:rFonts w:hint="eastAsia" w:asciiTheme="minorEastAsia" w:hAnsiTheme="minorEastAsia" w:eastAsiaTheme="minorEastAsia"/>
          <w:sz w:val="24"/>
          <w:szCs w:val="24"/>
          <w:highlight w:val="none"/>
        </w:rPr>
        <w:t>评审索引表</w:t>
      </w:r>
      <w:bookmarkEnd w:id="789"/>
      <w:bookmarkEnd w:id="790"/>
      <w:bookmarkEnd w:id="794"/>
      <w:bookmarkEnd w:id="795"/>
      <w:bookmarkEnd w:id="796"/>
      <w:bookmarkEnd w:id="797"/>
      <w:bookmarkEnd w:id="798"/>
      <w:bookmarkEnd w:id="799"/>
      <w:bookmarkEnd w:id="800"/>
      <w:bookmarkEnd w:id="801"/>
      <w:bookmarkEnd w:id="802"/>
      <w:bookmarkEnd w:id="803"/>
      <w:bookmarkEnd w:id="804"/>
    </w:p>
    <w:bookmarkEnd w:id="805"/>
    <w:p w14:paraId="45766B3A">
      <w:pPr>
        <w:rPr>
          <w:rFonts w:asciiTheme="minorEastAsia" w:hAnsiTheme="minorEastAsia" w:eastAsiaTheme="minorEastAsia"/>
          <w:highlight w:val="none"/>
        </w:rPr>
      </w:pPr>
    </w:p>
    <w:p w14:paraId="1BDEE5D3">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商务评审索引表</w:t>
      </w:r>
    </w:p>
    <w:p w14:paraId="17B0D9C3">
      <w:pPr>
        <w:jc w:val="center"/>
        <w:rPr>
          <w:rFonts w:asciiTheme="minorEastAsia" w:hAnsiTheme="minorEastAsia" w:eastAsiaTheme="minorEastAsia"/>
          <w:b/>
          <w:highlight w:val="none"/>
        </w:rPr>
      </w:pPr>
    </w:p>
    <w:tbl>
      <w:tblPr>
        <w:tblStyle w:val="85"/>
        <w:tblW w:w="8334"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855"/>
        <w:gridCol w:w="1560"/>
        <w:gridCol w:w="1388"/>
        <w:gridCol w:w="1544"/>
      </w:tblGrid>
      <w:tr w14:paraId="3766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2AA57833">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条款号</w:t>
            </w:r>
          </w:p>
        </w:tc>
        <w:tc>
          <w:tcPr>
            <w:tcW w:w="2855" w:type="dxa"/>
            <w:vAlign w:val="center"/>
          </w:tcPr>
          <w:p w14:paraId="62320F82">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评审因素</w:t>
            </w:r>
          </w:p>
        </w:tc>
        <w:tc>
          <w:tcPr>
            <w:tcW w:w="1560" w:type="dxa"/>
            <w:vAlign w:val="center"/>
          </w:tcPr>
          <w:p w14:paraId="29FD845F">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投标文件组成</w:t>
            </w:r>
          </w:p>
        </w:tc>
        <w:tc>
          <w:tcPr>
            <w:tcW w:w="1388" w:type="dxa"/>
            <w:vAlign w:val="center"/>
          </w:tcPr>
          <w:p w14:paraId="4F8FF73E">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对应页码</w:t>
            </w:r>
          </w:p>
        </w:tc>
        <w:tc>
          <w:tcPr>
            <w:tcW w:w="1544" w:type="dxa"/>
            <w:vAlign w:val="center"/>
          </w:tcPr>
          <w:p w14:paraId="4F3A432D">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备注或者说明</w:t>
            </w:r>
          </w:p>
        </w:tc>
      </w:tr>
      <w:tr w14:paraId="32EC8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3E63A855">
            <w:pPr>
              <w:tabs>
                <w:tab w:val="left" w:pos="720"/>
              </w:tabs>
              <w:spacing w:line="360" w:lineRule="auto"/>
              <w:jc w:val="center"/>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val="en-US" w:eastAsia="zh-CN"/>
              </w:rPr>
              <w:t>1</w:t>
            </w:r>
          </w:p>
        </w:tc>
        <w:tc>
          <w:tcPr>
            <w:tcW w:w="2855" w:type="dxa"/>
            <w:vAlign w:val="center"/>
          </w:tcPr>
          <w:p w14:paraId="38A90961">
            <w:pPr>
              <w:tabs>
                <w:tab w:val="left" w:pos="720"/>
              </w:tabs>
              <w:spacing w:line="360" w:lineRule="auto"/>
              <w:ind w:left="-2" w:firstLine="1"/>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案例与业绩</w:t>
            </w:r>
          </w:p>
        </w:tc>
        <w:tc>
          <w:tcPr>
            <w:tcW w:w="1560" w:type="dxa"/>
          </w:tcPr>
          <w:p w14:paraId="7BD0AA98">
            <w:pPr>
              <w:tabs>
                <w:tab w:val="left" w:pos="720"/>
              </w:tabs>
              <w:spacing w:line="360" w:lineRule="auto"/>
              <w:jc w:val="center"/>
              <w:rPr>
                <w:rFonts w:asciiTheme="minorEastAsia" w:hAnsiTheme="minorEastAsia" w:eastAsiaTheme="minorEastAsia"/>
                <w:szCs w:val="21"/>
                <w:highlight w:val="none"/>
              </w:rPr>
            </w:pPr>
          </w:p>
        </w:tc>
        <w:tc>
          <w:tcPr>
            <w:tcW w:w="1388" w:type="dxa"/>
            <w:vAlign w:val="center"/>
          </w:tcPr>
          <w:p w14:paraId="011204E9">
            <w:pPr>
              <w:tabs>
                <w:tab w:val="left" w:pos="720"/>
              </w:tabs>
              <w:spacing w:line="360" w:lineRule="auto"/>
              <w:jc w:val="center"/>
              <w:rPr>
                <w:rFonts w:asciiTheme="minorEastAsia" w:hAnsiTheme="minorEastAsia" w:eastAsiaTheme="minorEastAsia"/>
                <w:szCs w:val="21"/>
                <w:highlight w:val="none"/>
              </w:rPr>
            </w:pPr>
          </w:p>
        </w:tc>
        <w:tc>
          <w:tcPr>
            <w:tcW w:w="1544" w:type="dxa"/>
            <w:vAlign w:val="center"/>
          </w:tcPr>
          <w:p w14:paraId="11E702C6">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14CF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39CE3374">
            <w:pPr>
              <w:tabs>
                <w:tab w:val="left" w:pos="720"/>
              </w:tabs>
              <w:spacing w:line="360" w:lineRule="auto"/>
              <w:jc w:val="center"/>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val="en-US" w:eastAsia="zh-CN"/>
              </w:rPr>
              <w:t>2</w:t>
            </w:r>
          </w:p>
        </w:tc>
        <w:tc>
          <w:tcPr>
            <w:tcW w:w="2855" w:type="dxa"/>
            <w:vAlign w:val="center"/>
          </w:tcPr>
          <w:p w14:paraId="4C1E8E1B">
            <w:pPr>
              <w:tabs>
                <w:tab w:val="left" w:pos="720"/>
              </w:tabs>
              <w:spacing w:line="360" w:lineRule="auto"/>
              <w:ind w:left="-2" w:firstLine="1"/>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技术条款满足度</w:t>
            </w:r>
          </w:p>
          <w:p w14:paraId="25194E92">
            <w:pPr>
              <w:tabs>
                <w:tab w:val="left" w:pos="720"/>
              </w:tabs>
              <w:spacing w:line="360" w:lineRule="auto"/>
              <w:ind w:left="-2" w:firstLine="1"/>
              <w:jc w:val="center"/>
              <w:rPr>
                <w:rFonts w:asciiTheme="minorEastAsia" w:hAnsiTheme="minorEastAsia" w:eastAsiaTheme="minorEastAsia"/>
                <w:szCs w:val="21"/>
                <w:highlight w:val="none"/>
              </w:rPr>
            </w:pPr>
          </w:p>
        </w:tc>
        <w:tc>
          <w:tcPr>
            <w:tcW w:w="1560" w:type="dxa"/>
          </w:tcPr>
          <w:p w14:paraId="68395AB6">
            <w:pPr>
              <w:tabs>
                <w:tab w:val="left" w:pos="720"/>
              </w:tabs>
              <w:spacing w:line="360" w:lineRule="auto"/>
              <w:jc w:val="center"/>
              <w:rPr>
                <w:rFonts w:asciiTheme="minorEastAsia" w:hAnsiTheme="minorEastAsia" w:eastAsiaTheme="minorEastAsia"/>
                <w:szCs w:val="21"/>
                <w:highlight w:val="none"/>
              </w:rPr>
            </w:pPr>
          </w:p>
        </w:tc>
        <w:tc>
          <w:tcPr>
            <w:tcW w:w="1388" w:type="dxa"/>
            <w:vAlign w:val="center"/>
          </w:tcPr>
          <w:p w14:paraId="4F61A7E0">
            <w:pPr>
              <w:tabs>
                <w:tab w:val="left" w:pos="720"/>
              </w:tabs>
              <w:spacing w:line="360" w:lineRule="auto"/>
              <w:jc w:val="center"/>
              <w:rPr>
                <w:rFonts w:asciiTheme="minorEastAsia" w:hAnsiTheme="minorEastAsia" w:eastAsiaTheme="minorEastAsia"/>
                <w:szCs w:val="21"/>
                <w:highlight w:val="none"/>
              </w:rPr>
            </w:pPr>
          </w:p>
        </w:tc>
        <w:tc>
          <w:tcPr>
            <w:tcW w:w="1544" w:type="dxa"/>
            <w:vAlign w:val="center"/>
          </w:tcPr>
          <w:p w14:paraId="76549533">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392E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5CFC95E1">
            <w:pPr>
              <w:tabs>
                <w:tab w:val="left" w:pos="720"/>
              </w:tabs>
              <w:spacing w:line="360" w:lineRule="auto"/>
              <w:jc w:val="center"/>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val="en-US" w:eastAsia="zh-CN"/>
              </w:rPr>
              <w:t>3</w:t>
            </w:r>
          </w:p>
        </w:tc>
        <w:tc>
          <w:tcPr>
            <w:tcW w:w="2855" w:type="dxa"/>
            <w:vAlign w:val="center"/>
          </w:tcPr>
          <w:p w14:paraId="5AB9A6F4">
            <w:pPr>
              <w:tabs>
                <w:tab w:val="left" w:pos="720"/>
              </w:tabs>
              <w:spacing w:line="360" w:lineRule="auto"/>
              <w:ind w:left="-2" w:firstLine="1"/>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投标文件应答和制作情况</w:t>
            </w:r>
          </w:p>
          <w:p w14:paraId="72EBA9F7">
            <w:pPr>
              <w:tabs>
                <w:tab w:val="left" w:pos="720"/>
              </w:tabs>
              <w:spacing w:line="360" w:lineRule="auto"/>
              <w:ind w:left="-2" w:firstLine="1"/>
              <w:jc w:val="center"/>
              <w:rPr>
                <w:rFonts w:asciiTheme="minorEastAsia" w:hAnsiTheme="minorEastAsia" w:eastAsiaTheme="minorEastAsia"/>
                <w:szCs w:val="21"/>
                <w:highlight w:val="none"/>
              </w:rPr>
            </w:pPr>
          </w:p>
        </w:tc>
        <w:tc>
          <w:tcPr>
            <w:tcW w:w="1560" w:type="dxa"/>
          </w:tcPr>
          <w:p w14:paraId="01D931B0">
            <w:pPr>
              <w:tabs>
                <w:tab w:val="left" w:pos="720"/>
              </w:tabs>
              <w:spacing w:line="360" w:lineRule="auto"/>
              <w:jc w:val="center"/>
              <w:rPr>
                <w:rFonts w:asciiTheme="minorEastAsia" w:hAnsiTheme="minorEastAsia" w:eastAsiaTheme="minorEastAsia"/>
                <w:szCs w:val="21"/>
                <w:highlight w:val="none"/>
              </w:rPr>
            </w:pPr>
          </w:p>
        </w:tc>
        <w:tc>
          <w:tcPr>
            <w:tcW w:w="1388" w:type="dxa"/>
            <w:vAlign w:val="center"/>
          </w:tcPr>
          <w:p w14:paraId="6DEE55A9">
            <w:pPr>
              <w:tabs>
                <w:tab w:val="left" w:pos="720"/>
              </w:tabs>
              <w:spacing w:line="360" w:lineRule="auto"/>
              <w:jc w:val="center"/>
              <w:rPr>
                <w:rFonts w:asciiTheme="minorEastAsia" w:hAnsiTheme="minorEastAsia" w:eastAsiaTheme="minorEastAsia"/>
                <w:szCs w:val="21"/>
                <w:highlight w:val="none"/>
              </w:rPr>
            </w:pPr>
          </w:p>
        </w:tc>
        <w:tc>
          <w:tcPr>
            <w:tcW w:w="1544" w:type="dxa"/>
            <w:vAlign w:val="center"/>
          </w:tcPr>
          <w:p w14:paraId="046DD826">
            <w:pPr>
              <w:tabs>
                <w:tab w:val="left" w:pos="720"/>
              </w:tabs>
              <w:spacing w:line="360" w:lineRule="auto"/>
              <w:jc w:val="center"/>
              <w:rPr>
                <w:rFonts w:asciiTheme="minorEastAsia" w:hAnsiTheme="minorEastAsia" w:eastAsiaTheme="minorEastAsia"/>
                <w:szCs w:val="21"/>
                <w:highlight w:val="none"/>
              </w:rPr>
            </w:pPr>
          </w:p>
        </w:tc>
      </w:tr>
      <w:tr w14:paraId="300A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exact"/>
        </w:trPr>
        <w:tc>
          <w:tcPr>
            <w:tcW w:w="987" w:type="dxa"/>
            <w:vAlign w:val="center"/>
          </w:tcPr>
          <w:p w14:paraId="73E5C426">
            <w:pPr>
              <w:tabs>
                <w:tab w:val="left" w:pos="720"/>
              </w:tabs>
              <w:spacing w:line="360" w:lineRule="auto"/>
              <w:jc w:val="center"/>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val="en-US" w:eastAsia="zh-CN"/>
              </w:rPr>
              <w:t>4</w:t>
            </w:r>
          </w:p>
        </w:tc>
        <w:tc>
          <w:tcPr>
            <w:tcW w:w="2855" w:type="dxa"/>
            <w:vAlign w:val="center"/>
          </w:tcPr>
          <w:p w14:paraId="3964E297">
            <w:pPr>
              <w:tabs>
                <w:tab w:val="left" w:pos="720"/>
              </w:tabs>
              <w:spacing w:line="360" w:lineRule="auto"/>
              <w:ind w:left="-2" w:firstLine="1"/>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服务团队覆盖、服务人员数量、原厂服务能力</w:t>
            </w:r>
          </w:p>
          <w:p w14:paraId="0821E2D1">
            <w:pPr>
              <w:tabs>
                <w:tab w:val="left" w:pos="720"/>
              </w:tabs>
              <w:spacing w:line="360" w:lineRule="auto"/>
              <w:ind w:left="-2" w:firstLine="1"/>
              <w:jc w:val="center"/>
              <w:rPr>
                <w:rFonts w:asciiTheme="minorEastAsia" w:hAnsiTheme="minorEastAsia" w:eastAsiaTheme="minorEastAsia"/>
                <w:szCs w:val="21"/>
                <w:highlight w:val="none"/>
              </w:rPr>
            </w:pPr>
          </w:p>
        </w:tc>
        <w:tc>
          <w:tcPr>
            <w:tcW w:w="1560" w:type="dxa"/>
          </w:tcPr>
          <w:p w14:paraId="2A237D2B">
            <w:pPr>
              <w:tabs>
                <w:tab w:val="left" w:pos="720"/>
              </w:tabs>
              <w:spacing w:line="360" w:lineRule="auto"/>
              <w:jc w:val="center"/>
              <w:rPr>
                <w:rFonts w:asciiTheme="minorEastAsia" w:hAnsiTheme="minorEastAsia" w:eastAsiaTheme="minorEastAsia"/>
                <w:szCs w:val="21"/>
                <w:highlight w:val="none"/>
              </w:rPr>
            </w:pPr>
          </w:p>
        </w:tc>
        <w:tc>
          <w:tcPr>
            <w:tcW w:w="1388" w:type="dxa"/>
            <w:vAlign w:val="center"/>
          </w:tcPr>
          <w:p w14:paraId="77EF56C9">
            <w:pPr>
              <w:tabs>
                <w:tab w:val="left" w:pos="720"/>
              </w:tabs>
              <w:spacing w:line="360" w:lineRule="auto"/>
              <w:jc w:val="center"/>
              <w:rPr>
                <w:rFonts w:asciiTheme="minorEastAsia" w:hAnsiTheme="minorEastAsia" w:eastAsiaTheme="minorEastAsia"/>
                <w:szCs w:val="21"/>
                <w:highlight w:val="none"/>
              </w:rPr>
            </w:pPr>
          </w:p>
        </w:tc>
        <w:tc>
          <w:tcPr>
            <w:tcW w:w="1544" w:type="dxa"/>
            <w:vAlign w:val="center"/>
          </w:tcPr>
          <w:p w14:paraId="4A81A1E9">
            <w:pPr>
              <w:tabs>
                <w:tab w:val="left" w:pos="720"/>
              </w:tabs>
              <w:spacing w:line="360" w:lineRule="auto"/>
              <w:jc w:val="center"/>
              <w:rPr>
                <w:rFonts w:asciiTheme="minorEastAsia" w:hAnsiTheme="minorEastAsia" w:eastAsiaTheme="minorEastAsia"/>
                <w:szCs w:val="21"/>
                <w:highlight w:val="none"/>
              </w:rPr>
            </w:pPr>
          </w:p>
        </w:tc>
      </w:tr>
      <w:tr w14:paraId="79544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52C3119C">
            <w:pPr>
              <w:tabs>
                <w:tab w:val="left" w:pos="720"/>
              </w:tabs>
              <w:spacing w:line="360" w:lineRule="auto"/>
              <w:jc w:val="center"/>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val="en-US" w:eastAsia="zh-CN"/>
              </w:rPr>
              <w:t>5</w:t>
            </w:r>
          </w:p>
        </w:tc>
        <w:tc>
          <w:tcPr>
            <w:tcW w:w="2855" w:type="dxa"/>
            <w:vAlign w:val="center"/>
          </w:tcPr>
          <w:p w14:paraId="26DAA6E7">
            <w:pPr>
              <w:tabs>
                <w:tab w:val="left" w:pos="720"/>
              </w:tabs>
              <w:spacing w:line="360" w:lineRule="auto"/>
              <w:ind w:left="-2" w:firstLine="1"/>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服务与支持</w:t>
            </w:r>
          </w:p>
          <w:p w14:paraId="2E44E840">
            <w:pPr>
              <w:tabs>
                <w:tab w:val="left" w:pos="720"/>
              </w:tabs>
              <w:spacing w:line="360" w:lineRule="auto"/>
              <w:ind w:left="-2" w:firstLine="1"/>
              <w:jc w:val="center"/>
              <w:rPr>
                <w:rFonts w:asciiTheme="minorEastAsia" w:hAnsiTheme="minorEastAsia" w:eastAsiaTheme="minorEastAsia"/>
                <w:szCs w:val="21"/>
                <w:highlight w:val="none"/>
              </w:rPr>
            </w:pPr>
          </w:p>
        </w:tc>
        <w:tc>
          <w:tcPr>
            <w:tcW w:w="1560" w:type="dxa"/>
          </w:tcPr>
          <w:p w14:paraId="16A10221">
            <w:pPr>
              <w:tabs>
                <w:tab w:val="left" w:pos="720"/>
              </w:tabs>
              <w:spacing w:line="360" w:lineRule="auto"/>
              <w:jc w:val="center"/>
              <w:rPr>
                <w:rFonts w:asciiTheme="minorEastAsia" w:hAnsiTheme="minorEastAsia" w:eastAsiaTheme="minorEastAsia"/>
                <w:szCs w:val="21"/>
                <w:highlight w:val="none"/>
              </w:rPr>
            </w:pPr>
          </w:p>
        </w:tc>
        <w:tc>
          <w:tcPr>
            <w:tcW w:w="1388" w:type="dxa"/>
            <w:vAlign w:val="center"/>
          </w:tcPr>
          <w:p w14:paraId="2E100B5D">
            <w:pPr>
              <w:tabs>
                <w:tab w:val="left" w:pos="720"/>
              </w:tabs>
              <w:spacing w:line="360" w:lineRule="auto"/>
              <w:jc w:val="center"/>
              <w:rPr>
                <w:rFonts w:asciiTheme="minorEastAsia" w:hAnsiTheme="minorEastAsia" w:eastAsiaTheme="minorEastAsia"/>
                <w:szCs w:val="21"/>
                <w:highlight w:val="none"/>
              </w:rPr>
            </w:pPr>
          </w:p>
        </w:tc>
        <w:tc>
          <w:tcPr>
            <w:tcW w:w="1544" w:type="dxa"/>
            <w:vAlign w:val="center"/>
          </w:tcPr>
          <w:p w14:paraId="0C88AD4A">
            <w:pPr>
              <w:tabs>
                <w:tab w:val="left" w:pos="720"/>
              </w:tabs>
              <w:spacing w:line="360" w:lineRule="auto"/>
              <w:jc w:val="center"/>
              <w:rPr>
                <w:rFonts w:asciiTheme="minorEastAsia" w:hAnsiTheme="minorEastAsia" w:eastAsiaTheme="minorEastAsia"/>
                <w:szCs w:val="21"/>
                <w:highlight w:val="none"/>
              </w:rPr>
            </w:pPr>
          </w:p>
        </w:tc>
      </w:tr>
      <w:tr w14:paraId="6B3F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4B726FA0">
            <w:pPr>
              <w:tabs>
                <w:tab w:val="left" w:pos="720"/>
              </w:tabs>
              <w:spacing w:line="360" w:lineRule="auto"/>
              <w:jc w:val="center"/>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val="en-US" w:eastAsia="zh-CN"/>
              </w:rPr>
              <w:t>6</w:t>
            </w:r>
          </w:p>
        </w:tc>
        <w:tc>
          <w:tcPr>
            <w:tcW w:w="2855" w:type="dxa"/>
            <w:vAlign w:val="center"/>
          </w:tcPr>
          <w:p w14:paraId="38607131">
            <w:pPr>
              <w:tabs>
                <w:tab w:val="left" w:pos="720"/>
              </w:tabs>
              <w:spacing w:line="360" w:lineRule="auto"/>
              <w:ind w:left="-2" w:firstLine="1"/>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交付满足度</w:t>
            </w:r>
          </w:p>
          <w:p w14:paraId="08449558">
            <w:pPr>
              <w:tabs>
                <w:tab w:val="left" w:pos="720"/>
              </w:tabs>
              <w:spacing w:line="360" w:lineRule="auto"/>
              <w:ind w:left="-2" w:firstLine="1"/>
              <w:jc w:val="center"/>
              <w:rPr>
                <w:rFonts w:asciiTheme="minorEastAsia" w:hAnsiTheme="minorEastAsia" w:eastAsiaTheme="minorEastAsia"/>
                <w:szCs w:val="21"/>
                <w:highlight w:val="none"/>
              </w:rPr>
            </w:pPr>
          </w:p>
        </w:tc>
        <w:tc>
          <w:tcPr>
            <w:tcW w:w="1560" w:type="dxa"/>
          </w:tcPr>
          <w:p w14:paraId="24D1F883">
            <w:pPr>
              <w:tabs>
                <w:tab w:val="left" w:pos="720"/>
              </w:tabs>
              <w:spacing w:line="360" w:lineRule="auto"/>
              <w:ind w:left="420"/>
              <w:jc w:val="center"/>
              <w:rPr>
                <w:rFonts w:asciiTheme="minorEastAsia" w:hAnsiTheme="minorEastAsia" w:eastAsiaTheme="minorEastAsia"/>
                <w:szCs w:val="21"/>
                <w:highlight w:val="none"/>
              </w:rPr>
            </w:pPr>
          </w:p>
        </w:tc>
        <w:tc>
          <w:tcPr>
            <w:tcW w:w="1388" w:type="dxa"/>
            <w:vAlign w:val="center"/>
          </w:tcPr>
          <w:p w14:paraId="7DF4D318">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702A730A">
            <w:pPr>
              <w:tabs>
                <w:tab w:val="left" w:pos="720"/>
              </w:tabs>
              <w:spacing w:line="360" w:lineRule="auto"/>
              <w:ind w:left="420"/>
              <w:jc w:val="center"/>
              <w:rPr>
                <w:rFonts w:asciiTheme="minorEastAsia" w:hAnsiTheme="minorEastAsia" w:eastAsiaTheme="minorEastAsia"/>
                <w:szCs w:val="21"/>
                <w:highlight w:val="none"/>
              </w:rPr>
            </w:pPr>
          </w:p>
        </w:tc>
      </w:tr>
      <w:tr w14:paraId="5A31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2EF3913A">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7</w:t>
            </w:r>
          </w:p>
        </w:tc>
        <w:tc>
          <w:tcPr>
            <w:tcW w:w="2855" w:type="dxa"/>
            <w:vAlign w:val="center"/>
          </w:tcPr>
          <w:p w14:paraId="5C50503A">
            <w:pPr>
              <w:tabs>
                <w:tab w:val="left" w:pos="720"/>
              </w:tabs>
              <w:spacing w:line="360" w:lineRule="auto"/>
              <w:ind w:left="-2" w:firstLine="1"/>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供应链数字化供需协同</w:t>
            </w:r>
          </w:p>
        </w:tc>
        <w:tc>
          <w:tcPr>
            <w:tcW w:w="1560" w:type="dxa"/>
          </w:tcPr>
          <w:p w14:paraId="490127E2">
            <w:pPr>
              <w:tabs>
                <w:tab w:val="left" w:pos="720"/>
              </w:tabs>
              <w:spacing w:line="360" w:lineRule="auto"/>
              <w:ind w:left="420"/>
              <w:jc w:val="center"/>
              <w:rPr>
                <w:rFonts w:asciiTheme="minorEastAsia" w:hAnsiTheme="minorEastAsia" w:eastAsiaTheme="minorEastAsia"/>
                <w:szCs w:val="21"/>
                <w:highlight w:val="none"/>
              </w:rPr>
            </w:pPr>
          </w:p>
        </w:tc>
        <w:tc>
          <w:tcPr>
            <w:tcW w:w="1388" w:type="dxa"/>
            <w:vAlign w:val="center"/>
          </w:tcPr>
          <w:p w14:paraId="2D21D9D1">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7A5DFE4A">
            <w:pPr>
              <w:tabs>
                <w:tab w:val="left" w:pos="720"/>
              </w:tabs>
              <w:spacing w:line="360" w:lineRule="auto"/>
              <w:ind w:left="420"/>
              <w:jc w:val="center"/>
              <w:rPr>
                <w:rFonts w:asciiTheme="minorEastAsia" w:hAnsiTheme="minorEastAsia" w:eastAsiaTheme="minorEastAsia"/>
                <w:szCs w:val="21"/>
                <w:highlight w:val="none"/>
              </w:rPr>
            </w:pPr>
          </w:p>
        </w:tc>
      </w:tr>
      <w:tr w14:paraId="6257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1FC3E7C9">
            <w:pPr>
              <w:tabs>
                <w:tab w:val="left" w:pos="720"/>
              </w:tabs>
              <w:spacing w:line="360" w:lineRule="auto"/>
              <w:jc w:val="center"/>
              <w:rPr>
                <w:rFonts w:hint="eastAsia" w:asciiTheme="minorEastAsia" w:hAnsiTheme="minorEastAsia" w:eastAsiaTheme="minorEastAsia"/>
                <w:szCs w:val="21"/>
                <w:highlight w:val="none"/>
                <w:lang w:val="en-US" w:eastAsia="zh-CN"/>
              </w:rPr>
            </w:pPr>
          </w:p>
        </w:tc>
        <w:tc>
          <w:tcPr>
            <w:tcW w:w="2855" w:type="dxa"/>
            <w:vAlign w:val="center"/>
          </w:tcPr>
          <w:p w14:paraId="3C9E4646">
            <w:pPr>
              <w:tabs>
                <w:tab w:val="left" w:pos="720"/>
              </w:tabs>
              <w:spacing w:line="360" w:lineRule="auto"/>
              <w:ind w:left="-2" w:firstLine="1"/>
              <w:jc w:val="center"/>
              <w:rPr>
                <w:rFonts w:asciiTheme="minorEastAsia" w:hAnsiTheme="minorEastAsia" w:eastAsiaTheme="minorEastAsia"/>
                <w:szCs w:val="21"/>
                <w:highlight w:val="none"/>
              </w:rPr>
            </w:pPr>
          </w:p>
        </w:tc>
        <w:tc>
          <w:tcPr>
            <w:tcW w:w="1560" w:type="dxa"/>
          </w:tcPr>
          <w:p w14:paraId="5E5EF87C">
            <w:pPr>
              <w:tabs>
                <w:tab w:val="left" w:pos="720"/>
              </w:tabs>
              <w:spacing w:line="360" w:lineRule="auto"/>
              <w:ind w:left="420"/>
              <w:jc w:val="center"/>
              <w:rPr>
                <w:rFonts w:asciiTheme="minorEastAsia" w:hAnsiTheme="minorEastAsia" w:eastAsiaTheme="minorEastAsia"/>
                <w:szCs w:val="21"/>
                <w:highlight w:val="none"/>
              </w:rPr>
            </w:pPr>
          </w:p>
        </w:tc>
        <w:tc>
          <w:tcPr>
            <w:tcW w:w="1388" w:type="dxa"/>
            <w:vAlign w:val="center"/>
          </w:tcPr>
          <w:p w14:paraId="5799802A">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16353D61">
            <w:pPr>
              <w:tabs>
                <w:tab w:val="left" w:pos="720"/>
              </w:tabs>
              <w:spacing w:line="360" w:lineRule="auto"/>
              <w:ind w:left="420"/>
              <w:jc w:val="center"/>
              <w:rPr>
                <w:rFonts w:asciiTheme="minorEastAsia" w:hAnsiTheme="minorEastAsia" w:eastAsiaTheme="minorEastAsia"/>
                <w:szCs w:val="21"/>
                <w:highlight w:val="none"/>
              </w:rPr>
            </w:pPr>
          </w:p>
        </w:tc>
      </w:tr>
      <w:tr w14:paraId="0073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6BF49D56">
            <w:pPr>
              <w:tabs>
                <w:tab w:val="left" w:pos="720"/>
              </w:tabs>
              <w:spacing w:line="360" w:lineRule="auto"/>
              <w:jc w:val="center"/>
              <w:rPr>
                <w:rFonts w:hint="eastAsia" w:asciiTheme="minorEastAsia" w:hAnsiTheme="minorEastAsia" w:eastAsiaTheme="minorEastAsia"/>
                <w:szCs w:val="21"/>
                <w:highlight w:val="none"/>
                <w:lang w:val="en-US" w:eastAsia="zh-CN"/>
              </w:rPr>
            </w:pPr>
          </w:p>
        </w:tc>
        <w:tc>
          <w:tcPr>
            <w:tcW w:w="2855" w:type="dxa"/>
            <w:vAlign w:val="center"/>
          </w:tcPr>
          <w:p w14:paraId="283FDA44">
            <w:pPr>
              <w:tabs>
                <w:tab w:val="left" w:pos="720"/>
              </w:tabs>
              <w:spacing w:line="360" w:lineRule="auto"/>
              <w:ind w:left="-2" w:firstLine="1"/>
              <w:jc w:val="center"/>
              <w:rPr>
                <w:rFonts w:asciiTheme="minorEastAsia" w:hAnsiTheme="minorEastAsia" w:eastAsiaTheme="minorEastAsia"/>
                <w:szCs w:val="21"/>
                <w:highlight w:val="none"/>
              </w:rPr>
            </w:pPr>
          </w:p>
        </w:tc>
        <w:tc>
          <w:tcPr>
            <w:tcW w:w="1560" w:type="dxa"/>
          </w:tcPr>
          <w:p w14:paraId="2CDBA6B4">
            <w:pPr>
              <w:tabs>
                <w:tab w:val="left" w:pos="720"/>
              </w:tabs>
              <w:spacing w:line="360" w:lineRule="auto"/>
              <w:ind w:left="420"/>
              <w:jc w:val="center"/>
              <w:rPr>
                <w:rFonts w:asciiTheme="minorEastAsia" w:hAnsiTheme="minorEastAsia" w:eastAsiaTheme="minorEastAsia"/>
                <w:szCs w:val="21"/>
                <w:highlight w:val="none"/>
              </w:rPr>
            </w:pPr>
          </w:p>
        </w:tc>
        <w:tc>
          <w:tcPr>
            <w:tcW w:w="1388" w:type="dxa"/>
            <w:vAlign w:val="center"/>
          </w:tcPr>
          <w:p w14:paraId="7709BB29">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673E2D24">
            <w:pPr>
              <w:tabs>
                <w:tab w:val="left" w:pos="720"/>
              </w:tabs>
              <w:spacing w:line="360" w:lineRule="auto"/>
              <w:ind w:left="420"/>
              <w:jc w:val="center"/>
              <w:rPr>
                <w:rFonts w:asciiTheme="minorEastAsia" w:hAnsiTheme="minorEastAsia" w:eastAsiaTheme="minorEastAsia"/>
                <w:szCs w:val="21"/>
                <w:highlight w:val="none"/>
              </w:rPr>
            </w:pPr>
          </w:p>
        </w:tc>
      </w:tr>
      <w:tr w14:paraId="6E16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30EE360F">
            <w:pPr>
              <w:tabs>
                <w:tab w:val="left" w:pos="720"/>
              </w:tabs>
              <w:spacing w:line="360" w:lineRule="auto"/>
              <w:jc w:val="center"/>
              <w:rPr>
                <w:rFonts w:hint="eastAsia" w:asciiTheme="minorEastAsia" w:hAnsiTheme="minorEastAsia" w:eastAsiaTheme="minorEastAsia"/>
                <w:szCs w:val="21"/>
                <w:highlight w:val="none"/>
                <w:lang w:val="en-US" w:eastAsia="zh-CN"/>
              </w:rPr>
            </w:pPr>
          </w:p>
        </w:tc>
        <w:tc>
          <w:tcPr>
            <w:tcW w:w="2855" w:type="dxa"/>
            <w:vAlign w:val="center"/>
          </w:tcPr>
          <w:p w14:paraId="1EA3F896">
            <w:pPr>
              <w:tabs>
                <w:tab w:val="left" w:pos="720"/>
              </w:tabs>
              <w:spacing w:line="360" w:lineRule="auto"/>
              <w:ind w:left="-2" w:firstLine="1"/>
              <w:jc w:val="center"/>
              <w:rPr>
                <w:rFonts w:asciiTheme="minorEastAsia" w:hAnsiTheme="minorEastAsia" w:eastAsiaTheme="minorEastAsia"/>
                <w:szCs w:val="21"/>
                <w:highlight w:val="none"/>
              </w:rPr>
            </w:pPr>
          </w:p>
        </w:tc>
        <w:tc>
          <w:tcPr>
            <w:tcW w:w="1560" w:type="dxa"/>
          </w:tcPr>
          <w:p w14:paraId="4A84132A">
            <w:pPr>
              <w:tabs>
                <w:tab w:val="left" w:pos="720"/>
              </w:tabs>
              <w:spacing w:line="360" w:lineRule="auto"/>
              <w:ind w:left="420"/>
              <w:jc w:val="center"/>
              <w:rPr>
                <w:rFonts w:asciiTheme="minorEastAsia" w:hAnsiTheme="minorEastAsia" w:eastAsiaTheme="minorEastAsia"/>
                <w:szCs w:val="21"/>
                <w:highlight w:val="none"/>
              </w:rPr>
            </w:pPr>
          </w:p>
        </w:tc>
        <w:tc>
          <w:tcPr>
            <w:tcW w:w="1388" w:type="dxa"/>
            <w:vAlign w:val="center"/>
          </w:tcPr>
          <w:p w14:paraId="75A689B2">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2411D9CA">
            <w:pPr>
              <w:tabs>
                <w:tab w:val="left" w:pos="720"/>
              </w:tabs>
              <w:spacing w:line="360" w:lineRule="auto"/>
              <w:ind w:left="420"/>
              <w:jc w:val="center"/>
              <w:rPr>
                <w:rFonts w:asciiTheme="minorEastAsia" w:hAnsiTheme="minorEastAsia" w:eastAsiaTheme="minorEastAsia"/>
                <w:szCs w:val="21"/>
                <w:highlight w:val="none"/>
              </w:rPr>
            </w:pPr>
          </w:p>
        </w:tc>
      </w:tr>
      <w:bookmarkEnd w:id="791"/>
      <w:bookmarkEnd w:id="792"/>
      <w:bookmarkEnd w:id="793"/>
    </w:tbl>
    <w:p w14:paraId="50094308">
      <w:pPr>
        <w:topLinePunct/>
        <w:spacing w:line="440" w:lineRule="exact"/>
        <w:jc w:val="left"/>
        <w:rPr>
          <w:rFonts w:asciiTheme="minorEastAsia" w:hAnsiTheme="minorEastAsia" w:eastAsiaTheme="minorEastAsia"/>
          <w:b/>
          <w:highlight w:val="none"/>
        </w:rPr>
      </w:pPr>
    </w:p>
    <w:p w14:paraId="7791239D">
      <w:pPr>
        <w:topLinePunct/>
        <w:spacing w:line="440" w:lineRule="exact"/>
        <w:jc w:val="left"/>
        <w:rPr>
          <w:rFonts w:asciiTheme="minorEastAsia" w:hAnsiTheme="minorEastAsia" w:eastAsiaTheme="minorEastAsia"/>
          <w:b/>
          <w:highlight w:val="none"/>
        </w:rPr>
      </w:pPr>
    </w:p>
    <w:p w14:paraId="67C6987E">
      <w:pPr>
        <w:topLinePunct/>
        <w:spacing w:line="440" w:lineRule="exact"/>
        <w:jc w:val="left"/>
        <w:rPr>
          <w:rFonts w:asciiTheme="minorEastAsia" w:hAnsiTheme="minorEastAsia" w:eastAsiaTheme="minorEastAsia"/>
          <w:b/>
          <w:highlight w:val="none"/>
        </w:rPr>
      </w:pPr>
    </w:p>
    <w:p w14:paraId="116F3E50">
      <w:pPr>
        <w:topLinePunct/>
        <w:spacing w:line="440" w:lineRule="exact"/>
        <w:jc w:val="left"/>
        <w:rPr>
          <w:rFonts w:hint="eastAsia" w:asciiTheme="minorEastAsia" w:hAnsiTheme="minorEastAsia" w:eastAsiaTheme="minorEastAsia"/>
          <w:b/>
          <w:highlight w:val="none"/>
          <w:lang w:eastAsia="zh-CN"/>
        </w:rPr>
      </w:pPr>
      <w:r>
        <w:rPr>
          <w:rFonts w:hint="eastAsia" w:asciiTheme="minorEastAsia" w:hAnsiTheme="minorEastAsia" w:eastAsiaTheme="minorEastAsia"/>
          <w:b/>
          <w:highlight w:val="none"/>
          <w:lang w:eastAsia="zh-CN"/>
        </w:rPr>
        <w:t>编制要求：投标人可以根据实际情况对本文件进行调整和修改，但应满足集中招标文件对本文件的要求。</w:t>
      </w:r>
    </w:p>
    <w:p w14:paraId="147DE5B7">
      <w:pPr>
        <w:topLinePunct/>
        <w:spacing w:line="440" w:lineRule="exact"/>
        <w:jc w:val="left"/>
        <w:rPr>
          <w:rFonts w:hint="eastAsia" w:asciiTheme="minorEastAsia" w:hAnsiTheme="minorEastAsia" w:eastAsiaTheme="minorEastAsia"/>
          <w:b/>
          <w:highlight w:val="none"/>
          <w:lang w:eastAsia="zh-CN"/>
        </w:rPr>
      </w:pPr>
    </w:p>
    <w:p w14:paraId="112A0476">
      <w:pPr>
        <w:topLinePunct/>
        <w:spacing w:line="440" w:lineRule="exact"/>
        <w:jc w:val="left"/>
        <w:rPr>
          <w:rFonts w:asciiTheme="minorEastAsia" w:hAnsiTheme="minorEastAsia" w:eastAsiaTheme="minorEastAsia"/>
          <w:szCs w:val="21"/>
          <w:highlight w:val="none"/>
        </w:rPr>
        <w:sectPr>
          <w:pgSz w:w="11906" w:h="16838"/>
          <w:pgMar w:top="1440" w:right="1800" w:bottom="1440" w:left="1800" w:header="851" w:footer="992" w:gutter="0"/>
          <w:pgNumType w:fmt="decimal"/>
          <w:cols w:space="425" w:num="1"/>
          <w:docGrid w:type="lines" w:linePitch="312" w:charSpace="0"/>
        </w:sectPr>
      </w:pPr>
    </w:p>
    <w:p w14:paraId="1FE414DE">
      <w:pPr>
        <w:pStyle w:val="81"/>
        <w:numPr>
          <w:ilvl w:val="0"/>
          <w:numId w:val="0"/>
        </w:numPr>
        <w:tabs>
          <w:tab w:val="left" w:pos="588"/>
        </w:tabs>
        <w:snapToGrid w:val="0"/>
        <w:spacing w:before="120" w:after="120" w:line="440" w:lineRule="exact"/>
        <w:ind w:left="635" w:leftChars="0" w:hanging="425" w:firstLineChars="0"/>
        <w:jc w:val="left"/>
        <w:rPr>
          <w:rFonts w:asciiTheme="minorEastAsia" w:hAnsiTheme="minorEastAsia" w:eastAsiaTheme="minorEastAsia"/>
          <w:sz w:val="24"/>
          <w:szCs w:val="24"/>
          <w:highlight w:val="none"/>
        </w:rPr>
      </w:pPr>
      <w:bookmarkStart w:id="806" w:name="_Toc2839"/>
      <w:bookmarkStart w:id="807" w:name="_Toc11408"/>
      <w:bookmarkStart w:id="808" w:name="_Toc17704"/>
      <w:bookmarkStart w:id="809" w:name="_Toc38008079"/>
      <w:bookmarkStart w:id="810" w:name="_Toc1506"/>
      <w:bookmarkStart w:id="811" w:name="_Toc18763"/>
      <w:bookmarkStart w:id="812" w:name="_Toc16637"/>
      <w:bookmarkStart w:id="813" w:name="_Toc15118"/>
      <w:bookmarkStart w:id="814" w:name="_Toc20779"/>
      <w:bookmarkStart w:id="815" w:name="_Toc19868"/>
      <w:bookmarkStart w:id="816" w:name="_Toc21330"/>
      <w:bookmarkStart w:id="817" w:name="_Toc9572"/>
      <w:bookmarkStart w:id="818" w:name="_Toc476245699"/>
      <w:bookmarkStart w:id="819" w:name="_Toc475891555"/>
      <w:bookmarkStart w:id="820" w:name="_Toc475472672"/>
      <w:bookmarkStart w:id="821" w:name="_Toc438052120"/>
      <w:bookmarkStart w:id="822" w:name="_Toc38008080"/>
      <w:r>
        <w:rPr>
          <w:rFonts w:hint="eastAsia" w:cs="Times New Roman" w:asciiTheme="minorEastAsia" w:hAnsiTheme="minorEastAsia" w:eastAsiaTheme="minorEastAsia"/>
          <w:b/>
          <w:bCs/>
          <w:kern w:val="2"/>
          <w:sz w:val="24"/>
          <w:szCs w:val="24"/>
          <w:lang w:val="en-US" w:eastAsia="zh-CN" w:bidi="ar-SA"/>
        </w:rPr>
        <w:t>4.</w:t>
      </w:r>
      <w:r>
        <w:rPr>
          <w:rFonts w:hint="eastAsia" w:asciiTheme="minorEastAsia" w:hAnsiTheme="minorEastAsia" w:eastAsiaTheme="minorEastAsia"/>
          <w:sz w:val="24"/>
          <w:szCs w:val="24"/>
          <w:highlight w:val="none"/>
        </w:rPr>
        <w:t>投标专用印章授权函（如有）</w:t>
      </w:r>
      <w:bookmarkEnd w:id="806"/>
      <w:bookmarkEnd w:id="807"/>
      <w:bookmarkEnd w:id="808"/>
      <w:bookmarkEnd w:id="809"/>
      <w:bookmarkEnd w:id="810"/>
      <w:bookmarkEnd w:id="811"/>
      <w:bookmarkEnd w:id="812"/>
      <w:bookmarkEnd w:id="813"/>
      <w:bookmarkEnd w:id="814"/>
      <w:bookmarkEnd w:id="815"/>
      <w:bookmarkEnd w:id="816"/>
      <w:bookmarkEnd w:id="817"/>
    </w:p>
    <w:bookmarkEnd w:id="818"/>
    <w:bookmarkEnd w:id="819"/>
    <w:p w14:paraId="162E667D">
      <w:pPr>
        <w:spacing w:line="400" w:lineRule="exact"/>
        <w:jc w:val="center"/>
        <w:rPr>
          <w:rFonts w:asciiTheme="minorEastAsia" w:hAnsiTheme="minorEastAsia" w:eastAsiaTheme="minorEastAsia"/>
          <w:b/>
          <w:sz w:val="24"/>
          <w:highlight w:val="none"/>
        </w:rPr>
      </w:pPr>
    </w:p>
    <w:p w14:paraId="27410450">
      <w:pPr>
        <w:spacing w:line="40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投标专用印章授权函</w:t>
      </w:r>
    </w:p>
    <w:p w14:paraId="0A1C3C26">
      <w:pPr>
        <w:spacing w:line="400" w:lineRule="exact"/>
        <w:jc w:val="center"/>
        <w:rPr>
          <w:rFonts w:asciiTheme="minorEastAsia" w:hAnsiTheme="minorEastAsia" w:eastAsiaTheme="minorEastAsia"/>
          <w:color w:val="000000"/>
          <w:szCs w:val="21"/>
          <w:highlight w:val="none"/>
          <w:u w:val="single"/>
        </w:rPr>
      </w:pPr>
    </w:p>
    <w:p w14:paraId="7C5F6C7D">
      <w:pPr>
        <w:spacing w:line="360" w:lineRule="auto"/>
        <w:rPr>
          <w:rFonts w:asciiTheme="minorEastAsia" w:hAnsiTheme="minorEastAsia" w:eastAsiaTheme="minorEastAsia"/>
          <w:szCs w:val="21"/>
          <w:highlight w:val="none"/>
        </w:rPr>
      </w:pPr>
    </w:p>
    <w:p w14:paraId="737296A6">
      <w:pPr>
        <w:spacing w:line="360" w:lineRule="auto"/>
        <w:rPr>
          <w:rFonts w:asciiTheme="minorEastAsia" w:hAnsiTheme="minorEastAsia" w:eastAsiaTheme="minorEastAsia"/>
          <w:sz w:val="24"/>
          <w:highlight w:val="none"/>
        </w:rPr>
      </w:pPr>
    </w:p>
    <w:p w14:paraId="465BF776">
      <w:pPr>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我单位特授权在</w:t>
      </w:r>
      <w:r>
        <w:rPr>
          <w:rFonts w:hint="eastAsia" w:asciiTheme="minorEastAsia" w:hAnsiTheme="minorEastAsia" w:eastAsiaTheme="minorEastAsia"/>
          <w:szCs w:val="21"/>
          <w:highlight w:val="none"/>
          <w:u w:val="single"/>
        </w:rPr>
        <w:t>（采购项目名称）</w:t>
      </w:r>
      <w:r>
        <w:rPr>
          <w:rFonts w:hint="eastAsia" w:asciiTheme="minorEastAsia" w:hAnsiTheme="minorEastAsia" w:eastAsiaTheme="minorEastAsia"/>
          <w:szCs w:val="21"/>
          <w:highlight w:val="none"/>
        </w:rPr>
        <w:t>的资格审查、投标活动中使用“</w:t>
      </w:r>
      <w:r>
        <w:rPr>
          <w:rFonts w:hint="eastAsia" w:asciiTheme="minorEastAsia" w:hAnsiTheme="minorEastAsia" w:eastAsiaTheme="minorEastAsia"/>
          <w:szCs w:val="21"/>
          <w:highlight w:val="none"/>
          <w:u w:val="single"/>
        </w:rPr>
        <w:t>（被授权印章名称）</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（被授权印章名称）</w:t>
      </w:r>
      <w:r>
        <w:rPr>
          <w:rFonts w:hint="eastAsia" w:asciiTheme="minorEastAsia" w:hAnsiTheme="minorEastAsia" w:eastAsiaTheme="minorEastAsia"/>
          <w:szCs w:val="21"/>
          <w:highlight w:val="none"/>
        </w:rPr>
        <w:t>与我公司公章具有同等法律效力。因使用“</w:t>
      </w:r>
      <w:r>
        <w:rPr>
          <w:rFonts w:hint="eastAsia" w:asciiTheme="minorEastAsia" w:hAnsiTheme="minorEastAsia" w:eastAsiaTheme="minorEastAsia"/>
          <w:szCs w:val="21"/>
          <w:highlight w:val="none"/>
          <w:u w:val="single"/>
        </w:rPr>
        <w:t>（被授权印章名称）</w:t>
      </w:r>
      <w:r>
        <w:rPr>
          <w:rFonts w:hint="eastAsia" w:asciiTheme="minorEastAsia" w:hAnsiTheme="minorEastAsia" w:eastAsiaTheme="minorEastAsia"/>
          <w:szCs w:val="21"/>
          <w:highlight w:val="none"/>
        </w:rPr>
        <w:t>”所引起的法律后果由我单位承担。</w:t>
      </w:r>
    </w:p>
    <w:p w14:paraId="290412C8">
      <w:pPr>
        <w:spacing w:line="360" w:lineRule="auto"/>
        <w:ind w:firstLine="420" w:firstLineChars="200"/>
        <w:jc w:val="left"/>
        <w:rPr>
          <w:rFonts w:asciiTheme="minorEastAsia" w:hAnsiTheme="minorEastAsia" w:eastAsiaTheme="minorEastAsia"/>
          <w:szCs w:val="21"/>
          <w:highlight w:val="none"/>
        </w:rPr>
      </w:pPr>
    </w:p>
    <w:p w14:paraId="06E310A8">
      <w:pPr>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特此证明。</w:t>
      </w:r>
    </w:p>
    <w:p w14:paraId="5CF206D8">
      <w:pPr>
        <w:ind w:firstLine="422" w:firstLineChars="200"/>
        <w:rPr>
          <w:rFonts w:asciiTheme="minorEastAsia" w:hAnsiTheme="minorEastAsia" w:eastAsiaTheme="minorEastAsia"/>
          <w:b/>
          <w:szCs w:val="21"/>
          <w:highlight w:val="none"/>
        </w:rPr>
      </w:pPr>
    </w:p>
    <w:p w14:paraId="29E51668">
      <w:pPr>
        <w:ind w:firstLine="422" w:firstLineChars="200"/>
        <w:rPr>
          <w:rFonts w:asciiTheme="minorEastAsia" w:hAnsiTheme="minorEastAsia" w:eastAsiaTheme="minorEastAsia"/>
          <w:b/>
          <w:szCs w:val="21"/>
          <w:highlight w:val="none"/>
        </w:rPr>
      </w:pPr>
    </w:p>
    <w:p w14:paraId="49F440C5">
      <w:pPr>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投标人被授权印章：                            </w:t>
      </w:r>
    </w:p>
    <w:p w14:paraId="132986A3">
      <w:pPr>
        <w:rPr>
          <w:rFonts w:asciiTheme="minorEastAsia" w:hAnsiTheme="minorEastAsia" w:eastAsiaTheme="minorEastAsia"/>
          <w:szCs w:val="21"/>
          <w:highlight w:val="none"/>
        </w:rPr>
      </w:pPr>
      <w:r>
        <w:rPr>
          <w:rFonts w:asciiTheme="minorEastAsia" w:hAnsiTheme="minorEastAsia" w:eastAsiaTheme="minorEastAsia"/>
          <w:szCs w:val="21"/>
          <w:highlight w:val="none"/>
        </w:rPr>
        <mc:AlternateContent>
          <mc:Choice Requires="wps">
            <w:drawing>
              <wp:anchor distT="0" distB="0" distL="114300" distR="114300" simplePos="0" relativeHeight="251665408" behindDoc="0" locked="0" layoutInCell="1" allowOverlap="1">
                <wp:simplePos x="0" y="0"/>
                <wp:positionH relativeFrom="column">
                  <wp:posOffset>209550</wp:posOffset>
                </wp:positionH>
                <wp:positionV relativeFrom="paragraph">
                  <wp:posOffset>89535</wp:posOffset>
                </wp:positionV>
                <wp:extent cx="2339975" cy="2339975"/>
                <wp:effectExtent l="0" t="0" r="22225" b="22225"/>
                <wp:wrapNone/>
                <wp:docPr id="17" name="矩形 2"/>
                <wp:cNvGraphicFramePr/>
                <a:graphic xmlns:a="http://schemas.openxmlformats.org/drawingml/2006/main">
                  <a:graphicData uri="http://schemas.microsoft.com/office/word/2010/wordprocessingShape">
                    <wps:wsp>
                      <wps:cNvSpPr>
                        <a:spLocks noChangeArrowheads="1"/>
                      </wps:cNvSpPr>
                      <wps:spPr bwMode="auto">
                        <a:xfrm>
                          <a:off x="0" y="0"/>
                          <a:ext cx="2339975" cy="2339975"/>
                        </a:xfrm>
                        <a:prstGeom prst="rect">
                          <a:avLst/>
                        </a:prstGeom>
                        <a:solidFill>
                          <a:srgbClr val="FFFFFF"/>
                        </a:solidFill>
                        <a:ln w="9525">
                          <a:solidFill>
                            <a:srgbClr val="000000"/>
                          </a:solidFill>
                          <a:miter lim="800000"/>
                        </a:ln>
                      </wps:spPr>
                      <wps:txbx>
                        <w:txbxContent>
                          <w:p w14:paraId="567B5C23">
                            <w:r>
                              <w:rPr>
                                <w:rFonts w:hint="eastAsia"/>
                              </w:rPr>
                              <w:t>（在</w:t>
                            </w:r>
                            <w:r>
                              <w:t>此盖章）</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16.5pt;margin-top:7.05pt;height:184.25pt;width:184.25pt;z-index:251665408;mso-width-relative:page;mso-height-relative:page;" fillcolor="#FFFFFF" filled="t" stroked="t" coordsize="21600,21600" o:gfxdata="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oDBxnXAAAACQEAAA8AAAAAAAAAAQAgAAAAIgAAAGRycy9kb3ducmV2&#10;LnhtbFBLAQIUABQAAAAIAIdO4kBiQNsyNgIAAHwEAAAOAAAAAAAAAAEAIAAAACYBAABkcnMvZTJv&#10;RG9jLnhtbFBLBQYAAAAABgAGAFkBAADOBQAAAAA=&#10;">
                <v:fill on="t" focussize="0,0"/>
                <v:stroke color="#000000" miterlimit="8" joinstyle="miter"/>
                <v:imagedata o:title=""/>
                <o:lock v:ext="edit" aspectratio="f"/>
                <v:textbox>
                  <w:txbxContent>
                    <w:p w14:paraId="567B5C23">
                      <w:r>
                        <w:rPr>
                          <w:rFonts w:hint="eastAsia"/>
                        </w:rPr>
                        <w:t>（在</w:t>
                      </w:r>
                      <w:r>
                        <w:t>此盖章）</w:t>
                      </w:r>
                    </w:p>
                  </w:txbxContent>
                </v:textbox>
              </v:rect>
            </w:pict>
          </mc:Fallback>
        </mc:AlternateContent>
      </w:r>
    </w:p>
    <w:p w14:paraId="1005D27B">
      <w:pPr>
        <w:rPr>
          <w:rFonts w:asciiTheme="minorEastAsia" w:hAnsiTheme="minorEastAsia" w:eastAsiaTheme="minorEastAsia"/>
          <w:szCs w:val="21"/>
          <w:highlight w:val="none"/>
        </w:rPr>
      </w:pPr>
    </w:p>
    <w:p w14:paraId="6E05B6AF">
      <w:pPr>
        <w:rPr>
          <w:rFonts w:asciiTheme="minorEastAsia" w:hAnsiTheme="minorEastAsia" w:eastAsiaTheme="minorEastAsia"/>
          <w:szCs w:val="21"/>
          <w:highlight w:val="none"/>
        </w:rPr>
      </w:pPr>
    </w:p>
    <w:p w14:paraId="0871B006">
      <w:pPr>
        <w:rPr>
          <w:rFonts w:asciiTheme="minorEastAsia" w:hAnsiTheme="minorEastAsia" w:eastAsiaTheme="minorEastAsia"/>
          <w:szCs w:val="21"/>
          <w:highlight w:val="none"/>
        </w:rPr>
      </w:pPr>
    </w:p>
    <w:p w14:paraId="75B2456A">
      <w:pPr>
        <w:rPr>
          <w:rFonts w:asciiTheme="minorEastAsia" w:hAnsiTheme="minorEastAsia" w:eastAsiaTheme="minorEastAsia"/>
          <w:szCs w:val="21"/>
          <w:highlight w:val="none"/>
        </w:rPr>
      </w:pPr>
    </w:p>
    <w:p w14:paraId="7B44B319">
      <w:pPr>
        <w:ind w:firstLine="1259" w:firstLineChars="597"/>
        <w:rPr>
          <w:rFonts w:asciiTheme="minorEastAsia" w:hAnsiTheme="minorEastAsia" w:eastAsiaTheme="minorEastAsia"/>
          <w:b/>
          <w:szCs w:val="21"/>
          <w:highlight w:val="none"/>
        </w:rPr>
      </w:pPr>
    </w:p>
    <w:p w14:paraId="30C72A54">
      <w:pPr>
        <w:ind w:right="18" w:firstLine="4676" w:firstLineChars="2227"/>
        <w:rPr>
          <w:rFonts w:asciiTheme="minorEastAsia" w:hAnsiTheme="minorEastAsia" w:eastAsiaTheme="minorEastAsia"/>
          <w:szCs w:val="21"/>
          <w:highlight w:val="none"/>
        </w:rPr>
      </w:pPr>
    </w:p>
    <w:p w14:paraId="4E24DF49">
      <w:pPr>
        <w:ind w:right="18" w:firstLine="4676" w:firstLineChars="2227"/>
        <w:rPr>
          <w:rFonts w:asciiTheme="minorEastAsia" w:hAnsiTheme="minorEastAsia" w:eastAsiaTheme="minorEastAsia"/>
          <w:szCs w:val="21"/>
          <w:highlight w:val="none"/>
        </w:rPr>
      </w:pPr>
    </w:p>
    <w:p w14:paraId="0AA76C8D">
      <w:pPr>
        <w:ind w:right="18" w:firstLine="4676" w:firstLineChars="2227"/>
        <w:rPr>
          <w:rFonts w:asciiTheme="minorEastAsia" w:hAnsiTheme="minorEastAsia" w:eastAsiaTheme="minorEastAsia"/>
          <w:szCs w:val="21"/>
          <w:highlight w:val="none"/>
        </w:rPr>
      </w:pPr>
    </w:p>
    <w:p w14:paraId="3601864F">
      <w:pPr>
        <w:ind w:right="18" w:firstLine="4676" w:firstLineChars="2227"/>
        <w:rPr>
          <w:rFonts w:asciiTheme="minorEastAsia" w:hAnsiTheme="minorEastAsia" w:eastAsiaTheme="minorEastAsia"/>
          <w:szCs w:val="21"/>
          <w:highlight w:val="none"/>
        </w:rPr>
      </w:pPr>
    </w:p>
    <w:p w14:paraId="77A6CE39">
      <w:pPr>
        <w:ind w:right="18" w:firstLine="4676" w:firstLineChars="2227"/>
        <w:rPr>
          <w:rFonts w:asciiTheme="minorEastAsia" w:hAnsiTheme="minorEastAsia" w:eastAsiaTheme="minorEastAsia"/>
          <w:szCs w:val="21"/>
          <w:highlight w:val="none"/>
        </w:rPr>
      </w:pPr>
    </w:p>
    <w:p w14:paraId="4DAAA27D">
      <w:pPr>
        <w:ind w:right="18" w:firstLine="4676" w:firstLineChars="2227"/>
        <w:rPr>
          <w:rFonts w:asciiTheme="minorEastAsia" w:hAnsiTheme="minorEastAsia" w:eastAsiaTheme="minorEastAsia"/>
          <w:szCs w:val="21"/>
          <w:highlight w:val="none"/>
        </w:rPr>
      </w:pPr>
    </w:p>
    <w:p w14:paraId="5757F1E7">
      <w:pPr>
        <w:ind w:right="18" w:firstLine="4676" w:firstLineChars="2227"/>
        <w:rPr>
          <w:rFonts w:asciiTheme="minorEastAsia" w:hAnsiTheme="minorEastAsia" w:eastAsiaTheme="minorEastAsia"/>
          <w:szCs w:val="21"/>
          <w:highlight w:val="none"/>
        </w:rPr>
      </w:pPr>
    </w:p>
    <w:p w14:paraId="2777FCB6">
      <w:pPr>
        <w:ind w:right="18" w:firstLine="4676" w:firstLineChars="2227"/>
        <w:rPr>
          <w:rFonts w:asciiTheme="minorEastAsia" w:hAnsiTheme="minorEastAsia" w:eastAsiaTheme="minorEastAsia"/>
          <w:szCs w:val="21"/>
          <w:highlight w:val="none"/>
        </w:rPr>
      </w:pPr>
    </w:p>
    <w:p w14:paraId="4BC76D9B">
      <w:pPr>
        <w:spacing w:line="440" w:lineRule="exact"/>
        <w:ind w:firstLine="1274" w:firstLineChars="607"/>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投标人名称：</w:t>
      </w:r>
      <w:r>
        <w:rPr>
          <w:rFonts w:hint="eastAsia" w:asciiTheme="minorEastAsia" w:hAnsiTheme="minorEastAsia" w:eastAsiaTheme="minorEastAsia"/>
          <w:szCs w:val="21"/>
          <w:highlight w:val="none"/>
          <w:u w:val="single"/>
        </w:rPr>
        <w:t xml:space="preserve">　　　　　　　　          </w:t>
      </w:r>
      <w:r>
        <w:rPr>
          <w:rFonts w:asciiTheme="minorEastAsia" w:hAnsiTheme="minorEastAsia" w:eastAsiaTheme="minorEastAsia"/>
          <w:szCs w:val="21"/>
          <w:highlight w:val="none"/>
        </w:rPr>
        <w:t>（盖单位公章）</w:t>
      </w:r>
    </w:p>
    <w:p w14:paraId="6330D29D">
      <w:pPr>
        <w:spacing w:line="440" w:lineRule="exact"/>
        <w:ind w:firstLine="1274" w:firstLineChars="607"/>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4E1A091B">
      <w:pPr>
        <w:ind w:right="18" w:firstLine="4676" w:firstLineChars="2227"/>
        <w:rPr>
          <w:rFonts w:asciiTheme="minorEastAsia" w:hAnsiTheme="minorEastAsia" w:eastAsiaTheme="minorEastAsia"/>
          <w:szCs w:val="21"/>
          <w:highlight w:val="none"/>
        </w:rPr>
      </w:pPr>
    </w:p>
    <w:p w14:paraId="6D9E4D71">
      <w:pPr>
        <w:topLinePunct/>
        <w:spacing w:line="440" w:lineRule="exact"/>
        <w:jc w:val="left"/>
        <w:rPr>
          <w:rFonts w:asciiTheme="minorEastAsia" w:hAnsiTheme="minorEastAsia" w:eastAsiaTheme="minorEastAsia"/>
          <w:color w:val="000000"/>
          <w:highlight w:val="none"/>
        </w:rPr>
      </w:pPr>
      <w:r>
        <w:rPr>
          <w:rFonts w:hint="eastAsia" w:asciiTheme="minorEastAsia" w:hAnsiTheme="minorEastAsia" w:eastAsiaTheme="minorEastAsia"/>
          <w:b/>
          <w:color w:val="000000"/>
          <w:highlight w:val="none"/>
        </w:rPr>
        <w:t>编制要求</w:t>
      </w:r>
      <w:r>
        <w:rPr>
          <w:rFonts w:hint="eastAsia" w:asciiTheme="minorEastAsia" w:hAnsiTheme="minorEastAsia" w:eastAsiaTheme="minorEastAsia"/>
          <w:color w:val="000000"/>
          <w:highlight w:val="none"/>
        </w:rPr>
        <w:t>：</w:t>
      </w:r>
    </w:p>
    <w:p w14:paraId="4A4973BC">
      <w:pPr>
        <w:topLinePunct/>
        <w:spacing w:line="440" w:lineRule="exact"/>
        <w:jc w:val="left"/>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1.本文件仅适用于</w:t>
      </w:r>
      <w:r>
        <w:rPr>
          <w:rFonts w:hint="eastAsia" w:asciiTheme="minorEastAsia" w:hAnsiTheme="minorEastAsia" w:eastAsiaTheme="minorEastAsia"/>
          <w:szCs w:val="21"/>
          <w:highlight w:val="none"/>
        </w:rPr>
        <w:t>要求递交加盖印章扫描件的情形</w:t>
      </w:r>
      <w:r>
        <w:rPr>
          <w:rFonts w:hint="eastAsia" w:asciiTheme="minorEastAsia" w:hAnsiTheme="minorEastAsia" w:eastAsiaTheme="minorEastAsia"/>
          <w:color w:val="000000"/>
          <w:highlight w:val="none"/>
        </w:rPr>
        <w:t>。</w:t>
      </w:r>
    </w:p>
    <w:p w14:paraId="0FCAF93F">
      <w:pPr>
        <w:topLinePunct/>
        <w:spacing w:line="440" w:lineRule="exact"/>
        <w:jc w:val="left"/>
        <w:rPr>
          <w:rFonts w:asciiTheme="minorEastAsia" w:hAnsiTheme="minorEastAsia" w:eastAsiaTheme="minorEastAsia"/>
          <w:color w:val="000000"/>
          <w:szCs w:val="21"/>
          <w:highlight w:val="none"/>
        </w:rPr>
      </w:pPr>
      <w:r>
        <w:rPr>
          <w:rFonts w:hint="eastAsia" w:asciiTheme="minorEastAsia" w:hAnsiTheme="minorEastAsia" w:eastAsiaTheme="minorEastAsia"/>
          <w:color w:val="000000"/>
          <w:highlight w:val="none"/>
        </w:rPr>
        <w:t>2.</w:t>
      </w:r>
      <w:r>
        <w:rPr>
          <w:rFonts w:hint="eastAsia"/>
          <w:highlight w:val="none"/>
        </w:rPr>
        <w:t>除本文件允许投标人进行填写的内容以外，投标人不得对本文件进行修改</w:t>
      </w:r>
      <w:r>
        <w:rPr>
          <w:rFonts w:hint="eastAsia" w:asciiTheme="minorEastAsia" w:hAnsiTheme="minorEastAsia" w:eastAsiaTheme="minorEastAsia"/>
          <w:highlight w:val="none"/>
        </w:rPr>
        <w:t>。</w:t>
      </w:r>
    </w:p>
    <w:p w14:paraId="19D6F670">
      <w:pPr>
        <w:widowControl/>
        <w:jc w:val="left"/>
        <w:rPr>
          <w:rFonts w:asciiTheme="minorEastAsia" w:hAnsiTheme="minorEastAsia" w:eastAsiaTheme="minorEastAsia"/>
          <w:b/>
          <w:bCs/>
          <w:sz w:val="24"/>
          <w:highlight w:val="none"/>
        </w:rPr>
      </w:pPr>
      <w:r>
        <w:rPr>
          <w:rFonts w:asciiTheme="minorEastAsia" w:hAnsiTheme="minorEastAsia" w:eastAsiaTheme="minorEastAsia"/>
          <w:sz w:val="24"/>
          <w:highlight w:val="none"/>
        </w:rPr>
        <w:br w:type="page"/>
      </w:r>
    </w:p>
    <w:p w14:paraId="411BEF33">
      <w:pPr>
        <w:pStyle w:val="81"/>
        <w:numPr>
          <w:ilvl w:val="0"/>
          <w:numId w:val="0"/>
        </w:numPr>
        <w:tabs>
          <w:tab w:val="left" w:pos="588"/>
        </w:tabs>
        <w:snapToGrid w:val="0"/>
        <w:spacing w:before="120" w:after="120" w:line="440" w:lineRule="exact"/>
        <w:ind w:left="635" w:leftChars="0" w:hanging="425" w:firstLineChars="0"/>
        <w:jc w:val="left"/>
        <w:rPr>
          <w:rFonts w:asciiTheme="minorEastAsia" w:hAnsiTheme="minorEastAsia" w:eastAsiaTheme="minorEastAsia"/>
          <w:sz w:val="24"/>
          <w:szCs w:val="24"/>
          <w:highlight w:val="none"/>
        </w:rPr>
      </w:pPr>
      <w:bookmarkStart w:id="823" w:name="_Toc28217"/>
      <w:bookmarkStart w:id="824" w:name="_Toc27943"/>
      <w:bookmarkStart w:id="825" w:name="_Toc1890"/>
      <w:bookmarkStart w:id="826" w:name="_Toc26931"/>
      <w:bookmarkStart w:id="827" w:name="_Toc28105"/>
      <w:bookmarkStart w:id="828" w:name="_Toc20019"/>
      <w:bookmarkStart w:id="829" w:name="_Toc4326"/>
      <w:bookmarkStart w:id="830" w:name="_Toc19917"/>
      <w:bookmarkStart w:id="831" w:name="_Toc1434"/>
      <w:bookmarkStart w:id="832" w:name="_Toc9038"/>
      <w:bookmarkStart w:id="833" w:name="_Toc15048"/>
      <w:bookmarkStart w:id="834" w:name="_Hlk167299913"/>
      <w:r>
        <w:rPr>
          <w:rFonts w:hint="eastAsia" w:cs="Times New Roman" w:asciiTheme="minorEastAsia" w:hAnsiTheme="minorEastAsia" w:eastAsiaTheme="minorEastAsia"/>
          <w:b/>
          <w:bCs/>
          <w:kern w:val="2"/>
          <w:sz w:val="24"/>
          <w:szCs w:val="24"/>
          <w:lang w:val="en-US" w:eastAsia="zh-CN" w:bidi="ar-SA"/>
        </w:rPr>
        <w:t>5.</w:t>
      </w:r>
      <w:r>
        <w:rPr>
          <w:rFonts w:hint="eastAsia" w:asciiTheme="minorEastAsia" w:hAnsiTheme="minorEastAsia" w:eastAsiaTheme="minorEastAsia"/>
          <w:sz w:val="24"/>
          <w:szCs w:val="24"/>
          <w:highlight w:val="none"/>
        </w:rPr>
        <w:t>投标函</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bookmarkEnd w:id="834"/>
    <w:p w14:paraId="4C8FC623">
      <w:pPr>
        <w:pStyle w:val="101"/>
        <w:ind w:firstLine="0" w:firstLineChars="0"/>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投  标  函</w:t>
      </w:r>
    </w:p>
    <w:p w14:paraId="35C32900">
      <w:pPr>
        <w:adjustRightInd w:val="0"/>
        <w:snapToGrid w:val="0"/>
        <w:spacing w:line="440" w:lineRule="exact"/>
        <w:jc w:val="lef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致：</w:t>
      </w:r>
      <w:r>
        <w:rPr>
          <w:rFonts w:hint="eastAsia" w:asciiTheme="minorEastAsia" w:hAnsiTheme="minorEastAsia" w:eastAsiaTheme="minorEastAsia"/>
          <w:szCs w:val="21"/>
          <w:highlight w:val="none"/>
        </w:rPr>
        <w:t>【</w:t>
      </w:r>
      <w:r>
        <w:rPr>
          <w:rFonts w:hint="eastAsia" w:asciiTheme="minorEastAsia" w:hAnsiTheme="minorEastAsia" w:eastAsiaTheme="minorEastAsia"/>
          <w:highlight w:val="none"/>
          <w:u w:val="single"/>
        </w:rPr>
        <w:t>XX公司[招标人名称]</w:t>
      </w:r>
      <w:r>
        <w:rPr>
          <w:rFonts w:hint="eastAsia" w:asciiTheme="minorEastAsia" w:hAnsiTheme="minorEastAsia" w:eastAsiaTheme="minorEastAsia"/>
          <w:szCs w:val="21"/>
          <w:highlight w:val="none"/>
        </w:rPr>
        <w:t>】</w:t>
      </w:r>
      <w:r>
        <w:rPr>
          <w:rFonts w:cs="宋体" w:asciiTheme="minorEastAsia" w:hAnsiTheme="minorEastAsia" w:eastAsiaTheme="minorEastAsia"/>
          <w:szCs w:val="21"/>
          <w:highlight w:val="none"/>
        </w:rPr>
        <w:t>：</w:t>
      </w:r>
    </w:p>
    <w:p w14:paraId="22BD2B11">
      <w:pPr>
        <w:spacing w:line="44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u w:val="single"/>
        </w:rPr>
        <w:t xml:space="preserve">      （投标人名称）</w:t>
      </w:r>
      <w:r>
        <w:rPr>
          <w:rFonts w:hint="eastAsia" w:asciiTheme="minorEastAsia" w:hAnsiTheme="minorEastAsia" w:eastAsiaTheme="minorEastAsia"/>
          <w:szCs w:val="21"/>
          <w:highlight w:val="none"/>
        </w:rPr>
        <w:t>（以下称“我方”）</w:t>
      </w:r>
      <w:r>
        <w:rPr>
          <w:rFonts w:asciiTheme="minorEastAsia" w:hAnsiTheme="minorEastAsia" w:eastAsiaTheme="minorEastAsia"/>
          <w:szCs w:val="21"/>
          <w:highlight w:val="none"/>
        </w:rPr>
        <w:t>已仔细研究了</w:t>
      </w:r>
      <w:r>
        <w:rPr>
          <w:rFonts w:hint="eastAsia" w:asciiTheme="minorEastAsia" w:hAnsiTheme="minorEastAsia" w:eastAsiaTheme="minorEastAsia"/>
          <w:szCs w:val="21"/>
          <w:highlight w:val="none"/>
          <w:u w:val="single"/>
        </w:rPr>
        <w:t>（集中招标项目名称</w:t>
      </w:r>
      <w:r>
        <w:rPr>
          <w:rFonts w:hint="eastAsia" w:asciiTheme="minorEastAsia" w:hAnsiTheme="minorEastAsia" w:eastAsiaTheme="minorEastAsia"/>
          <w:szCs w:val="21"/>
          <w:highlight w:val="none"/>
        </w:rPr>
        <w:t>）标包（招标编号：）</w:t>
      </w:r>
      <w:r>
        <w:rPr>
          <w:rFonts w:asciiTheme="minorEastAsia" w:hAnsiTheme="minorEastAsia" w:eastAsiaTheme="minorEastAsia"/>
          <w:szCs w:val="21"/>
          <w:highlight w:val="none"/>
        </w:rPr>
        <w:t>招标文件的全部内容</w:t>
      </w:r>
      <w:r>
        <w:rPr>
          <w:rFonts w:hint="eastAsia" w:asciiTheme="minorEastAsia" w:hAnsiTheme="minorEastAsia" w:eastAsiaTheme="minorEastAsia"/>
          <w:szCs w:val="21"/>
          <w:highlight w:val="none"/>
        </w:rPr>
        <w:t>，</w:t>
      </w:r>
      <w:r>
        <w:rPr>
          <w:rFonts w:asciiTheme="minorEastAsia" w:hAnsiTheme="minorEastAsia" w:eastAsiaTheme="minorEastAsia"/>
          <w:bCs/>
          <w:szCs w:val="21"/>
          <w:highlight w:val="none"/>
        </w:rPr>
        <w:t>包括</w:t>
      </w:r>
      <w:r>
        <w:rPr>
          <w:rFonts w:hint="eastAsia" w:asciiTheme="minorEastAsia" w:hAnsiTheme="minorEastAsia" w:eastAsiaTheme="minorEastAsia"/>
          <w:bCs/>
          <w:szCs w:val="21"/>
          <w:highlight w:val="none"/>
        </w:rPr>
        <w:t>澄清或者</w:t>
      </w:r>
      <w:r>
        <w:rPr>
          <w:rFonts w:asciiTheme="minorEastAsia" w:hAnsiTheme="minorEastAsia" w:eastAsiaTheme="minorEastAsia"/>
          <w:bCs/>
          <w:szCs w:val="21"/>
          <w:highlight w:val="none"/>
        </w:rPr>
        <w:t>修改文件</w:t>
      </w:r>
      <w:r>
        <w:rPr>
          <w:rFonts w:hint="eastAsia" w:asciiTheme="minorEastAsia" w:hAnsiTheme="minorEastAsia" w:eastAsiaTheme="minorEastAsia"/>
          <w:bCs/>
          <w:szCs w:val="21"/>
          <w:highlight w:val="none"/>
        </w:rPr>
        <w:t>以及</w:t>
      </w:r>
      <w:r>
        <w:rPr>
          <w:rFonts w:asciiTheme="minorEastAsia" w:hAnsiTheme="minorEastAsia" w:eastAsiaTheme="minorEastAsia"/>
          <w:bCs/>
          <w:szCs w:val="21"/>
          <w:highlight w:val="none"/>
        </w:rPr>
        <w:t>有关附件</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我方将严格按照招标文件要求递交符合要求的全部投标文件。</w:t>
      </w:r>
    </w:p>
    <w:p w14:paraId="345C95D9">
      <w:pPr>
        <w:spacing w:line="44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我方承诺如下内容：</w:t>
      </w:r>
    </w:p>
    <w:p w14:paraId="695BAA89">
      <w:pPr>
        <w:pStyle w:val="101"/>
        <w:numPr>
          <w:ilvl w:val="3"/>
          <w:numId w:val="92"/>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我方的投标文件包含第二章“投标人须知”第3.1款规定的全部内容。</w:t>
      </w:r>
    </w:p>
    <w:p w14:paraId="6E2DB47E">
      <w:pPr>
        <w:pStyle w:val="101"/>
        <w:numPr>
          <w:ilvl w:val="3"/>
          <w:numId w:val="92"/>
        </w:numPr>
        <w:tabs>
          <w:tab w:val="left" w:pos="709"/>
        </w:tabs>
        <w:spacing w:line="440" w:lineRule="exact"/>
        <w:ind w:left="0" w:firstLine="424" w:firstLineChars="202"/>
        <w:rPr>
          <w:rFonts w:asciiTheme="minorEastAsia" w:hAnsiTheme="minorEastAsia" w:eastAsiaTheme="minorEastAsia"/>
          <w:szCs w:val="21"/>
          <w:highlight w:val="none"/>
        </w:rPr>
      </w:pPr>
      <w:r>
        <w:rPr>
          <w:rFonts w:asciiTheme="minorEastAsia" w:hAnsiTheme="minorEastAsia" w:eastAsiaTheme="minorEastAsia"/>
          <w:szCs w:val="21"/>
          <w:highlight w:val="none"/>
        </w:rPr>
        <w:t>我方承诺在</w:t>
      </w:r>
      <w:r>
        <w:rPr>
          <w:rFonts w:hint="eastAsia" w:asciiTheme="minorEastAsia" w:hAnsiTheme="minorEastAsia" w:eastAsiaTheme="minorEastAsia"/>
          <w:szCs w:val="21"/>
          <w:highlight w:val="none"/>
        </w:rPr>
        <w:t>招标文件规定的</w:t>
      </w:r>
      <w:r>
        <w:rPr>
          <w:rFonts w:asciiTheme="minorEastAsia" w:hAnsiTheme="minorEastAsia" w:eastAsiaTheme="minorEastAsia"/>
          <w:szCs w:val="21"/>
          <w:highlight w:val="none"/>
        </w:rPr>
        <w:t>投标有效期内不修改、撤销投标文件。</w:t>
      </w:r>
    </w:p>
    <w:p w14:paraId="00190313">
      <w:pPr>
        <w:pStyle w:val="101"/>
        <w:numPr>
          <w:ilvl w:val="3"/>
          <w:numId w:val="92"/>
        </w:numPr>
        <w:tabs>
          <w:tab w:val="left" w:pos="709"/>
        </w:tabs>
        <w:spacing w:line="440" w:lineRule="exact"/>
        <w:ind w:left="0" w:firstLine="424" w:firstLineChars="202"/>
        <w:rPr>
          <w:rFonts w:asciiTheme="minorEastAsia" w:hAnsiTheme="minorEastAsia" w:eastAsiaTheme="minorEastAsia"/>
          <w:szCs w:val="21"/>
          <w:highlight w:val="none"/>
        </w:rPr>
      </w:pPr>
      <w:r>
        <w:rPr>
          <w:rFonts w:asciiTheme="minorEastAsia" w:hAnsiTheme="minorEastAsia" w:eastAsiaTheme="minorEastAsia"/>
          <w:szCs w:val="21"/>
          <w:highlight w:val="none"/>
        </w:rPr>
        <w:t>随同本投标函递交投标保证金一份，金额为人民币</w:t>
      </w:r>
      <w:r>
        <w:rPr>
          <w:rFonts w:ascii="宋体" w:hAnsi="宋体"/>
          <w:color w:val="000000" w:themeColor="text1"/>
          <w:szCs w:val="21"/>
          <w:highlight w:val="none"/>
          <w14:textFill>
            <w14:solidFill>
              <w14:schemeClr w14:val="tx1"/>
            </w14:solidFill>
          </w14:textFill>
        </w:rPr>
        <w:t>（大写</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 xml:space="preserve"> ）。</w:t>
      </w:r>
    </w:p>
    <w:p w14:paraId="01067D33">
      <w:pPr>
        <w:pStyle w:val="101"/>
        <w:numPr>
          <w:ilvl w:val="3"/>
          <w:numId w:val="92"/>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我方承诺如果在规定的开标时间后，在投标有效期内撤销投标，我方自愿接受招标人做出的不予退还我方投标保证金的决定。</w:t>
      </w:r>
    </w:p>
    <w:p w14:paraId="511ADF6F">
      <w:pPr>
        <w:pStyle w:val="101"/>
        <w:numPr>
          <w:ilvl w:val="3"/>
          <w:numId w:val="92"/>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我方在评标过程中根据评标委员会要求提供的符合相关规定的澄清文件，构成投标文件的组成部分。</w:t>
      </w:r>
    </w:p>
    <w:p w14:paraId="6633C0F9">
      <w:pPr>
        <w:pStyle w:val="101"/>
        <w:numPr>
          <w:ilvl w:val="3"/>
          <w:numId w:val="92"/>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我方同意提供贵方可能要求的与投标有关的一切数据或者资料，并完全理解贵方不一定接受最低价的投标。</w:t>
      </w:r>
    </w:p>
    <w:p w14:paraId="2884F320">
      <w:pPr>
        <w:pStyle w:val="101"/>
        <w:numPr>
          <w:ilvl w:val="3"/>
          <w:numId w:val="92"/>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我方承诺不向第三方透露与招标相关的所有信息。</w:t>
      </w:r>
    </w:p>
    <w:p w14:paraId="78751B27">
      <w:pPr>
        <w:pStyle w:val="101"/>
        <w:numPr>
          <w:ilvl w:val="3"/>
          <w:numId w:val="92"/>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我方承诺接受最新的《中国电信供应商不良行为管理规则》，</w:t>
      </w:r>
      <w:r>
        <w:rPr>
          <w:rFonts w:asciiTheme="minorEastAsia" w:hAnsiTheme="minorEastAsia" w:eastAsiaTheme="minorEastAsia"/>
          <w:szCs w:val="21"/>
          <w:highlight w:val="none"/>
        </w:rPr>
        <w:t>内容详见：</w:t>
      </w:r>
      <w:r>
        <w:rPr>
          <w:rFonts w:hint="eastAsia" w:asciiTheme="minorEastAsia" w:hAnsiTheme="minorEastAsia" w:eastAsiaTheme="minorEastAsia"/>
          <w:szCs w:val="21"/>
          <w:highlight w:val="none"/>
        </w:rPr>
        <w:t>招标文件第七章。本项承诺自本函签署之日起生效，长期有效，不受投标有效期的约束，其效力独立存在，不可撤销。</w:t>
      </w:r>
    </w:p>
    <w:p w14:paraId="63B9F76F">
      <w:pPr>
        <w:pStyle w:val="101"/>
        <w:numPr>
          <w:ilvl w:val="3"/>
          <w:numId w:val="92"/>
        </w:numPr>
        <w:tabs>
          <w:tab w:val="left" w:pos="709"/>
        </w:tabs>
        <w:spacing w:line="440" w:lineRule="exact"/>
        <w:ind w:left="0" w:firstLine="424" w:firstLineChars="202"/>
        <w:rPr>
          <w:rFonts w:asciiTheme="minorEastAsia" w:hAnsiTheme="minorEastAsia" w:eastAsiaTheme="minorEastAsia"/>
          <w:szCs w:val="21"/>
          <w:highlight w:val="none"/>
        </w:rPr>
      </w:pPr>
      <w:r>
        <w:rPr>
          <w:rFonts w:asciiTheme="minorEastAsia" w:hAnsiTheme="minorEastAsia" w:eastAsiaTheme="minorEastAsia"/>
          <w:szCs w:val="21"/>
          <w:highlight w:val="none"/>
        </w:rPr>
        <w:t>如我方中标：</w:t>
      </w:r>
    </w:p>
    <w:p w14:paraId="4C3FA77E">
      <w:pPr>
        <w:pStyle w:val="101"/>
        <w:numPr>
          <w:ilvl w:val="0"/>
          <w:numId w:val="93"/>
        </w:numPr>
        <w:tabs>
          <w:tab w:val="left" w:pos="993"/>
        </w:tabs>
        <w:spacing w:line="440" w:lineRule="exact"/>
        <w:ind w:left="0" w:firstLine="426" w:firstLineChars="0"/>
        <w:rPr>
          <w:rFonts w:asciiTheme="minorEastAsia" w:hAnsiTheme="minorEastAsia" w:eastAsiaTheme="minorEastAsia"/>
          <w:szCs w:val="21"/>
          <w:highlight w:val="none"/>
        </w:rPr>
      </w:pPr>
      <w:r>
        <w:rPr>
          <w:rFonts w:asciiTheme="minorEastAsia" w:hAnsiTheme="minorEastAsia" w:eastAsiaTheme="minorEastAsia"/>
          <w:szCs w:val="21"/>
          <w:highlight w:val="none"/>
        </w:rPr>
        <w:t>我方承诺在收到中标通知书后，在中标通知书规定的期限内与你方签订合同。</w:t>
      </w:r>
    </w:p>
    <w:p w14:paraId="5BBFEA46">
      <w:pPr>
        <w:pStyle w:val="101"/>
        <w:numPr>
          <w:ilvl w:val="0"/>
          <w:numId w:val="93"/>
        </w:numPr>
        <w:tabs>
          <w:tab w:val="left" w:pos="993"/>
        </w:tabs>
        <w:spacing w:line="440" w:lineRule="exact"/>
        <w:ind w:firstLineChars="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我方承诺不在签订合同时提出任何附加条件。</w:t>
      </w:r>
    </w:p>
    <w:p w14:paraId="5E4E9150">
      <w:pPr>
        <w:pStyle w:val="101"/>
        <w:numPr>
          <w:ilvl w:val="0"/>
          <w:numId w:val="93"/>
        </w:numPr>
        <w:tabs>
          <w:tab w:val="left" w:pos="993"/>
        </w:tabs>
        <w:spacing w:line="440" w:lineRule="exact"/>
        <w:ind w:firstLineChars="0"/>
        <w:rPr>
          <w:rFonts w:asciiTheme="minorEastAsia" w:hAnsiTheme="minorEastAsia" w:eastAsiaTheme="minorEastAsia"/>
          <w:szCs w:val="21"/>
          <w:highlight w:val="none"/>
        </w:rPr>
      </w:pPr>
      <w:r>
        <w:rPr>
          <w:rFonts w:asciiTheme="minorEastAsia" w:hAnsiTheme="minorEastAsia" w:eastAsiaTheme="minorEastAsia"/>
          <w:szCs w:val="21"/>
          <w:highlight w:val="none"/>
        </w:rPr>
        <w:t>我方承诺按照招标文件规定递交履约</w:t>
      </w:r>
      <w:r>
        <w:rPr>
          <w:rFonts w:hint="eastAsia" w:asciiTheme="minorEastAsia" w:hAnsiTheme="minorEastAsia" w:eastAsiaTheme="minorEastAsia"/>
          <w:szCs w:val="21"/>
          <w:highlight w:val="none"/>
        </w:rPr>
        <w:t>保证金或履约保函、支付招标代理服务费</w:t>
      </w:r>
      <w:r>
        <w:rPr>
          <w:rFonts w:asciiTheme="minorEastAsia" w:hAnsiTheme="minorEastAsia" w:eastAsiaTheme="minorEastAsia"/>
          <w:szCs w:val="21"/>
          <w:highlight w:val="none"/>
        </w:rPr>
        <w:t>。</w:t>
      </w:r>
    </w:p>
    <w:p w14:paraId="733AE67F">
      <w:pPr>
        <w:pStyle w:val="101"/>
        <w:numPr>
          <w:ilvl w:val="0"/>
          <w:numId w:val="93"/>
        </w:numPr>
        <w:tabs>
          <w:tab w:val="left" w:pos="993"/>
        </w:tabs>
        <w:spacing w:line="440" w:lineRule="exact"/>
        <w:ind w:firstLineChars="0"/>
        <w:rPr>
          <w:rFonts w:asciiTheme="minorEastAsia" w:hAnsiTheme="minorEastAsia" w:eastAsiaTheme="minorEastAsia"/>
          <w:szCs w:val="21"/>
          <w:highlight w:val="none"/>
        </w:rPr>
      </w:pPr>
      <w:r>
        <w:rPr>
          <w:rFonts w:asciiTheme="minorEastAsia" w:hAnsiTheme="minorEastAsia" w:eastAsiaTheme="minorEastAsia"/>
          <w:szCs w:val="21"/>
          <w:highlight w:val="none"/>
        </w:rPr>
        <w:t>我方承诺</w:t>
      </w:r>
      <w:r>
        <w:rPr>
          <w:rFonts w:hint="eastAsia" w:asciiTheme="minorEastAsia" w:hAnsiTheme="minorEastAsia" w:eastAsiaTheme="minorEastAsia"/>
          <w:szCs w:val="21"/>
          <w:highlight w:val="none"/>
        </w:rPr>
        <w:t>按照招标文件的规定及合同约定履行相关责任和义务,不将中标项目转包、违法分包。</w:t>
      </w:r>
    </w:p>
    <w:p w14:paraId="749218EF">
      <w:pPr>
        <w:pStyle w:val="101"/>
        <w:numPr>
          <w:ilvl w:val="3"/>
          <w:numId w:val="92"/>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我方承诺如有外国投资者直接或者间接对本单位投资的，投资者或本单位已经按照《中华人民共和国外商投资法》（中华人民共和国主席令 第26号）和《外商投资安全审查办法》（发展改革委 商务部令 第37号）等相关法律法规主动向国家外商投资安全审查工作机制办公室申报，并被允许实施投资。</w:t>
      </w:r>
    </w:p>
    <w:p w14:paraId="5B0897E4">
      <w:pPr>
        <w:pStyle w:val="101"/>
        <w:numPr>
          <w:ilvl w:val="3"/>
          <w:numId w:val="92"/>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我方在此声明，所递交的投标文件及有关资料内容完整、真实和准确，且不存在第二章“投标人须知”第1.8款规定的任何一种情形。</w:t>
      </w:r>
      <w:r>
        <w:rPr>
          <w:rFonts w:asciiTheme="minorEastAsia" w:hAnsiTheme="minorEastAsia" w:eastAsiaTheme="minorEastAsia"/>
          <w:szCs w:val="21"/>
          <w:highlight w:val="none"/>
        </w:rPr>
        <w:t>如有弄虚作假，将承担相应的法律责任，并赔偿由此造成的一切损失。</w:t>
      </w:r>
    </w:p>
    <w:p w14:paraId="04C9028A">
      <w:pPr>
        <w:pStyle w:val="101"/>
        <w:numPr>
          <w:ilvl w:val="3"/>
          <w:numId w:val="92"/>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其他</w:t>
      </w:r>
      <w:r>
        <w:rPr>
          <w:rFonts w:asciiTheme="minorEastAsia" w:hAnsiTheme="minorEastAsia" w:eastAsiaTheme="minorEastAsia"/>
          <w:szCs w:val="21"/>
          <w:highlight w:val="none"/>
        </w:rPr>
        <w:t>补充说明</w:t>
      </w:r>
      <w:r>
        <w:rPr>
          <w:rFonts w:hint="eastAsia" w:asciiTheme="minorEastAsia" w:hAnsiTheme="minorEastAsia" w:eastAsiaTheme="minorEastAsia"/>
          <w:szCs w:val="21"/>
          <w:highlight w:val="none"/>
        </w:rPr>
        <w:t>：我方承诺按照招标人要求在</w:t>
      </w:r>
      <w:r>
        <w:rPr>
          <w:rFonts w:asciiTheme="minorEastAsia" w:hAnsiTheme="minorEastAsia" w:eastAsiaTheme="minorEastAsia"/>
          <w:szCs w:val="21"/>
          <w:highlight w:val="none"/>
        </w:rPr>
        <w:t>中国电信阳光采购网</w:t>
      </w:r>
      <w:r>
        <w:rPr>
          <w:rFonts w:hint="eastAsia" w:asciiTheme="minorEastAsia" w:hAnsiTheme="minorEastAsia" w:eastAsiaTheme="minorEastAsia"/>
          <w:szCs w:val="21"/>
          <w:highlight w:val="none"/>
        </w:rPr>
        <w:t>进行供应商注册。</w:t>
      </w:r>
    </w:p>
    <w:p w14:paraId="37488D46">
      <w:pPr>
        <w:pStyle w:val="101"/>
        <w:numPr>
          <w:ilvl w:val="3"/>
          <w:numId w:val="92"/>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投标有效期：</w:t>
      </w:r>
      <w:r>
        <w:rPr>
          <w:rFonts w:asciiTheme="minorEastAsia" w:hAnsiTheme="minorEastAsia" w:eastAsiaTheme="minorEastAsia"/>
          <w:szCs w:val="21"/>
          <w:highlight w:val="none"/>
        </w:rPr>
        <w:t>120</w:t>
      </w:r>
      <w:r>
        <w:rPr>
          <w:rFonts w:hint="eastAsia" w:asciiTheme="minorEastAsia" w:hAnsiTheme="minorEastAsia" w:eastAsiaTheme="minorEastAsia"/>
          <w:szCs w:val="21"/>
          <w:highlight w:val="none"/>
        </w:rPr>
        <w:t>天。</w:t>
      </w:r>
    </w:p>
    <w:p w14:paraId="0A53AEB8">
      <w:pPr>
        <w:pStyle w:val="101"/>
        <w:tabs>
          <w:tab w:val="left" w:pos="709"/>
        </w:tabs>
        <w:spacing w:line="440" w:lineRule="exact"/>
        <w:ind w:left="424" w:firstLine="0" w:firstLineChars="0"/>
        <w:rPr>
          <w:rFonts w:asciiTheme="minorEastAsia" w:hAnsiTheme="minorEastAsia" w:eastAsiaTheme="minorEastAsia"/>
          <w:szCs w:val="21"/>
          <w:highlight w:val="none"/>
        </w:rPr>
      </w:pPr>
    </w:p>
    <w:p w14:paraId="372715EA">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投标人名称：</w:t>
      </w:r>
      <w:r>
        <w:rPr>
          <w:rFonts w:hint="eastAsia" w:asciiTheme="minorEastAsia" w:hAnsiTheme="minorEastAsia" w:eastAsiaTheme="minorEastAsia"/>
          <w:szCs w:val="21"/>
          <w:highlight w:val="none"/>
          <w:u w:val="single"/>
        </w:rPr>
        <w:t xml:space="preserve">　　　　　　　　               </w:t>
      </w:r>
    </w:p>
    <w:p w14:paraId="5039A800">
      <w:pPr>
        <w:spacing w:line="440" w:lineRule="exact"/>
        <w:ind w:firstLine="1134" w:firstLineChars="540"/>
        <w:rPr>
          <w:rFonts w:asciiTheme="minorEastAsia" w:hAnsiTheme="minorEastAsia" w:eastAsiaTheme="minorEastAsia"/>
          <w:szCs w:val="21"/>
          <w:highlight w:val="none"/>
          <w:u w:val="single"/>
        </w:rPr>
      </w:pPr>
      <w:r>
        <w:rPr>
          <w:rFonts w:asciiTheme="minorEastAsia" w:hAnsiTheme="minorEastAsia" w:eastAsiaTheme="minorEastAsia"/>
          <w:szCs w:val="21"/>
          <w:highlight w:val="none"/>
        </w:rPr>
        <w:t>地址：</w:t>
      </w:r>
      <w:r>
        <w:rPr>
          <w:rFonts w:hint="eastAsia" w:asciiTheme="minorEastAsia" w:hAnsiTheme="minorEastAsia" w:eastAsiaTheme="minorEastAsia"/>
          <w:szCs w:val="21"/>
          <w:highlight w:val="none"/>
          <w:u w:val="single"/>
        </w:rPr>
        <w:t xml:space="preserve">                                     </w:t>
      </w:r>
    </w:p>
    <w:p w14:paraId="106EFD97">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邮政编码：</w:t>
      </w:r>
      <w:r>
        <w:rPr>
          <w:rFonts w:hint="eastAsia" w:asciiTheme="minorEastAsia" w:hAnsiTheme="minorEastAsia" w:eastAsiaTheme="minorEastAsia"/>
          <w:szCs w:val="21"/>
          <w:highlight w:val="none"/>
          <w:u w:val="single"/>
        </w:rPr>
        <w:t xml:space="preserve">                                 </w:t>
      </w:r>
    </w:p>
    <w:p w14:paraId="02DA7262">
      <w:pPr>
        <w:spacing w:line="440" w:lineRule="exact"/>
        <w:ind w:firstLine="1134" w:firstLineChars="540"/>
        <w:rPr>
          <w:rFonts w:asciiTheme="minorEastAsia" w:hAnsiTheme="minorEastAsia" w:eastAsiaTheme="minorEastAsia"/>
          <w:szCs w:val="21"/>
          <w:highlight w:val="none"/>
        </w:rPr>
      </w:pPr>
      <w:r>
        <w:rPr>
          <w:rFonts w:asciiTheme="minorEastAsia" w:hAnsiTheme="minorEastAsia" w:eastAsiaTheme="minorEastAsia"/>
          <w:szCs w:val="21"/>
          <w:highlight w:val="none"/>
        </w:rPr>
        <w:t>电话：</w:t>
      </w:r>
      <w:r>
        <w:rPr>
          <w:rFonts w:hint="eastAsia" w:asciiTheme="minorEastAsia" w:hAnsiTheme="minorEastAsia" w:eastAsiaTheme="minorEastAsia"/>
          <w:szCs w:val="21"/>
          <w:highlight w:val="none"/>
          <w:u w:val="single"/>
        </w:rPr>
        <w:t xml:space="preserve">                                     </w:t>
      </w:r>
    </w:p>
    <w:p w14:paraId="3CFBAF97">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电子邮箱</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 xml:space="preserve">                                 </w:t>
      </w:r>
    </w:p>
    <w:p w14:paraId="2C451D85">
      <w:pPr>
        <w:spacing w:line="400" w:lineRule="exact"/>
        <w:ind w:firstLine="1134" w:firstLineChars="540"/>
        <w:rPr>
          <w:rFonts w:asciiTheme="minorEastAsia" w:hAnsiTheme="minorEastAsia" w:eastAsiaTheme="minorEastAsia"/>
          <w:highlight w:val="none"/>
        </w:rPr>
      </w:pPr>
      <w:r>
        <w:rPr>
          <w:rFonts w:hint="eastAsia" w:asciiTheme="minorEastAsia" w:hAnsiTheme="minorEastAsia" w:eastAsiaTheme="minorEastAsia"/>
          <w:highlight w:val="none"/>
        </w:rPr>
        <w:t>日期：</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年</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月</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日</w:t>
      </w:r>
    </w:p>
    <w:p w14:paraId="0587A007">
      <w:pPr>
        <w:ind w:firstLine="1134" w:firstLineChars="540"/>
        <w:rPr>
          <w:rFonts w:asciiTheme="minorEastAsia" w:hAnsiTheme="minorEastAsia" w:eastAsiaTheme="minorEastAsia"/>
          <w:highlight w:val="none"/>
        </w:rPr>
      </w:pPr>
    </w:p>
    <w:p w14:paraId="2051B1C3">
      <w:pPr>
        <w:ind w:firstLine="2835" w:firstLineChars="1350"/>
        <w:rPr>
          <w:rFonts w:asciiTheme="minorEastAsia" w:hAnsiTheme="minorEastAsia" w:eastAsiaTheme="minorEastAsia"/>
          <w:highlight w:val="none"/>
        </w:rPr>
      </w:pPr>
    </w:p>
    <w:p w14:paraId="1B7C4134">
      <w:pPr>
        <w:topLinePunct/>
        <w:spacing w:line="440" w:lineRule="exact"/>
        <w:jc w:val="left"/>
        <w:rPr>
          <w:rFonts w:asciiTheme="minorEastAsia" w:hAnsiTheme="minorEastAsia" w:eastAsiaTheme="minorEastAsia"/>
          <w:highlight w:val="none"/>
        </w:rPr>
        <w:sectPr>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highlight w:val="none"/>
        </w:rPr>
        <w:t>除本文件允许投标人进行填写的内容以外，投标人不得对本文件进行修改</w:t>
      </w:r>
      <w:r>
        <w:rPr>
          <w:rFonts w:hint="eastAsia" w:asciiTheme="minorEastAsia" w:hAnsiTheme="minorEastAsia" w:eastAsiaTheme="minorEastAsia"/>
          <w:highlight w:val="none"/>
        </w:rPr>
        <w:t>。</w:t>
      </w:r>
    </w:p>
    <w:p w14:paraId="23AD3166">
      <w:pPr>
        <w:pStyle w:val="81"/>
        <w:numPr>
          <w:ilvl w:val="0"/>
          <w:numId w:val="0"/>
        </w:numPr>
        <w:tabs>
          <w:tab w:val="left" w:pos="588"/>
        </w:tabs>
        <w:snapToGrid w:val="0"/>
        <w:spacing w:before="120" w:after="120" w:line="440" w:lineRule="exact"/>
        <w:ind w:left="635" w:leftChars="0" w:hanging="425" w:firstLineChars="0"/>
        <w:jc w:val="left"/>
        <w:rPr>
          <w:rFonts w:asciiTheme="minorEastAsia" w:hAnsiTheme="minorEastAsia" w:eastAsiaTheme="minorEastAsia"/>
          <w:sz w:val="24"/>
          <w:szCs w:val="24"/>
          <w:highlight w:val="none"/>
        </w:rPr>
      </w:pPr>
      <w:bookmarkStart w:id="835" w:name="_Toc225"/>
      <w:bookmarkStart w:id="836" w:name="_Toc4819"/>
      <w:bookmarkStart w:id="837" w:name="_Toc13554"/>
      <w:bookmarkStart w:id="838" w:name="_Toc8822"/>
      <w:bookmarkStart w:id="839" w:name="_Toc30440"/>
      <w:bookmarkStart w:id="840" w:name="_Toc6010"/>
      <w:bookmarkStart w:id="841" w:name="_Toc23866"/>
      <w:bookmarkStart w:id="842" w:name="_Toc475472674"/>
      <w:bookmarkStart w:id="843" w:name="_Toc1767"/>
      <w:bookmarkStart w:id="844" w:name="_Toc9878"/>
      <w:bookmarkStart w:id="845" w:name="_Toc18693"/>
      <w:bookmarkStart w:id="846" w:name="_Toc38008082"/>
      <w:bookmarkStart w:id="847" w:name="_Toc3280"/>
      <w:bookmarkStart w:id="848" w:name="_Hlk167299926"/>
      <w:r>
        <w:rPr>
          <w:rFonts w:hint="eastAsia" w:cs="Times New Roman" w:asciiTheme="minorEastAsia" w:hAnsiTheme="minorEastAsia" w:eastAsiaTheme="minorEastAsia"/>
          <w:b/>
          <w:bCs/>
          <w:kern w:val="2"/>
          <w:sz w:val="24"/>
          <w:szCs w:val="24"/>
          <w:lang w:val="en-US" w:eastAsia="zh-CN" w:bidi="ar-SA"/>
        </w:rPr>
        <w:t>6.</w:t>
      </w:r>
      <w:r>
        <w:rPr>
          <w:rFonts w:asciiTheme="minorEastAsia" w:hAnsiTheme="minorEastAsia" w:eastAsiaTheme="minorEastAsia"/>
          <w:sz w:val="24"/>
          <w:szCs w:val="24"/>
          <w:highlight w:val="none"/>
        </w:rPr>
        <w:t>法定代表人/负责人身份证明</w:t>
      </w:r>
      <w:bookmarkEnd w:id="835"/>
      <w:bookmarkEnd w:id="836"/>
      <w:bookmarkEnd w:id="837"/>
      <w:bookmarkEnd w:id="838"/>
      <w:bookmarkEnd w:id="839"/>
      <w:bookmarkEnd w:id="840"/>
      <w:bookmarkEnd w:id="841"/>
      <w:bookmarkEnd w:id="842"/>
      <w:bookmarkEnd w:id="843"/>
      <w:bookmarkEnd w:id="844"/>
      <w:bookmarkEnd w:id="845"/>
      <w:bookmarkEnd w:id="846"/>
      <w:bookmarkEnd w:id="847"/>
    </w:p>
    <w:bookmarkEnd w:id="848"/>
    <w:p w14:paraId="3CFA201C">
      <w:pPr>
        <w:jc w:val="center"/>
        <w:rPr>
          <w:rFonts w:cs="宋体" w:asciiTheme="minorEastAsia" w:hAnsiTheme="minorEastAsia" w:eastAsiaTheme="minorEastAsia"/>
          <w:b/>
          <w:sz w:val="24"/>
          <w:highlight w:val="none"/>
        </w:rPr>
      </w:pPr>
    </w:p>
    <w:p w14:paraId="4CC25CC8">
      <w:pPr>
        <w:jc w:val="center"/>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法定代表人/负责人身份证明</w:t>
      </w:r>
    </w:p>
    <w:p w14:paraId="65EB6BFD">
      <w:pPr>
        <w:spacing w:line="440" w:lineRule="exact"/>
        <w:rPr>
          <w:rFonts w:asciiTheme="minorEastAsia" w:hAnsiTheme="minorEastAsia" w:eastAsiaTheme="minorEastAsia"/>
          <w:szCs w:val="21"/>
          <w:highlight w:val="none"/>
        </w:rPr>
      </w:pPr>
    </w:p>
    <w:p w14:paraId="50431BE2">
      <w:pPr>
        <w:topLinePunct/>
        <w:snapToGrid w:val="0"/>
        <w:spacing w:line="440" w:lineRule="exact"/>
        <w:rPr>
          <w:rFonts w:asciiTheme="minorEastAsia" w:hAnsiTheme="minorEastAsia" w:eastAsiaTheme="minorEastAsia"/>
          <w:bCs/>
          <w:szCs w:val="21"/>
          <w:highlight w:val="none"/>
          <w:u w:val="single"/>
        </w:rPr>
      </w:pPr>
      <w:r>
        <w:rPr>
          <w:rFonts w:hint="eastAsia" w:asciiTheme="minorEastAsia" w:hAnsiTheme="minorEastAsia" w:eastAsiaTheme="minorEastAsia"/>
          <w:bCs/>
          <w:szCs w:val="21"/>
          <w:highlight w:val="none"/>
        </w:rPr>
        <w:t>投标</w:t>
      </w:r>
      <w:r>
        <w:rPr>
          <w:rFonts w:asciiTheme="minorEastAsia" w:hAnsiTheme="minorEastAsia" w:eastAsiaTheme="minorEastAsia"/>
          <w:bCs/>
          <w:szCs w:val="21"/>
          <w:highlight w:val="none"/>
        </w:rPr>
        <w:t>人名称：</w:t>
      </w:r>
      <w:r>
        <w:rPr>
          <w:rFonts w:hint="eastAsia" w:asciiTheme="minorEastAsia" w:hAnsiTheme="minorEastAsia" w:eastAsiaTheme="minorEastAsia"/>
          <w:bCs/>
          <w:szCs w:val="21"/>
          <w:highlight w:val="none"/>
          <w:u w:val="single"/>
        </w:rPr>
        <w:t xml:space="preserve">                       </w:t>
      </w:r>
    </w:p>
    <w:p w14:paraId="4C8732B5">
      <w:pPr>
        <w:topLinePunct/>
        <w:snapToGrid w:val="0"/>
        <w:spacing w:line="440" w:lineRule="exact"/>
        <w:rPr>
          <w:rFonts w:asciiTheme="minorEastAsia" w:hAnsiTheme="minorEastAsia" w:eastAsiaTheme="minorEastAsia"/>
          <w:bCs/>
          <w:szCs w:val="21"/>
          <w:highlight w:val="none"/>
        </w:rPr>
      </w:pPr>
      <w:r>
        <w:rPr>
          <w:rFonts w:asciiTheme="minorEastAsia" w:hAnsiTheme="minorEastAsia" w:eastAsiaTheme="minorEastAsia"/>
          <w:bCs/>
          <w:szCs w:val="21"/>
          <w:highlight w:val="none"/>
        </w:rPr>
        <w:t>单位性质：</w:t>
      </w:r>
      <w:r>
        <w:rPr>
          <w:rFonts w:hint="eastAsia" w:asciiTheme="minorEastAsia" w:hAnsiTheme="minorEastAsia" w:eastAsiaTheme="minorEastAsia"/>
          <w:bCs/>
          <w:szCs w:val="21"/>
          <w:highlight w:val="none"/>
          <w:u w:val="single"/>
        </w:rPr>
        <w:t xml:space="preserve">                         </w:t>
      </w:r>
    </w:p>
    <w:p w14:paraId="02F9DE77">
      <w:pPr>
        <w:topLinePunct/>
        <w:snapToGrid w:val="0"/>
        <w:spacing w:line="440" w:lineRule="exact"/>
        <w:rPr>
          <w:rFonts w:asciiTheme="minorEastAsia" w:hAnsiTheme="minorEastAsia" w:eastAsiaTheme="minorEastAsia"/>
          <w:bCs/>
          <w:szCs w:val="21"/>
          <w:highlight w:val="none"/>
        </w:rPr>
      </w:pPr>
      <w:r>
        <w:rPr>
          <w:rFonts w:asciiTheme="minorEastAsia" w:hAnsiTheme="minorEastAsia" w:eastAsiaTheme="minorEastAsia"/>
          <w:bCs/>
          <w:szCs w:val="21"/>
          <w:highlight w:val="none"/>
        </w:rPr>
        <w:t>成立时间：</w:t>
      </w:r>
      <w:r>
        <w:rPr>
          <w:rFonts w:hint="eastAsia"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年</w:t>
      </w:r>
      <w:r>
        <w:rPr>
          <w:rFonts w:hint="eastAsia"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月</w:t>
      </w:r>
      <w:r>
        <w:rPr>
          <w:rFonts w:hint="eastAsia"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日</w:t>
      </w:r>
    </w:p>
    <w:p w14:paraId="0C2AE4EF">
      <w:pPr>
        <w:topLinePunct/>
        <w:snapToGrid w:val="0"/>
        <w:spacing w:line="440" w:lineRule="exact"/>
        <w:rPr>
          <w:rFonts w:asciiTheme="minorEastAsia" w:hAnsiTheme="minorEastAsia" w:eastAsiaTheme="minorEastAsia"/>
          <w:bCs/>
          <w:szCs w:val="21"/>
          <w:highlight w:val="none"/>
        </w:rPr>
      </w:pPr>
      <w:r>
        <w:rPr>
          <w:rFonts w:asciiTheme="minorEastAsia" w:hAnsiTheme="minorEastAsia" w:eastAsiaTheme="minorEastAsia"/>
          <w:bCs/>
          <w:szCs w:val="21"/>
          <w:highlight w:val="none"/>
        </w:rPr>
        <w:t>经营期限：</w:t>
      </w:r>
      <w:r>
        <w:rPr>
          <w:rFonts w:hint="eastAsia" w:asciiTheme="minorEastAsia" w:hAnsiTheme="minorEastAsia" w:eastAsiaTheme="minorEastAsia"/>
          <w:bCs/>
          <w:szCs w:val="21"/>
          <w:highlight w:val="none"/>
          <w:u w:val="single"/>
        </w:rPr>
        <w:t xml:space="preserve">             </w:t>
      </w:r>
    </w:p>
    <w:p w14:paraId="69606821">
      <w:pPr>
        <w:topLinePunct/>
        <w:snapToGrid w:val="0"/>
        <w:spacing w:line="440" w:lineRule="exact"/>
        <w:rPr>
          <w:rFonts w:asciiTheme="minorEastAsia" w:hAnsiTheme="minorEastAsia" w:eastAsiaTheme="minorEastAsia"/>
          <w:bCs/>
          <w:szCs w:val="21"/>
          <w:highlight w:val="none"/>
          <w:u w:val="single"/>
        </w:rPr>
      </w:pPr>
      <w:r>
        <w:rPr>
          <w:rFonts w:asciiTheme="minorEastAsia" w:hAnsiTheme="minorEastAsia" w:eastAsiaTheme="minorEastAsia"/>
          <w:bCs/>
          <w:szCs w:val="21"/>
          <w:highlight w:val="none"/>
        </w:rPr>
        <w:t>姓名：</w:t>
      </w:r>
      <w:r>
        <w:rPr>
          <w:rFonts w:hint="eastAsia"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性别：</w:t>
      </w:r>
      <w:r>
        <w:rPr>
          <w:rFonts w:hint="eastAsia"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年龄：</w:t>
      </w:r>
      <w:r>
        <w:rPr>
          <w:rFonts w:hint="eastAsia"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职务：</w:t>
      </w:r>
      <w:r>
        <w:rPr>
          <w:rFonts w:hint="eastAsia" w:asciiTheme="minorEastAsia" w:hAnsiTheme="minorEastAsia" w:eastAsiaTheme="minorEastAsia"/>
          <w:bCs/>
          <w:szCs w:val="21"/>
          <w:highlight w:val="none"/>
          <w:u w:val="single"/>
        </w:rPr>
        <w:t xml:space="preserve">          </w:t>
      </w:r>
    </w:p>
    <w:p w14:paraId="45B70779">
      <w:pPr>
        <w:topLinePunct/>
        <w:snapToGrid w:val="0"/>
        <w:spacing w:line="440" w:lineRule="exact"/>
        <w:rPr>
          <w:rFonts w:asciiTheme="minorEastAsia" w:hAnsiTheme="minorEastAsia" w:eastAsiaTheme="minorEastAsia"/>
          <w:bCs/>
          <w:szCs w:val="21"/>
          <w:highlight w:val="none"/>
        </w:rPr>
      </w:pPr>
      <w:r>
        <w:rPr>
          <w:rFonts w:asciiTheme="minorEastAsia" w:hAnsiTheme="minorEastAsia" w:eastAsiaTheme="minorEastAsia"/>
          <w:bCs/>
          <w:szCs w:val="21"/>
          <w:highlight w:val="none"/>
        </w:rPr>
        <w:t>系</w:t>
      </w:r>
      <w:r>
        <w:rPr>
          <w:rFonts w:hint="eastAsia" w:asciiTheme="minorEastAsia" w:hAnsiTheme="minorEastAsia" w:eastAsiaTheme="minorEastAsia"/>
          <w:highlight w:val="none"/>
          <w:u w:val="single"/>
        </w:rPr>
        <w:t>【XX公司</w:t>
      </w:r>
      <w:r>
        <w:rPr>
          <w:rFonts w:hint="eastAsia" w:asciiTheme="minorEastAsia" w:hAnsiTheme="minorEastAsia" w:eastAsiaTheme="minorEastAsia"/>
          <w:szCs w:val="21"/>
          <w:highlight w:val="none"/>
          <w:u w:val="single"/>
        </w:rPr>
        <w:t>[投标人单位</w:t>
      </w:r>
      <w:r>
        <w:rPr>
          <w:rFonts w:asciiTheme="minorEastAsia" w:hAnsiTheme="minorEastAsia" w:eastAsiaTheme="minorEastAsia"/>
          <w:szCs w:val="21"/>
          <w:highlight w:val="none"/>
          <w:u w:val="single"/>
        </w:rPr>
        <w:t>名称</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u w:val="single"/>
        </w:rPr>
        <w:t>】</w:t>
      </w:r>
      <w:r>
        <w:rPr>
          <w:rFonts w:asciiTheme="minorEastAsia" w:hAnsiTheme="minorEastAsia" w:eastAsiaTheme="minorEastAsia"/>
          <w:bCs/>
          <w:szCs w:val="21"/>
          <w:highlight w:val="none"/>
        </w:rPr>
        <w:t>的法定代表人</w:t>
      </w:r>
      <w:r>
        <w:rPr>
          <w:rFonts w:hint="eastAsia" w:asciiTheme="minorEastAsia" w:hAnsiTheme="minorEastAsia" w:eastAsiaTheme="minorEastAsia"/>
          <w:bCs/>
          <w:szCs w:val="21"/>
          <w:highlight w:val="none"/>
        </w:rPr>
        <w:t>/负责人</w:t>
      </w:r>
      <w:r>
        <w:rPr>
          <w:rFonts w:asciiTheme="minorEastAsia" w:hAnsiTheme="minorEastAsia" w:eastAsiaTheme="minorEastAsia"/>
          <w:bCs/>
          <w:szCs w:val="21"/>
          <w:highlight w:val="none"/>
        </w:rPr>
        <w:t>。</w:t>
      </w:r>
    </w:p>
    <w:p w14:paraId="485066A8">
      <w:pPr>
        <w:topLinePunct/>
        <w:snapToGrid w:val="0"/>
        <w:spacing w:line="440" w:lineRule="exact"/>
        <w:ind w:firstLine="420" w:firstLineChars="200"/>
        <w:rPr>
          <w:rFonts w:asciiTheme="minorEastAsia" w:hAnsiTheme="minorEastAsia" w:eastAsiaTheme="minorEastAsia"/>
          <w:bCs/>
          <w:szCs w:val="21"/>
          <w:highlight w:val="none"/>
        </w:rPr>
      </w:pPr>
      <w:r>
        <w:rPr>
          <w:rFonts w:asciiTheme="minorEastAsia" w:hAnsiTheme="minorEastAsia" w:eastAsiaTheme="minorEastAsia"/>
          <w:bCs/>
          <w:szCs w:val="21"/>
          <w:highlight w:val="none"/>
        </w:rPr>
        <w:t>特此证明。</w:t>
      </w:r>
    </w:p>
    <w:p w14:paraId="3BA84F80">
      <w:pPr>
        <w:topLinePunct/>
        <w:snapToGrid w:val="0"/>
        <w:spacing w:line="440" w:lineRule="exact"/>
        <w:ind w:firstLine="420" w:firstLineChars="200"/>
        <w:rPr>
          <w:rFonts w:asciiTheme="minorEastAsia" w:hAnsiTheme="minorEastAsia" w:eastAsiaTheme="minorEastAsia"/>
          <w:bCs/>
          <w:szCs w:val="21"/>
          <w:highlight w:val="none"/>
        </w:rPr>
      </w:pPr>
    </w:p>
    <w:p w14:paraId="4B7B9DA6">
      <w:pPr>
        <w:topLinePunct/>
        <w:snapToGrid w:val="0"/>
        <w:spacing w:line="440" w:lineRule="exact"/>
        <w:rPr>
          <w:rFonts w:asciiTheme="minorEastAsia" w:hAnsiTheme="minorEastAsia" w:eastAsiaTheme="minorEastAsia"/>
          <w:highlight w:val="none"/>
        </w:rPr>
      </w:pPr>
      <w:r>
        <w:rPr>
          <w:rFonts w:asciiTheme="minorEastAsia" w:hAnsiTheme="minorEastAsia" w:eastAsiaTheme="minorEastAsia"/>
          <w:highlight w:val="none"/>
        </w:rPr>
        <w:t>附：法定代表人/负责人</w:t>
      </w:r>
      <w:r>
        <w:rPr>
          <w:rFonts w:hint="eastAsia" w:asciiTheme="minorEastAsia" w:hAnsiTheme="minorEastAsia" w:eastAsiaTheme="minorEastAsia"/>
          <w:highlight w:val="none"/>
        </w:rPr>
        <w:t>的合法有效</w:t>
      </w:r>
      <w:r>
        <w:rPr>
          <w:rFonts w:asciiTheme="minorEastAsia" w:hAnsiTheme="minorEastAsia" w:eastAsiaTheme="minorEastAsia"/>
          <w:highlight w:val="none"/>
        </w:rPr>
        <w:t>身份证</w:t>
      </w:r>
      <w:r>
        <w:rPr>
          <w:rFonts w:hint="eastAsia" w:asciiTheme="minorEastAsia" w:hAnsiTheme="minorEastAsia" w:eastAsiaTheme="minorEastAsia"/>
          <w:highlight w:val="none"/>
        </w:rPr>
        <w:t>明</w:t>
      </w:r>
      <w:r>
        <w:rPr>
          <w:rFonts w:asciiTheme="minorEastAsia" w:hAnsiTheme="minorEastAsia" w:eastAsiaTheme="minorEastAsia"/>
          <w:highlight w:val="none"/>
        </w:rPr>
        <w:t>复印件</w:t>
      </w:r>
      <w:r>
        <w:rPr>
          <w:rFonts w:hint="eastAsia" w:asciiTheme="minorEastAsia" w:hAnsiTheme="minorEastAsia" w:eastAsiaTheme="minorEastAsia"/>
          <w:highlight w:val="none"/>
        </w:rPr>
        <w:t>或扫描件</w:t>
      </w:r>
      <w:r>
        <w:rPr>
          <w:rFonts w:hint="eastAsia" w:asciiTheme="minorEastAsia" w:hAnsiTheme="minorEastAsia" w:eastAsiaTheme="minorEastAsia"/>
          <w:bCs/>
          <w:szCs w:val="21"/>
          <w:highlight w:val="none"/>
        </w:rPr>
        <w:t>(如提供中华人民共和国居民身份证的，需同时提供国徽面及人像面)</w:t>
      </w:r>
    </w:p>
    <w:p w14:paraId="42666AFD">
      <w:pPr>
        <w:spacing w:line="500" w:lineRule="exact"/>
        <w:rPr>
          <w:rFonts w:asciiTheme="minorEastAsia" w:hAnsiTheme="minorEastAsia" w:eastAsiaTheme="minorEastAsia"/>
          <w:szCs w:val="21"/>
          <w:highlight w:val="none"/>
        </w:rPr>
      </w:pPr>
    </w:p>
    <w:p w14:paraId="111F98AA">
      <w:pPr>
        <w:spacing w:line="50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0" t="0" r="17145" b="19685"/>
                <wp:wrapNone/>
                <wp:docPr id="10" name="流程图: 可选过程 10"/>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wps:spPr>
                      <wps:txbx>
                        <w:txbxContent>
                          <w:p w14:paraId="410166B9">
                            <w:pPr>
                              <w:jc w:val="center"/>
                              <w:rPr>
                                <w:rFonts w:asciiTheme="minorEastAsia" w:hAnsiTheme="minorEastAsia" w:eastAsiaTheme="minorEastAsia"/>
                                <w:bCs/>
                                <w:szCs w:val="21"/>
                              </w:rPr>
                            </w:pPr>
                            <w:r>
                              <w:rPr>
                                <w:rFonts w:hint="eastAsia"/>
                                <w:szCs w:val="21"/>
                              </w:rPr>
                              <w:t>法定代表人的</w:t>
                            </w:r>
                            <w:r>
                              <w:rPr>
                                <w:rFonts w:hint="eastAsia" w:asciiTheme="minorEastAsia" w:hAnsiTheme="minorEastAsia" w:eastAsiaTheme="minorEastAsia"/>
                              </w:rPr>
                              <w:t>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p>
                          <w:p w14:paraId="072257D9">
                            <w:pPr>
                              <w:jc w:val="center"/>
                              <w:rPr>
                                <w:szCs w:val="21"/>
                              </w:rPr>
                            </w:pPr>
                            <w:r>
                              <w:rPr>
                                <w:rFonts w:hint="eastAsia"/>
                                <w:szCs w:val="21"/>
                              </w:rPr>
                              <w:t>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wAIl+NgAAAAKAQAADwAAAAAAAAABACAAAAAiAAAAZHJzL2Rvd25yZXYueG1sUEsBAhQAFAAA&#10;AAgAh07iQCyKqIthAgAAowQAAA4AAAAAAAAAAQAgAAAAJwEAAGRycy9lMm9Eb2MueG1sUEsFBgAA&#10;AAAGAAYAWQEAAPoFAAAAAA==&#10;">
                <v:fill on="t" focussize="0,0"/>
                <v:stroke color="#000000" miterlimit="8" joinstyle="miter"/>
                <v:imagedata o:title=""/>
                <o:lock v:ext="edit" aspectratio="f"/>
                <v:textbox>
                  <w:txbxContent>
                    <w:p w14:paraId="410166B9">
                      <w:pPr>
                        <w:jc w:val="center"/>
                        <w:rPr>
                          <w:rFonts w:asciiTheme="minorEastAsia" w:hAnsiTheme="minorEastAsia" w:eastAsiaTheme="minorEastAsia"/>
                          <w:bCs/>
                          <w:szCs w:val="21"/>
                        </w:rPr>
                      </w:pPr>
                      <w:r>
                        <w:rPr>
                          <w:rFonts w:hint="eastAsia"/>
                          <w:szCs w:val="21"/>
                        </w:rPr>
                        <w:t>法定代表人的</w:t>
                      </w:r>
                      <w:r>
                        <w:rPr>
                          <w:rFonts w:hint="eastAsia" w:asciiTheme="minorEastAsia" w:hAnsiTheme="minorEastAsia" w:eastAsiaTheme="minorEastAsia"/>
                        </w:rPr>
                        <w:t>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p>
                    <w:p w14:paraId="072257D9">
                      <w:pPr>
                        <w:jc w:val="center"/>
                        <w:rPr>
                          <w:szCs w:val="21"/>
                        </w:rPr>
                      </w:pPr>
                      <w:r>
                        <w:rPr>
                          <w:rFonts w:hint="eastAsia"/>
                          <w:szCs w:val="21"/>
                        </w:rPr>
                        <w:t>粘贴处</w:t>
                      </w:r>
                    </w:p>
                  </w:txbxContent>
                </v:textbox>
              </v:shape>
            </w:pict>
          </mc:Fallback>
        </mc:AlternateContent>
      </w:r>
      <w:r>
        <w:rPr>
          <w:rFonts w:asciiTheme="minorEastAsia" w:hAnsiTheme="minorEastAsia" w:eastAsiaTheme="minorEastAsia"/>
          <w:szCs w:val="21"/>
          <w:highlight w:val="none"/>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0" t="0" r="17145" b="19685"/>
                <wp:wrapNone/>
                <wp:docPr id="9"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wps:spPr>
                      <wps:txbx>
                        <w:txbxContent>
                          <w:p w14:paraId="5EB7FB71">
                            <w:pPr>
                              <w:jc w:val="center"/>
                              <w:rPr>
                                <w:rFonts w:asciiTheme="minorEastAsia" w:hAnsiTheme="minorEastAsia" w:eastAsiaTheme="minorEastAsia"/>
                                <w:bCs/>
                                <w:szCs w:val="21"/>
                              </w:rPr>
                            </w:pPr>
                            <w:r>
                              <w:rPr>
                                <w:rFonts w:hint="eastAsia"/>
                                <w:szCs w:val="21"/>
                              </w:rPr>
                              <w:t>法定代表人的</w:t>
                            </w:r>
                            <w:r>
                              <w:rPr>
                                <w:rFonts w:hint="eastAsia" w:asciiTheme="minorEastAsia" w:hAnsiTheme="minorEastAsia" w:eastAsiaTheme="minorEastAsia"/>
                              </w:rPr>
                              <w:t>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p>
                          <w:p w14:paraId="299A87DC">
                            <w:pPr>
                              <w:jc w:val="center"/>
                              <w:rPr>
                                <w:szCs w:val="21"/>
                              </w:rPr>
                            </w:pPr>
                            <w:r>
                              <w:rPr>
                                <w:rFonts w:hint="eastAsia"/>
                                <w:szCs w:val="21"/>
                              </w:rPr>
                              <w:t>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ogIJXNkAAAALAQAADwAAAAAAAAABACAAAAAiAAAAZHJzL2Rvd25yZXYueG1sUEsBAhQAFAAA&#10;AAgAh07iQE/ScbZgAgAAoQQAAA4AAAAAAAAAAQAgAAAAKAEAAGRycy9lMm9Eb2MueG1sUEsFBgAA&#10;AAAGAAYAWQEAAPoFAAAAAA==&#10;">
                <v:fill on="t" focussize="0,0"/>
                <v:stroke color="#000000" miterlimit="8" joinstyle="miter"/>
                <v:imagedata o:title=""/>
                <o:lock v:ext="edit" aspectratio="f"/>
                <v:textbox>
                  <w:txbxContent>
                    <w:p w14:paraId="5EB7FB71">
                      <w:pPr>
                        <w:jc w:val="center"/>
                        <w:rPr>
                          <w:rFonts w:asciiTheme="minorEastAsia" w:hAnsiTheme="minorEastAsia" w:eastAsiaTheme="minorEastAsia"/>
                          <w:bCs/>
                          <w:szCs w:val="21"/>
                        </w:rPr>
                      </w:pPr>
                      <w:r>
                        <w:rPr>
                          <w:rFonts w:hint="eastAsia"/>
                          <w:szCs w:val="21"/>
                        </w:rPr>
                        <w:t>法定代表人的</w:t>
                      </w:r>
                      <w:r>
                        <w:rPr>
                          <w:rFonts w:hint="eastAsia" w:asciiTheme="minorEastAsia" w:hAnsiTheme="minorEastAsia" w:eastAsiaTheme="minorEastAsia"/>
                        </w:rPr>
                        <w:t>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p>
                    <w:p w14:paraId="299A87DC">
                      <w:pPr>
                        <w:jc w:val="center"/>
                        <w:rPr>
                          <w:szCs w:val="21"/>
                        </w:rPr>
                      </w:pPr>
                      <w:r>
                        <w:rPr>
                          <w:rFonts w:hint="eastAsia"/>
                          <w:szCs w:val="21"/>
                        </w:rPr>
                        <w:t>粘贴处</w:t>
                      </w:r>
                    </w:p>
                  </w:txbxContent>
                </v:textbox>
              </v:shape>
            </w:pict>
          </mc:Fallback>
        </mc:AlternateContent>
      </w:r>
    </w:p>
    <w:p w14:paraId="48DDBB70">
      <w:pPr>
        <w:spacing w:line="500" w:lineRule="exact"/>
        <w:rPr>
          <w:rFonts w:asciiTheme="minorEastAsia" w:hAnsiTheme="minorEastAsia" w:eastAsiaTheme="minorEastAsia"/>
          <w:szCs w:val="21"/>
          <w:highlight w:val="none"/>
        </w:rPr>
      </w:pPr>
    </w:p>
    <w:p w14:paraId="0E11178F">
      <w:pPr>
        <w:spacing w:line="440" w:lineRule="exact"/>
        <w:rPr>
          <w:rFonts w:asciiTheme="minorEastAsia" w:hAnsiTheme="minorEastAsia" w:eastAsiaTheme="minorEastAsia"/>
          <w:szCs w:val="21"/>
          <w:highlight w:val="none"/>
        </w:rPr>
      </w:pPr>
    </w:p>
    <w:p w14:paraId="268C6F41">
      <w:pPr>
        <w:spacing w:line="440" w:lineRule="exact"/>
        <w:rPr>
          <w:rFonts w:asciiTheme="minorEastAsia" w:hAnsiTheme="minorEastAsia" w:eastAsiaTheme="minorEastAsia"/>
          <w:szCs w:val="21"/>
          <w:highlight w:val="none"/>
        </w:rPr>
      </w:pPr>
    </w:p>
    <w:p w14:paraId="7F9DB497">
      <w:pPr>
        <w:spacing w:line="500" w:lineRule="exact"/>
        <w:rPr>
          <w:rFonts w:asciiTheme="minorEastAsia" w:hAnsiTheme="minorEastAsia" w:eastAsiaTheme="minorEastAsia"/>
          <w:szCs w:val="21"/>
          <w:highlight w:val="none"/>
        </w:rPr>
      </w:pPr>
    </w:p>
    <w:p w14:paraId="0A81525A">
      <w:pPr>
        <w:spacing w:line="440" w:lineRule="exact"/>
        <w:rPr>
          <w:rFonts w:asciiTheme="minorEastAsia" w:hAnsiTheme="minorEastAsia" w:eastAsiaTheme="minorEastAsia"/>
          <w:szCs w:val="21"/>
          <w:highlight w:val="none"/>
        </w:rPr>
      </w:pPr>
    </w:p>
    <w:p w14:paraId="7642549B">
      <w:pPr>
        <w:spacing w:line="500" w:lineRule="exact"/>
        <w:rPr>
          <w:rFonts w:asciiTheme="minorEastAsia" w:hAnsiTheme="minorEastAsia" w:eastAsiaTheme="minorEastAsia"/>
          <w:szCs w:val="21"/>
          <w:highlight w:val="none"/>
        </w:rPr>
      </w:pPr>
    </w:p>
    <w:p w14:paraId="76AE0E78">
      <w:pPr>
        <w:spacing w:line="440" w:lineRule="exact"/>
        <w:rPr>
          <w:rFonts w:asciiTheme="minorEastAsia" w:hAnsiTheme="minorEastAsia" w:eastAsiaTheme="minorEastAsia"/>
          <w:szCs w:val="21"/>
          <w:highlight w:val="none"/>
        </w:rPr>
      </w:pPr>
    </w:p>
    <w:p w14:paraId="2C5B9110">
      <w:pPr>
        <w:spacing w:line="440" w:lineRule="exact"/>
        <w:rPr>
          <w:rFonts w:asciiTheme="minorEastAsia" w:hAnsiTheme="minorEastAsia" w:eastAsiaTheme="minorEastAsia"/>
          <w:szCs w:val="21"/>
          <w:highlight w:val="none"/>
        </w:rPr>
      </w:pPr>
    </w:p>
    <w:p w14:paraId="4DEBA35F">
      <w:pPr>
        <w:spacing w:line="440" w:lineRule="exact"/>
        <w:ind w:firstLine="1274" w:firstLineChars="607"/>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投标人名称：</w:t>
      </w:r>
      <w:r>
        <w:rPr>
          <w:rFonts w:hint="eastAsia" w:asciiTheme="minorEastAsia" w:hAnsiTheme="minorEastAsia" w:eastAsiaTheme="minorEastAsia"/>
          <w:szCs w:val="21"/>
          <w:highlight w:val="none"/>
          <w:u w:val="single"/>
        </w:rPr>
        <w:t xml:space="preserve">　　　　　　　　          </w:t>
      </w:r>
    </w:p>
    <w:p w14:paraId="200E37A6">
      <w:pPr>
        <w:spacing w:line="440" w:lineRule="exact"/>
        <w:ind w:firstLine="1274" w:firstLineChars="607"/>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5FEA7B95">
      <w:pPr>
        <w:rPr>
          <w:rFonts w:asciiTheme="minorEastAsia" w:hAnsiTheme="minorEastAsia" w:eastAsiaTheme="minorEastAsia"/>
          <w:b/>
          <w:highlight w:val="none"/>
        </w:rPr>
      </w:pPr>
    </w:p>
    <w:p w14:paraId="6F9D3C7D">
      <w:pPr>
        <w:rPr>
          <w:rFonts w:asciiTheme="minorEastAsia" w:hAnsiTheme="minorEastAsia" w:eastAsiaTheme="minorEastAsia"/>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highlight w:val="none"/>
        </w:rPr>
        <w:t>除本文件允许投标人进行填写的内容以外，投标人不得对本文件进行修改。</w:t>
      </w:r>
    </w:p>
    <w:p w14:paraId="4EF818CF">
      <w:pPr>
        <w:bidi w:val="0"/>
        <w:rPr>
          <w:rFonts w:hint="eastAsia"/>
          <w:lang w:val="en-US" w:eastAsia="zh-CN"/>
        </w:rPr>
      </w:pPr>
      <w:bookmarkStart w:id="849" w:name="_Toc25934"/>
      <w:bookmarkStart w:id="850" w:name="_Toc14675"/>
      <w:bookmarkStart w:id="851" w:name="_Toc20409"/>
      <w:bookmarkStart w:id="852" w:name="_Toc9960"/>
    </w:p>
    <w:p w14:paraId="3216083C">
      <w:pPr>
        <w:bidi w:val="0"/>
        <w:rPr>
          <w:rFonts w:hint="eastAsia" w:cs="Times New Roman" w:asciiTheme="minorEastAsia" w:hAnsiTheme="minorEastAsia" w:eastAsiaTheme="minorEastAsia"/>
          <w:b/>
          <w:bCs/>
          <w:kern w:val="2"/>
          <w:sz w:val="24"/>
          <w:szCs w:val="24"/>
          <w:lang w:val="en-US" w:eastAsia="zh-CN" w:bidi="ar-SA"/>
        </w:rPr>
      </w:pPr>
    </w:p>
    <w:p w14:paraId="0086F51E">
      <w:pPr>
        <w:bidi w:val="0"/>
        <w:rPr>
          <w:rFonts w:hint="eastAsia" w:cs="Times New Roman" w:asciiTheme="minorEastAsia" w:hAnsiTheme="minorEastAsia" w:eastAsiaTheme="minorEastAsia"/>
          <w:b/>
          <w:bCs/>
          <w:kern w:val="2"/>
          <w:sz w:val="24"/>
          <w:szCs w:val="24"/>
          <w:lang w:val="en-US" w:eastAsia="zh-CN" w:bidi="ar-SA"/>
        </w:rPr>
      </w:pPr>
    </w:p>
    <w:p w14:paraId="04876108">
      <w:pPr>
        <w:bidi w:val="0"/>
        <w:rPr>
          <w:rFonts w:hint="eastAsia" w:cs="Times New Roman" w:asciiTheme="minorEastAsia" w:hAnsiTheme="minorEastAsia" w:eastAsiaTheme="minorEastAsia"/>
          <w:b/>
          <w:bCs/>
          <w:kern w:val="2"/>
          <w:sz w:val="24"/>
          <w:szCs w:val="24"/>
          <w:lang w:val="en-US" w:eastAsia="zh-CN" w:bidi="ar-SA"/>
        </w:rPr>
      </w:pPr>
    </w:p>
    <w:p w14:paraId="561659D7">
      <w:pPr>
        <w:bidi w:val="0"/>
        <w:rPr>
          <w:rFonts w:hint="eastAsia" w:cs="Times New Roman" w:asciiTheme="minorEastAsia" w:hAnsiTheme="minorEastAsia" w:eastAsiaTheme="minorEastAsia"/>
          <w:b/>
          <w:bCs/>
          <w:kern w:val="2"/>
          <w:sz w:val="24"/>
          <w:szCs w:val="24"/>
          <w:lang w:val="en-US" w:eastAsia="zh-CN" w:bidi="ar-SA"/>
        </w:rPr>
      </w:pPr>
    </w:p>
    <w:p w14:paraId="6628FB4F">
      <w:pPr>
        <w:pStyle w:val="3"/>
        <w:bidi w:val="0"/>
        <w:rPr>
          <w:rFonts w:asciiTheme="minorEastAsia" w:hAnsiTheme="minorEastAsia" w:eastAsiaTheme="minorEastAsia"/>
          <w:sz w:val="24"/>
          <w:szCs w:val="24"/>
          <w:highlight w:val="none"/>
        </w:rPr>
      </w:pPr>
      <w:bookmarkStart w:id="853" w:name="_Toc5937"/>
      <w:bookmarkStart w:id="854" w:name="_Toc20733"/>
      <w:bookmarkStart w:id="855" w:name="_Toc17962"/>
      <w:bookmarkStart w:id="856" w:name="_Toc28272"/>
      <w:bookmarkStart w:id="857" w:name="_Toc17681"/>
      <w:bookmarkStart w:id="858" w:name="_Toc11340"/>
      <w:r>
        <w:rPr>
          <w:rFonts w:hint="eastAsia" w:cs="Times New Roman" w:asciiTheme="minorEastAsia" w:hAnsiTheme="minorEastAsia" w:eastAsiaTheme="minorEastAsia"/>
          <w:b/>
          <w:bCs/>
          <w:kern w:val="2"/>
          <w:sz w:val="24"/>
          <w:szCs w:val="24"/>
          <w:lang w:val="en-US" w:eastAsia="zh-CN" w:bidi="ar-SA"/>
        </w:rPr>
        <w:t>7.</w:t>
      </w:r>
      <w:bookmarkStart w:id="859" w:name="_Toc23961"/>
      <w:bookmarkStart w:id="860" w:name="_Toc38008083"/>
      <w:bookmarkStart w:id="861" w:name="_Toc475472675"/>
      <w:bookmarkStart w:id="862" w:name="_Toc438052122"/>
      <w:r>
        <w:rPr>
          <w:rFonts w:hint="eastAsia" w:asciiTheme="minorEastAsia" w:hAnsiTheme="minorEastAsia" w:eastAsiaTheme="minorEastAsia"/>
          <w:sz w:val="24"/>
          <w:szCs w:val="24"/>
        </w:rPr>
        <w:t>法定代表人/负责人授权委托书</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p>
    <w:p w14:paraId="326BB415">
      <w:pPr>
        <w:jc w:val="center"/>
        <w:rPr>
          <w:rFonts w:cs="宋体" w:asciiTheme="minorEastAsia" w:hAnsiTheme="minorEastAsia" w:eastAsiaTheme="minorEastAsia"/>
          <w:b/>
          <w:sz w:val="24"/>
          <w:highlight w:val="none"/>
        </w:rPr>
      </w:pPr>
    </w:p>
    <w:p w14:paraId="6B9F7DE2">
      <w:pPr>
        <w:jc w:val="center"/>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法定代表人/负责人授权委托书</w:t>
      </w:r>
    </w:p>
    <w:p w14:paraId="2FBF3609">
      <w:pPr>
        <w:jc w:val="center"/>
        <w:rPr>
          <w:rFonts w:cs="宋体" w:asciiTheme="minorEastAsia" w:hAnsiTheme="minorEastAsia" w:eastAsiaTheme="minorEastAsia"/>
          <w:b/>
          <w:sz w:val="24"/>
          <w:highlight w:val="none"/>
        </w:rPr>
      </w:pPr>
    </w:p>
    <w:p w14:paraId="3E2895B8">
      <w:pPr>
        <w:topLinePunct/>
        <w:snapToGrid w:val="0"/>
        <w:spacing w:line="440" w:lineRule="exact"/>
        <w:ind w:firstLine="420" w:firstLineChars="200"/>
        <w:rPr>
          <w:rFonts w:asciiTheme="minorEastAsia" w:hAnsiTheme="minorEastAsia" w:eastAsiaTheme="minorEastAsia"/>
          <w:bCs/>
          <w:szCs w:val="21"/>
          <w:highlight w:val="none"/>
        </w:rPr>
      </w:pPr>
      <w:r>
        <w:rPr>
          <w:rFonts w:asciiTheme="minorEastAsia" w:hAnsiTheme="minorEastAsia" w:eastAsiaTheme="minorEastAsia"/>
          <w:bCs/>
          <w:szCs w:val="21"/>
          <w:highlight w:val="none"/>
        </w:rPr>
        <w:t>本人</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 xml:space="preserve"> [投标人法定代表人/负责人</w:t>
      </w:r>
      <w:r>
        <w:rPr>
          <w:rFonts w:asciiTheme="minorEastAsia" w:hAnsiTheme="minorEastAsia" w:eastAsiaTheme="minorEastAsia"/>
          <w:szCs w:val="21"/>
          <w:highlight w:val="none"/>
          <w:u w:val="single"/>
        </w:rPr>
        <w:t>姓名</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u w:val="single"/>
        </w:rPr>
        <w:t>】</w:t>
      </w:r>
      <w:r>
        <w:rPr>
          <w:rFonts w:asciiTheme="minorEastAsia" w:hAnsiTheme="minorEastAsia" w:eastAsiaTheme="minorEastAsia"/>
          <w:bCs/>
          <w:szCs w:val="21"/>
          <w:highlight w:val="none"/>
        </w:rPr>
        <w:t xml:space="preserve">系 </w:t>
      </w:r>
      <w:r>
        <w:rPr>
          <w:rFonts w:hint="eastAsia" w:asciiTheme="minorEastAsia" w:hAnsiTheme="minorEastAsia" w:eastAsiaTheme="minorEastAsia"/>
          <w:highlight w:val="none"/>
          <w:u w:val="single"/>
        </w:rPr>
        <w:t>【XX公司</w:t>
      </w:r>
      <w:r>
        <w:rPr>
          <w:rFonts w:hint="eastAsia" w:asciiTheme="minorEastAsia" w:hAnsiTheme="minorEastAsia" w:eastAsiaTheme="minorEastAsia"/>
          <w:szCs w:val="21"/>
          <w:highlight w:val="none"/>
          <w:u w:val="single"/>
        </w:rPr>
        <w:t>[投标</w:t>
      </w:r>
      <w:r>
        <w:rPr>
          <w:rFonts w:asciiTheme="minorEastAsia" w:hAnsiTheme="minorEastAsia" w:eastAsiaTheme="minorEastAsia"/>
          <w:szCs w:val="21"/>
          <w:highlight w:val="none"/>
          <w:u w:val="single"/>
        </w:rPr>
        <w:t>人名称</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u w:val="single"/>
        </w:rPr>
        <w:t>】</w:t>
      </w:r>
      <w:r>
        <w:rPr>
          <w:rFonts w:asciiTheme="minorEastAsia" w:hAnsiTheme="minorEastAsia" w:eastAsiaTheme="minorEastAsia"/>
          <w:bCs/>
          <w:szCs w:val="21"/>
          <w:highlight w:val="none"/>
        </w:rPr>
        <w:t>的法定代表人</w:t>
      </w:r>
      <w:r>
        <w:rPr>
          <w:rFonts w:hint="eastAsia" w:asciiTheme="minorEastAsia" w:hAnsiTheme="minorEastAsia" w:eastAsiaTheme="minorEastAsia"/>
          <w:bCs/>
          <w:szCs w:val="21"/>
          <w:highlight w:val="none"/>
        </w:rPr>
        <w:t>/负责人</w:t>
      </w:r>
      <w:r>
        <w:rPr>
          <w:rFonts w:asciiTheme="minorEastAsia" w:hAnsiTheme="minorEastAsia" w:eastAsiaTheme="minorEastAsia"/>
          <w:bCs/>
          <w:szCs w:val="21"/>
          <w:highlight w:val="none"/>
        </w:rPr>
        <w:t>，现委托</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 xml:space="preserve"> [委托代理人</w:t>
      </w:r>
      <w:r>
        <w:rPr>
          <w:rFonts w:asciiTheme="minorEastAsia" w:hAnsiTheme="minorEastAsia" w:eastAsiaTheme="minorEastAsia"/>
          <w:szCs w:val="21"/>
          <w:highlight w:val="none"/>
          <w:u w:val="single"/>
        </w:rPr>
        <w:t>姓名</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u w:val="single"/>
        </w:rPr>
        <w:t>】</w:t>
      </w:r>
      <w:r>
        <w:rPr>
          <w:rFonts w:asciiTheme="minorEastAsia" w:hAnsiTheme="minorEastAsia" w:eastAsiaTheme="minorEastAsia"/>
          <w:bCs/>
          <w:szCs w:val="21"/>
          <w:highlight w:val="none"/>
        </w:rPr>
        <w:t>为我方代理人。代理人根据授权，以我方名义</w:t>
      </w:r>
      <w:r>
        <w:rPr>
          <w:rFonts w:hint="eastAsia" w:asciiTheme="minorEastAsia" w:hAnsiTheme="minorEastAsia" w:eastAsiaTheme="minorEastAsia"/>
          <w:bCs/>
          <w:szCs w:val="21"/>
          <w:highlight w:val="none"/>
        </w:rPr>
        <w:t>全权处理</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项目[集中招标项目名称]</w:t>
      </w:r>
      <w:r>
        <w:rPr>
          <w:rFonts w:hint="eastAsia" w:asciiTheme="minorEastAsia" w:hAnsiTheme="minorEastAsia" w:eastAsiaTheme="minorEastAsia"/>
          <w:highlight w:val="none"/>
          <w:u w:val="single"/>
        </w:rPr>
        <w:t>】【XX</w:t>
      </w:r>
      <w:r>
        <w:rPr>
          <w:rFonts w:asciiTheme="minorEastAsia" w:hAnsiTheme="minorEastAsia" w:eastAsiaTheme="minorEastAsia"/>
          <w:szCs w:val="21"/>
          <w:highlight w:val="none"/>
          <w:u w:val="single"/>
        </w:rPr>
        <w:t>标包</w:t>
      </w:r>
      <w:r>
        <w:rPr>
          <w:rFonts w:hint="eastAsia" w:asciiTheme="minorEastAsia" w:hAnsiTheme="minorEastAsia" w:eastAsiaTheme="minorEastAsia"/>
          <w:szCs w:val="21"/>
          <w:highlight w:val="none"/>
          <w:u w:val="single"/>
        </w:rPr>
        <w:t>[标包名称]</w:t>
      </w:r>
      <w:r>
        <w:rPr>
          <w:rFonts w:hint="eastAsia" w:asciiTheme="minorEastAsia" w:hAnsiTheme="minorEastAsia" w:eastAsiaTheme="minorEastAsia"/>
          <w:highlight w:val="none"/>
          <w:u w:val="single"/>
        </w:rPr>
        <w:t>】【</w:t>
      </w:r>
      <w:r>
        <w:rPr>
          <w:rFonts w:asciiTheme="minorEastAsia" w:hAnsiTheme="minorEastAsia" w:eastAsiaTheme="minorEastAsia"/>
          <w:bCs/>
          <w:szCs w:val="21"/>
          <w:highlight w:val="none"/>
          <w:u w:val="single"/>
        </w:rPr>
        <w:t>签署、澄清</w:t>
      </w:r>
      <w:r>
        <w:rPr>
          <w:rFonts w:hint="eastAsia" w:asciiTheme="minorEastAsia" w:hAnsiTheme="minorEastAsia" w:eastAsiaTheme="minorEastAsia"/>
          <w:bCs/>
          <w:szCs w:val="21"/>
          <w:highlight w:val="none"/>
          <w:u w:val="single"/>
        </w:rPr>
        <w:t>、说明、补正</w:t>
      </w:r>
      <w:r>
        <w:rPr>
          <w:rFonts w:asciiTheme="minorEastAsia" w:hAnsiTheme="minorEastAsia" w:eastAsiaTheme="minorEastAsia"/>
          <w:bCs/>
          <w:szCs w:val="21"/>
          <w:highlight w:val="none"/>
          <w:u w:val="single"/>
        </w:rPr>
        <w:t>、递交、撤回、修改投标文件</w:t>
      </w:r>
      <w:r>
        <w:rPr>
          <w:rFonts w:hint="eastAsia" w:asciiTheme="minorEastAsia" w:hAnsiTheme="minorEastAsia" w:eastAsiaTheme="minorEastAsia"/>
          <w:bCs/>
          <w:szCs w:val="21"/>
          <w:highlight w:val="none"/>
          <w:u w:val="single"/>
        </w:rPr>
        <w:t>，</w:t>
      </w:r>
      <w:r>
        <w:rPr>
          <w:rFonts w:asciiTheme="minorEastAsia" w:hAnsiTheme="minorEastAsia" w:eastAsiaTheme="minorEastAsia"/>
          <w:bCs/>
          <w:szCs w:val="21"/>
          <w:highlight w:val="none"/>
          <w:u w:val="single"/>
        </w:rPr>
        <w:t>签订合同和处理</w:t>
      </w:r>
      <w:r>
        <w:rPr>
          <w:rFonts w:hint="eastAsia" w:asciiTheme="minorEastAsia" w:hAnsiTheme="minorEastAsia" w:eastAsiaTheme="minorEastAsia"/>
          <w:bCs/>
          <w:szCs w:val="21"/>
          <w:highlight w:val="none"/>
          <w:u w:val="single"/>
        </w:rPr>
        <w:t>一切</w:t>
      </w:r>
      <w:r>
        <w:rPr>
          <w:rFonts w:asciiTheme="minorEastAsia" w:hAnsiTheme="minorEastAsia" w:eastAsiaTheme="minorEastAsia"/>
          <w:bCs/>
          <w:szCs w:val="21"/>
          <w:highlight w:val="none"/>
          <w:u w:val="single"/>
        </w:rPr>
        <w:t>有关事宜</w:t>
      </w:r>
      <w:r>
        <w:rPr>
          <w:rFonts w:hint="eastAsia" w:asciiTheme="minorEastAsia" w:hAnsiTheme="minorEastAsia" w:eastAsiaTheme="minorEastAsia"/>
          <w:highlight w:val="none"/>
          <w:u w:val="single"/>
        </w:rPr>
        <w:t>】</w:t>
      </w:r>
      <w:r>
        <w:rPr>
          <w:rFonts w:asciiTheme="minorEastAsia" w:hAnsiTheme="minorEastAsia" w:eastAsiaTheme="minorEastAsia"/>
          <w:bCs/>
          <w:szCs w:val="21"/>
          <w:highlight w:val="none"/>
        </w:rPr>
        <w:t xml:space="preserve">，其法律后果由我方承担。 </w:t>
      </w:r>
    </w:p>
    <w:p w14:paraId="636DE496">
      <w:pPr>
        <w:topLinePunct/>
        <w:snapToGrid w:val="0"/>
        <w:spacing w:line="440" w:lineRule="exact"/>
        <w:ind w:firstLine="420" w:firstLineChars="200"/>
        <w:rPr>
          <w:rFonts w:asciiTheme="minorEastAsia" w:hAnsiTheme="minorEastAsia" w:eastAsiaTheme="minorEastAsia"/>
          <w:bCs/>
          <w:szCs w:val="21"/>
          <w:highlight w:val="none"/>
        </w:rPr>
      </w:pPr>
      <w:r>
        <w:rPr>
          <w:rFonts w:asciiTheme="minorEastAsia" w:hAnsiTheme="minorEastAsia" w:eastAsiaTheme="minorEastAsia"/>
          <w:bCs/>
          <w:szCs w:val="21"/>
          <w:highlight w:val="none"/>
        </w:rPr>
        <w:t>委托期限：</w:t>
      </w:r>
      <w:r>
        <w:rPr>
          <w:rFonts w:hint="eastAsia" w:asciiTheme="minorEastAsia" w:hAnsiTheme="minorEastAsia" w:eastAsiaTheme="minorEastAsia"/>
          <w:bCs/>
          <w:szCs w:val="21"/>
          <w:highlight w:val="none"/>
        </w:rPr>
        <w:t>。</w:t>
      </w:r>
    </w:p>
    <w:p w14:paraId="15660CA6">
      <w:pPr>
        <w:topLinePunct/>
        <w:snapToGrid w:val="0"/>
        <w:spacing w:line="440" w:lineRule="exact"/>
        <w:ind w:firstLine="420" w:firstLineChars="20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委托</w:t>
      </w:r>
      <w:r>
        <w:rPr>
          <w:rFonts w:asciiTheme="minorEastAsia" w:hAnsiTheme="minorEastAsia" w:eastAsiaTheme="minorEastAsia"/>
          <w:bCs/>
          <w:szCs w:val="21"/>
          <w:highlight w:val="none"/>
        </w:rPr>
        <w:t>代理人无转委托权。</w:t>
      </w:r>
    </w:p>
    <w:p w14:paraId="4BB9E79F">
      <w:pPr>
        <w:spacing w:line="440" w:lineRule="exact"/>
        <w:ind w:firstLine="420" w:firstLineChars="20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附：</w:t>
      </w:r>
    </w:p>
    <w:p w14:paraId="12F600F4">
      <w:pPr>
        <w:spacing w:line="440" w:lineRule="exact"/>
        <w:ind w:firstLine="420" w:firstLineChars="20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w:t>
      </w:r>
      <w:r>
        <w:rPr>
          <w:rFonts w:asciiTheme="minorEastAsia" w:hAnsiTheme="minorEastAsia" w:eastAsiaTheme="minorEastAsia"/>
          <w:bCs/>
          <w:szCs w:val="21"/>
          <w:highlight w:val="none"/>
        </w:rPr>
        <w:t>.</w:t>
      </w:r>
      <w:r>
        <w:rPr>
          <w:rFonts w:hint="eastAsia" w:asciiTheme="minorEastAsia" w:hAnsiTheme="minorEastAsia" w:eastAsiaTheme="minorEastAsia"/>
          <w:bCs/>
          <w:szCs w:val="21"/>
          <w:highlight w:val="none"/>
        </w:rPr>
        <w:t>委托代理人</w:t>
      </w:r>
      <w:r>
        <w:rPr>
          <w:rFonts w:hint="eastAsia" w:asciiTheme="minorEastAsia" w:hAnsiTheme="minorEastAsia" w:eastAsiaTheme="minorEastAsia"/>
          <w:highlight w:val="none"/>
        </w:rPr>
        <w:t>的合法有效</w:t>
      </w:r>
      <w:r>
        <w:rPr>
          <w:rFonts w:asciiTheme="minorEastAsia" w:hAnsiTheme="minorEastAsia" w:eastAsiaTheme="minorEastAsia"/>
          <w:highlight w:val="none"/>
        </w:rPr>
        <w:t>身份证</w:t>
      </w:r>
      <w:r>
        <w:rPr>
          <w:rFonts w:hint="eastAsia" w:asciiTheme="minorEastAsia" w:hAnsiTheme="minorEastAsia" w:eastAsiaTheme="minorEastAsia"/>
          <w:highlight w:val="none"/>
        </w:rPr>
        <w:t>明</w:t>
      </w:r>
      <w:r>
        <w:rPr>
          <w:rFonts w:hint="eastAsia" w:asciiTheme="minorEastAsia" w:hAnsiTheme="minorEastAsia" w:eastAsiaTheme="minorEastAsia"/>
          <w:bCs/>
          <w:szCs w:val="21"/>
          <w:highlight w:val="none"/>
        </w:rPr>
        <w:t>复印件或扫描件(如提供中华人民共和国居民身份证的，需同时提供国徽面及人像面)</w:t>
      </w:r>
    </w:p>
    <w:p w14:paraId="0784842D">
      <w:pPr>
        <w:topLinePunct/>
        <w:snapToGrid w:val="0"/>
        <w:spacing w:line="440" w:lineRule="exact"/>
        <w:ind w:firstLine="2310" w:firstLineChars="1100"/>
        <w:rPr>
          <w:rFonts w:asciiTheme="minorEastAsia" w:hAnsiTheme="minorEastAsia" w:eastAsiaTheme="minorEastAsia"/>
          <w:bCs/>
          <w:szCs w:val="21"/>
          <w:highlight w:val="none"/>
        </w:rPr>
      </w:pPr>
      <w:r>
        <w:rPr>
          <w:rFonts w:asciiTheme="minorEastAsia" w:hAnsiTheme="minorEastAsia" w:eastAsiaTheme="minorEastAsia"/>
          <w:bCs/>
          <w:szCs w:val="21"/>
          <w:highlight w:val="none"/>
        </w:rPr>
        <w:t>投标人</w:t>
      </w:r>
      <w:r>
        <w:rPr>
          <w:rFonts w:hint="eastAsia" w:asciiTheme="minorEastAsia" w:hAnsiTheme="minorEastAsia" w:eastAsiaTheme="minorEastAsia"/>
          <w:bCs/>
          <w:szCs w:val="21"/>
          <w:highlight w:val="none"/>
        </w:rPr>
        <w:t>名称</w:t>
      </w:r>
      <w:r>
        <w:rPr>
          <w:rFonts w:asciiTheme="minorEastAsia" w:hAnsiTheme="minorEastAsia" w:eastAsiaTheme="minorEastAsia"/>
          <w:bCs/>
          <w:szCs w:val="21"/>
          <w:highlight w:val="none"/>
        </w:rPr>
        <w:t>：</w:t>
      </w:r>
      <w:r>
        <w:rPr>
          <w:rFonts w:asciiTheme="minorEastAsia" w:hAnsiTheme="minorEastAsia" w:eastAsiaTheme="minorEastAsia"/>
          <w:bCs/>
          <w:szCs w:val="21"/>
          <w:highlight w:val="none"/>
          <w:u w:val="single"/>
        </w:rPr>
        <w:t xml:space="preserve">                             </w:t>
      </w:r>
      <w:r>
        <w:rPr>
          <w:rFonts w:hint="eastAsia"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u w:val="single"/>
        </w:rPr>
        <w:t xml:space="preserve"> </w:t>
      </w:r>
    </w:p>
    <w:p w14:paraId="3DBA611D">
      <w:pPr>
        <w:topLinePunct/>
        <w:snapToGrid w:val="0"/>
        <w:spacing w:line="440" w:lineRule="exact"/>
        <w:ind w:firstLine="2310" w:firstLineChars="1100"/>
        <w:rPr>
          <w:rFonts w:asciiTheme="minorEastAsia" w:hAnsiTheme="minorEastAsia" w:eastAsiaTheme="minorEastAsia"/>
          <w:bCs/>
          <w:szCs w:val="21"/>
          <w:highlight w:val="none"/>
        </w:rPr>
      </w:pPr>
      <w:r>
        <w:rPr>
          <w:rFonts w:asciiTheme="minorEastAsia" w:hAnsiTheme="minorEastAsia" w:eastAsiaTheme="minorEastAsia"/>
          <w:bCs/>
          <w:szCs w:val="21"/>
          <w:highlight w:val="none"/>
        </w:rPr>
        <w:t>法定代表人/负责人</w:t>
      </w:r>
      <w:r>
        <w:rPr>
          <w:rFonts w:hint="eastAsia" w:asciiTheme="minorEastAsia" w:hAnsiTheme="minorEastAsia" w:eastAsiaTheme="minorEastAsia"/>
          <w:bCs/>
          <w:szCs w:val="21"/>
          <w:highlight w:val="none"/>
        </w:rPr>
        <w:t>（签字或盖人名章）</w:t>
      </w:r>
      <w:r>
        <w:rPr>
          <w:rFonts w:asciiTheme="minorEastAsia" w:hAnsiTheme="minorEastAsia" w:eastAsiaTheme="minorEastAsia"/>
          <w:bCs/>
          <w:szCs w:val="21"/>
          <w:highlight w:val="none"/>
        </w:rPr>
        <w:t>：</w:t>
      </w:r>
      <w:r>
        <w:rPr>
          <w:rFonts w:hint="eastAsia"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u w:val="single"/>
        </w:rPr>
        <w:t xml:space="preserve"> </w:t>
      </w:r>
    </w:p>
    <w:p w14:paraId="6672B0B2">
      <w:pPr>
        <w:topLinePunct/>
        <w:snapToGrid w:val="0"/>
        <w:spacing w:line="440" w:lineRule="exact"/>
        <w:ind w:firstLine="2310" w:firstLineChars="1100"/>
        <w:rPr>
          <w:rFonts w:asciiTheme="minorEastAsia" w:hAnsiTheme="minorEastAsia" w:eastAsiaTheme="minorEastAsia"/>
          <w:bCs/>
          <w:szCs w:val="21"/>
          <w:highlight w:val="none"/>
        </w:rPr>
      </w:pPr>
      <w:r>
        <w:rPr>
          <w:rFonts w:asciiTheme="minorEastAsia" w:hAnsiTheme="minorEastAsia" w:eastAsiaTheme="minorEastAsia"/>
          <w:bCs/>
          <w:szCs w:val="21"/>
          <w:highlight w:val="none"/>
        </w:rPr>
        <w:t>委托代理人</w:t>
      </w:r>
      <w:r>
        <w:rPr>
          <w:rFonts w:hint="eastAsia" w:asciiTheme="minorEastAsia" w:hAnsiTheme="minorEastAsia" w:eastAsiaTheme="minorEastAsia"/>
          <w:bCs/>
          <w:szCs w:val="21"/>
          <w:highlight w:val="none"/>
        </w:rPr>
        <w:t>（签字）</w:t>
      </w:r>
      <w:r>
        <w:rPr>
          <w:rFonts w:asciiTheme="minorEastAsia" w:hAnsiTheme="minorEastAsia" w:eastAsiaTheme="minorEastAsia"/>
          <w:bCs/>
          <w:szCs w:val="21"/>
          <w:highlight w:val="none"/>
        </w:rPr>
        <w:t>：</w:t>
      </w:r>
      <w:r>
        <w:rPr>
          <w:rFonts w:asciiTheme="minorEastAsia" w:hAnsiTheme="minorEastAsia" w:eastAsiaTheme="minorEastAsia"/>
          <w:bCs/>
          <w:szCs w:val="21"/>
          <w:highlight w:val="none"/>
          <w:u w:val="single"/>
        </w:rPr>
        <w:t xml:space="preserve"> </w:t>
      </w:r>
      <w:r>
        <w:rPr>
          <w:rFonts w:hint="eastAsia" w:asciiTheme="minorEastAsia" w:hAnsiTheme="minorEastAsia" w:eastAsiaTheme="minorEastAsia"/>
          <w:bCs/>
          <w:szCs w:val="21"/>
          <w:highlight w:val="none"/>
          <w:u w:val="single"/>
        </w:rPr>
        <w:t xml:space="preserve">                                </w:t>
      </w:r>
    </w:p>
    <w:p w14:paraId="07961155">
      <w:pPr>
        <w:topLinePunct/>
        <w:snapToGrid w:val="0"/>
        <w:spacing w:line="440" w:lineRule="exact"/>
        <w:ind w:firstLine="2310" w:firstLineChars="110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委托代理人上级领导（姓名）：</w:t>
      </w:r>
      <w:r>
        <w:rPr>
          <w:rFonts w:hint="eastAsia" w:asciiTheme="minorEastAsia" w:hAnsiTheme="minorEastAsia" w:eastAsiaTheme="minorEastAsia"/>
          <w:bCs/>
          <w:szCs w:val="21"/>
          <w:highlight w:val="none"/>
          <w:u w:val="single"/>
        </w:rPr>
        <w:t xml:space="preserve">                         </w:t>
      </w:r>
    </w:p>
    <w:p w14:paraId="415F5443">
      <w:pPr>
        <w:topLinePunct/>
        <w:snapToGrid w:val="0"/>
        <w:spacing w:line="440" w:lineRule="exact"/>
        <w:ind w:firstLine="2310" w:firstLineChars="110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联系方式（手机）：</w:t>
      </w:r>
      <w:r>
        <w:rPr>
          <w:rFonts w:hint="eastAsia" w:asciiTheme="minorEastAsia" w:hAnsiTheme="minorEastAsia" w:eastAsiaTheme="minorEastAsia"/>
          <w:bCs/>
          <w:szCs w:val="21"/>
          <w:highlight w:val="none"/>
          <w:u w:val="single"/>
        </w:rPr>
        <w:t xml:space="preserve">                                   </w:t>
      </w:r>
    </w:p>
    <w:p w14:paraId="0FCFFFEC">
      <w:pPr>
        <w:topLinePunct/>
        <w:snapToGrid w:val="0"/>
        <w:spacing w:line="440" w:lineRule="exact"/>
        <w:ind w:firstLine="2373" w:firstLineChars="1130"/>
        <w:rPr>
          <w:rFonts w:asciiTheme="minorEastAsia" w:hAnsiTheme="minorEastAsia" w:eastAsiaTheme="minorEastAsia"/>
          <w:highlight w:val="none"/>
        </w:rPr>
      </w:pPr>
      <w:r>
        <w:rPr>
          <w:rFonts w:hint="eastAsia" w:asciiTheme="minorEastAsia" w:hAnsiTheme="minorEastAsia" w:eastAsiaTheme="minorEastAsia"/>
          <w:highlight w:val="none"/>
        </w:rPr>
        <w:t>日期：</w:t>
      </w:r>
      <w:r>
        <w:rPr>
          <w:rFonts w:hint="eastAsia" w:asciiTheme="minorEastAsia" w:hAnsiTheme="minorEastAsia" w:eastAsiaTheme="minorEastAsia"/>
          <w:highlight w:val="none"/>
          <w:u w:val="single"/>
        </w:rPr>
        <w:t xml:space="preserve">_     __ </w:t>
      </w:r>
      <w:r>
        <w:rPr>
          <w:rFonts w:hint="eastAsia" w:asciiTheme="minorEastAsia" w:hAnsiTheme="minorEastAsia" w:eastAsiaTheme="minorEastAsia"/>
          <w:highlight w:val="none"/>
        </w:rPr>
        <w:t>年</w:t>
      </w:r>
      <w:r>
        <w:rPr>
          <w:rFonts w:hint="eastAsia" w:asciiTheme="minorEastAsia" w:hAnsiTheme="minorEastAsia" w:eastAsiaTheme="minorEastAsia"/>
          <w:highlight w:val="none"/>
          <w:u w:val="single"/>
        </w:rPr>
        <w:t>_     __</w:t>
      </w:r>
      <w:r>
        <w:rPr>
          <w:rFonts w:hint="eastAsia" w:asciiTheme="minorEastAsia" w:hAnsiTheme="minorEastAsia" w:eastAsiaTheme="minorEastAsia"/>
          <w:highlight w:val="none"/>
        </w:rPr>
        <w:t>月</w:t>
      </w:r>
      <w:r>
        <w:rPr>
          <w:rFonts w:hint="eastAsia" w:asciiTheme="minorEastAsia" w:hAnsiTheme="minorEastAsia" w:eastAsiaTheme="minorEastAsia"/>
          <w:highlight w:val="none"/>
          <w:u w:val="single"/>
        </w:rPr>
        <w:t>_    _ _</w:t>
      </w:r>
      <w:r>
        <w:rPr>
          <w:rFonts w:hint="eastAsia" w:asciiTheme="minorEastAsia" w:hAnsiTheme="minorEastAsia" w:eastAsiaTheme="minorEastAsia"/>
          <w:highlight w:val="none"/>
        </w:rPr>
        <w:t>日</w:t>
      </w:r>
    </w:p>
    <w:p w14:paraId="41414096">
      <w:pPr>
        <w:topLinePunct/>
        <w:snapToGrid w:val="0"/>
        <w:spacing w:line="44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mc:AlternateContent>
          <mc:Choice Requires="wps">
            <w:drawing>
              <wp:anchor distT="0" distB="0" distL="114300" distR="114300" simplePos="0" relativeHeight="251664384" behindDoc="0" locked="0" layoutInCell="1" allowOverlap="1">
                <wp:simplePos x="0" y="0"/>
                <wp:positionH relativeFrom="column">
                  <wp:posOffset>2641600</wp:posOffset>
                </wp:positionH>
                <wp:positionV relativeFrom="paragraph">
                  <wp:posOffset>234950</wp:posOffset>
                </wp:positionV>
                <wp:extent cx="3297555" cy="1875790"/>
                <wp:effectExtent l="0" t="0" r="17145" b="1016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1875790"/>
                        </a:xfrm>
                        <a:prstGeom prst="flowChartAlternateProcess">
                          <a:avLst/>
                        </a:prstGeom>
                        <a:solidFill>
                          <a:srgbClr val="FFFFFF"/>
                        </a:solidFill>
                        <a:ln w="9525">
                          <a:solidFill>
                            <a:srgbClr val="000000"/>
                          </a:solidFill>
                          <a:miter lim="800000"/>
                        </a:ln>
                      </wps:spPr>
                      <wps:txbx>
                        <w:txbxContent>
                          <w:p w14:paraId="16D4C67D">
                            <w:pPr>
                              <w:jc w:val="center"/>
                              <w:rPr>
                                <w:szCs w:val="21"/>
                              </w:rPr>
                            </w:pPr>
                            <w:r>
                              <w:rPr>
                                <w:rFonts w:hint="eastAsia" w:asciiTheme="minorEastAsia" w:hAnsiTheme="minorEastAsia" w:eastAsiaTheme="minorEastAsia"/>
                                <w:bCs/>
                                <w:szCs w:val="21"/>
                              </w:rPr>
                              <w:t>委托代理人</w:t>
                            </w:r>
                            <w:r>
                              <w:rPr>
                                <w:rFonts w:hint="eastAsia" w:asciiTheme="minorEastAsia" w:hAnsiTheme="minorEastAsia" w:eastAsiaTheme="minorEastAsia"/>
                              </w:rPr>
                              <w:t>的合法有效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r>
                              <w:rPr>
                                <w:rFonts w:hint="eastAsia"/>
                                <w:szCs w:val="21"/>
                              </w:rPr>
                              <w:t>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pt;margin-top:18.5pt;height:147.7pt;width:259.65pt;z-index:251664384;mso-width-relative:page;mso-height-relative:page;" fillcolor="#FFFFFF" filled="t" stroked="t" coordsize="21600,21600" o:gfxdata="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JdhYDLZAAAACgEAAA8AAAAAAAAAAQAgAAAAIgAAAGRycy9kb3ducmV2LnhtbFBLAQIUABQA&#10;AAAIAIdO4kB42MkPYQIAAKEEAAAOAAAAAAAAAAEAIAAAACgBAABkcnMvZTJvRG9jLnhtbFBLBQYA&#10;AAAABgAGAFkBAAD7BQAAAAA=&#10;">
                <v:fill on="t" focussize="0,0"/>
                <v:stroke color="#000000" miterlimit="8" joinstyle="miter"/>
                <v:imagedata o:title=""/>
                <o:lock v:ext="edit" aspectratio="f"/>
                <v:textbox>
                  <w:txbxContent>
                    <w:p w14:paraId="16D4C67D">
                      <w:pPr>
                        <w:jc w:val="center"/>
                        <w:rPr>
                          <w:szCs w:val="21"/>
                        </w:rPr>
                      </w:pPr>
                      <w:r>
                        <w:rPr>
                          <w:rFonts w:hint="eastAsia" w:asciiTheme="minorEastAsia" w:hAnsiTheme="minorEastAsia" w:eastAsiaTheme="minorEastAsia"/>
                          <w:bCs/>
                          <w:szCs w:val="21"/>
                        </w:rPr>
                        <w:t>委托代理人</w:t>
                      </w:r>
                      <w:r>
                        <w:rPr>
                          <w:rFonts w:hint="eastAsia" w:asciiTheme="minorEastAsia" w:hAnsiTheme="minorEastAsia" w:eastAsiaTheme="minorEastAsia"/>
                        </w:rPr>
                        <w:t>的合法有效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r>
                        <w:rPr>
                          <w:rFonts w:hint="eastAsia"/>
                          <w:szCs w:val="21"/>
                        </w:rPr>
                        <w:t>粘贴处</w:t>
                      </w:r>
                    </w:p>
                  </w:txbxContent>
                </v:textbox>
              </v:shape>
            </w:pict>
          </mc:Fallback>
        </mc:AlternateContent>
      </w:r>
      <w:r>
        <w:rPr>
          <w:rFonts w:asciiTheme="minorEastAsia" w:hAnsiTheme="minorEastAsia" w:eastAsiaTheme="minorEastAsia"/>
          <w:szCs w:val="21"/>
          <w:highlight w:val="none"/>
        </w:rPr>
        <mc:AlternateContent>
          <mc:Choice Requires="wps">
            <w:drawing>
              <wp:anchor distT="0" distB="0" distL="114300" distR="114300" simplePos="0" relativeHeight="251663360" behindDoc="0" locked="0" layoutInCell="1" allowOverlap="1">
                <wp:simplePos x="0" y="0"/>
                <wp:positionH relativeFrom="column">
                  <wp:posOffset>-652145</wp:posOffset>
                </wp:positionH>
                <wp:positionV relativeFrom="paragraph">
                  <wp:posOffset>238760</wp:posOffset>
                </wp:positionV>
                <wp:extent cx="3297555" cy="1875790"/>
                <wp:effectExtent l="0" t="0" r="17145" b="10160"/>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3297555" cy="1875790"/>
                        </a:xfrm>
                        <a:prstGeom prst="flowChartAlternateProcess">
                          <a:avLst/>
                        </a:prstGeom>
                        <a:solidFill>
                          <a:srgbClr val="FFFFFF"/>
                        </a:solidFill>
                        <a:ln w="9525">
                          <a:solidFill>
                            <a:srgbClr val="000000"/>
                          </a:solidFill>
                          <a:miter lim="800000"/>
                        </a:ln>
                      </wps:spPr>
                      <wps:txbx>
                        <w:txbxContent>
                          <w:p w14:paraId="397350A4">
                            <w:pPr>
                              <w:jc w:val="center"/>
                              <w:rPr>
                                <w:szCs w:val="21"/>
                              </w:rPr>
                            </w:pPr>
                            <w:r>
                              <w:rPr>
                                <w:rFonts w:hint="eastAsia" w:asciiTheme="minorEastAsia" w:hAnsiTheme="minorEastAsia" w:eastAsiaTheme="minorEastAsia"/>
                                <w:bCs/>
                                <w:szCs w:val="21"/>
                              </w:rPr>
                              <w:t>委托代理人</w:t>
                            </w:r>
                            <w:r>
                              <w:rPr>
                                <w:rFonts w:hint="eastAsia" w:asciiTheme="minorEastAsia" w:hAnsiTheme="minorEastAsia" w:eastAsiaTheme="minorEastAsia"/>
                              </w:rPr>
                              <w:t>的合法有效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r>
                              <w:rPr>
                                <w:rFonts w:hint="eastAsia"/>
                                <w:szCs w:val="21"/>
                              </w:rPr>
                              <w:t>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1.35pt;margin-top:18.8pt;height:147.7pt;width:259.65pt;z-index:251663360;mso-width-relative:page;mso-height-relative:page;" fillcolor="#FFFFFF" filled="t" stroked="t" coordsize="21600,21600" o:gfxdata="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acbT39gAAAALAQAADwAAAAAAAAABACAAAAAiAAAAZHJzL2Rvd25yZXYueG1sUEsBAhQAFAAA&#10;AAgAh07iQDhIe/VhAgAAoQQAAA4AAAAAAAAAAQAgAAAAJwEAAGRycy9lMm9Eb2MueG1sUEsFBgAA&#10;AAAGAAYAWQEAAPoFAAAAAA==&#10;">
                <v:fill on="t" focussize="0,0"/>
                <v:stroke color="#000000" miterlimit="8" joinstyle="miter"/>
                <v:imagedata o:title=""/>
                <o:lock v:ext="edit" aspectratio="f"/>
                <v:textbox>
                  <w:txbxContent>
                    <w:p w14:paraId="397350A4">
                      <w:pPr>
                        <w:jc w:val="center"/>
                        <w:rPr>
                          <w:szCs w:val="21"/>
                        </w:rPr>
                      </w:pPr>
                      <w:r>
                        <w:rPr>
                          <w:rFonts w:hint="eastAsia" w:asciiTheme="minorEastAsia" w:hAnsiTheme="minorEastAsia" w:eastAsiaTheme="minorEastAsia"/>
                          <w:bCs/>
                          <w:szCs w:val="21"/>
                        </w:rPr>
                        <w:t>委托代理人</w:t>
                      </w:r>
                      <w:r>
                        <w:rPr>
                          <w:rFonts w:hint="eastAsia" w:asciiTheme="minorEastAsia" w:hAnsiTheme="minorEastAsia" w:eastAsiaTheme="minorEastAsia"/>
                        </w:rPr>
                        <w:t>的合法有效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r>
                        <w:rPr>
                          <w:rFonts w:hint="eastAsia"/>
                          <w:szCs w:val="21"/>
                        </w:rPr>
                        <w:t>粘贴处</w:t>
                      </w:r>
                    </w:p>
                  </w:txbxContent>
                </v:textbox>
              </v:shape>
            </w:pict>
          </mc:Fallback>
        </mc:AlternateContent>
      </w:r>
    </w:p>
    <w:p w14:paraId="222A6DE1">
      <w:pPr>
        <w:spacing w:line="440" w:lineRule="exact"/>
        <w:rPr>
          <w:rFonts w:asciiTheme="minorEastAsia" w:hAnsiTheme="minorEastAsia" w:eastAsiaTheme="minorEastAsia"/>
          <w:szCs w:val="21"/>
          <w:highlight w:val="none"/>
        </w:rPr>
      </w:pPr>
    </w:p>
    <w:p w14:paraId="4399B6F9">
      <w:pPr>
        <w:spacing w:line="500" w:lineRule="exact"/>
        <w:rPr>
          <w:rFonts w:asciiTheme="minorEastAsia" w:hAnsiTheme="minorEastAsia" w:eastAsiaTheme="minorEastAsia"/>
          <w:szCs w:val="21"/>
          <w:highlight w:val="none"/>
        </w:rPr>
      </w:pPr>
    </w:p>
    <w:p w14:paraId="2449AD4C">
      <w:pPr>
        <w:spacing w:line="440" w:lineRule="exact"/>
        <w:rPr>
          <w:rFonts w:asciiTheme="minorEastAsia" w:hAnsiTheme="minorEastAsia" w:eastAsiaTheme="minorEastAsia"/>
          <w:szCs w:val="21"/>
          <w:highlight w:val="none"/>
        </w:rPr>
      </w:pPr>
    </w:p>
    <w:p w14:paraId="3559C376">
      <w:pPr>
        <w:topLinePunct/>
        <w:snapToGrid w:val="0"/>
        <w:spacing w:line="440" w:lineRule="exact"/>
        <w:rPr>
          <w:rFonts w:asciiTheme="minorEastAsia" w:hAnsiTheme="minorEastAsia" w:eastAsiaTheme="minorEastAsia"/>
          <w:highlight w:val="none"/>
        </w:rPr>
      </w:pPr>
    </w:p>
    <w:p w14:paraId="0F84846D">
      <w:pPr>
        <w:topLinePunct/>
        <w:snapToGrid w:val="0"/>
        <w:spacing w:line="440" w:lineRule="exact"/>
        <w:ind w:firstLine="420" w:firstLineChars="200"/>
        <w:rPr>
          <w:rFonts w:asciiTheme="minorEastAsia" w:hAnsiTheme="minorEastAsia" w:eastAsiaTheme="minorEastAsia"/>
          <w:bCs/>
          <w:szCs w:val="21"/>
          <w:highlight w:val="none"/>
        </w:rPr>
      </w:pPr>
    </w:p>
    <w:p w14:paraId="380F247C">
      <w:pPr>
        <w:topLinePunct/>
        <w:spacing w:line="440" w:lineRule="exact"/>
        <w:jc w:val="left"/>
        <w:rPr>
          <w:rFonts w:asciiTheme="minorEastAsia" w:hAnsiTheme="minorEastAsia" w:eastAsiaTheme="minorEastAsia"/>
          <w:b/>
          <w:highlight w:val="none"/>
        </w:rPr>
      </w:pPr>
    </w:p>
    <w:p w14:paraId="03F547D3">
      <w:pPr>
        <w:topLinePunct/>
        <w:spacing w:line="440" w:lineRule="exact"/>
        <w:jc w:val="left"/>
        <w:rPr>
          <w:rFonts w:asciiTheme="minorEastAsia" w:hAnsiTheme="minorEastAsia" w:eastAsiaTheme="minorEastAsia"/>
          <w:b/>
          <w:highlight w:val="none"/>
        </w:rPr>
      </w:pPr>
    </w:p>
    <w:p w14:paraId="68D213A9">
      <w:pPr>
        <w:topLinePunct/>
        <w:spacing w:line="440" w:lineRule="exact"/>
        <w:jc w:val="left"/>
        <w:rPr>
          <w:rFonts w:asciiTheme="minorEastAsia" w:hAnsiTheme="minorEastAsia" w:eastAsiaTheme="minorEastAsia"/>
          <w:b/>
          <w:highlight w:val="none"/>
        </w:rPr>
      </w:pPr>
    </w:p>
    <w:p w14:paraId="4D278579">
      <w:pPr>
        <w:topLinePunct/>
        <w:spacing w:line="440" w:lineRule="exact"/>
        <w:jc w:val="left"/>
        <w:rPr>
          <w:rFonts w:asciiTheme="minorEastAsia" w:hAnsiTheme="minorEastAsia" w:eastAsiaTheme="minorEastAsia"/>
          <w:b/>
          <w:highlight w:val="none"/>
        </w:rPr>
      </w:pPr>
    </w:p>
    <w:p w14:paraId="60DB5676">
      <w:pPr>
        <w:topLinePunct/>
        <w:spacing w:line="440" w:lineRule="exact"/>
        <w:jc w:val="left"/>
        <w:rPr>
          <w:rFonts w:asciiTheme="minorEastAsia" w:hAnsiTheme="minorEastAsia" w:eastAsiaTheme="minorEastAsia"/>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highlight w:val="none"/>
        </w:rPr>
        <w:t>除本文件允许投标人进行填写的内容以外，投标人不得对本文件进行修改</w:t>
      </w:r>
      <w:r>
        <w:rPr>
          <w:rFonts w:hint="eastAsia" w:asciiTheme="minorEastAsia" w:hAnsiTheme="minorEastAsia" w:eastAsiaTheme="minorEastAsia"/>
          <w:highlight w:val="none"/>
        </w:rPr>
        <w:t>。</w:t>
      </w:r>
    </w:p>
    <w:p w14:paraId="536CDAF4">
      <w:pPr>
        <w:topLinePunct/>
        <w:spacing w:line="440" w:lineRule="exact"/>
        <w:jc w:val="left"/>
        <w:rPr>
          <w:rFonts w:asciiTheme="minorEastAsia" w:hAnsiTheme="minorEastAsia" w:eastAsiaTheme="minorEastAsia"/>
          <w:highlight w:val="none"/>
        </w:rPr>
        <w:sectPr>
          <w:pgSz w:w="11906" w:h="16838"/>
          <w:pgMar w:top="1440" w:right="1800" w:bottom="1440" w:left="1800" w:header="851" w:footer="992" w:gutter="0"/>
          <w:pgNumType w:fmt="decimal"/>
          <w:cols w:space="425" w:num="1"/>
          <w:docGrid w:type="lines" w:linePitch="312" w:charSpace="0"/>
        </w:sectPr>
      </w:pPr>
    </w:p>
    <w:p w14:paraId="15F1D21E">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rPr>
      </w:pPr>
      <w:bookmarkStart w:id="863" w:name="_Toc30001"/>
      <w:bookmarkStart w:id="864" w:name="_Toc19667"/>
      <w:bookmarkStart w:id="865" w:name="_Toc15342"/>
      <w:bookmarkStart w:id="866" w:name="_Toc28250"/>
      <w:bookmarkStart w:id="867" w:name="_Toc38008085"/>
      <w:bookmarkStart w:id="868" w:name="_Toc20813"/>
      <w:bookmarkStart w:id="869" w:name="_Toc5343"/>
      <w:bookmarkStart w:id="870" w:name="_Toc9841"/>
      <w:bookmarkStart w:id="871" w:name="_Toc24807"/>
      <w:bookmarkStart w:id="872" w:name="_Toc15325"/>
      <w:bookmarkStart w:id="873" w:name="_Toc6798"/>
      <w:bookmarkStart w:id="874" w:name="_Toc27931"/>
      <w:bookmarkStart w:id="875" w:name="_Toc475294115"/>
      <w:bookmarkStart w:id="876" w:name="_Toc475472677"/>
      <w:bookmarkStart w:id="877" w:name="_Hlk167299956"/>
      <w:r>
        <w:rPr>
          <w:rFonts w:hint="eastAsia" w:cs="Times New Roman" w:asciiTheme="minorEastAsia" w:hAnsiTheme="minorEastAsia" w:eastAsiaTheme="minorEastAsia"/>
          <w:b/>
          <w:bCs/>
          <w:kern w:val="2"/>
          <w:sz w:val="24"/>
          <w:szCs w:val="24"/>
          <w:lang w:val="en-US" w:eastAsia="zh-CN" w:bidi="ar-SA"/>
        </w:rPr>
        <w:t>8.</w:t>
      </w:r>
      <w:r>
        <w:rPr>
          <w:rFonts w:hint="eastAsia" w:asciiTheme="minorEastAsia" w:hAnsiTheme="minorEastAsia" w:eastAsiaTheme="minorEastAsia"/>
          <w:sz w:val="24"/>
          <w:szCs w:val="24"/>
        </w:rPr>
        <w:t>廉洁投标承诺书</w:t>
      </w:r>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p>
    <w:bookmarkEnd w:id="877"/>
    <w:p w14:paraId="40D7328B">
      <w:pPr>
        <w:topLinePunct/>
        <w:spacing w:line="440" w:lineRule="exact"/>
        <w:jc w:val="center"/>
        <w:rPr>
          <w:rFonts w:asciiTheme="minorEastAsia" w:hAnsiTheme="minorEastAsia" w:eastAsiaTheme="minorEastAsia"/>
          <w:b/>
          <w:highlight w:val="none"/>
        </w:rPr>
      </w:pPr>
      <w:r>
        <w:rPr>
          <w:rFonts w:hint="eastAsia" w:asciiTheme="minorEastAsia" w:hAnsiTheme="minorEastAsia" w:eastAsiaTheme="minorEastAsia"/>
          <w:b/>
          <w:sz w:val="24"/>
          <w:highlight w:val="none"/>
        </w:rPr>
        <w:t>廉洁投标承诺书</w:t>
      </w:r>
    </w:p>
    <w:p w14:paraId="797D36F6">
      <w:pPr>
        <w:topLinePunct/>
        <w:snapToGrid w:val="0"/>
        <w:spacing w:line="400" w:lineRule="exact"/>
        <w:rPr>
          <w:rFonts w:asciiTheme="minorEastAsia" w:hAnsiTheme="minorEastAsia" w:eastAsiaTheme="minorEastAsia"/>
          <w:highlight w:val="none"/>
        </w:rPr>
      </w:pPr>
      <w:r>
        <w:rPr>
          <w:rFonts w:hint="eastAsia" w:asciiTheme="minorEastAsia" w:hAnsiTheme="minorEastAsia" w:eastAsiaTheme="minorEastAsia"/>
          <w:szCs w:val="21"/>
          <w:highlight w:val="none"/>
        </w:rPr>
        <w:t>致：【XX公司[招标人名称]】：</w:t>
      </w:r>
    </w:p>
    <w:p w14:paraId="2CD10C7C">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我公司自愿参加</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项目[项目名称]</w:t>
      </w:r>
      <w:r>
        <w:rPr>
          <w:rFonts w:hint="eastAsia" w:asciiTheme="minorEastAsia" w:hAnsiTheme="minorEastAsia" w:eastAsiaTheme="minorEastAsia"/>
          <w:highlight w:val="none"/>
          <w:u w:val="single"/>
        </w:rPr>
        <w:t>】【XX</w:t>
      </w:r>
      <w:r>
        <w:rPr>
          <w:rFonts w:asciiTheme="minorEastAsia" w:hAnsiTheme="minorEastAsia" w:eastAsiaTheme="minorEastAsia"/>
          <w:szCs w:val="21"/>
          <w:highlight w:val="none"/>
          <w:u w:val="single"/>
        </w:rPr>
        <w:t>标包</w:t>
      </w:r>
      <w:r>
        <w:rPr>
          <w:rFonts w:hint="eastAsia" w:asciiTheme="minorEastAsia" w:hAnsiTheme="minorEastAsia" w:eastAsiaTheme="minorEastAsia"/>
          <w:szCs w:val="21"/>
          <w:highlight w:val="none"/>
          <w:u w:val="single"/>
        </w:rPr>
        <w:t>[标包名称]</w:t>
      </w:r>
      <w:r>
        <w:rPr>
          <w:rFonts w:hint="eastAsia" w:asciiTheme="minorEastAsia" w:hAnsiTheme="minorEastAsia" w:eastAsiaTheme="minorEastAsia"/>
          <w:highlight w:val="none"/>
          <w:u w:val="single"/>
        </w:rPr>
        <w:t>】</w:t>
      </w:r>
      <w:r>
        <w:rPr>
          <w:rFonts w:hint="eastAsia" w:asciiTheme="minorEastAsia" w:hAnsiTheme="minorEastAsia" w:eastAsiaTheme="minorEastAsia"/>
          <w:szCs w:val="21"/>
          <w:highlight w:val="none"/>
        </w:rPr>
        <w:t>招标项目，为保证招投标活动公开、公平、公正，依据国家法律法规和廉洁从业相关规定，现承诺如下：</w:t>
      </w:r>
    </w:p>
    <w:p w14:paraId="15164F85">
      <w:pPr>
        <w:numPr>
          <w:ilvl w:val="0"/>
          <w:numId w:val="94"/>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宋体" w:hAnsi="宋体"/>
          <w:szCs w:val="21"/>
          <w:highlight w:val="none"/>
        </w:rPr>
        <w:t>不通过受让、租借或者挂靠资质投标，或者以其他方式以他人名义投标；不伪造、变造资质、资格证书或者其他许可证件，提供虚假业绩、奖项、项目负责人等材料投标，</w:t>
      </w:r>
      <w:r>
        <w:rPr>
          <w:rFonts w:hint="eastAsia" w:asciiTheme="minorEastAsia" w:hAnsiTheme="minorEastAsia" w:eastAsiaTheme="minorEastAsia"/>
          <w:szCs w:val="21"/>
          <w:highlight w:val="none"/>
        </w:rPr>
        <w:t>或者以其他方式弄虚作假，骗取中标；</w:t>
      </w:r>
    </w:p>
    <w:p w14:paraId="665AC947">
      <w:pPr>
        <w:numPr>
          <w:ilvl w:val="0"/>
          <w:numId w:val="94"/>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不与其他投标人相互串通投标或订立攻守同盟；</w:t>
      </w:r>
    </w:p>
    <w:p w14:paraId="59D7D08B">
      <w:pPr>
        <w:numPr>
          <w:ilvl w:val="0"/>
          <w:numId w:val="94"/>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不与招标人或招标代理机构串通投标；</w:t>
      </w:r>
    </w:p>
    <w:p w14:paraId="07E680AC">
      <w:pPr>
        <w:numPr>
          <w:ilvl w:val="0"/>
          <w:numId w:val="94"/>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不向招标人、招标代理机构、</w:t>
      </w:r>
      <w:r>
        <w:rPr>
          <w:rFonts w:hint="eastAsia" w:ascii="宋体" w:hAnsi="宋体"/>
          <w:szCs w:val="21"/>
          <w:highlight w:val="none"/>
        </w:rPr>
        <w:t>交易平台运行服务机构、</w:t>
      </w:r>
      <w:r>
        <w:rPr>
          <w:rFonts w:hint="eastAsia" w:asciiTheme="minorEastAsia" w:hAnsiTheme="minorEastAsia" w:eastAsiaTheme="minorEastAsia"/>
          <w:szCs w:val="21"/>
          <w:highlight w:val="none"/>
        </w:rPr>
        <w:t>评标委员会成员</w:t>
      </w:r>
      <w:r>
        <w:rPr>
          <w:rFonts w:hint="eastAsia" w:ascii="宋体" w:hAnsi="宋体"/>
          <w:szCs w:val="21"/>
          <w:highlight w:val="none"/>
        </w:rPr>
        <w:t>或行政监督部门人员等</w:t>
      </w:r>
      <w:r>
        <w:rPr>
          <w:rFonts w:hint="eastAsia" w:asciiTheme="minorEastAsia" w:hAnsiTheme="minorEastAsia" w:eastAsiaTheme="minorEastAsia"/>
          <w:szCs w:val="21"/>
          <w:highlight w:val="none"/>
        </w:rPr>
        <w:t>行贿</w:t>
      </w:r>
      <w:r>
        <w:rPr>
          <w:rFonts w:hint="eastAsia" w:ascii="宋体" w:hAnsi="宋体"/>
          <w:szCs w:val="21"/>
          <w:highlight w:val="none"/>
        </w:rPr>
        <w:t>谋取中标</w:t>
      </w:r>
      <w:r>
        <w:rPr>
          <w:rFonts w:hint="eastAsia" w:asciiTheme="minorEastAsia" w:hAnsiTheme="minorEastAsia" w:eastAsiaTheme="minorEastAsia"/>
          <w:szCs w:val="21"/>
          <w:highlight w:val="none"/>
        </w:rPr>
        <w:t>，包括提供现金(礼金)、礼券、礼品、购物卡、有价证券等财物，或娱乐、宴请、旅游等活动，或支付应由其个人承担的学费、餐费、医药费等各种费用等；</w:t>
      </w:r>
    </w:p>
    <w:p w14:paraId="2CB8E96B">
      <w:pPr>
        <w:numPr>
          <w:ilvl w:val="0"/>
          <w:numId w:val="94"/>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不通过非正常渠道探听采购过程中应当保密的信息，包括(潜在)投标人的数量与名称、评标委员会成员名单和联系方式、其他投标人的投标文件、评标情况及中标推荐意见等。</w:t>
      </w:r>
    </w:p>
    <w:p w14:paraId="5DEF8288">
      <w:pPr>
        <w:numPr>
          <w:ilvl w:val="0"/>
          <w:numId w:val="94"/>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不私下接触招标人、招标代理机构或评标委员会成员，利用人际关系干扰招标投标活动；</w:t>
      </w:r>
    </w:p>
    <w:p w14:paraId="3DA41515">
      <w:pPr>
        <w:numPr>
          <w:ilvl w:val="0"/>
          <w:numId w:val="94"/>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不在办公场所、招标现场寻衅滋事、无理取闹或以其他手段非法干预、影响招标的过程和结果；</w:t>
      </w:r>
    </w:p>
    <w:p w14:paraId="2A579C78">
      <w:pPr>
        <w:numPr>
          <w:ilvl w:val="0"/>
          <w:numId w:val="94"/>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不捏造事实、伪造材料，或以非法取得的材料进行恶意</w:t>
      </w:r>
      <w:r>
        <w:rPr>
          <w:rFonts w:hint="eastAsia" w:ascii="宋体" w:hAnsi="宋体"/>
          <w:szCs w:val="21"/>
          <w:highlight w:val="none"/>
        </w:rPr>
        <w:t>提出异议、</w:t>
      </w:r>
      <w:r>
        <w:rPr>
          <w:rFonts w:hint="eastAsia" w:asciiTheme="minorEastAsia" w:hAnsiTheme="minorEastAsia" w:eastAsiaTheme="minorEastAsia"/>
          <w:szCs w:val="21"/>
          <w:highlight w:val="none"/>
        </w:rPr>
        <w:t>投诉</w:t>
      </w:r>
      <w:r>
        <w:rPr>
          <w:rFonts w:hint="eastAsia" w:ascii="宋体" w:hAnsi="宋体"/>
          <w:szCs w:val="21"/>
          <w:highlight w:val="none"/>
        </w:rPr>
        <w:t>或举报，干扰正常招标投标活动</w:t>
      </w:r>
      <w:r>
        <w:rPr>
          <w:rFonts w:hint="eastAsia" w:asciiTheme="minorEastAsia" w:hAnsiTheme="minorEastAsia" w:eastAsiaTheme="minorEastAsia"/>
          <w:szCs w:val="21"/>
          <w:highlight w:val="none"/>
        </w:rPr>
        <w:t>；不毫无根据地散播不实消息，诋毁他人名誉，主观臆断反映问题与诉求；</w:t>
      </w:r>
    </w:p>
    <w:p w14:paraId="05C987F3">
      <w:pPr>
        <w:numPr>
          <w:ilvl w:val="0"/>
          <w:numId w:val="94"/>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不以低于成本的报价竞标；</w:t>
      </w:r>
    </w:p>
    <w:p w14:paraId="3789D13B">
      <w:pPr>
        <w:numPr>
          <w:ilvl w:val="0"/>
          <w:numId w:val="94"/>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不以其他方式排挤其他投标人的公平竞争；</w:t>
      </w:r>
    </w:p>
    <w:p w14:paraId="587B0F8B">
      <w:pPr>
        <w:numPr>
          <w:ilvl w:val="0"/>
          <w:numId w:val="94"/>
        </w:numPr>
        <w:tabs>
          <w:tab w:val="left" w:pos="709"/>
        </w:tabs>
        <w:topLinePunct/>
        <w:spacing w:line="440" w:lineRule="exact"/>
        <w:ind w:left="0" w:firstLine="42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szCs w:val="21"/>
          <w:highlight w:val="none"/>
        </w:rPr>
        <w:t>在最近五年内，不存在与采购活动相关的行贿犯罪记录；</w:t>
      </w:r>
    </w:p>
    <w:p w14:paraId="4AF18692">
      <w:pPr>
        <w:numPr>
          <w:ilvl w:val="0"/>
          <w:numId w:val="94"/>
        </w:numPr>
        <w:tabs>
          <w:tab w:val="left" w:pos="709"/>
        </w:tabs>
        <w:topLinePunct/>
        <w:spacing w:line="440" w:lineRule="exac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发现评标专家有违法行为的，及时向行政监督部门报告。</w:t>
      </w:r>
    </w:p>
    <w:p w14:paraId="01C3228B">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如发生任何违反本承诺的行为，除按法律法规接受处罚外，招标人有权否决我方本次投标、宣布中标无效、暂停甚至取消我方参加招标人后续招标项目的投标资格等。</w:t>
      </w:r>
    </w:p>
    <w:p w14:paraId="1168D792">
      <w:pPr>
        <w:topLinePunct/>
        <w:spacing w:line="440" w:lineRule="exact"/>
        <w:ind w:left="420"/>
        <w:rPr>
          <w:rFonts w:asciiTheme="minorEastAsia" w:hAnsiTheme="minorEastAsia" w:eastAsiaTheme="minorEastAsia"/>
          <w:szCs w:val="21"/>
          <w:highlight w:val="none"/>
        </w:rPr>
      </w:pPr>
    </w:p>
    <w:p w14:paraId="322C3994">
      <w:pPr>
        <w:spacing w:line="440" w:lineRule="exact"/>
        <w:ind w:firstLine="424" w:firstLineChars="202"/>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投标人名称：</w:t>
      </w:r>
      <w:r>
        <w:rPr>
          <w:rFonts w:hint="eastAsia" w:asciiTheme="minorEastAsia" w:hAnsiTheme="minorEastAsia" w:eastAsiaTheme="minorEastAsia"/>
          <w:szCs w:val="21"/>
          <w:highlight w:val="none"/>
          <w:u w:val="single"/>
        </w:rPr>
        <w:t xml:space="preserve">　　　　　　　　                      </w:t>
      </w:r>
    </w:p>
    <w:p w14:paraId="51C64543">
      <w:pPr>
        <w:spacing w:line="440" w:lineRule="exact"/>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法定代表人/负责人（签字或盖人名章）</w:t>
      </w:r>
      <w:r>
        <w:rPr>
          <w:rFonts w:asciiTheme="minorEastAsia" w:hAnsiTheme="minorEastAsia" w:eastAsiaTheme="minorEastAsia"/>
          <w:szCs w:val="21"/>
          <w:highlight w:val="none"/>
        </w:rPr>
        <w:t>或者其委托代理人</w:t>
      </w:r>
      <w:r>
        <w:rPr>
          <w:rFonts w:hint="eastAsia" w:asciiTheme="minorEastAsia" w:hAnsiTheme="minorEastAsia" w:eastAsiaTheme="minorEastAsia"/>
          <w:szCs w:val="21"/>
          <w:highlight w:val="none"/>
        </w:rPr>
        <w:t>（签字）</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 xml:space="preserve">               </w:t>
      </w:r>
    </w:p>
    <w:p w14:paraId="2D10FFAE">
      <w:pPr>
        <w:spacing w:line="440" w:lineRule="exact"/>
        <w:ind w:firstLine="424" w:firstLineChars="202"/>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56669892">
      <w:pPr>
        <w:topLinePunct/>
        <w:spacing w:line="440" w:lineRule="exact"/>
        <w:jc w:val="left"/>
        <w:rPr>
          <w:rFonts w:asciiTheme="minorEastAsia" w:hAnsiTheme="minorEastAsia" w:eastAsiaTheme="minorEastAsia"/>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highlight w:val="none"/>
        </w:rPr>
        <w:t>除本文件允许投标人进行填写的内容以外，投标人不得对本文件进行修改。</w:t>
      </w:r>
    </w:p>
    <w:p w14:paraId="68CB34FD">
      <w:pPr>
        <w:topLinePunct/>
        <w:spacing w:line="440" w:lineRule="exact"/>
        <w:jc w:val="left"/>
        <w:rPr>
          <w:rFonts w:asciiTheme="minorEastAsia" w:hAnsiTheme="minorEastAsia" w:eastAsiaTheme="minorEastAsia"/>
          <w:highlight w:val="none"/>
        </w:rPr>
        <w:sectPr>
          <w:pgSz w:w="11906" w:h="16838"/>
          <w:pgMar w:top="1440" w:right="1797" w:bottom="1440" w:left="1797" w:header="851" w:footer="992" w:gutter="0"/>
          <w:pgNumType w:fmt="decimal"/>
          <w:cols w:space="425" w:num="1"/>
          <w:docGrid w:linePitch="312" w:charSpace="0"/>
        </w:sectPr>
      </w:pPr>
    </w:p>
    <w:p w14:paraId="55C142FC">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rPr>
      </w:pPr>
      <w:bookmarkStart w:id="878" w:name="_Toc26577"/>
      <w:bookmarkStart w:id="879" w:name="_Toc475472678"/>
      <w:bookmarkStart w:id="880" w:name="_Toc7506"/>
      <w:bookmarkStart w:id="881" w:name="_Toc12058"/>
      <w:bookmarkStart w:id="882" w:name="_Toc1641"/>
      <w:bookmarkStart w:id="883" w:name="_Toc441224725"/>
      <w:bookmarkStart w:id="884" w:name="_Toc28977"/>
      <w:bookmarkStart w:id="885" w:name="_Toc38008086"/>
      <w:bookmarkStart w:id="886" w:name="_Toc475294116"/>
      <w:bookmarkStart w:id="887" w:name="_Toc10984"/>
      <w:bookmarkStart w:id="888" w:name="_Toc21276"/>
      <w:bookmarkStart w:id="889" w:name="_Toc24766"/>
      <w:bookmarkStart w:id="890" w:name="_Toc22860"/>
      <w:bookmarkStart w:id="891" w:name="_Toc12169"/>
      <w:bookmarkStart w:id="892" w:name="_Toc29014"/>
      <w:bookmarkStart w:id="893" w:name="_Hlk167299962"/>
      <w:r>
        <w:rPr>
          <w:rFonts w:hint="eastAsia" w:cs="Times New Roman" w:asciiTheme="minorEastAsia" w:hAnsiTheme="minorEastAsia" w:eastAsiaTheme="minorEastAsia"/>
          <w:b/>
          <w:bCs/>
          <w:kern w:val="2"/>
          <w:sz w:val="24"/>
          <w:szCs w:val="24"/>
          <w:lang w:val="en-US" w:eastAsia="zh-CN" w:bidi="ar-SA"/>
        </w:rPr>
        <w:t>9.</w:t>
      </w:r>
      <w:r>
        <w:rPr>
          <w:rFonts w:hint="eastAsia" w:asciiTheme="minorEastAsia" w:hAnsiTheme="minorEastAsia" w:eastAsiaTheme="minorEastAsia"/>
          <w:sz w:val="24"/>
          <w:szCs w:val="24"/>
        </w:rPr>
        <w:t>近【五】年发生的诉讼及仲裁情况</w:t>
      </w:r>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p>
    <w:bookmarkEnd w:id="893"/>
    <w:p w14:paraId="56A7B91E">
      <w:pPr>
        <w:topLinePunct/>
        <w:spacing w:line="44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近【五】年发生的诉讼及仲裁情况</w:t>
      </w:r>
    </w:p>
    <w:p w14:paraId="64BD5BC7">
      <w:pPr>
        <w:rPr>
          <w:rFonts w:asciiTheme="minorEastAsia" w:hAnsiTheme="minorEastAsia" w:eastAsiaTheme="minorEastAsia"/>
          <w:highlight w:val="none"/>
        </w:rPr>
      </w:pPr>
    </w:p>
    <w:p w14:paraId="60016226">
      <w:pPr>
        <w:topLinePunct/>
        <w:spacing w:line="44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如投标人有诉讼和/或仲裁（包括已结案和尚在进行的诉讼和/或仲裁阶段的案件），且</w:t>
      </w:r>
      <w:r>
        <w:rPr>
          <w:rFonts w:hint="eastAsia" w:asciiTheme="minorEastAsia" w:hAnsiTheme="minorEastAsia" w:eastAsiaTheme="minorEastAsia"/>
          <w:color w:val="000000"/>
          <w:szCs w:val="21"/>
          <w:highlight w:val="none"/>
        </w:rPr>
        <w:t>可能影响履约能力的，</w:t>
      </w:r>
      <w:r>
        <w:rPr>
          <w:rFonts w:hint="eastAsia" w:asciiTheme="minorEastAsia" w:hAnsiTheme="minorEastAsia" w:eastAsiaTheme="minorEastAsia"/>
          <w:szCs w:val="21"/>
          <w:highlight w:val="none"/>
        </w:rPr>
        <w:t>则须向招标人提供诉讼和/或仲裁案件的有关资料及证明，包括原告（诉讼和/或仲裁申请人）、被告（诉讼和/或仲裁被申请人）、诉讼和/或仲裁原因、诉讼和/或仲裁事件、诉讼和/或仲裁金额、诉讼和/或仲裁结果等，并填入下表。</w:t>
      </w:r>
    </w:p>
    <w:p w14:paraId="1367617C">
      <w:pPr>
        <w:topLinePunct/>
        <w:spacing w:line="44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如投标人无上述情况，则应在第一行“</w:t>
      </w:r>
      <w:r>
        <w:rPr>
          <w:rFonts w:hint="eastAsia" w:cs="Arial" w:asciiTheme="minorEastAsia" w:hAnsiTheme="minorEastAsia" w:eastAsiaTheme="minorEastAsia"/>
          <w:szCs w:val="21"/>
          <w:highlight w:val="none"/>
        </w:rPr>
        <w:t>起诉（仲裁）人</w:t>
      </w:r>
      <w:r>
        <w:rPr>
          <w:rFonts w:hint="eastAsia" w:asciiTheme="minorEastAsia" w:hAnsiTheme="minorEastAsia" w:eastAsiaTheme="minorEastAsia"/>
          <w:szCs w:val="21"/>
          <w:highlight w:val="none"/>
        </w:rPr>
        <w:t>”列填写“不涉及”。</w:t>
      </w:r>
    </w:p>
    <w:tbl>
      <w:tblPr>
        <w:tblStyle w:val="85"/>
        <w:tblW w:w="8336" w:type="dxa"/>
        <w:tblInd w:w="0" w:type="dxa"/>
        <w:tblLayout w:type="fixed"/>
        <w:tblCellMar>
          <w:top w:w="0" w:type="dxa"/>
          <w:left w:w="0" w:type="dxa"/>
          <w:bottom w:w="0" w:type="dxa"/>
          <w:right w:w="0" w:type="dxa"/>
        </w:tblCellMar>
      </w:tblPr>
      <w:tblGrid>
        <w:gridCol w:w="651"/>
        <w:gridCol w:w="800"/>
        <w:gridCol w:w="1207"/>
        <w:gridCol w:w="1450"/>
        <w:gridCol w:w="1490"/>
        <w:gridCol w:w="1044"/>
        <w:gridCol w:w="1044"/>
        <w:gridCol w:w="650"/>
      </w:tblGrid>
      <w:tr w14:paraId="458DD5F9">
        <w:tblPrEx>
          <w:tblCellMar>
            <w:top w:w="0" w:type="dxa"/>
            <w:left w:w="0" w:type="dxa"/>
            <w:bottom w:w="0" w:type="dxa"/>
            <w:right w:w="0" w:type="dxa"/>
          </w:tblCellMar>
        </w:tblPrEx>
        <w:trPr>
          <w:trHeight w:val="899" w:hRule="atLeast"/>
        </w:trPr>
        <w:tc>
          <w:tcPr>
            <w:tcW w:w="6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C6B51B8">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序号</w:t>
            </w:r>
          </w:p>
        </w:tc>
        <w:tc>
          <w:tcPr>
            <w:tcW w:w="80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724AD6A">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日期</w:t>
            </w:r>
          </w:p>
        </w:tc>
        <w:tc>
          <w:tcPr>
            <w:tcW w:w="120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1E3A1EC">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起诉（仲裁）人</w:t>
            </w:r>
          </w:p>
        </w:tc>
        <w:tc>
          <w:tcPr>
            <w:tcW w:w="145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5CBFBE4">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被诉（被仲裁）人</w:t>
            </w:r>
          </w:p>
        </w:tc>
        <w:tc>
          <w:tcPr>
            <w:tcW w:w="149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619F727">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诉讼（仲裁）事件</w:t>
            </w:r>
          </w:p>
        </w:tc>
        <w:tc>
          <w:tcPr>
            <w:tcW w:w="104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C353588">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诉讼（仲裁）金额</w:t>
            </w:r>
          </w:p>
        </w:tc>
        <w:tc>
          <w:tcPr>
            <w:tcW w:w="104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6B1C778">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诉讼（仲裁）结果</w:t>
            </w:r>
          </w:p>
        </w:tc>
        <w:tc>
          <w:tcPr>
            <w:tcW w:w="65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6DFCF45">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备注</w:t>
            </w:r>
          </w:p>
        </w:tc>
      </w:tr>
      <w:tr w14:paraId="1BFD7C38">
        <w:tblPrEx>
          <w:tblCellMar>
            <w:top w:w="0" w:type="dxa"/>
            <w:left w:w="0" w:type="dxa"/>
            <w:bottom w:w="0" w:type="dxa"/>
            <w:right w:w="0" w:type="dxa"/>
          </w:tblCellMar>
        </w:tblPrEx>
        <w:trPr>
          <w:trHeight w:val="570" w:hRule="atLeast"/>
        </w:trPr>
        <w:tc>
          <w:tcPr>
            <w:tcW w:w="651"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63F65BC">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1</w:t>
            </w:r>
          </w:p>
        </w:tc>
        <w:tc>
          <w:tcPr>
            <w:tcW w:w="8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137333B">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20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39D39C9">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4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362E86E">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4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430F79E">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04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ED4FECD">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04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DE07B9A">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1FBC85E">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r>
      <w:tr w14:paraId="03E7BF1F">
        <w:tblPrEx>
          <w:tblCellMar>
            <w:top w:w="0" w:type="dxa"/>
            <w:left w:w="0" w:type="dxa"/>
            <w:bottom w:w="0" w:type="dxa"/>
            <w:right w:w="0" w:type="dxa"/>
          </w:tblCellMar>
        </w:tblPrEx>
        <w:trPr>
          <w:trHeight w:val="570" w:hRule="atLeast"/>
        </w:trPr>
        <w:tc>
          <w:tcPr>
            <w:tcW w:w="651"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267706B">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2</w:t>
            </w:r>
          </w:p>
        </w:tc>
        <w:tc>
          <w:tcPr>
            <w:tcW w:w="8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90FBFDB">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20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E4B7C4E">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4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4416B0">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4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9B7B865">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04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A233138">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04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5CBA76E">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155F770">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r>
      <w:tr w14:paraId="6F40E7E8">
        <w:tblPrEx>
          <w:tblCellMar>
            <w:top w:w="0" w:type="dxa"/>
            <w:left w:w="0" w:type="dxa"/>
            <w:bottom w:w="0" w:type="dxa"/>
            <w:right w:w="0" w:type="dxa"/>
          </w:tblCellMar>
        </w:tblPrEx>
        <w:trPr>
          <w:trHeight w:val="570" w:hRule="atLeast"/>
        </w:trPr>
        <w:tc>
          <w:tcPr>
            <w:tcW w:w="651"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40B8ED5">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3</w:t>
            </w:r>
          </w:p>
        </w:tc>
        <w:tc>
          <w:tcPr>
            <w:tcW w:w="8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4793690">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20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AC130B0">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4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AAED5B1">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4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AD7AC3B">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04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BFE8C16">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04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0E518FF">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84C679">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r>
      <w:tr w14:paraId="6AB72906">
        <w:tblPrEx>
          <w:tblCellMar>
            <w:top w:w="0" w:type="dxa"/>
            <w:left w:w="0" w:type="dxa"/>
            <w:bottom w:w="0" w:type="dxa"/>
            <w:right w:w="0" w:type="dxa"/>
          </w:tblCellMar>
        </w:tblPrEx>
        <w:trPr>
          <w:trHeight w:val="570" w:hRule="atLeast"/>
        </w:trPr>
        <w:tc>
          <w:tcPr>
            <w:tcW w:w="651"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1130FA4">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w:t>
            </w:r>
          </w:p>
        </w:tc>
        <w:tc>
          <w:tcPr>
            <w:tcW w:w="8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5DDAC45">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20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C6E6C8B">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4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E7B7921">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4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63D2C3D">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04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6A64162">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04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E8AF8A3">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1B41668">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r>
    </w:tbl>
    <w:p w14:paraId="4878C305">
      <w:pPr>
        <w:spacing w:line="440" w:lineRule="exact"/>
        <w:ind w:right="480" w:firstLine="4800" w:firstLineChars="2000"/>
        <w:rPr>
          <w:rFonts w:asciiTheme="minorEastAsia" w:hAnsiTheme="minorEastAsia" w:eastAsiaTheme="minorEastAsia"/>
          <w:sz w:val="24"/>
          <w:highlight w:val="none"/>
        </w:rPr>
      </w:pPr>
    </w:p>
    <w:p w14:paraId="0AF2BBD9">
      <w:pPr>
        <w:spacing w:line="440" w:lineRule="exact"/>
        <w:ind w:firstLine="424" w:firstLineChars="202"/>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投标人名称：</w:t>
      </w:r>
      <w:r>
        <w:rPr>
          <w:rFonts w:hint="eastAsia" w:asciiTheme="minorEastAsia" w:hAnsiTheme="minorEastAsia" w:eastAsiaTheme="minorEastAsia"/>
          <w:szCs w:val="21"/>
          <w:highlight w:val="none"/>
          <w:u w:val="single"/>
        </w:rPr>
        <w:t xml:space="preserve">　　　　　　　　                      </w:t>
      </w:r>
    </w:p>
    <w:p w14:paraId="5BB8996D">
      <w:pPr>
        <w:spacing w:line="440" w:lineRule="exact"/>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法定代表人/负责人（签字或盖人名章）</w:t>
      </w:r>
      <w:r>
        <w:rPr>
          <w:rFonts w:asciiTheme="minorEastAsia" w:hAnsiTheme="minorEastAsia" w:eastAsiaTheme="minorEastAsia"/>
          <w:szCs w:val="21"/>
          <w:highlight w:val="none"/>
        </w:rPr>
        <w:t>或者其委托代理人</w:t>
      </w:r>
      <w:r>
        <w:rPr>
          <w:rFonts w:hint="eastAsia" w:asciiTheme="minorEastAsia" w:hAnsiTheme="minorEastAsia" w:eastAsiaTheme="minorEastAsia"/>
          <w:szCs w:val="21"/>
          <w:highlight w:val="none"/>
        </w:rPr>
        <w:t>（签字）</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 xml:space="preserve">               </w:t>
      </w:r>
    </w:p>
    <w:p w14:paraId="7A1C3EF9">
      <w:pPr>
        <w:spacing w:line="440" w:lineRule="exact"/>
        <w:ind w:firstLine="424" w:firstLineChars="202"/>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38ABC572">
      <w:pPr>
        <w:topLinePunct/>
        <w:spacing w:line="440" w:lineRule="exact"/>
        <w:jc w:val="left"/>
        <w:rPr>
          <w:highlight w:val="none"/>
        </w:rPr>
      </w:pPr>
    </w:p>
    <w:p w14:paraId="246D2943">
      <w:pPr>
        <w:topLinePunct/>
        <w:spacing w:line="440" w:lineRule="exact"/>
        <w:jc w:val="left"/>
        <w:rPr>
          <w:highlight w:val="none"/>
        </w:rPr>
      </w:pPr>
    </w:p>
    <w:p w14:paraId="067B3E3A">
      <w:pPr>
        <w:topLinePunct/>
        <w:spacing w:line="440" w:lineRule="exact"/>
        <w:jc w:val="left"/>
        <w:rPr>
          <w:rFonts w:asciiTheme="minorEastAsia" w:hAnsiTheme="minorEastAsia" w:eastAsiaTheme="minorEastAsia"/>
          <w:highlight w:val="none"/>
        </w:rPr>
        <w:sectPr>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highlight w:val="none"/>
        </w:rPr>
        <w:t>除本文件允许投标人进行填写的内容以外，投标人不得对本文件进行修改</w:t>
      </w:r>
      <w:r>
        <w:rPr>
          <w:rFonts w:hint="eastAsia" w:asciiTheme="minorEastAsia" w:hAnsiTheme="minorEastAsia" w:eastAsiaTheme="minorEastAsia"/>
          <w:color w:val="000000"/>
          <w:szCs w:val="21"/>
          <w:highlight w:val="none"/>
        </w:rPr>
        <w:t>。</w:t>
      </w:r>
    </w:p>
    <w:p w14:paraId="7689E118">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rPr>
      </w:pPr>
      <w:bookmarkStart w:id="894" w:name="_Toc38008087"/>
      <w:bookmarkStart w:id="895" w:name="_Toc1842"/>
      <w:bookmarkStart w:id="896" w:name="_Toc21038"/>
      <w:bookmarkStart w:id="897" w:name="_Toc475472679"/>
      <w:bookmarkStart w:id="898" w:name="_Toc28157"/>
      <w:bookmarkStart w:id="899" w:name="_Toc11059"/>
      <w:bookmarkStart w:id="900" w:name="_Toc6442"/>
      <w:bookmarkStart w:id="901" w:name="_Toc21488"/>
      <w:bookmarkStart w:id="902" w:name="_Toc7956"/>
      <w:bookmarkStart w:id="903" w:name="_Toc444791972"/>
      <w:bookmarkStart w:id="904" w:name="_Toc12986"/>
      <w:bookmarkStart w:id="905" w:name="_Toc28136"/>
      <w:bookmarkStart w:id="906" w:name="_Toc9048"/>
      <w:bookmarkStart w:id="907" w:name="_Toc21748"/>
      <w:bookmarkStart w:id="908" w:name="_Hlk167299967"/>
      <w:r>
        <w:rPr>
          <w:rFonts w:hint="eastAsia" w:cs="Times New Roman" w:asciiTheme="minorEastAsia" w:hAnsiTheme="minorEastAsia" w:eastAsiaTheme="minorEastAsia"/>
          <w:b/>
          <w:bCs/>
          <w:kern w:val="2"/>
          <w:sz w:val="24"/>
          <w:szCs w:val="24"/>
          <w:lang w:val="en-US" w:eastAsia="zh-CN" w:bidi="ar-SA"/>
        </w:rPr>
        <w:t>10.</w:t>
      </w:r>
      <w:r>
        <w:rPr>
          <w:rFonts w:hint="eastAsia" w:asciiTheme="minorEastAsia" w:hAnsiTheme="minorEastAsia" w:eastAsiaTheme="minorEastAsia"/>
          <w:sz w:val="24"/>
          <w:szCs w:val="24"/>
        </w:rPr>
        <w:t>招标代理服务费支付承诺函</w:t>
      </w:r>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p>
    <w:bookmarkEnd w:id="908"/>
    <w:p w14:paraId="0538A9B3">
      <w:pPr>
        <w:ind w:firstLine="420" w:firstLineChars="200"/>
        <w:rPr>
          <w:rFonts w:asciiTheme="minorEastAsia" w:hAnsiTheme="minorEastAsia" w:eastAsiaTheme="minorEastAsia"/>
          <w:szCs w:val="21"/>
          <w:highlight w:val="none"/>
        </w:rPr>
      </w:pPr>
    </w:p>
    <w:p w14:paraId="6604052A">
      <w:pPr>
        <w:jc w:val="center"/>
        <w:rPr>
          <w:rFonts w:asciiTheme="minorEastAsia" w:hAnsiTheme="minorEastAsia" w:eastAsiaTheme="minorEastAsia"/>
          <w:b/>
          <w:sz w:val="24"/>
          <w:highlight w:val="none"/>
        </w:rPr>
      </w:pPr>
      <w:bookmarkStart w:id="909" w:name="_Toc231704287"/>
      <w:r>
        <w:rPr>
          <w:rFonts w:hint="eastAsia" w:asciiTheme="minorEastAsia" w:hAnsiTheme="minorEastAsia" w:eastAsiaTheme="minorEastAsia"/>
          <w:b/>
          <w:sz w:val="24"/>
          <w:highlight w:val="none"/>
        </w:rPr>
        <w:t>招标代理服务费支付承诺函</w:t>
      </w:r>
      <w:bookmarkEnd w:id="909"/>
    </w:p>
    <w:p w14:paraId="204D6F4D">
      <w:pPr>
        <w:ind w:firstLine="422" w:firstLineChars="200"/>
        <w:jc w:val="center"/>
        <w:rPr>
          <w:rFonts w:asciiTheme="minorEastAsia" w:hAnsiTheme="minorEastAsia" w:eastAsiaTheme="minorEastAsia"/>
          <w:b/>
          <w:szCs w:val="21"/>
          <w:highlight w:val="none"/>
        </w:rPr>
      </w:pPr>
    </w:p>
    <w:p w14:paraId="319C2FB2">
      <w:pPr>
        <w:spacing w:line="480" w:lineRule="exact"/>
        <w:ind w:firstLine="105" w:firstLineChars="5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（招标代理机构名称）：</w:t>
      </w:r>
    </w:p>
    <w:p w14:paraId="0F110176">
      <w:pPr>
        <w:spacing w:line="480" w:lineRule="exact"/>
        <w:ind w:firstLine="480" w:firstLineChars="229"/>
        <w:rPr>
          <w:rFonts w:asciiTheme="minorEastAsia" w:hAnsiTheme="minorEastAsia" w:eastAsiaTheme="minorEastAsia"/>
          <w:szCs w:val="21"/>
          <w:highlight w:val="none"/>
        </w:rPr>
      </w:pPr>
    </w:p>
    <w:p w14:paraId="205D40E8">
      <w:pPr>
        <w:spacing w:line="480" w:lineRule="exact"/>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公司为贵公司代理的（项目名称）招标项目的投标人。我方承诺，如我公司中标，我公司将按投标人须知第9条的要求，向贵公司支付招标代理服务费。我公司将承担因我方支付招标代理服务费不及时或不支付招标代理服务费而造成的贵方各项损失，包括但不限于违约金、赔偿损失等。</w:t>
      </w:r>
    </w:p>
    <w:p w14:paraId="0F26067C">
      <w:pPr>
        <w:spacing w:line="480" w:lineRule="exact"/>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特此承诺！</w:t>
      </w:r>
    </w:p>
    <w:p w14:paraId="14123CFC">
      <w:pPr>
        <w:spacing w:line="480" w:lineRule="exact"/>
        <w:rPr>
          <w:rFonts w:asciiTheme="minorEastAsia" w:hAnsiTheme="minorEastAsia" w:eastAsiaTheme="minorEastAsia"/>
          <w:szCs w:val="21"/>
          <w:highlight w:val="none"/>
        </w:rPr>
      </w:pPr>
    </w:p>
    <w:p w14:paraId="09788135">
      <w:pPr>
        <w:spacing w:line="440" w:lineRule="exact"/>
        <w:ind w:firstLine="1274" w:firstLineChars="607"/>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投标人名称：</w:t>
      </w:r>
      <w:r>
        <w:rPr>
          <w:rFonts w:hint="eastAsia" w:asciiTheme="minorEastAsia" w:hAnsiTheme="minorEastAsia" w:eastAsiaTheme="minorEastAsia"/>
          <w:szCs w:val="21"/>
          <w:highlight w:val="none"/>
          <w:u w:val="single"/>
        </w:rPr>
        <w:t xml:space="preserve">　　　　　　　　                 </w:t>
      </w:r>
    </w:p>
    <w:p w14:paraId="6153F378">
      <w:pPr>
        <w:spacing w:line="440" w:lineRule="exact"/>
        <w:ind w:firstLine="1274" w:firstLineChars="607"/>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678B18AC">
      <w:pPr>
        <w:topLinePunct/>
        <w:spacing w:line="440" w:lineRule="exact"/>
        <w:ind w:left="422" w:hanging="422" w:hangingChars="201"/>
        <w:jc w:val="left"/>
        <w:rPr>
          <w:highlight w:val="none"/>
        </w:rPr>
      </w:pPr>
    </w:p>
    <w:p w14:paraId="305B046B">
      <w:pPr>
        <w:topLinePunct/>
        <w:spacing w:line="440" w:lineRule="exact"/>
        <w:ind w:left="422" w:hanging="422" w:hangingChars="201"/>
        <w:jc w:val="left"/>
        <w:rPr>
          <w:highlight w:val="none"/>
        </w:rPr>
      </w:pPr>
    </w:p>
    <w:p w14:paraId="57F5FFEB">
      <w:pPr>
        <w:topLinePunct/>
        <w:spacing w:line="440" w:lineRule="exact"/>
        <w:ind w:left="424" w:hanging="424" w:hangingChars="201"/>
        <w:jc w:val="left"/>
        <w:rPr>
          <w:rFonts w:asciiTheme="minorEastAsia" w:hAnsiTheme="minorEastAsia" w:eastAsiaTheme="minorEastAsia"/>
          <w:b/>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highlight w:val="none"/>
        </w:rPr>
        <w:t>除本文件允许投标人进行填写的内容以外，投标人不得对本文件进行修改</w:t>
      </w:r>
      <w:r>
        <w:rPr>
          <w:rFonts w:hint="eastAsia" w:asciiTheme="minorEastAsia" w:hAnsiTheme="minorEastAsia" w:eastAsiaTheme="minorEastAsia"/>
          <w:color w:val="000000"/>
          <w:szCs w:val="21"/>
          <w:highlight w:val="none"/>
        </w:rPr>
        <w:t>。</w:t>
      </w:r>
    </w:p>
    <w:p w14:paraId="77BF2538">
      <w:pPr>
        <w:numPr>
          <w:ilvl w:val="0"/>
          <w:numId w:val="95"/>
        </w:numPr>
        <w:topLinePunct/>
        <w:spacing w:line="440" w:lineRule="exact"/>
        <w:ind w:left="422" w:hanging="422" w:hangingChars="201"/>
        <w:jc w:val="left"/>
        <w:rPr>
          <w:rFonts w:asciiTheme="minorEastAsia" w:hAnsiTheme="minorEastAsia" w:eastAsiaTheme="minorEastAsia"/>
          <w:highlight w:val="none"/>
        </w:rPr>
        <w:sectPr>
          <w:pgSz w:w="11906" w:h="16838"/>
          <w:pgMar w:top="1440" w:right="1800" w:bottom="1440" w:left="1800" w:header="851" w:footer="992" w:gutter="0"/>
          <w:pgNumType w:fmt="decimal"/>
          <w:cols w:space="425" w:num="1"/>
          <w:docGrid w:type="lines" w:linePitch="312" w:charSpace="0"/>
        </w:sectPr>
      </w:pPr>
    </w:p>
    <w:p w14:paraId="1C8BF8EB">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rPr>
      </w:pPr>
      <w:bookmarkStart w:id="910" w:name="_Toc8407"/>
      <w:bookmarkStart w:id="911" w:name="_Toc15714"/>
      <w:bookmarkStart w:id="912" w:name="_Toc19028"/>
      <w:bookmarkStart w:id="913" w:name="_Toc155873894"/>
      <w:bookmarkStart w:id="914" w:name="_Toc5268"/>
      <w:bookmarkStart w:id="915" w:name="_Toc25287"/>
      <w:bookmarkStart w:id="916" w:name="_Toc13476"/>
      <w:bookmarkStart w:id="917" w:name="_Toc17103"/>
      <w:bookmarkStart w:id="918" w:name="_Toc31708"/>
      <w:bookmarkStart w:id="919" w:name="_Toc6358"/>
      <w:bookmarkStart w:id="920" w:name="_Toc2029"/>
      <w:bookmarkStart w:id="921" w:name="_Hlk167299974"/>
      <w:r>
        <w:rPr>
          <w:rFonts w:hint="eastAsia" w:cs="Times New Roman" w:asciiTheme="minorEastAsia" w:hAnsiTheme="minorEastAsia" w:eastAsiaTheme="minorEastAsia"/>
          <w:b/>
          <w:bCs/>
          <w:kern w:val="2"/>
          <w:sz w:val="24"/>
          <w:szCs w:val="24"/>
          <w:lang w:val="en-US" w:eastAsia="zh-CN" w:bidi="ar-SA"/>
        </w:rPr>
        <w:t>11.</w:t>
      </w:r>
      <w:r>
        <w:rPr>
          <w:rFonts w:hint="eastAsia" w:asciiTheme="minorEastAsia" w:hAnsiTheme="minorEastAsia" w:eastAsiaTheme="minorEastAsia"/>
          <w:sz w:val="24"/>
          <w:szCs w:val="24"/>
        </w:rPr>
        <w:t>不得存在情形承诺</w:t>
      </w:r>
      <w:bookmarkEnd w:id="910"/>
      <w:bookmarkEnd w:id="911"/>
      <w:bookmarkEnd w:id="912"/>
      <w:bookmarkEnd w:id="913"/>
      <w:bookmarkEnd w:id="914"/>
      <w:bookmarkEnd w:id="915"/>
      <w:bookmarkEnd w:id="916"/>
      <w:bookmarkEnd w:id="917"/>
      <w:bookmarkEnd w:id="918"/>
      <w:bookmarkEnd w:id="919"/>
      <w:bookmarkEnd w:id="920"/>
    </w:p>
    <w:bookmarkEnd w:id="921"/>
    <w:p w14:paraId="16EEC49B">
      <w:pPr>
        <w:jc w:val="center"/>
        <w:rPr>
          <w:highlight w:val="none"/>
        </w:rPr>
      </w:pPr>
      <w:r>
        <w:rPr>
          <w:rFonts w:hint="eastAsia"/>
          <w:highlight w:val="none"/>
        </w:rPr>
        <w:t>不得存在情形承诺</w:t>
      </w:r>
    </w:p>
    <w:p w14:paraId="365F474D">
      <w:pPr>
        <w:rPr>
          <w:rFonts w:hint="eastAsia" w:eastAsia="宋体"/>
          <w:highlight w:val="none"/>
          <w:lang w:eastAsia="zh-CN"/>
        </w:rPr>
      </w:pPr>
      <w:r>
        <w:rPr>
          <w:rFonts w:hint="eastAsia"/>
          <w:highlight w:val="none"/>
        </w:rPr>
        <w:t xml:space="preserve">致： </w:t>
      </w:r>
      <w:r>
        <w:rPr>
          <w:rFonts w:hint="eastAsia"/>
          <w:highlight w:val="none"/>
          <w:lang w:eastAsia="zh-CN"/>
        </w:rPr>
        <w:t>中国电信股份有限公司遵义分公司</w:t>
      </w:r>
    </w:p>
    <w:p w14:paraId="2941580E">
      <w:pPr>
        <w:rPr>
          <w:highlight w:val="none"/>
        </w:rPr>
      </w:pPr>
      <w:r>
        <w:rPr>
          <w:rFonts w:hint="eastAsia"/>
          <w:highlight w:val="none"/>
        </w:rPr>
        <w:t>我公司承诺，不存在下列情形之一：</w:t>
      </w:r>
    </w:p>
    <w:p w14:paraId="71DF84FB">
      <w:pPr>
        <w:adjustRightInd w:val="0"/>
        <w:snapToGrid w:val="0"/>
        <w:spacing w:line="440" w:lineRule="exact"/>
        <w:ind w:firstLine="420" w:firstLineChars="200"/>
        <w:rPr>
          <w:rFonts w:hint="eastAsia" w:ascii="宋体" w:hAnsi="宋体"/>
          <w:bCs/>
          <w:color w:val="000000" w:themeColor="text1"/>
          <w:szCs w:val="21"/>
          <w:highlight w:val="none"/>
          <w14:textFill>
            <w14:solidFill>
              <w14:schemeClr w14:val="tx1"/>
            </w14:solidFill>
          </w14:textFill>
        </w:rPr>
      </w:pPr>
      <w:bookmarkStart w:id="922" w:name="_Hlk167293843"/>
      <w:r>
        <w:rPr>
          <w:rFonts w:hint="eastAsia" w:ascii="宋体" w:hAnsi="宋体"/>
          <w:bCs/>
          <w:color w:val="000000" w:themeColor="text1"/>
          <w:szCs w:val="21"/>
          <w:highlight w:val="none"/>
          <w14:textFill>
            <w14:solidFill>
              <w14:schemeClr w14:val="tx1"/>
            </w14:solidFill>
          </w14:textFill>
        </w:rPr>
        <w:t>（1）为采购人不具有独立法人资格的附属机构（单位）；</w:t>
      </w:r>
    </w:p>
    <w:p w14:paraId="6A7601FC">
      <w:pPr>
        <w:adjustRightInd w:val="0"/>
        <w:snapToGrid w:val="0"/>
        <w:spacing w:line="440" w:lineRule="exact"/>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（2）被依法暂停或取消投标/响应资格的；</w:t>
      </w:r>
    </w:p>
    <w:p w14:paraId="7E26C405">
      <w:pPr>
        <w:adjustRightInd w:val="0"/>
        <w:snapToGrid w:val="0"/>
        <w:spacing w:line="440" w:lineRule="exact"/>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（3）被责令停产停业、暂扣或者吊销许可证、暂扣或者吊销执照； </w:t>
      </w:r>
    </w:p>
    <w:p w14:paraId="0EFD8348">
      <w:pPr>
        <w:adjustRightInd w:val="0"/>
        <w:snapToGrid w:val="0"/>
        <w:spacing w:line="440" w:lineRule="exact"/>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（4）进入清算程序，或被宣告破产，或其他丧失履约能力的情形； </w:t>
      </w:r>
    </w:p>
    <w:p w14:paraId="1A41ADB8">
      <w:pPr>
        <w:adjustRightInd w:val="0"/>
        <w:snapToGrid w:val="0"/>
        <w:spacing w:line="440" w:lineRule="exact"/>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（5）在最近三年内[响应截止时间前36个月]被相关行业主管部门或司法机关认定骗取中标/成交、严重违约、重大工程质量或者安全问题的；</w:t>
      </w:r>
    </w:p>
    <w:p w14:paraId="7F2113B9">
      <w:pPr>
        <w:adjustRightInd w:val="0"/>
        <w:snapToGrid w:val="0"/>
        <w:spacing w:line="440" w:lineRule="exact"/>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（6）在最近五年内[响应截止时间前60个月]被判处单位行贿罪，且行贿行为与采购活动相关的（以“中国裁判文书网”的生效判决为准）；</w:t>
      </w:r>
    </w:p>
    <w:p w14:paraId="16B527BA">
      <w:pPr>
        <w:adjustRightInd w:val="0"/>
        <w:snapToGrid w:val="0"/>
        <w:spacing w:line="440" w:lineRule="exact"/>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（7）在最近五年内[响应截止时间前60个月]被判处合同诈骗罪的（以“中国裁判文书网”的生效判决为准）；</w:t>
      </w:r>
    </w:p>
    <w:p w14:paraId="4E54997D">
      <w:pPr>
        <w:adjustRightInd w:val="0"/>
        <w:snapToGrid w:val="0"/>
        <w:spacing w:line="440" w:lineRule="exact"/>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（8）被最高人民法院在“信用中国”网站（www.creditchina.gov.cn）或各级信用信息共享平台中列入失信被执行人名单，已执行完毕或不再执行的除外；</w:t>
      </w:r>
    </w:p>
    <w:p w14:paraId="18EB3A64">
      <w:pPr>
        <w:adjustRightInd w:val="0"/>
        <w:snapToGrid w:val="0"/>
        <w:spacing w:line="440" w:lineRule="exact"/>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（9）为本招标项目提供过设计、编制技术规范和其他文件的咨询服务；</w:t>
      </w:r>
    </w:p>
    <w:p w14:paraId="49AB1E6B">
      <w:pPr>
        <w:adjustRightInd w:val="0"/>
        <w:snapToGrid w:val="0"/>
        <w:spacing w:line="440" w:lineRule="exact"/>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（10）为本工程项目的相关监理人，或者与本工程项目的相关监理人存在隶属关系或者其他利害关系；</w:t>
      </w:r>
    </w:p>
    <w:p w14:paraId="39AFAE9C">
      <w:pPr>
        <w:adjustRightInd w:val="0"/>
        <w:snapToGrid w:val="0"/>
        <w:spacing w:line="440" w:lineRule="exact"/>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（11）为本招标项目的代建人；</w:t>
      </w:r>
    </w:p>
    <w:p w14:paraId="07A218E9">
      <w:pPr>
        <w:adjustRightInd w:val="0"/>
        <w:snapToGrid w:val="0"/>
        <w:spacing w:line="440" w:lineRule="exact"/>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（12）为本招标项目的采购代理机构；</w:t>
      </w:r>
    </w:p>
    <w:p w14:paraId="59EB5E9D">
      <w:pPr>
        <w:adjustRightInd w:val="0"/>
        <w:snapToGrid w:val="0"/>
        <w:spacing w:line="440" w:lineRule="exact"/>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（13）与本招标项目的监理人或代建人或采购代理机构同为一个法定代表人；</w:t>
      </w:r>
    </w:p>
    <w:p w14:paraId="14C3E838">
      <w:pPr>
        <w:adjustRightInd w:val="0"/>
        <w:snapToGrid w:val="0"/>
        <w:spacing w:line="440" w:lineRule="exact"/>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（14）与本招标项目的监理人或代建人或采购代理机构存在控股或参股关系；</w:t>
      </w:r>
    </w:p>
    <w:p w14:paraId="69A5D45D">
      <w:pPr>
        <w:adjustRightInd w:val="0"/>
        <w:snapToGrid w:val="0"/>
        <w:spacing w:line="440" w:lineRule="exact"/>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（15）被工商行政管理机关在国家企业信用信息公示系统中列入严重违法失信企业名单的；</w:t>
      </w:r>
    </w:p>
    <w:p w14:paraId="74535732">
      <w:pPr>
        <w:adjustRightInd w:val="0"/>
        <w:snapToGrid w:val="0"/>
        <w:spacing w:line="440" w:lineRule="exact"/>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（16）中国电信在职员工违规担任供应商法定代表人并参与采购活动的；</w:t>
      </w:r>
    </w:p>
    <w:p w14:paraId="774D9EBA">
      <w:pPr>
        <w:adjustRightInd w:val="0"/>
        <w:snapToGrid w:val="0"/>
        <w:spacing w:line="440" w:lineRule="exact"/>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（17）中国电信集团有限公司/中国电信股份有限公司中层及以上管理人员违反有关领导人员配偶、子女及其配偶经商办企业行为管理规定，其配偶、子女及其配偶经商办企业参与采购活动的；</w:t>
      </w:r>
    </w:p>
    <w:p w14:paraId="145A7BB2">
      <w:pPr>
        <w:adjustRightInd w:val="0"/>
        <w:snapToGrid w:val="0"/>
        <w:spacing w:line="440" w:lineRule="exact"/>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（18）中国电信领导人员离职或退休后三年内违反《国有企业领导人员廉洁从业若干规定》等相关规定任职、投资入股的私营企业、外资企业和中介机构，参与其原任职单位采购活动的；</w:t>
      </w:r>
    </w:p>
    <w:p w14:paraId="79C502DC">
      <w:pPr>
        <w:adjustRightInd w:val="0"/>
        <w:snapToGrid w:val="0"/>
        <w:spacing w:line="440" w:lineRule="exact"/>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其他按照中国电信供应商不良行为处理结果及《中国电信供应商不良行为管理规则》的结果执行规则，应对供应商及其响应产品在本项目中执行禁止采购处理措施的；[如涉及联合采购，请同时明确其他联合采购方的不良行为处理结果及相关规则]】</w:t>
      </w:r>
    </w:p>
    <w:p w14:paraId="54F7B5F1">
      <w:pPr>
        <w:adjustRightInd w:val="0"/>
        <w:snapToGrid w:val="0"/>
        <w:spacing w:line="440" w:lineRule="exact"/>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（20）法律法规、招标文件限定的其他情形。</w:t>
      </w:r>
    </w:p>
    <w:p w14:paraId="304227F6">
      <w:pPr>
        <w:adjustRightInd w:val="0"/>
        <w:snapToGrid w:val="0"/>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供应商是代理商的，本条所指的供应商也包括其所代理的制造商；联合体响应的，联合体成员均不得存在上述任一情形。</w:t>
      </w:r>
    </w:p>
    <w:bookmarkEnd w:id="922"/>
    <w:p w14:paraId="69C2BE00">
      <w:pPr>
        <w:rPr>
          <w:highlight w:val="none"/>
        </w:rPr>
      </w:pPr>
    </w:p>
    <w:p w14:paraId="3440DCF7">
      <w:pPr>
        <w:ind w:right="840" w:firstLine="4200" w:firstLineChars="2000"/>
        <w:jc w:val="right"/>
        <w:rPr>
          <w:highlight w:val="none"/>
          <w:u w:val="single"/>
        </w:rPr>
      </w:pPr>
      <w:r>
        <w:rPr>
          <w:rFonts w:hint="eastAsia"/>
          <w:highlight w:val="none"/>
        </w:rPr>
        <w:t>投 标 人：</w:t>
      </w:r>
      <w:r>
        <w:rPr>
          <w:rFonts w:hint="eastAsia"/>
          <w:highlight w:val="none"/>
          <w:u w:val="single"/>
        </w:rPr>
        <w:t xml:space="preserve">     </w:t>
      </w:r>
      <w:r>
        <w:rPr>
          <w:highlight w:val="none"/>
          <w:u w:val="single"/>
        </w:rPr>
        <w:t xml:space="preserve">   </w:t>
      </w:r>
      <w:r>
        <w:rPr>
          <w:rFonts w:hint="eastAsia"/>
          <w:highlight w:val="none"/>
          <w:u w:val="single"/>
        </w:rPr>
        <w:t xml:space="preserve">               </w:t>
      </w:r>
    </w:p>
    <w:p w14:paraId="7502C1CC">
      <w:pPr>
        <w:jc w:val="right"/>
        <w:rPr>
          <w:highlight w:val="none"/>
        </w:rPr>
      </w:pPr>
      <w:r>
        <w:rPr>
          <w:rFonts w:hint="eastAsia"/>
          <w:highlight w:val="none"/>
        </w:rPr>
        <w:t xml:space="preserve">                                          </w:t>
      </w:r>
    </w:p>
    <w:p w14:paraId="6621F54E">
      <w:pPr>
        <w:pStyle w:val="21"/>
        <w:snapToGrid w:val="0"/>
        <w:spacing w:line="440" w:lineRule="exact"/>
        <w:ind w:firstLine="560" w:firstLineChars="200"/>
        <w:jc w:val="right"/>
        <w:rPr>
          <w:highlight w:val="none"/>
        </w:rPr>
      </w:pPr>
      <w:r>
        <w:rPr>
          <w:rFonts w:hint="eastAsia"/>
          <w:highlight w:val="none"/>
        </w:rPr>
        <w:t>日期：</w:t>
      </w:r>
      <w:r>
        <w:rPr>
          <w:rFonts w:hint="eastAsia"/>
          <w:highlight w:val="none"/>
          <w:u w:val="single"/>
        </w:rPr>
        <w:t xml:space="preserve"> </w:t>
      </w:r>
      <w:r>
        <w:rPr>
          <w:highlight w:val="none"/>
          <w:u w:val="single"/>
        </w:rPr>
        <w:t xml:space="preserve">    </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14:paraId="613313DE">
      <w:pPr>
        <w:rPr>
          <w:highlight w:val="none"/>
        </w:rPr>
      </w:pPr>
      <w:r>
        <w:rPr>
          <w:highlight w:val="none"/>
        </w:rPr>
        <w:br w:type="page"/>
      </w:r>
    </w:p>
    <w:p w14:paraId="55401E1F">
      <w:pPr>
        <w:pStyle w:val="81"/>
        <w:tabs>
          <w:tab w:val="left" w:pos="588"/>
        </w:tabs>
        <w:snapToGrid w:val="0"/>
        <w:spacing w:before="120" w:after="120" w:line="440" w:lineRule="exact"/>
        <w:jc w:val="left"/>
        <w:rPr>
          <w:rFonts w:asciiTheme="minorEastAsia" w:hAnsiTheme="minorEastAsia" w:eastAsiaTheme="minorEastAsia"/>
          <w:sz w:val="24"/>
          <w:szCs w:val="24"/>
        </w:rPr>
      </w:pPr>
      <w:bookmarkStart w:id="923" w:name="_Toc12555"/>
      <w:bookmarkStart w:id="924" w:name="_Toc3984"/>
      <w:bookmarkStart w:id="925" w:name="_Toc31484"/>
      <w:bookmarkStart w:id="926" w:name="_Toc9872"/>
      <w:bookmarkStart w:id="927" w:name="_Toc4916"/>
      <w:bookmarkStart w:id="928" w:name="_Toc2590"/>
      <w:bookmarkStart w:id="929" w:name="_Toc12824"/>
      <w:bookmarkStart w:id="930" w:name="_Toc19748"/>
      <w:r>
        <w:rPr>
          <w:rFonts w:hint="eastAsia" w:ascii="宋体" w:hAnsi="宋体" w:cs="宋体"/>
          <w:sz w:val="24"/>
          <w:szCs w:val="24"/>
          <w:lang w:val="en-US" w:eastAsia="zh-CN"/>
        </w:rPr>
        <w:t>12.</w:t>
      </w:r>
      <w:r>
        <w:rPr>
          <w:rFonts w:hint="eastAsia" w:ascii="宋体" w:hAnsi="宋体" w:cs="宋体"/>
          <w:sz w:val="24"/>
          <w:szCs w:val="24"/>
        </w:rPr>
        <w:t>开</w:t>
      </w:r>
      <w:r>
        <w:rPr>
          <w:rFonts w:hint="eastAsia" w:asciiTheme="minorEastAsia" w:hAnsiTheme="minorEastAsia" w:eastAsiaTheme="minorEastAsia"/>
          <w:sz w:val="24"/>
          <w:szCs w:val="24"/>
        </w:rPr>
        <w:t>具增值税专用发票承诺</w:t>
      </w:r>
      <w:bookmarkEnd w:id="923"/>
      <w:bookmarkEnd w:id="924"/>
      <w:bookmarkEnd w:id="925"/>
      <w:bookmarkEnd w:id="926"/>
      <w:bookmarkEnd w:id="927"/>
      <w:bookmarkEnd w:id="928"/>
      <w:bookmarkEnd w:id="929"/>
      <w:bookmarkEnd w:id="930"/>
    </w:p>
    <w:p w14:paraId="3CF683EF">
      <w:pPr>
        <w:pStyle w:val="34"/>
        <w:rPr>
          <w:rFonts w:ascii="宋体" w:hAnsi="宋体"/>
        </w:rPr>
      </w:pPr>
    </w:p>
    <w:p w14:paraId="5890658A">
      <w:pPr>
        <w:jc w:val="center"/>
        <w:rPr>
          <w:b/>
          <w:szCs w:val="21"/>
        </w:rPr>
      </w:pPr>
      <w:r>
        <w:rPr>
          <w:rFonts w:hint="eastAsia" w:ascii="宋体" w:hAnsi="宋体"/>
          <w:b/>
          <w:sz w:val="24"/>
        </w:rPr>
        <w:t>开具增值税专用发票承诺</w:t>
      </w:r>
    </w:p>
    <w:p w14:paraId="48178083">
      <w:pPr>
        <w:rPr>
          <w:szCs w:val="21"/>
        </w:rPr>
      </w:pPr>
    </w:p>
    <w:p w14:paraId="23EECF41">
      <w:pPr>
        <w:spacing w:line="480" w:lineRule="exact"/>
        <w:rPr>
          <w:rFonts w:hAnsi="宋体"/>
          <w:color w:val="000000"/>
          <w:szCs w:val="21"/>
        </w:rPr>
      </w:pPr>
      <w:r>
        <w:rPr>
          <w:rFonts w:hint="eastAsia" w:ascii="宋体" w:hAnsi="宋体"/>
          <w:szCs w:val="21"/>
        </w:rPr>
        <w:t>致</w:t>
      </w:r>
      <w:r>
        <w:rPr>
          <w:rFonts w:hint="eastAsia" w:ascii="宋体" w:hAnsi="宋体" w:cs="宋体"/>
          <w:szCs w:val="21"/>
        </w:rPr>
        <w:t>中国电信股份有限公司遵义分公司：</w:t>
      </w:r>
    </w:p>
    <w:p w14:paraId="48B4515F">
      <w:pPr>
        <w:spacing w:line="480" w:lineRule="exact"/>
        <w:ind w:firstLine="480" w:firstLineChars="229"/>
        <w:rPr>
          <w:rFonts w:ascii="仿宋_GB2312" w:hAnsi="仿宋" w:eastAsia="仿宋_GB2312"/>
          <w:szCs w:val="21"/>
        </w:rPr>
      </w:pPr>
    </w:p>
    <w:p w14:paraId="4E6811D8">
      <w:pPr>
        <w:spacing w:line="480" w:lineRule="exact"/>
        <w:ind w:firstLine="480" w:firstLineChars="229"/>
        <w:rPr>
          <w:rFonts w:hAnsi="宋体"/>
          <w:color w:val="000000"/>
          <w:szCs w:val="21"/>
        </w:rPr>
      </w:pPr>
      <w:r>
        <w:rPr>
          <w:rFonts w:hint="eastAsia" w:hAnsi="宋体"/>
          <w:color w:val="000000"/>
          <w:szCs w:val="21"/>
        </w:rPr>
        <w:t>我公司若</w:t>
      </w:r>
      <w:r>
        <w:rPr>
          <w:rFonts w:hint="eastAsia" w:hAnsi="宋体"/>
          <w:color w:val="000000"/>
          <w:szCs w:val="21"/>
          <w:lang w:val="en-US" w:eastAsia="zh-CN"/>
        </w:rPr>
        <w:t>中标</w:t>
      </w:r>
      <w:r>
        <w:rPr>
          <w:rFonts w:hint="eastAsia" w:hAnsi="宋体"/>
          <w:color w:val="000000"/>
          <w:szCs w:val="21"/>
        </w:rPr>
        <w:t>交贵公司的项目，将按照贵公司要求向贵公司提供符合国家相关税务法规要求的增值税专用发票，如承诺不实，我公司承担由此产生的全部责任。</w:t>
      </w:r>
    </w:p>
    <w:p w14:paraId="58D51F50">
      <w:pPr>
        <w:spacing w:line="480" w:lineRule="exact"/>
        <w:ind w:firstLine="480" w:firstLineChars="229"/>
        <w:rPr>
          <w:rFonts w:hAnsi="宋体"/>
          <w:color w:val="000000"/>
          <w:szCs w:val="21"/>
        </w:rPr>
      </w:pPr>
      <w:r>
        <w:rPr>
          <w:rFonts w:hint="eastAsia" w:hAnsi="宋体"/>
          <w:color w:val="000000"/>
          <w:szCs w:val="21"/>
        </w:rPr>
        <w:t>特此承诺！</w:t>
      </w:r>
    </w:p>
    <w:p w14:paraId="6D5CB85C">
      <w:pPr>
        <w:spacing w:line="480" w:lineRule="exact"/>
        <w:rPr>
          <w:rFonts w:ascii="仿宋_GB2312" w:hAnsi="仿宋" w:eastAsia="仿宋_GB2312"/>
          <w:szCs w:val="21"/>
        </w:rPr>
      </w:pPr>
    </w:p>
    <w:p w14:paraId="1127EA09">
      <w:pPr>
        <w:spacing w:line="480" w:lineRule="exact"/>
        <w:ind w:firstLine="480" w:firstLineChars="229"/>
        <w:jc w:val="center"/>
        <w:rPr>
          <w:rFonts w:hAnsi="宋体"/>
          <w:color w:val="000000"/>
          <w:szCs w:val="21"/>
        </w:rPr>
      </w:pPr>
      <w:r>
        <w:rPr>
          <w:rFonts w:hint="eastAsia" w:hAnsi="宋体"/>
          <w:color w:val="000000"/>
          <w:szCs w:val="21"/>
        </w:rPr>
        <w:t xml:space="preserve">                      </w:t>
      </w:r>
      <w:r>
        <w:rPr>
          <w:rFonts w:hint="eastAsia" w:hAnsi="宋体"/>
          <w:color w:val="000000"/>
          <w:szCs w:val="21"/>
          <w:lang w:val="en-US" w:eastAsia="zh-CN"/>
        </w:rPr>
        <w:t>投标人</w:t>
      </w:r>
      <w:r>
        <w:rPr>
          <w:rFonts w:hint="eastAsia" w:hAnsi="宋体"/>
          <w:color w:val="000000"/>
          <w:szCs w:val="21"/>
        </w:rPr>
        <w:t>名称：</w:t>
      </w:r>
      <w:bookmarkStart w:id="931" w:name="_Hlk533156652"/>
      <w:r>
        <w:rPr>
          <w:rFonts w:hint="eastAsia" w:ascii="宋体" w:hAnsi="宋体"/>
          <w:szCs w:val="21"/>
        </w:rPr>
        <w:t>XXXX公司</w:t>
      </w:r>
      <w:bookmarkEnd w:id="931"/>
      <w:r>
        <w:rPr>
          <w:rFonts w:hint="eastAsia" w:hAnsi="宋体"/>
          <w:color w:val="000000"/>
          <w:szCs w:val="21"/>
        </w:rPr>
        <w:t>（盖单位章）</w:t>
      </w:r>
    </w:p>
    <w:p w14:paraId="5B5E2100">
      <w:pPr>
        <w:spacing w:line="480" w:lineRule="exact"/>
        <w:ind w:firstLine="480" w:firstLineChars="229"/>
        <w:jc w:val="center"/>
        <w:rPr>
          <w:rFonts w:hAnsi="宋体"/>
          <w:color w:val="000000"/>
          <w:szCs w:val="21"/>
        </w:rPr>
      </w:pPr>
      <w:r>
        <w:rPr>
          <w:rFonts w:hint="eastAsia" w:hAnsi="宋体"/>
          <w:color w:val="000000"/>
          <w:szCs w:val="21"/>
        </w:rPr>
        <w:t xml:space="preserve">                             法定代表人或授权代表（签字）：</w:t>
      </w:r>
    </w:p>
    <w:p w14:paraId="2CB583E2">
      <w:pPr>
        <w:spacing w:line="480" w:lineRule="exact"/>
        <w:ind w:firstLine="480" w:firstLineChars="229"/>
        <w:jc w:val="center"/>
        <w:rPr>
          <w:rFonts w:hAnsi="宋体"/>
          <w:color w:val="000000"/>
          <w:szCs w:val="21"/>
        </w:rPr>
      </w:pPr>
      <w:r>
        <w:rPr>
          <w:rFonts w:hint="eastAsia" w:hAnsi="宋体"/>
          <w:color w:val="000000"/>
          <w:szCs w:val="21"/>
        </w:rPr>
        <w:t xml:space="preserve">                                日期：</w:t>
      </w:r>
      <w:r>
        <w:rPr>
          <w:rFonts w:hint="eastAsia" w:ascii="宋体" w:hAnsi="宋体" w:cs="Arial"/>
          <w:bCs/>
          <w:szCs w:val="21"/>
        </w:rPr>
        <w:t>XX年 XX月XX日</w:t>
      </w:r>
    </w:p>
    <w:p w14:paraId="479D979C">
      <w:pPr>
        <w:widowControl/>
        <w:jc w:val="left"/>
        <w:rPr>
          <w:rFonts w:ascii="楷体_GB2312" w:eastAsia="楷体_GB2312"/>
          <w:kern w:val="0"/>
          <w:sz w:val="28"/>
          <w:szCs w:val="20"/>
          <w:highlight w:val="none"/>
        </w:rPr>
      </w:pPr>
      <w:r>
        <w:rPr>
          <w:highlight w:val="none"/>
        </w:rPr>
        <w:br w:type="page"/>
      </w:r>
    </w:p>
    <w:p w14:paraId="76265237">
      <w:pPr>
        <w:pStyle w:val="81"/>
        <w:tabs>
          <w:tab w:val="left" w:pos="588"/>
        </w:tabs>
        <w:snapToGrid w:val="0"/>
        <w:spacing w:before="120" w:after="120" w:line="440" w:lineRule="exact"/>
        <w:jc w:val="left"/>
        <w:rPr>
          <w:rFonts w:hint="eastAsia" w:ascii="宋体" w:hAnsi="宋体" w:eastAsia="宋体" w:cs="宋体"/>
          <w:sz w:val="24"/>
          <w:szCs w:val="24"/>
          <w:lang w:val="en-US" w:eastAsia="zh-CN"/>
        </w:rPr>
      </w:pPr>
      <w:bookmarkStart w:id="932" w:name="_Toc17375"/>
      <w:bookmarkStart w:id="933" w:name="_Toc205217519"/>
      <w:bookmarkStart w:id="934" w:name="_Toc23702"/>
      <w:bookmarkStart w:id="935" w:name="_Toc30228"/>
      <w:bookmarkStart w:id="936" w:name="_Toc9537"/>
      <w:bookmarkStart w:id="937" w:name="_Toc23500"/>
      <w:bookmarkStart w:id="938" w:name="_Toc17082"/>
      <w:bookmarkStart w:id="939" w:name="_Toc26331"/>
      <w:bookmarkStart w:id="940" w:name="_Toc18071"/>
      <w:bookmarkStart w:id="941" w:name="_Toc12718"/>
      <w:bookmarkStart w:id="942" w:name="_Toc11596"/>
      <w:bookmarkStart w:id="943" w:name="_Toc155873895"/>
      <w:bookmarkStart w:id="944" w:name="_Toc3643"/>
      <w:bookmarkStart w:id="945" w:name="_Toc28360"/>
      <w:bookmarkStart w:id="946" w:name="_Hlk167299984"/>
      <w:r>
        <w:rPr>
          <w:rFonts w:hint="eastAsia" w:ascii="宋体" w:hAnsi="宋体" w:eastAsia="宋体" w:cs="宋体"/>
          <w:sz w:val="24"/>
          <w:szCs w:val="24"/>
          <w:lang w:val="en-US" w:eastAsia="zh-CN"/>
        </w:rPr>
        <w:t>13.特定关系信息收集表</w:t>
      </w:r>
      <w:bookmarkEnd w:id="932"/>
      <w:bookmarkEnd w:id="933"/>
      <w:bookmarkEnd w:id="934"/>
      <w:bookmarkEnd w:id="935"/>
      <w:bookmarkEnd w:id="936"/>
    </w:p>
    <w:p w14:paraId="1B8D5E3C">
      <w:pPr>
        <w:jc w:val="center"/>
        <w:rPr>
          <w:rFonts w:ascii="Times New Roman" w:hAnsi="Times New Roman" w:eastAsia="宋体" w:cs="Times New Roman"/>
          <w:highlight w:val="none"/>
        </w:rPr>
      </w:pPr>
    </w:p>
    <w:p w14:paraId="194FFF10">
      <w:pPr>
        <w:jc w:val="center"/>
        <w:rPr>
          <w:rFonts w:ascii="仿宋_GB2312" w:hAnsi="Times New Roman" w:eastAsia="微软雅黑" w:cs="Times New Roman"/>
          <w:b/>
          <w:sz w:val="28"/>
          <w:highlight w:val="none"/>
        </w:rPr>
      </w:pPr>
      <w:r>
        <w:rPr>
          <w:rFonts w:hint="eastAsia" w:ascii="微软雅黑" w:hAnsi="微软雅黑" w:eastAsia="微软雅黑" w:cs="Times New Roman"/>
          <w:b/>
          <w:szCs w:val="36"/>
          <w:highlight w:val="none"/>
        </w:rPr>
        <w:t>中国电信在职员工、离职或退休后三年内在我方担任法定代表人或董监高的情况表</w:t>
      </w:r>
    </w:p>
    <w:p w14:paraId="48CE1E2E">
      <w:pPr>
        <w:ind w:firstLine="420" w:firstLineChars="200"/>
        <w:rPr>
          <w:rFonts w:ascii="仿宋_GB2312" w:eastAsia="仿宋_GB2312" w:cs="Times New Roman" w:hAnsiTheme="minorEastAsia"/>
          <w:highlight w:val="none"/>
        </w:rPr>
      </w:pPr>
    </w:p>
    <w:tbl>
      <w:tblPr>
        <w:tblStyle w:val="85"/>
        <w:tblW w:w="5305" w:type="pct"/>
        <w:jc w:val="center"/>
        <w:tblLayout w:type="fixed"/>
        <w:tblCellMar>
          <w:top w:w="0" w:type="dxa"/>
          <w:left w:w="108" w:type="dxa"/>
          <w:bottom w:w="0" w:type="dxa"/>
          <w:right w:w="108" w:type="dxa"/>
        </w:tblCellMar>
      </w:tblPr>
      <w:tblGrid>
        <w:gridCol w:w="646"/>
        <w:gridCol w:w="1285"/>
        <w:gridCol w:w="1607"/>
        <w:gridCol w:w="2298"/>
        <w:gridCol w:w="1190"/>
        <w:gridCol w:w="839"/>
        <w:gridCol w:w="1177"/>
      </w:tblGrid>
      <w:tr w14:paraId="54452E7B">
        <w:tblPrEx>
          <w:tblCellMar>
            <w:top w:w="0" w:type="dxa"/>
            <w:left w:w="108" w:type="dxa"/>
            <w:bottom w:w="0" w:type="dxa"/>
            <w:right w:w="108" w:type="dxa"/>
          </w:tblCellMar>
        </w:tblPrEx>
        <w:trPr>
          <w:trHeight w:val="440" w:hRule="atLeast"/>
          <w:jc w:val="center"/>
        </w:trPr>
        <w:tc>
          <w:tcPr>
            <w:tcW w:w="357" w:type="pct"/>
            <w:vMerge w:val="restart"/>
            <w:tcBorders>
              <w:top w:val="single" w:color="auto" w:sz="4" w:space="0"/>
              <w:left w:val="single" w:color="auto" w:sz="4" w:space="0"/>
              <w:right w:val="single" w:color="auto" w:sz="4" w:space="0"/>
            </w:tcBorders>
            <w:noWrap/>
            <w:vAlign w:val="center"/>
          </w:tcPr>
          <w:p w14:paraId="7114A26D">
            <w:pPr>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序号</w:t>
            </w:r>
          </w:p>
        </w:tc>
        <w:tc>
          <w:tcPr>
            <w:tcW w:w="1598" w:type="pct"/>
            <w:gridSpan w:val="2"/>
            <w:tcBorders>
              <w:top w:val="single" w:color="auto" w:sz="4" w:space="0"/>
              <w:left w:val="single" w:color="auto" w:sz="4" w:space="0"/>
              <w:bottom w:val="single" w:color="auto" w:sz="4" w:space="0"/>
              <w:right w:val="single" w:color="auto" w:sz="4" w:space="0"/>
            </w:tcBorders>
            <w:vAlign w:val="center"/>
          </w:tcPr>
          <w:p w14:paraId="4BC98311">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我方法定代表人或董监高</w:t>
            </w:r>
          </w:p>
        </w:tc>
        <w:tc>
          <w:tcPr>
            <w:tcW w:w="3044" w:type="pct"/>
            <w:gridSpan w:val="4"/>
            <w:tcBorders>
              <w:top w:val="single" w:color="auto" w:sz="4" w:space="0"/>
              <w:left w:val="nil"/>
              <w:bottom w:val="single" w:color="auto" w:sz="4" w:space="0"/>
              <w:right w:val="single" w:color="000000" w:sz="4" w:space="0"/>
            </w:tcBorders>
            <w:vAlign w:val="center"/>
          </w:tcPr>
          <w:p w14:paraId="7DA07FA6">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在中国电信从业情况</w:t>
            </w:r>
          </w:p>
        </w:tc>
      </w:tr>
      <w:tr w14:paraId="2C8ECFA5">
        <w:tblPrEx>
          <w:tblCellMar>
            <w:top w:w="0" w:type="dxa"/>
            <w:left w:w="108" w:type="dxa"/>
            <w:bottom w:w="0" w:type="dxa"/>
            <w:right w:w="108" w:type="dxa"/>
          </w:tblCellMar>
        </w:tblPrEx>
        <w:trPr>
          <w:trHeight w:val="414" w:hRule="atLeast"/>
          <w:jc w:val="center"/>
        </w:trPr>
        <w:tc>
          <w:tcPr>
            <w:tcW w:w="357" w:type="pct"/>
            <w:vMerge w:val="continue"/>
            <w:tcBorders>
              <w:left w:val="single" w:color="auto" w:sz="4" w:space="0"/>
              <w:bottom w:val="single" w:color="auto" w:sz="4" w:space="0"/>
              <w:right w:val="single" w:color="auto" w:sz="4" w:space="0"/>
            </w:tcBorders>
            <w:vAlign w:val="center"/>
          </w:tcPr>
          <w:p w14:paraId="66E82442">
            <w:pPr>
              <w:widowControl/>
              <w:jc w:val="center"/>
              <w:rPr>
                <w:rFonts w:ascii="仿宋_GB2312" w:hAnsi="仿宋_GB2312" w:eastAsia="仿宋_GB2312" w:cs="仿宋_GB2312"/>
                <w:b/>
                <w:bCs/>
                <w:kern w:val="0"/>
                <w:highlight w:val="none"/>
              </w:rPr>
            </w:pPr>
          </w:p>
        </w:tc>
        <w:tc>
          <w:tcPr>
            <w:tcW w:w="710" w:type="pct"/>
            <w:tcBorders>
              <w:top w:val="single" w:color="auto" w:sz="4" w:space="0"/>
              <w:left w:val="single" w:color="auto" w:sz="4" w:space="0"/>
              <w:bottom w:val="single" w:color="auto" w:sz="4" w:space="0"/>
              <w:right w:val="single" w:color="auto" w:sz="4" w:space="0"/>
            </w:tcBorders>
            <w:vAlign w:val="center"/>
          </w:tcPr>
          <w:p w14:paraId="723DEDFF">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姓名</w:t>
            </w:r>
          </w:p>
        </w:tc>
        <w:tc>
          <w:tcPr>
            <w:tcW w:w="887" w:type="pct"/>
            <w:tcBorders>
              <w:top w:val="single" w:color="auto" w:sz="4" w:space="0"/>
              <w:left w:val="single" w:color="auto" w:sz="4" w:space="0"/>
              <w:bottom w:val="single" w:color="auto" w:sz="4" w:space="0"/>
              <w:right w:val="single" w:color="auto" w:sz="4" w:space="0"/>
            </w:tcBorders>
            <w:vAlign w:val="center"/>
          </w:tcPr>
          <w:p w14:paraId="468E6E93">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担任职务</w:t>
            </w:r>
          </w:p>
        </w:tc>
        <w:tc>
          <w:tcPr>
            <w:tcW w:w="1271" w:type="pct"/>
            <w:tcBorders>
              <w:top w:val="single" w:color="auto" w:sz="4" w:space="0"/>
              <w:left w:val="nil"/>
              <w:bottom w:val="single" w:color="auto" w:sz="4" w:space="0"/>
              <w:right w:val="single" w:color="auto" w:sz="4" w:space="0"/>
            </w:tcBorders>
            <w:vAlign w:val="center"/>
          </w:tcPr>
          <w:p w14:paraId="62919198">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期限</w:t>
            </w:r>
          </w:p>
        </w:tc>
        <w:tc>
          <w:tcPr>
            <w:tcW w:w="658" w:type="pct"/>
            <w:tcBorders>
              <w:top w:val="single" w:color="auto" w:sz="4" w:space="0"/>
              <w:left w:val="single" w:color="auto" w:sz="4" w:space="0"/>
              <w:bottom w:val="single" w:color="auto" w:sz="4" w:space="0"/>
              <w:right w:val="single" w:color="auto" w:sz="4" w:space="0"/>
            </w:tcBorders>
            <w:noWrap/>
            <w:vAlign w:val="center"/>
          </w:tcPr>
          <w:p w14:paraId="30AA1725">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单位</w:t>
            </w:r>
          </w:p>
        </w:tc>
        <w:tc>
          <w:tcPr>
            <w:tcW w:w="464" w:type="pct"/>
            <w:tcBorders>
              <w:top w:val="nil"/>
              <w:left w:val="nil"/>
              <w:bottom w:val="single" w:color="auto" w:sz="4" w:space="0"/>
              <w:right w:val="single" w:color="auto" w:sz="4" w:space="0"/>
            </w:tcBorders>
            <w:noWrap/>
            <w:vAlign w:val="center"/>
          </w:tcPr>
          <w:p w14:paraId="1E63C82F">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部门</w:t>
            </w:r>
          </w:p>
        </w:tc>
        <w:tc>
          <w:tcPr>
            <w:tcW w:w="650" w:type="pct"/>
            <w:tcBorders>
              <w:top w:val="single" w:color="auto" w:sz="4" w:space="0"/>
              <w:left w:val="nil"/>
              <w:bottom w:val="single" w:color="auto" w:sz="4" w:space="0"/>
              <w:right w:val="single" w:color="auto" w:sz="4" w:space="0"/>
            </w:tcBorders>
            <w:vAlign w:val="center"/>
          </w:tcPr>
          <w:p w14:paraId="0BE122B2">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职务/岗位</w:t>
            </w:r>
          </w:p>
        </w:tc>
      </w:tr>
      <w:tr w14:paraId="575E25F2">
        <w:tblPrEx>
          <w:tblCellMar>
            <w:top w:w="0" w:type="dxa"/>
            <w:left w:w="108" w:type="dxa"/>
            <w:bottom w:w="0" w:type="dxa"/>
            <w:right w:w="108" w:type="dxa"/>
          </w:tblCellMar>
        </w:tblPrEx>
        <w:trPr>
          <w:trHeight w:val="387" w:hRule="atLeast"/>
          <w:jc w:val="center"/>
        </w:trPr>
        <w:tc>
          <w:tcPr>
            <w:tcW w:w="357" w:type="pct"/>
            <w:tcBorders>
              <w:top w:val="nil"/>
              <w:left w:val="single" w:color="auto" w:sz="4" w:space="0"/>
              <w:bottom w:val="single" w:color="auto" w:sz="4" w:space="0"/>
              <w:right w:val="single" w:color="auto" w:sz="4" w:space="0"/>
            </w:tcBorders>
            <w:noWrap/>
            <w:vAlign w:val="center"/>
          </w:tcPr>
          <w:p w14:paraId="64D1D096">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示例</w:t>
            </w:r>
          </w:p>
        </w:tc>
        <w:tc>
          <w:tcPr>
            <w:tcW w:w="710" w:type="pct"/>
            <w:tcBorders>
              <w:top w:val="nil"/>
              <w:left w:val="nil"/>
              <w:bottom w:val="single" w:color="auto" w:sz="4" w:space="0"/>
              <w:right w:val="single" w:color="auto" w:sz="4" w:space="0"/>
            </w:tcBorders>
            <w:noWrap/>
            <w:vAlign w:val="center"/>
          </w:tcPr>
          <w:p w14:paraId="785BB1CE">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张三</w:t>
            </w:r>
          </w:p>
        </w:tc>
        <w:tc>
          <w:tcPr>
            <w:tcW w:w="887" w:type="pct"/>
            <w:tcBorders>
              <w:top w:val="nil"/>
              <w:left w:val="nil"/>
              <w:bottom w:val="single" w:color="auto" w:sz="4" w:space="0"/>
              <w:right w:val="single" w:color="auto" w:sz="4" w:space="0"/>
            </w:tcBorders>
            <w:noWrap/>
            <w:vAlign w:val="center"/>
          </w:tcPr>
          <w:p w14:paraId="40686667">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法定代表人</w:t>
            </w:r>
          </w:p>
        </w:tc>
        <w:tc>
          <w:tcPr>
            <w:tcW w:w="1271" w:type="pct"/>
            <w:tcBorders>
              <w:top w:val="single" w:color="auto" w:sz="4" w:space="0"/>
              <w:left w:val="nil"/>
              <w:bottom w:val="single" w:color="auto" w:sz="4" w:space="0"/>
              <w:right w:val="single" w:color="auto" w:sz="4" w:space="0"/>
            </w:tcBorders>
            <w:vAlign w:val="center"/>
          </w:tcPr>
          <w:p w14:paraId="5A38CAFF">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2024.1.1-2024.10.31</w:t>
            </w:r>
          </w:p>
        </w:tc>
        <w:tc>
          <w:tcPr>
            <w:tcW w:w="658" w:type="pct"/>
            <w:tcBorders>
              <w:top w:val="single" w:color="auto" w:sz="4" w:space="0"/>
              <w:left w:val="single" w:color="auto" w:sz="4" w:space="0"/>
              <w:bottom w:val="single" w:color="auto" w:sz="4" w:space="0"/>
              <w:right w:val="single" w:color="auto" w:sz="4" w:space="0"/>
            </w:tcBorders>
            <w:noWrap/>
            <w:vAlign w:val="center"/>
          </w:tcPr>
          <w:p w14:paraId="1B9A71C4">
            <w:pPr>
              <w:widowControl/>
              <w:jc w:val="center"/>
              <w:rPr>
                <w:rFonts w:ascii="仿宋_GB2312" w:hAnsi="等线" w:eastAsia="仿宋_GB2312" w:cs="宋体"/>
                <w:i/>
                <w:iCs/>
                <w:kern w:val="0"/>
                <w:sz w:val="20"/>
                <w:highlight w:val="none"/>
              </w:rPr>
            </w:pPr>
            <w:r>
              <w:rPr>
                <w:rFonts w:hint="eastAsia" w:ascii="仿宋_GB2312" w:hAnsi="仿宋_GB2312" w:eastAsia="仿宋_GB2312" w:cs="仿宋_GB2312"/>
                <w:kern w:val="0"/>
                <w:highlight w:val="none"/>
              </w:rPr>
              <w:t>XX公司</w:t>
            </w:r>
          </w:p>
        </w:tc>
        <w:tc>
          <w:tcPr>
            <w:tcW w:w="464" w:type="pct"/>
            <w:tcBorders>
              <w:top w:val="nil"/>
              <w:left w:val="nil"/>
              <w:bottom w:val="single" w:color="auto" w:sz="4" w:space="0"/>
              <w:right w:val="single" w:color="auto" w:sz="4" w:space="0"/>
            </w:tcBorders>
            <w:noWrap/>
            <w:vAlign w:val="center"/>
          </w:tcPr>
          <w:p w14:paraId="4E18181E">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XX部</w:t>
            </w:r>
          </w:p>
        </w:tc>
        <w:tc>
          <w:tcPr>
            <w:tcW w:w="650" w:type="pct"/>
            <w:tcBorders>
              <w:top w:val="single" w:color="auto" w:sz="4" w:space="0"/>
              <w:left w:val="nil"/>
              <w:bottom w:val="single" w:color="auto" w:sz="4" w:space="0"/>
              <w:right w:val="single" w:color="auto" w:sz="4" w:space="0"/>
            </w:tcBorders>
            <w:vAlign w:val="center"/>
          </w:tcPr>
          <w:p w14:paraId="66863DEF">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总经理</w:t>
            </w:r>
          </w:p>
        </w:tc>
      </w:tr>
      <w:tr w14:paraId="069BC454">
        <w:tblPrEx>
          <w:tblCellMar>
            <w:top w:w="0" w:type="dxa"/>
            <w:left w:w="108" w:type="dxa"/>
            <w:bottom w:w="0" w:type="dxa"/>
            <w:right w:w="108" w:type="dxa"/>
          </w:tblCellMar>
        </w:tblPrEx>
        <w:trPr>
          <w:trHeight w:val="273" w:hRule="atLeast"/>
          <w:jc w:val="center"/>
        </w:trPr>
        <w:tc>
          <w:tcPr>
            <w:tcW w:w="357" w:type="pct"/>
            <w:tcBorders>
              <w:top w:val="nil"/>
              <w:left w:val="single" w:color="auto" w:sz="4" w:space="0"/>
              <w:bottom w:val="single" w:color="auto" w:sz="4" w:space="0"/>
              <w:right w:val="single" w:color="auto" w:sz="4" w:space="0"/>
            </w:tcBorders>
            <w:noWrap/>
            <w:vAlign w:val="center"/>
          </w:tcPr>
          <w:p w14:paraId="027C9D2C">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示例</w:t>
            </w:r>
          </w:p>
        </w:tc>
        <w:tc>
          <w:tcPr>
            <w:tcW w:w="710" w:type="pct"/>
            <w:tcBorders>
              <w:top w:val="nil"/>
              <w:left w:val="nil"/>
              <w:bottom w:val="single" w:color="auto" w:sz="4" w:space="0"/>
              <w:right w:val="single" w:color="auto" w:sz="4" w:space="0"/>
            </w:tcBorders>
            <w:noWrap/>
            <w:vAlign w:val="center"/>
          </w:tcPr>
          <w:p w14:paraId="2BC7238B">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李四</w:t>
            </w:r>
          </w:p>
        </w:tc>
        <w:tc>
          <w:tcPr>
            <w:tcW w:w="887" w:type="pct"/>
            <w:tcBorders>
              <w:top w:val="nil"/>
              <w:left w:val="nil"/>
              <w:bottom w:val="single" w:color="auto" w:sz="4" w:space="0"/>
              <w:right w:val="single" w:color="auto" w:sz="4" w:space="0"/>
            </w:tcBorders>
            <w:noWrap/>
            <w:vAlign w:val="center"/>
          </w:tcPr>
          <w:p w14:paraId="2683EA7D">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法定代表人</w:t>
            </w:r>
          </w:p>
        </w:tc>
        <w:tc>
          <w:tcPr>
            <w:tcW w:w="1271" w:type="pct"/>
            <w:tcBorders>
              <w:top w:val="single" w:color="auto" w:sz="4" w:space="0"/>
              <w:left w:val="nil"/>
              <w:bottom w:val="single" w:color="auto" w:sz="4" w:space="0"/>
              <w:right w:val="single" w:color="auto" w:sz="4" w:space="0"/>
            </w:tcBorders>
            <w:vAlign w:val="center"/>
          </w:tcPr>
          <w:p w14:paraId="15C11966">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2024.1.1至今</w:t>
            </w:r>
          </w:p>
        </w:tc>
        <w:tc>
          <w:tcPr>
            <w:tcW w:w="658" w:type="pct"/>
            <w:tcBorders>
              <w:top w:val="single" w:color="auto" w:sz="4" w:space="0"/>
              <w:left w:val="single" w:color="auto" w:sz="4" w:space="0"/>
              <w:bottom w:val="single" w:color="auto" w:sz="4" w:space="0"/>
              <w:right w:val="single" w:color="auto" w:sz="4" w:space="0"/>
            </w:tcBorders>
            <w:noWrap/>
            <w:vAlign w:val="center"/>
          </w:tcPr>
          <w:p w14:paraId="6700DA40">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XX公司</w:t>
            </w:r>
          </w:p>
        </w:tc>
        <w:tc>
          <w:tcPr>
            <w:tcW w:w="464" w:type="pct"/>
            <w:tcBorders>
              <w:top w:val="nil"/>
              <w:left w:val="nil"/>
              <w:bottom w:val="single" w:color="auto" w:sz="4" w:space="0"/>
              <w:right w:val="single" w:color="auto" w:sz="4" w:space="0"/>
            </w:tcBorders>
            <w:noWrap/>
            <w:vAlign w:val="center"/>
          </w:tcPr>
          <w:p w14:paraId="08CE1D00">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XX部</w:t>
            </w:r>
          </w:p>
        </w:tc>
        <w:tc>
          <w:tcPr>
            <w:tcW w:w="650" w:type="pct"/>
            <w:tcBorders>
              <w:top w:val="single" w:color="auto" w:sz="4" w:space="0"/>
              <w:left w:val="nil"/>
              <w:bottom w:val="single" w:color="auto" w:sz="4" w:space="0"/>
              <w:right w:val="single" w:color="auto" w:sz="4" w:space="0"/>
            </w:tcBorders>
            <w:vAlign w:val="center"/>
          </w:tcPr>
          <w:p w14:paraId="3CA2EE98">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采购管理</w:t>
            </w:r>
          </w:p>
        </w:tc>
      </w:tr>
      <w:tr w14:paraId="5CCE8898">
        <w:tblPrEx>
          <w:tblCellMar>
            <w:top w:w="0" w:type="dxa"/>
            <w:left w:w="108" w:type="dxa"/>
            <w:bottom w:w="0" w:type="dxa"/>
            <w:right w:w="108" w:type="dxa"/>
          </w:tblCellMar>
        </w:tblPrEx>
        <w:trPr>
          <w:trHeight w:val="273" w:hRule="atLeast"/>
          <w:jc w:val="center"/>
        </w:trPr>
        <w:tc>
          <w:tcPr>
            <w:tcW w:w="357" w:type="pct"/>
            <w:tcBorders>
              <w:top w:val="nil"/>
              <w:left w:val="single" w:color="auto" w:sz="4" w:space="0"/>
              <w:bottom w:val="single" w:color="auto" w:sz="4" w:space="0"/>
              <w:right w:val="single" w:color="auto" w:sz="4" w:space="0"/>
            </w:tcBorders>
            <w:noWrap/>
            <w:vAlign w:val="center"/>
          </w:tcPr>
          <w:p w14:paraId="52945388">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1</w:t>
            </w:r>
          </w:p>
        </w:tc>
        <w:tc>
          <w:tcPr>
            <w:tcW w:w="710" w:type="pct"/>
            <w:tcBorders>
              <w:top w:val="nil"/>
              <w:left w:val="nil"/>
              <w:bottom w:val="single" w:color="auto" w:sz="4" w:space="0"/>
              <w:right w:val="single" w:color="auto" w:sz="4" w:space="0"/>
            </w:tcBorders>
            <w:noWrap/>
            <w:vAlign w:val="center"/>
          </w:tcPr>
          <w:p w14:paraId="3E4D9912">
            <w:pPr>
              <w:widowControl/>
              <w:jc w:val="center"/>
              <w:rPr>
                <w:rFonts w:ascii="仿宋_GB2312" w:hAnsi="仿宋_GB2312" w:eastAsia="仿宋_GB2312" w:cs="仿宋_GB2312"/>
                <w:kern w:val="0"/>
                <w:highlight w:val="none"/>
              </w:rPr>
            </w:pPr>
          </w:p>
        </w:tc>
        <w:tc>
          <w:tcPr>
            <w:tcW w:w="887" w:type="pct"/>
            <w:tcBorders>
              <w:top w:val="nil"/>
              <w:left w:val="nil"/>
              <w:bottom w:val="single" w:color="auto" w:sz="4" w:space="0"/>
              <w:right w:val="single" w:color="auto" w:sz="4" w:space="0"/>
            </w:tcBorders>
            <w:noWrap/>
            <w:vAlign w:val="center"/>
          </w:tcPr>
          <w:p w14:paraId="1C8A3814">
            <w:pPr>
              <w:widowControl/>
              <w:jc w:val="center"/>
              <w:rPr>
                <w:rFonts w:ascii="仿宋_GB2312" w:hAnsi="仿宋_GB2312" w:eastAsia="仿宋_GB2312" w:cs="仿宋_GB2312"/>
                <w:kern w:val="0"/>
                <w:highlight w:val="none"/>
              </w:rPr>
            </w:pPr>
          </w:p>
        </w:tc>
        <w:tc>
          <w:tcPr>
            <w:tcW w:w="1271" w:type="pct"/>
            <w:tcBorders>
              <w:top w:val="single" w:color="auto" w:sz="4" w:space="0"/>
              <w:left w:val="nil"/>
              <w:bottom w:val="single" w:color="auto" w:sz="4" w:space="0"/>
              <w:right w:val="single" w:color="auto" w:sz="4" w:space="0"/>
            </w:tcBorders>
            <w:vAlign w:val="center"/>
          </w:tcPr>
          <w:p w14:paraId="4BDE3E57">
            <w:pPr>
              <w:widowControl/>
              <w:jc w:val="center"/>
              <w:rPr>
                <w:rFonts w:ascii="仿宋_GB2312" w:hAnsi="仿宋_GB2312" w:eastAsia="仿宋_GB2312" w:cs="仿宋_GB2312"/>
                <w:kern w:val="0"/>
                <w:highlight w:val="none"/>
              </w:rPr>
            </w:pPr>
          </w:p>
        </w:tc>
        <w:tc>
          <w:tcPr>
            <w:tcW w:w="658" w:type="pct"/>
            <w:tcBorders>
              <w:top w:val="single" w:color="auto" w:sz="4" w:space="0"/>
              <w:left w:val="single" w:color="auto" w:sz="4" w:space="0"/>
              <w:bottom w:val="single" w:color="auto" w:sz="4" w:space="0"/>
              <w:right w:val="single" w:color="auto" w:sz="4" w:space="0"/>
            </w:tcBorders>
            <w:noWrap/>
            <w:vAlign w:val="center"/>
          </w:tcPr>
          <w:p w14:paraId="20C36FC5">
            <w:pPr>
              <w:widowControl/>
              <w:jc w:val="center"/>
              <w:rPr>
                <w:rFonts w:ascii="仿宋_GB2312" w:hAnsi="仿宋_GB2312" w:eastAsia="仿宋_GB2312" w:cs="仿宋_GB2312"/>
                <w:kern w:val="0"/>
                <w:highlight w:val="none"/>
              </w:rPr>
            </w:pPr>
          </w:p>
        </w:tc>
        <w:tc>
          <w:tcPr>
            <w:tcW w:w="464" w:type="pct"/>
            <w:tcBorders>
              <w:top w:val="nil"/>
              <w:left w:val="nil"/>
              <w:bottom w:val="single" w:color="auto" w:sz="4" w:space="0"/>
              <w:right w:val="single" w:color="auto" w:sz="4" w:space="0"/>
            </w:tcBorders>
            <w:noWrap/>
            <w:vAlign w:val="center"/>
          </w:tcPr>
          <w:p w14:paraId="778E0E98">
            <w:pPr>
              <w:widowControl/>
              <w:jc w:val="center"/>
              <w:rPr>
                <w:rFonts w:ascii="仿宋_GB2312" w:hAnsi="仿宋_GB2312" w:eastAsia="仿宋_GB2312" w:cs="仿宋_GB2312"/>
                <w:kern w:val="0"/>
                <w:highlight w:val="none"/>
              </w:rPr>
            </w:pPr>
          </w:p>
        </w:tc>
        <w:tc>
          <w:tcPr>
            <w:tcW w:w="650" w:type="pct"/>
            <w:tcBorders>
              <w:top w:val="single" w:color="auto" w:sz="4" w:space="0"/>
              <w:left w:val="nil"/>
              <w:bottom w:val="single" w:color="auto" w:sz="4" w:space="0"/>
              <w:right w:val="single" w:color="auto" w:sz="4" w:space="0"/>
            </w:tcBorders>
            <w:vAlign w:val="center"/>
          </w:tcPr>
          <w:p w14:paraId="41461255">
            <w:pPr>
              <w:widowControl/>
              <w:jc w:val="center"/>
              <w:rPr>
                <w:rFonts w:ascii="仿宋_GB2312" w:hAnsi="仿宋_GB2312" w:eastAsia="仿宋_GB2312" w:cs="仿宋_GB2312"/>
                <w:kern w:val="0"/>
                <w:highlight w:val="none"/>
              </w:rPr>
            </w:pPr>
          </w:p>
        </w:tc>
      </w:tr>
      <w:tr w14:paraId="7401887A">
        <w:tblPrEx>
          <w:tblCellMar>
            <w:top w:w="0" w:type="dxa"/>
            <w:left w:w="108" w:type="dxa"/>
            <w:bottom w:w="0" w:type="dxa"/>
            <w:right w:w="108" w:type="dxa"/>
          </w:tblCellMar>
        </w:tblPrEx>
        <w:trPr>
          <w:trHeight w:val="273" w:hRule="atLeast"/>
          <w:jc w:val="center"/>
        </w:trPr>
        <w:tc>
          <w:tcPr>
            <w:tcW w:w="357" w:type="pct"/>
            <w:tcBorders>
              <w:top w:val="nil"/>
              <w:left w:val="single" w:color="auto" w:sz="4" w:space="0"/>
              <w:bottom w:val="single" w:color="auto" w:sz="4" w:space="0"/>
              <w:right w:val="single" w:color="auto" w:sz="4" w:space="0"/>
            </w:tcBorders>
            <w:noWrap/>
            <w:vAlign w:val="center"/>
          </w:tcPr>
          <w:p w14:paraId="3DF7C222">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2</w:t>
            </w:r>
          </w:p>
        </w:tc>
        <w:tc>
          <w:tcPr>
            <w:tcW w:w="710" w:type="pct"/>
            <w:tcBorders>
              <w:top w:val="nil"/>
              <w:left w:val="nil"/>
              <w:bottom w:val="single" w:color="auto" w:sz="4" w:space="0"/>
              <w:right w:val="single" w:color="auto" w:sz="4" w:space="0"/>
            </w:tcBorders>
            <w:noWrap/>
            <w:vAlign w:val="center"/>
          </w:tcPr>
          <w:p w14:paraId="54B41C56">
            <w:pPr>
              <w:widowControl/>
              <w:jc w:val="center"/>
              <w:rPr>
                <w:rFonts w:ascii="仿宋_GB2312" w:hAnsi="仿宋_GB2312" w:eastAsia="仿宋_GB2312" w:cs="仿宋_GB2312"/>
                <w:kern w:val="0"/>
                <w:highlight w:val="none"/>
              </w:rPr>
            </w:pPr>
          </w:p>
        </w:tc>
        <w:tc>
          <w:tcPr>
            <w:tcW w:w="887" w:type="pct"/>
            <w:tcBorders>
              <w:top w:val="nil"/>
              <w:left w:val="nil"/>
              <w:bottom w:val="single" w:color="auto" w:sz="4" w:space="0"/>
              <w:right w:val="single" w:color="auto" w:sz="4" w:space="0"/>
            </w:tcBorders>
            <w:noWrap/>
            <w:vAlign w:val="center"/>
          </w:tcPr>
          <w:p w14:paraId="392E0D92">
            <w:pPr>
              <w:widowControl/>
              <w:jc w:val="center"/>
              <w:rPr>
                <w:rFonts w:ascii="仿宋_GB2312" w:hAnsi="仿宋_GB2312" w:eastAsia="仿宋_GB2312" w:cs="仿宋_GB2312"/>
                <w:kern w:val="0"/>
                <w:highlight w:val="none"/>
              </w:rPr>
            </w:pPr>
          </w:p>
        </w:tc>
        <w:tc>
          <w:tcPr>
            <w:tcW w:w="1271" w:type="pct"/>
            <w:tcBorders>
              <w:top w:val="single" w:color="auto" w:sz="4" w:space="0"/>
              <w:left w:val="nil"/>
              <w:bottom w:val="single" w:color="auto" w:sz="4" w:space="0"/>
              <w:right w:val="single" w:color="auto" w:sz="4" w:space="0"/>
            </w:tcBorders>
            <w:vAlign w:val="center"/>
          </w:tcPr>
          <w:p w14:paraId="77CB930B">
            <w:pPr>
              <w:widowControl/>
              <w:jc w:val="center"/>
              <w:rPr>
                <w:rFonts w:ascii="仿宋_GB2312" w:hAnsi="仿宋_GB2312" w:eastAsia="仿宋_GB2312" w:cs="仿宋_GB2312"/>
                <w:kern w:val="0"/>
                <w:highlight w:val="none"/>
              </w:rPr>
            </w:pPr>
          </w:p>
        </w:tc>
        <w:tc>
          <w:tcPr>
            <w:tcW w:w="658" w:type="pct"/>
            <w:tcBorders>
              <w:top w:val="single" w:color="auto" w:sz="4" w:space="0"/>
              <w:left w:val="single" w:color="auto" w:sz="4" w:space="0"/>
              <w:bottom w:val="single" w:color="auto" w:sz="4" w:space="0"/>
              <w:right w:val="single" w:color="auto" w:sz="4" w:space="0"/>
            </w:tcBorders>
            <w:noWrap/>
            <w:vAlign w:val="center"/>
          </w:tcPr>
          <w:p w14:paraId="6EEC5B42">
            <w:pPr>
              <w:widowControl/>
              <w:jc w:val="center"/>
              <w:rPr>
                <w:rFonts w:ascii="仿宋_GB2312" w:hAnsi="仿宋_GB2312" w:eastAsia="仿宋_GB2312" w:cs="仿宋_GB2312"/>
                <w:kern w:val="0"/>
                <w:highlight w:val="none"/>
              </w:rPr>
            </w:pPr>
          </w:p>
        </w:tc>
        <w:tc>
          <w:tcPr>
            <w:tcW w:w="464" w:type="pct"/>
            <w:tcBorders>
              <w:top w:val="nil"/>
              <w:left w:val="nil"/>
              <w:bottom w:val="single" w:color="auto" w:sz="4" w:space="0"/>
              <w:right w:val="single" w:color="auto" w:sz="4" w:space="0"/>
            </w:tcBorders>
            <w:noWrap/>
            <w:vAlign w:val="center"/>
          </w:tcPr>
          <w:p w14:paraId="0B0A19E8">
            <w:pPr>
              <w:widowControl/>
              <w:jc w:val="center"/>
              <w:rPr>
                <w:rFonts w:ascii="仿宋_GB2312" w:hAnsi="仿宋_GB2312" w:eastAsia="仿宋_GB2312" w:cs="仿宋_GB2312"/>
                <w:kern w:val="0"/>
                <w:highlight w:val="none"/>
              </w:rPr>
            </w:pPr>
          </w:p>
        </w:tc>
        <w:tc>
          <w:tcPr>
            <w:tcW w:w="650" w:type="pct"/>
            <w:tcBorders>
              <w:top w:val="single" w:color="auto" w:sz="4" w:space="0"/>
              <w:left w:val="nil"/>
              <w:bottom w:val="single" w:color="auto" w:sz="4" w:space="0"/>
              <w:right w:val="single" w:color="auto" w:sz="4" w:space="0"/>
            </w:tcBorders>
            <w:vAlign w:val="center"/>
          </w:tcPr>
          <w:p w14:paraId="7AD8856B">
            <w:pPr>
              <w:widowControl/>
              <w:jc w:val="center"/>
              <w:rPr>
                <w:rFonts w:ascii="仿宋_GB2312" w:hAnsi="仿宋_GB2312" w:eastAsia="仿宋_GB2312" w:cs="仿宋_GB2312"/>
                <w:kern w:val="0"/>
                <w:highlight w:val="none"/>
              </w:rPr>
            </w:pPr>
          </w:p>
        </w:tc>
      </w:tr>
    </w:tbl>
    <w:p w14:paraId="3D268D2A">
      <w:pPr>
        <w:rPr>
          <w:rFonts w:ascii="仿宋_GB2312" w:hAnsi="宋体" w:eastAsia="仿宋_GB2312" w:cs="宋体"/>
          <w:sz w:val="22"/>
          <w:szCs w:val="22"/>
          <w:highlight w:val="none"/>
        </w:rPr>
      </w:pPr>
    </w:p>
    <w:p w14:paraId="0F87EEEE">
      <w:pPr>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注：1.从业是指与中国电信集团系统内企业直接签订劳动合同的情形；</w:t>
      </w:r>
    </w:p>
    <w:p w14:paraId="492707C0">
      <w:pPr>
        <w:ind w:firstLine="420" w:firstLineChars="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2.中国电信在职员工经中国电信集团系统内企业批准在我方担任法定代表人或董监高的情形，无需填写；</w:t>
      </w:r>
    </w:p>
    <w:p w14:paraId="7E960A46">
      <w:pPr>
        <w:ind w:firstLine="420" w:firstLineChars="0"/>
        <w:rPr>
          <w:rFonts w:hint="eastAsia" w:ascii="仿宋_GB2312" w:hAnsi="宋体" w:eastAsia="仿宋_GB2312" w:cs="宋体"/>
          <w:sz w:val="22"/>
          <w:szCs w:val="22"/>
          <w:highlight w:val="none"/>
        </w:rPr>
      </w:pPr>
      <w:r>
        <w:rPr>
          <w:rFonts w:hint="eastAsia" w:cs="Times New Roman" w:asciiTheme="minorEastAsia" w:hAnsiTheme="minorEastAsia" w:eastAsiaTheme="minorEastAsia"/>
          <w:szCs w:val="21"/>
        </w:rPr>
        <w:t>3.如无上述情况，则应在第一行“姓名”列填写“不涉及”。</w:t>
      </w:r>
    </w:p>
    <w:p w14:paraId="51115ECB">
      <w:pPr>
        <w:numPr>
          <w:ilvl w:val="255"/>
          <w:numId w:val="0"/>
        </w:numPr>
        <w:ind w:firstLine="440" w:firstLineChars="200"/>
        <w:rPr>
          <w:rFonts w:hint="eastAsia" w:ascii="仿宋_GB2312" w:hAnsi="宋体" w:eastAsia="仿宋_GB2312" w:cs="宋体"/>
          <w:sz w:val="22"/>
          <w:szCs w:val="22"/>
          <w:highlight w:val="none"/>
        </w:rPr>
      </w:pPr>
    </w:p>
    <w:p w14:paraId="61AB4B12">
      <w:pPr>
        <w:jc w:val="center"/>
        <w:rPr>
          <w:rFonts w:ascii="微软雅黑" w:hAnsi="微软雅黑" w:eastAsia="微软雅黑" w:cs="Times New Roman"/>
          <w:b/>
          <w:szCs w:val="36"/>
          <w:highlight w:val="none"/>
        </w:rPr>
      </w:pPr>
      <w:r>
        <w:rPr>
          <w:rFonts w:hint="eastAsia" w:ascii="微软雅黑" w:hAnsi="微软雅黑" w:eastAsia="微软雅黑" w:cs="Times New Roman"/>
          <w:b/>
          <w:szCs w:val="36"/>
          <w:highlight w:val="none"/>
        </w:rPr>
        <w:t>中国电信员工的近亲属在我方担任法定代表人或董监高的情况表</w:t>
      </w:r>
    </w:p>
    <w:p w14:paraId="177C589A">
      <w:pPr>
        <w:numPr>
          <w:ilvl w:val="255"/>
          <w:numId w:val="0"/>
        </w:numPr>
        <w:ind w:firstLine="440" w:firstLineChars="200"/>
        <w:rPr>
          <w:rFonts w:hint="eastAsia" w:ascii="仿宋_GB2312" w:hAnsi="宋体" w:eastAsia="仿宋_GB2312" w:cs="宋体"/>
          <w:sz w:val="22"/>
          <w:szCs w:val="22"/>
          <w:highlight w:val="none"/>
        </w:rPr>
      </w:pPr>
    </w:p>
    <w:tbl>
      <w:tblPr>
        <w:tblStyle w:val="85"/>
        <w:tblW w:w="5864" w:type="pct"/>
        <w:jc w:val="center"/>
        <w:tblLayout w:type="fixed"/>
        <w:tblCellMar>
          <w:top w:w="0" w:type="dxa"/>
          <w:left w:w="108" w:type="dxa"/>
          <w:bottom w:w="0" w:type="dxa"/>
          <w:right w:w="108" w:type="dxa"/>
        </w:tblCellMar>
      </w:tblPr>
      <w:tblGrid>
        <w:gridCol w:w="731"/>
        <w:gridCol w:w="737"/>
        <w:gridCol w:w="1548"/>
        <w:gridCol w:w="1293"/>
        <w:gridCol w:w="1502"/>
        <w:gridCol w:w="1468"/>
        <w:gridCol w:w="947"/>
        <w:gridCol w:w="1769"/>
      </w:tblGrid>
      <w:tr w14:paraId="0FD5F18B">
        <w:tblPrEx>
          <w:tblCellMar>
            <w:top w:w="0" w:type="dxa"/>
            <w:left w:w="108" w:type="dxa"/>
            <w:bottom w:w="0" w:type="dxa"/>
            <w:right w:w="108" w:type="dxa"/>
          </w:tblCellMar>
        </w:tblPrEx>
        <w:trPr>
          <w:trHeight w:val="459" w:hRule="atLeast"/>
          <w:jc w:val="center"/>
        </w:trPr>
        <w:tc>
          <w:tcPr>
            <w:tcW w:w="731" w:type="dxa"/>
            <w:vMerge w:val="restart"/>
            <w:tcBorders>
              <w:top w:val="single" w:color="auto" w:sz="4" w:space="0"/>
              <w:left w:val="single" w:color="auto" w:sz="4" w:space="0"/>
              <w:right w:val="single" w:color="auto" w:sz="4" w:space="0"/>
            </w:tcBorders>
            <w:noWrap/>
            <w:vAlign w:val="center"/>
          </w:tcPr>
          <w:p w14:paraId="37DB17B4">
            <w:pPr>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序号</w:t>
            </w:r>
          </w:p>
        </w:tc>
        <w:tc>
          <w:tcPr>
            <w:tcW w:w="5080" w:type="dxa"/>
            <w:gridSpan w:val="4"/>
            <w:tcBorders>
              <w:top w:val="single" w:color="auto" w:sz="4" w:space="0"/>
              <w:left w:val="single" w:color="auto" w:sz="4" w:space="0"/>
              <w:bottom w:val="single" w:color="auto" w:sz="4" w:space="0"/>
              <w:right w:val="single" w:color="auto" w:sz="4" w:space="0"/>
            </w:tcBorders>
            <w:vAlign w:val="center"/>
          </w:tcPr>
          <w:p w14:paraId="7E669AE3">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中国电信员工当前从业情况</w:t>
            </w:r>
          </w:p>
        </w:tc>
        <w:tc>
          <w:tcPr>
            <w:tcW w:w="4184" w:type="dxa"/>
            <w:gridSpan w:val="3"/>
            <w:tcBorders>
              <w:top w:val="single" w:color="auto" w:sz="4" w:space="0"/>
              <w:left w:val="nil"/>
              <w:bottom w:val="single" w:color="auto" w:sz="4" w:space="0"/>
              <w:right w:val="single" w:color="000000" w:sz="4" w:space="0"/>
            </w:tcBorders>
            <w:vAlign w:val="center"/>
          </w:tcPr>
          <w:p w14:paraId="191E972A">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我方法定代表人或董监高情况</w:t>
            </w:r>
          </w:p>
        </w:tc>
      </w:tr>
      <w:tr w14:paraId="1D5CD318">
        <w:tblPrEx>
          <w:tblCellMar>
            <w:top w:w="0" w:type="dxa"/>
            <w:left w:w="108" w:type="dxa"/>
            <w:bottom w:w="0" w:type="dxa"/>
            <w:right w:w="108" w:type="dxa"/>
          </w:tblCellMar>
        </w:tblPrEx>
        <w:trPr>
          <w:trHeight w:val="434" w:hRule="atLeast"/>
          <w:jc w:val="center"/>
        </w:trPr>
        <w:tc>
          <w:tcPr>
            <w:tcW w:w="731" w:type="dxa"/>
            <w:vMerge w:val="continue"/>
            <w:tcBorders>
              <w:left w:val="single" w:color="auto" w:sz="4" w:space="0"/>
              <w:bottom w:val="single" w:color="auto" w:sz="4" w:space="0"/>
              <w:right w:val="single" w:color="auto" w:sz="4" w:space="0"/>
            </w:tcBorders>
            <w:vAlign w:val="center"/>
          </w:tcPr>
          <w:p w14:paraId="308892DA">
            <w:pPr>
              <w:widowControl/>
              <w:jc w:val="center"/>
              <w:rPr>
                <w:rFonts w:ascii="仿宋_GB2312" w:hAnsi="仿宋_GB2312" w:eastAsia="仿宋_GB2312" w:cs="仿宋_GB2312"/>
                <w:b/>
                <w:bCs/>
                <w:kern w:val="0"/>
                <w:highlight w:val="none"/>
              </w:rPr>
            </w:pPr>
          </w:p>
        </w:tc>
        <w:tc>
          <w:tcPr>
            <w:tcW w:w="737" w:type="dxa"/>
            <w:tcBorders>
              <w:top w:val="single" w:color="auto" w:sz="4" w:space="0"/>
              <w:left w:val="single" w:color="auto" w:sz="4" w:space="0"/>
              <w:bottom w:val="single" w:color="auto" w:sz="4" w:space="0"/>
              <w:right w:val="single" w:color="auto" w:sz="4" w:space="0"/>
            </w:tcBorders>
            <w:vAlign w:val="center"/>
          </w:tcPr>
          <w:p w14:paraId="42407B8E">
            <w:pPr>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姓名</w:t>
            </w:r>
          </w:p>
        </w:tc>
        <w:tc>
          <w:tcPr>
            <w:tcW w:w="1548" w:type="dxa"/>
            <w:tcBorders>
              <w:top w:val="single" w:color="auto" w:sz="4" w:space="0"/>
              <w:left w:val="single" w:color="auto" w:sz="4" w:space="0"/>
              <w:bottom w:val="single" w:color="auto" w:sz="4" w:space="0"/>
              <w:right w:val="single" w:color="auto" w:sz="4" w:space="0"/>
            </w:tcBorders>
            <w:vAlign w:val="center"/>
          </w:tcPr>
          <w:p w14:paraId="362BECB3">
            <w:pPr>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单位</w:t>
            </w:r>
          </w:p>
        </w:tc>
        <w:tc>
          <w:tcPr>
            <w:tcW w:w="1293" w:type="dxa"/>
            <w:tcBorders>
              <w:top w:val="single" w:color="auto" w:sz="4" w:space="0"/>
              <w:left w:val="single" w:color="auto" w:sz="4" w:space="0"/>
              <w:bottom w:val="single" w:color="auto" w:sz="4" w:space="0"/>
              <w:right w:val="single" w:color="auto" w:sz="4" w:space="0"/>
            </w:tcBorders>
            <w:vAlign w:val="center"/>
          </w:tcPr>
          <w:p w14:paraId="4074BAE4">
            <w:pPr>
              <w:widowControl/>
              <w:jc w:val="center"/>
              <w:rPr>
                <w:rFonts w:ascii="Times New Roman" w:hAnsi="Times New Roman" w:eastAsia="宋体" w:cs="Times New Roman"/>
                <w:highlight w:val="none"/>
              </w:rPr>
            </w:pPr>
            <w:r>
              <w:rPr>
                <w:rFonts w:hint="eastAsia" w:ascii="仿宋_GB2312" w:hAnsi="仿宋_GB2312" w:eastAsia="仿宋_GB2312" w:cs="仿宋_GB2312"/>
                <w:b/>
                <w:bCs/>
                <w:kern w:val="0"/>
                <w:highlight w:val="none"/>
              </w:rPr>
              <w:t>部门</w:t>
            </w:r>
          </w:p>
        </w:tc>
        <w:tc>
          <w:tcPr>
            <w:tcW w:w="1502" w:type="dxa"/>
            <w:tcBorders>
              <w:top w:val="single" w:color="auto" w:sz="4" w:space="0"/>
              <w:left w:val="single" w:color="auto" w:sz="4" w:space="0"/>
              <w:bottom w:val="single" w:color="auto" w:sz="4" w:space="0"/>
              <w:right w:val="single" w:color="auto" w:sz="4" w:space="0"/>
            </w:tcBorders>
            <w:vAlign w:val="center"/>
          </w:tcPr>
          <w:p w14:paraId="0D097941">
            <w:pPr>
              <w:widowControl/>
              <w:jc w:val="center"/>
              <w:rPr>
                <w:rFonts w:ascii="Times New Roman" w:hAnsi="Times New Roman" w:eastAsia="宋体" w:cs="Times New Roman"/>
                <w:highlight w:val="none"/>
              </w:rPr>
            </w:pPr>
            <w:r>
              <w:rPr>
                <w:rFonts w:hint="eastAsia" w:ascii="仿宋_GB2312" w:hAnsi="仿宋_GB2312" w:eastAsia="仿宋_GB2312" w:cs="仿宋_GB2312"/>
                <w:b/>
                <w:bCs/>
                <w:kern w:val="0"/>
                <w:highlight w:val="none"/>
              </w:rPr>
              <w:t>职务/岗位</w:t>
            </w:r>
          </w:p>
        </w:tc>
        <w:tc>
          <w:tcPr>
            <w:tcW w:w="1468" w:type="dxa"/>
            <w:tcBorders>
              <w:top w:val="single" w:color="auto" w:sz="4" w:space="0"/>
              <w:left w:val="nil"/>
              <w:bottom w:val="single" w:color="auto" w:sz="4" w:space="0"/>
              <w:right w:val="single" w:color="auto" w:sz="4" w:space="0"/>
            </w:tcBorders>
            <w:vAlign w:val="center"/>
          </w:tcPr>
          <w:p w14:paraId="7678DDAB">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与中国电信员工的关系</w:t>
            </w:r>
          </w:p>
        </w:tc>
        <w:tc>
          <w:tcPr>
            <w:tcW w:w="947" w:type="dxa"/>
            <w:tcBorders>
              <w:top w:val="single" w:color="auto" w:sz="4" w:space="0"/>
              <w:left w:val="single" w:color="auto" w:sz="4" w:space="0"/>
              <w:bottom w:val="single" w:color="auto" w:sz="4" w:space="0"/>
              <w:right w:val="single" w:color="auto" w:sz="4" w:space="0"/>
            </w:tcBorders>
            <w:noWrap/>
            <w:vAlign w:val="center"/>
          </w:tcPr>
          <w:p w14:paraId="4637592B">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姓名</w:t>
            </w:r>
          </w:p>
        </w:tc>
        <w:tc>
          <w:tcPr>
            <w:tcW w:w="1769" w:type="dxa"/>
            <w:tcBorders>
              <w:top w:val="nil"/>
              <w:left w:val="nil"/>
              <w:bottom w:val="single" w:color="auto" w:sz="4" w:space="0"/>
              <w:right w:val="single" w:color="auto" w:sz="4" w:space="0"/>
            </w:tcBorders>
            <w:noWrap/>
            <w:vAlign w:val="center"/>
          </w:tcPr>
          <w:p w14:paraId="7FAC2331">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担任我方职务</w:t>
            </w:r>
          </w:p>
        </w:tc>
      </w:tr>
      <w:tr w14:paraId="44AC8349">
        <w:tblPrEx>
          <w:tblCellMar>
            <w:top w:w="0" w:type="dxa"/>
            <w:left w:w="108" w:type="dxa"/>
            <w:bottom w:w="0" w:type="dxa"/>
            <w:right w:w="108" w:type="dxa"/>
          </w:tblCellMar>
        </w:tblPrEx>
        <w:trPr>
          <w:trHeight w:val="407" w:hRule="atLeast"/>
          <w:jc w:val="center"/>
        </w:trPr>
        <w:tc>
          <w:tcPr>
            <w:tcW w:w="731" w:type="dxa"/>
            <w:tcBorders>
              <w:top w:val="nil"/>
              <w:left w:val="single" w:color="auto" w:sz="4" w:space="0"/>
              <w:bottom w:val="single" w:color="auto" w:sz="4" w:space="0"/>
              <w:right w:val="single" w:color="auto" w:sz="4" w:space="0"/>
            </w:tcBorders>
            <w:noWrap/>
            <w:vAlign w:val="center"/>
          </w:tcPr>
          <w:p w14:paraId="3BB969B8">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示例</w:t>
            </w:r>
          </w:p>
        </w:tc>
        <w:tc>
          <w:tcPr>
            <w:tcW w:w="737" w:type="dxa"/>
            <w:tcBorders>
              <w:top w:val="nil"/>
              <w:left w:val="nil"/>
              <w:bottom w:val="single" w:color="auto" w:sz="4" w:space="0"/>
              <w:right w:val="single" w:color="auto" w:sz="4" w:space="0"/>
            </w:tcBorders>
            <w:noWrap/>
            <w:vAlign w:val="center"/>
          </w:tcPr>
          <w:p w14:paraId="50696AF1">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张三</w:t>
            </w:r>
          </w:p>
        </w:tc>
        <w:tc>
          <w:tcPr>
            <w:tcW w:w="1548" w:type="dxa"/>
            <w:tcBorders>
              <w:top w:val="nil"/>
              <w:left w:val="nil"/>
              <w:bottom w:val="single" w:color="auto" w:sz="4" w:space="0"/>
              <w:right w:val="single" w:color="auto" w:sz="4" w:space="0"/>
            </w:tcBorders>
            <w:noWrap/>
            <w:vAlign w:val="center"/>
          </w:tcPr>
          <w:p w14:paraId="174EEE29">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XX公司</w:t>
            </w:r>
          </w:p>
        </w:tc>
        <w:tc>
          <w:tcPr>
            <w:tcW w:w="1293" w:type="dxa"/>
            <w:tcBorders>
              <w:top w:val="nil"/>
              <w:left w:val="nil"/>
              <w:bottom w:val="single" w:color="auto" w:sz="4" w:space="0"/>
              <w:right w:val="single" w:color="auto" w:sz="4" w:space="0"/>
            </w:tcBorders>
            <w:noWrap/>
            <w:vAlign w:val="center"/>
          </w:tcPr>
          <w:p w14:paraId="6D5CE71C">
            <w:pPr>
              <w:widowControl/>
              <w:jc w:val="center"/>
              <w:rPr>
                <w:rFonts w:ascii="Times New Roman" w:hAnsi="Times New Roman" w:eastAsia="宋体" w:cs="Times New Roman"/>
                <w:highlight w:val="none"/>
              </w:rPr>
            </w:pPr>
            <w:r>
              <w:rPr>
                <w:rFonts w:hint="eastAsia" w:ascii="仿宋_GB2312" w:hAnsi="仿宋_GB2312" w:eastAsia="仿宋_GB2312" w:cs="仿宋_GB2312"/>
                <w:kern w:val="0"/>
                <w:highlight w:val="none"/>
              </w:rPr>
              <w:t>XX部</w:t>
            </w:r>
          </w:p>
        </w:tc>
        <w:tc>
          <w:tcPr>
            <w:tcW w:w="1502" w:type="dxa"/>
            <w:tcBorders>
              <w:top w:val="nil"/>
              <w:left w:val="nil"/>
              <w:bottom w:val="single" w:color="auto" w:sz="4" w:space="0"/>
              <w:right w:val="single" w:color="auto" w:sz="4" w:space="0"/>
            </w:tcBorders>
            <w:noWrap/>
            <w:vAlign w:val="center"/>
          </w:tcPr>
          <w:p w14:paraId="763FAC12">
            <w:pPr>
              <w:widowControl/>
              <w:jc w:val="center"/>
              <w:rPr>
                <w:rFonts w:ascii="Times New Roman" w:hAnsi="Times New Roman" w:eastAsia="宋体" w:cs="Times New Roman"/>
                <w:highlight w:val="none"/>
              </w:rPr>
            </w:pPr>
            <w:r>
              <w:rPr>
                <w:rFonts w:hint="eastAsia" w:ascii="仿宋_GB2312" w:hAnsi="仿宋_GB2312" w:eastAsia="仿宋_GB2312" w:cs="仿宋_GB2312"/>
                <w:kern w:val="0"/>
                <w:highlight w:val="none"/>
              </w:rPr>
              <w:t>总经理</w:t>
            </w:r>
          </w:p>
        </w:tc>
        <w:tc>
          <w:tcPr>
            <w:tcW w:w="1468" w:type="dxa"/>
            <w:tcBorders>
              <w:top w:val="single" w:color="auto" w:sz="4" w:space="0"/>
              <w:left w:val="nil"/>
              <w:bottom w:val="single" w:color="auto" w:sz="4" w:space="0"/>
              <w:right w:val="single" w:color="auto" w:sz="4" w:space="0"/>
            </w:tcBorders>
            <w:vAlign w:val="center"/>
          </w:tcPr>
          <w:p w14:paraId="07FC9D02">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妻子</w:t>
            </w:r>
          </w:p>
        </w:tc>
        <w:tc>
          <w:tcPr>
            <w:tcW w:w="947" w:type="dxa"/>
            <w:tcBorders>
              <w:top w:val="single" w:color="auto" w:sz="4" w:space="0"/>
              <w:left w:val="single" w:color="auto" w:sz="4" w:space="0"/>
              <w:bottom w:val="single" w:color="auto" w:sz="4" w:space="0"/>
              <w:right w:val="single" w:color="auto" w:sz="4" w:space="0"/>
            </w:tcBorders>
            <w:noWrap/>
            <w:vAlign w:val="center"/>
          </w:tcPr>
          <w:p w14:paraId="1AF20ECD">
            <w:pPr>
              <w:widowControl/>
              <w:jc w:val="center"/>
              <w:rPr>
                <w:rFonts w:ascii="仿宋_GB2312" w:hAnsi="等线" w:eastAsia="仿宋_GB2312" w:cs="宋体"/>
                <w:i/>
                <w:iCs/>
                <w:kern w:val="0"/>
                <w:sz w:val="20"/>
                <w:highlight w:val="none"/>
              </w:rPr>
            </w:pPr>
            <w:r>
              <w:rPr>
                <w:rFonts w:hint="eastAsia" w:ascii="仿宋_GB2312" w:hAnsi="仿宋_GB2312" w:eastAsia="仿宋_GB2312" w:cs="仿宋_GB2312"/>
                <w:kern w:val="0"/>
                <w:highlight w:val="none"/>
              </w:rPr>
              <w:t>王五</w:t>
            </w:r>
          </w:p>
        </w:tc>
        <w:tc>
          <w:tcPr>
            <w:tcW w:w="1769" w:type="dxa"/>
            <w:tcBorders>
              <w:top w:val="nil"/>
              <w:left w:val="nil"/>
              <w:bottom w:val="single" w:color="auto" w:sz="4" w:space="0"/>
              <w:right w:val="single" w:color="auto" w:sz="4" w:space="0"/>
            </w:tcBorders>
            <w:noWrap/>
            <w:vAlign w:val="center"/>
          </w:tcPr>
          <w:p w14:paraId="74542F61">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法定代表人</w:t>
            </w:r>
          </w:p>
        </w:tc>
      </w:tr>
      <w:tr w14:paraId="45E462EF">
        <w:tblPrEx>
          <w:tblCellMar>
            <w:top w:w="0" w:type="dxa"/>
            <w:left w:w="108" w:type="dxa"/>
            <w:bottom w:w="0" w:type="dxa"/>
            <w:right w:w="108" w:type="dxa"/>
          </w:tblCellMar>
        </w:tblPrEx>
        <w:trPr>
          <w:trHeight w:val="332" w:hRule="atLeast"/>
          <w:jc w:val="center"/>
        </w:trPr>
        <w:tc>
          <w:tcPr>
            <w:tcW w:w="731" w:type="dxa"/>
            <w:tcBorders>
              <w:top w:val="nil"/>
              <w:left w:val="single" w:color="auto" w:sz="4" w:space="0"/>
              <w:bottom w:val="single" w:color="auto" w:sz="4" w:space="0"/>
              <w:right w:val="single" w:color="auto" w:sz="4" w:space="0"/>
            </w:tcBorders>
            <w:noWrap/>
            <w:vAlign w:val="center"/>
          </w:tcPr>
          <w:p w14:paraId="36A34D40">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示例</w:t>
            </w:r>
          </w:p>
        </w:tc>
        <w:tc>
          <w:tcPr>
            <w:tcW w:w="737" w:type="dxa"/>
            <w:tcBorders>
              <w:top w:val="nil"/>
              <w:left w:val="nil"/>
              <w:bottom w:val="single" w:color="auto" w:sz="4" w:space="0"/>
              <w:right w:val="single" w:color="auto" w:sz="4" w:space="0"/>
            </w:tcBorders>
            <w:noWrap/>
            <w:vAlign w:val="center"/>
          </w:tcPr>
          <w:p w14:paraId="2684563A">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李四</w:t>
            </w:r>
          </w:p>
        </w:tc>
        <w:tc>
          <w:tcPr>
            <w:tcW w:w="1548" w:type="dxa"/>
            <w:tcBorders>
              <w:top w:val="nil"/>
              <w:left w:val="nil"/>
              <w:bottom w:val="single" w:color="auto" w:sz="4" w:space="0"/>
              <w:right w:val="single" w:color="auto" w:sz="4" w:space="0"/>
            </w:tcBorders>
            <w:noWrap/>
            <w:vAlign w:val="center"/>
          </w:tcPr>
          <w:p w14:paraId="04C6D956">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XX公司</w:t>
            </w:r>
          </w:p>
        </w:tc>
        <w:tc>
          <w:tcPr>
            <w:tcW w:w="1293" w:type="dxa"/>
            <w:tcBorders>
              <w:top w:val="nil"/>
              <w:left w:val="nil"/>
              <w:bottom w:val="single" w:color="auto" w:sz="4" w:space="0"/>
              <w:right w:val="single" w:color="auto" w:sz="4" w:space="0"/>
            </w:tcBorders>
            <w:noWrap/>
            <w:vAlign w:val="center"/>
          </w:tcPr>
          <w:p w14:paraId="1D4E951E">
            <w:pPr>
              <w:widowControl/>
              <w:jc w:val="center"/>
              <w:rPr>
                <w:rFonts w:ascii="Times New Roman" w:hAnsi="Times New Roman" w:eastAsia="宋体" w:cs="Times New Roman"/>
                <w:highlight w:val="none"/>
              </w:rPr>
            </w:pPr>
            <w:r>
              <w:rPr>
                <w:rFonts w:hint="eastAsia" w:ascii="仿宋_GB2312" w:hAnsi="仿宋_GB2312" w:eastAsia="仿宋_GB2312" w:cs="仿宋_GB2312"/>
                <w:kern w:val="0"/>
                <w:highlight w:val="none"/>
              </w:rPr>
              <w:t>XX部</w:t>
            </w:r>
          </w:p>
        </w:tc>
        <w:tc>
          <w:tcPr>
            <w:tcW w:w="1502" w:type="dxa"/>
            <w:tcBorders>
              <w:top w:val="nil"/>
              <w:left w:val="nil"/>
              <w:bottom w:val="single" w:color="auto" w:sz="4" w:space="0"/>
              <w:right w:val="single" w:color="auto" w:sz="4" w:space="0"/>
            </w:tcBorders>
            <w:noWrap/>
            <w:vAlign w:val="center"/>
          </w:tcPr>
          <w:p w14:paraId="4B591AC5">
            <w:pPr>
              <w:widowControl/>
              <w:jc w:val="center"/>
              <w:rPr>
                <w:rFonts w:ascii="Times New Roman" w:hAnsi="Times New Roman" w:eastAsia="宋体" w:cs="Times New Roman"/>
                <w:highlight w:val="none"/>
              </w:rPr>
            </w:pPr>
            <w:r>
              <w:rPr>
                <w:rFonts w:hint="eastAsia" w:ascii="仿宋_GB2312" w:hAnsi="仿宋_GB2312" w:eastAsia="仿宋_GB2312" w:cs="仿宋_GB2312"/>
                <w:kern w:val="0"/>
                <w:highlight w:val="none"/>
              </w:rPr>
              <w:t>采购管理</w:t>
            </w:r>
          </w:p>
        </w:tc>
        <w:tc>
          <w:tcPr>
            <w:tcW w:w="1468" w:type="dxa"/>
            <w:tcBorders>
              <w:top w:val="single" w:color="auto" w:sz="4" w:space="0"/>
              <w:left w:val="nil"/>
              <w:bottom w:val="single" w:color="auto" w:sz="4" w:space="0"/>
              <w:right w:val="single" w:color="auto" w:sz="4" w:space="0"/>
            </w:tcBorders>
            <w:vAlign w:val="center"/>
          </w:tcPr>
          <w:p w14:paraId="23A2A1BF">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儿子</w:t>
            </w:r>
          </w:p>
        </w:tc>
        <w:tc>
          <w:tcPr>
            <w:tcW w:w="947" w:type="dxa"/>
            <w:tcBorders>
              <w:top w:val="single" w:color="auto" w:sz="4" w:space="0"/>
              <w:left w:val="single" w:color="auto" w:sz="4" w:space="0"/>
              <w:bottom w:val="single" w:color="auto" w:sz="4" w:space="0"/>
              <w:right w:val="single" w:color="auto" w:sz="4" w:space="0"/>
            </w:tcBorders>
            <w:noWrap/>
            <w:vAlign w:val="center"/>
          </w:tcPr>
          <w:p w14:paraId="57FF2870">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赵六</w:t>
            </w:r>
          </w:p>
        </w:tc>
        <w:tc>
          <w:tcPr>
            <w:tcW w:w="1769" w:type="dxa"/>
            <w:tcBorders>
              <w:top w:val="nil"/>
              <w:left w:val="nil"/>
              <w:bottom w:val="single" w:color="auto" w:sz="4" w:space="0"/>
              <w:right w:val="single" w:color="auto" w:sz="4" w:space="0"/>
            </w:tcBorders>
            <w:noWrap/>
            <w:vAlign w:val="center"/>
          </w:tcPr>
          <w:p w14:paraId="246D7D79">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董事</w:t>
            </w:r>
          </w:p>
        </w:tc>
      </w:tr>
      <w:tr w14:paraId="280709F3">
        <w:tblPrEx>
          <w:tblCellMar>
            <w:top w:w="0" w:type="dxa"/>
            <w:left w:w="108" w:type="dxa"/>
            <w:bottom w:w="0" w:type="dxa"/>
            <w:right w:w="108" w:type="dxa"/>
          </w:tblCellMar>
        </w:tblPrEx>
        <w:trPr>
          <w:trHeight w:val="332" w:hRule="atLeast"/>
          <w:jc w:val="center"/>
        </w:trPr>
        <w:tc>
          <w:tcPr>
            <w:tcW w:w="731" w:type="dxa"/>
            <w:tcBorders>
              <w:top w:val="nil"/>
              <w:left w:val="single" w:color="auto" w:sz="4" w:space="0"/>
              <w:bottom w:val="single" w:color="auto" w:sz="4" w:space="0"/>
              <w:right w:val="single" w:color="auto" w:sz="4" w:space="0"/>
            </w:tcBorders>
            <w:noWrap/>
            <w:vAlign w:val="center"/>
          </w:tcPr>
          <w:p w14:paraId="038DCFDC">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1</w:t>
            </w:r>
          </w:p>
        </w:tc>
        <w:tc>
          <w:tcPr>
            <w:tcW w:w="737" w:type="dxa"/>
            <w:tcBorders>
              <w:top w:val="nil"/>
              <w:left w:val="nil"/>
              <w:bottom w:val="single" w:color="auto" w:sz="4" w:space="0"/>
              <w:right w:val="single" w:color="auto" w:sz="4" w:space="0"/>
            </w:tcBorders>
            <w:noWrap/>
            <w:vAlign w:val="center"/>
          </w:tcPr>
          <w:p w14:paraId="63BFB003">
            <w:pPr>
              <w:widowControl/>
              <w:jc w:val="center"/>
              <w:rPr>
                <w:rFonts w:ascii="仿宋_GB2312" w:hAnsi="仿宋_GB2312" w:eastAsia="仿宋_GB2312" w:cs="仿宋_GB2312"/>
                <w:kern w:val="0"/>
                <w:highlight w:val="none"/>
              </w:rPr>
            </w:pPr>
          </w:p>
        </w:tc>
        <w:tc>
          <w:tcPr>
            <w:tcW w:w="1548" w:type="dxa"/>
            <w:tcBorders>
              <w:top w:val="nil"/>
              <w:left w:val="nil"/>
              <w:bottom w:val="single" w:color="auto" w:sz="4" w:space="0"/>
              <w:right w:val="single" w:color="auto" w:sz="4" w:space="0"/>
            </w:tcBorders>
            <w:noWrap/>
            <w:vAlign w:val="center"/>
          </w:tcPr>
          <w:p w14:paraId="4BC50A7A">
            <w:pPr>
              <w:widowControl/>
              <w:jc w:val="center"/>
              <w:rPr>
                <w:rFonts w:ascii="仿宋_GB2312" w:hAnsi="仿宋_GB2312" w:eastAsia="仿宋_GB2312" w:cs="仿宋_GB2312"/>
                <w:kern w:val="0"/>
                <w:highlight w:val="none"/>
              </w:rPr>
            </w:pPr>
          </w:p>
        </w:tc>
        <w:tc>
          <w:tcPr>
            <w:tcW w:w="1293" w:type="dxa"/>
            <w:tcBorders>
              <w:top w:val="nil"/>
              <w:left w:val="nil"/>
              <w:bottom w:val="single" w:color="auto" w:sz="4" w:space="0"/>
              <w:right w:val="single" w:color="auto" w:sz="4" w:space="0"/>
            </w:tcBorders>
            <w:noWrap/>
            <w:vAlign w:val="center"/>
          </w:tcPr>
          <w:p w14:paraId="6D0C4006">
            <w:pPr>
              <w:widowControl/>
              <w:jc w:val="center"/>
              <w:rPr>
                <w:rFonts w:ascii="Times New Roman" w:hAnsi="Times New Roman" w:eastAsia="宋体" w:cs="Times New Roman"/>
                <w:highlight w:val="none"/>
              </w:rPr>
            </w:pPr>
          </w:p>
        </w:tc>
        <w:tc>
          <w:tcPr>
            <w:tcW w:w="1502" w:type="dxa"/>
            <w:tcBorders>
              <w:top w:val="nil"/>
              <w:left w:val="nil"/>
              <w:bottom w:val="single" w:color="auto" w:sz="4" w:space="0"/>
              <w:right w:val="single" w:color="auto" w:sz="4" w:space="0"/>
            </w:tcBorders>
            <w:noWrap/>
            <w:vAlign w:val="center"/>
          </w:tcPr>
          <w:p w14:paraId="1DA0D1C2">
            <w:pPr>
              <w:widowControl/>
              <w:jc w:val="center"/>
              <w:rPr>
                <w:rFonts w:ascii="Times New Roman" w:hAnsi="Times New Roman" w:eastAsia="宋体" w:cs="Times New Roman"/>
                <w:highlight w:val="none"/>
              </w:rPr>
            </w:pPr>
          </w:p>
        </w:tc>
        <w:tc>
          <w:tcPr>
            <w:tcW w:w="1468" w:type="dxa"/>
            <w:tcBorders>
              <w:top w:val="single" w:color="auto" w:sz="4" w:space="0"/>
              <w:left w:val="nil"/>
              <w:bottom w:val="single" w:color="auto" w:sz="4" w:space="0"/>
              <w:right w:val="single" w:color="auto" w:sz="4" w:space="0"/>
            </w:tcBorders>
            <w:vAlign w:val="center"/>
          </w:tcPr>
          <w:p w14:paraId="28D0D4FA">
            <w:pPr>
              <w:widowControl/>
              <w:jc w:val="center"/>
              <w:rPr>
                <w:rFonts w:ascii="仿宋_GB2312" w:hAnsi="仿宋_GB2312" w:eastAsia="仿宋_GB2312" w:cs="仿宋_GB2312"/>
                <w:kern w:val="0"/>
                <w:highlight w:val="none"/>
              </w:rPr>
            </w:pPr>
          </w:p>
        </w:tc>
        <w:tc>
          <w:tcPr>
            <w:tcW w:w="947" w:type="dxa"/>
            <w:tcBorders>
              <w:top w:val="single" w:color="auto" w:sz="4" w:space="0"/>
              <w:left w:val="single" w:color="auto" w:sz="4" w:space="0"/>
              <w:bottom w:val="single" w:color="auto" w:sz="4" w:space="0"/>
              <w:right w:val="single" w:color="auto" w:sz="4" w:space="0"/>
            </w:tcBorders>
            <w:noWrap/>
            <w:vAlign w:val="center"/>
          </w:tcPr>
          <w:p w14:paraId="6FC7C6FF">
            <w:pPr>
              <w:widowControl/>
              <w:jc w:val="center"/>
              <w:rPr>
                <w:rFonts w:ascii="仿宋_GB2312" w:hAnsi="仿宋_GB2312" w:eastAsia="仿宋_GB2312" w:cs="仿宋_GB2312"/>
                <w:kern w:val="0"/>
                <w:highlight w:val="none"/>
              </w:rPr>
            </w:pPr>
          </w:p>
        </w:tc>
        <w:tc>
          <w:tcPr>
            <w:tcW w:w="1769" w:type="dxa"/>
            <w:tcBorders>
              <w:top w:val="nil"/>
              <w:left w:val="nil"/>
              <w:bottom w:val="single" w:color="auto" w:sz="4" w:space="0"/>
              <w:right w:val="single" w:color="auto" w:sz="4" w:space="0"/>
            </w:tcBorders>
            <w:noWrap/>
            <w:vAlign w:val="center"/>
          </w:tcPr>
          <w:p w14:paraId="47E7FE2A">
            <w:pPr>
              <w:widowControl/>
              <w:jc w:val="center"/>
              <w:rPr>
                <w:rFonts w:ascii="仿宋_GB2312" w:hAnsi="仿宋_GB2312" w:eastAsia="仿宋_GB2312" w:cs="仿宋_GB2312"/>
                <w:kern w:val="0"/>
                <w:highlight w:val="none"/>
              </w:rPr>
            </w:pPr>
          </w:p>
        </w:tc>
      </w:tr>
      <w:tr w14:paraId="389F26B4">
        <w:tblPrEx>
          <w:tblCellMar>
            <w:top w:w="0" w:type="dxa"/>
            <w:left w:w="108" w:type="dxa"/>
            <w:bottom w:w="0" w:type="dxa"/>
            <w:right w:w="108" w:type="dxa"/>
          </w:tblCellMar>
        </w:tblPrEx>
        <w:trPr>
          <w:trHeight w:val="352" w:hRule="atLeast"/>
          <w:jc w:val="center"/>
        </w:trPr>
        <w:tc>
          <w:tcPr>
            <w:tcW w:w="731" w:type="dxa"/>
            <w:tcBorders>
              <w:top w:val="nil"/>
              <w:left w:val="single" w:color="auto" w:sz="4" w:space="0"/>
              <w:bottom w:val="single" w:color="auto" w:sz="4" w:space="0"/>
              <w:right w:val="single" w:color="auto" w:sz="4" w:space="0"/>
            </w:tcBorders>
            <w:noWrap/>
            <w:vAlign w:val="center"/>
          </w:tcPr>
          <w:p w14:paraId="1615BF8D">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2</w:t>
            </w:r>
          </w:p>
        </w:tc>
        <w:tc>
          <w:tcPr>
            <w:tcW w:w="737" w:type="dxa"/>
            <w:tcBorders>
              <w:top w:val="nil"/>
              <w:left w:val="nil"/>
              <w:bottom w:val="single" w:color="auto" w:sz="4" w:space="0"/>
              <w:right w:val="single" w:color="auto" w:sz="4" w:space="0"/>
            </w:tcBorders>
            <w:noWrap/>
            <w:vAlign w:val="center"/>
          </w:tcPr>
          <w:p w14:paraId="46350ACC">
            <w:pPr>
              <w:widowControl/>
              <w:jc w:val="center"/>
              <w:rPr>
                <w:rFonts w:ascii="仿宋_GB2312" w:hAnsi="仿宋_GB2312" w:eastAsia="仿宋_GB2312" w:cs="仿宋_GB2312"/>
                <w:kern w:val="0"/>
                <w:highlight w:val="none"/>
              </w:rPr>
            </w:pPr>
          </w:p>
        </w:tc>
        <w:tc>
          <w:tcPr>
            <w:tcW w:w="1548" w:type="dxa"/>
            <w:tcBorders>
              <w:top w:val="nil"/>
              <w:left w:val="nil"/>
              <w:bottom w:val="single" w:color="auto" w:sz="4" w:space="0"/>
              <w:right w:val="single" w:color="auto" w:sz="4" w:space="0"/>
            </w:tcBorders>
            <w:noWrap/>
            <w:vAlign w:val="center"/>
          </w:tcPr>
          <w:p w14:paraId="6E4AF409">
            <w:pPr>
              <w:widowControl/>
              <w:jc w:val="center"/>
              <w:rPr>
                <w:rFonts w:ascii="仿宋_GB2312" w:hAnsi="仿宋_GB2312" w:eastAsia="仿宋_GB2312" w:cs="仿宋_GB2312"/>
                <w:kern w:val="0"/>
                <w:highlight w:val="none"/>
              </w:rPr>
            </w:pPr>
          </w:p>
        </w:tc>
        <w:tc>
          <w:tcPr>
            <w:tcW w:w="1293" w:type="dxa"/>
            <w:tcBorders>
              <w:top w:val="nil"/>
              <w:left w:val="nil"/>
              <w:bottom w:val="single" w:color="auto" w:sz="4" w:space="0"/>
              <w:right w:val="single" w:color="auto" w:sz="4" w:space="0"/>
            </w:tcBorders>
            <w:noWrap/>
            <w:vAlign w:val="center"/>
          </w:tcPr>
          <w:p w14:paraId="68EB3397">
            <w:pPr>
              <w:widowControl/>
              <w:jc w:val="center"/>
              <w:rPr>
                <w:rFonts w:ascii="Times New Roman" w:hAnsi="Times New Roman" w:eastAsia="宋体" w:cs="Times New Roman"/>
                <w:highlight w:val="none"/>
              </w:rPr>
            </w:pPr>
          </w:p>
        </w:tc>
        <w:tc>
          <w:tcPr>
            <w:tcW w:w="1502" w:type="dxa"/>
            <w:tcBorders>
              <w:top w:val="nil"/>
              <w:left w:val="nil"/>
              <w:bottom w:val="single" w:color="auto" w:sz="4" w:space="0"/>
              <w:right w:val="single" w:color="auto" w:sz="4" w:space="0"/>
            </w:tcBorders>
            <w:noWrap/>
            <w:vAlign w:val="center"/>
          </w:tcPr>
          <w:p w14:paraId="3A14611A">
            <w:pPr>
              <w:widowControl/>
              <w:jc w:val="center"/>
              <w:rPr>
                <w:rFonts w:ascii="Times New Roman" w:hAnsi="Times New Roman" w:eastAsia="宋体" w:cs="Times New Roman"/>
                <w:highlight w:val="none"/>
              </w:rPr>
            </w:pPr>
          </w:p>
        </w:tc>
        <w:tc>
          <w:tcPr>
            <w:tcW w:w="1468" w:type="dxa"/>
            <w:tcBorders>
              <w:top w:val="single" w:color="auto" w:sz="4" w:space="0"/>
              <w:left w:val="nil"/>
              <w:bottom w:val="single" w:color="auto" w:sz="4" w:space="0"/>
              <w:right w:val="single" w:color="auto" w:sz="4" w:space="0"/>
            </w:tcBorders>
            <w:vAlign w:val="center"/>
          </w:tcPr>
          <w:p w14:paraId="42F497B6">
            <w:pPr>
              <w:widowControl/>
              <w:jc w:val="center"/>
              <w:rPr>
                <w:rFonts w:ascii="仿宋_GB2312" w:hAnsi="仿宋_GB2312" w:eastAsia="仿宋_GB2312" w:cs="仿宋_GB2312"/>
                <w:kern w:val="0"/>
                <w:highlight w:val="none"/>
              </w:rPr>
            </w:pPr>
          </w:p>
        </w:tc>
        <w:tc>
          <w:tcPr>
            <w:tcW w:w="947" w:type="dxa"/>
            <w:tcBorders>
              <w:top w:val="single" w:color="auto" w:sz="4" w:space="0"/>
              <w:left w:val="single" w:color="auto" w:sz="4" w:space="0"/>
              <w:bottom w:val="single" w:color="auto" w:sz="4" w:space="0"/>
              <w:right w:val="single" w:color="auto" w:sz="4" w:space="0"/>
            </w:tcBorders>
            <w:noWrap/>
            <w:vAlign w:val="center"/>
          </w:tcPr>
          <w:p w14:paraId="777AFF10">
            <w:pPr>
              <w:widowControl/>
              <w:jc w:val="center"/>
              <w:rPr>
                <w:rFonts w:ascii="仿宋_GB2312" w:hAnsi="仿宋_GB2312" w:eastAsia="仿宋_GB2312" w:cs="仿宋_GB2312"/>
                <w:kern w:val="0"/>
                <w:highlight w:val="none"/>
              </w:rPr>
            </w:pPr>
          </w:p>
        </w:tc>
        <w:tc>
          <w:tcPr>
            <w:tcW w:w="1769" w:type="dxa"/>
            <w:tcBorders>
              <w:top w:val="nil"/>
              <w:left w:val="nil"/>
              <w:bottom w:val="single" w:color="auto" w:sz="4" w:space="0"/>
              <w:right w:val="single" w:color="auto" w:sz="4" w:space="0"/>
            </w:tcBorders>
            <w:noWrap/>
            <w:vAlign w:val="center"/>
          </w:tcPr>
          <w:p w14:paraId="3EEEC364">
            <w:pPr>
              <w:widowControl/>
              <w:jc w:val="center"/>
              <w:rPr>
                <w:rFonts w:ascii="仿宋_GB2312" w:hAnsi="仿宋_GB2312" w:eastAsia="仿宋_GB2312" w:cs="仿宋_GB2312"/>
                <w:kern w:val="0"/>
                <w:highlight w:val="none"/>
              </w:rPr>
            </w:pPr>
          </w:p>
        </w:tc>
      </w:tr>
    </w:tbl>
    <w:p w14:paraId="7F94ED22">
      <w:pPr>
        <w:adjustRightInd w:val="0"/>
        <w:spacing w:line="360" w:lineRule="auto"/>
        <w:rPr>
          <w:rFonts w:cs="仿宋_GB2312" w:asciiTheme="minorEastAsia" w:hAnsiTheme="minorEastAsia" w:eastAsiaTheme="minorEastAsia"/>
          <w:highlight w:val="none"/>
        </w:rPr>
      </w:pPr>
    </w:p>
    <w:p w14:paraId="41B258A4">
      <w:pPr>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注：1.中国电信员工的近亲属包括中国电信员工的配偶、子女及其配偶；</w:t>
      </w:r>
    </w:p>
    <w:p w14:paraId="46B22719">
      <w:pPr>
        <w:ind w:firstLine="420" w:firstLineChars="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2.“与中国电信员工的关系”需填写与中国电信员工的具体亲属关系，例如，丈夫、妻子、儿子、女儿、儿媳、女婿；</w:t>
      </w:r>
    </w:p>
    <w:p w14:paraId="40743094">
      <w:pPr>
        <w:ind w:firstLine="420" w:firstLineChars="0"/>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rPr>
        <w:t>3.从业是指与中国电信集团系统内企业直接签订劳动合同的情形</w:t>
      </w:r>
      <w:r>
        <w:rPr>
          <w:rFonts w:hint="eastAsia" w:cs="Times New Roman" w:asciiTheme="minorEastAsia" w:hAnsiTheme="minorEastAsia" w:eastAsiaTheme="minorEastAsia"/>
          <w:szCs w:val="21"/>
          <w:lang w:eastAsia="zh-CN"/>
        </w:rPr>
        <w:t>；</w:t>
      </w:r>
    </w:p>
    <w:p w14:paraId="01A4427B">
      <w:pPr>
        <w:ind w:firstLine="420" w:firstLineChars="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4.如无上述情况，则应在第一行“姓名”列填写“不涉及”。</w:t>
      </w:r>
    </w:p>
    <w:p w14:paraId="0DC70FEA">
      <w:pPr>
        <w:adjustRightInd w:val="0"/>
        <w:spacing w:line="360" w:lineRule="auto"/>
        <w:rPr>
          <w:rFonts w:cs="仿宋_GB2312" w:asciiTheme="minorEastAsia" w:hAnsiTheme="minorEastAsia" w:eastAsiaTheme="minorEastAsia"/>
          <w:highlight w:val="none"/>
        </w:rPr>
      </w:pPr>
    </w:p>
    <w:p w14:paraId="2807C052">
      <w:pPr>
        <w:adjustRightInd w:val="0"/>
        <w:spacing w:line="360" w:lineRule="auto"/>
        <w:ind w:firstLine="420" w:firstLineChars="200"/>
        <w:rPr>
          <w:rFonts w:cs="仿宋_GB2312" w:asciiTheme="minorEastAsia" w:hAnsiTheme="minorEastAsia" w:eastAsiaTheme="minorEastAsia"/>
          <w:highlight w:val="none"/>
        </w:rPr>
      </w:pPr>
      <w:r>
        <w:rPr>
          <w:rFonts w:hint="eastAsia" w:cs="仿宋_GB2312" w:asciiTheme="minorEastAsia" w:hAnsiTheme="minorEastAsia" w:eastAsiaTheme="minorEastAsia"/>
          <w:highlight w:val="none"/>
        </w:rPr>
        <w:t>本承诺作为</w:t>
      </w:r>
      <w:r>
        <w:rPr>
          <w:rFonts w:hint="eastAsia" w:cs="仿宋_GB2312" w:asciiTheme="minorEastAsia" w:hAnsiTheme="minorEastAsia" w:eastAsiaTheme="minorEastAsia"/>
          <w:highlight w:val="none"/>
          <w:lang w:val="en-US" w:eastAsia="zh-CN"/>
        </w:rPr>
        <w:t>投标</w:t>
      </w:r>
      <w:r>
        <w:rPr>
          <w:rFonts w:hint="eastAsia" w:cs="仿宋_GB2312" w:asciiTheme="minorEastAsia" w:hAnsiTheme="minorEastAsia" w:eastAsiaTheme="minorEastAsia"/>
          <w:highlight w:val="none"/>
        </w:rPr>
        <w:t>文件的一部分，我方承诺相关信息真实、准确。</w:t>
      </w:r>
    </w:p>
    <w:p w14:paraId="3BD60BBA">
      <w:pPr>
        <w:spacing w:line="360" w:lineRule="auto"/>
        <w:ind w:firstLine="420" w:firstLineChars="200"/>
        <w:jc w:val="right"/>
        <w:rPr>
          <w:rFonts w:cs="Times New Roman" w:asciiTheme="minorEastAsia" w:hAnsiTheme="minorEastAsia" w:eastAsiaTheme="minorEastAsia"/>
          <w:szCs w:val="22"/>
          <w:highlight w:val="none"/>
          <w:u w:val="single"/>
        </w:rPr>
      </w:pPr>
      <w:r>
        <w:rPr>
          <w:rFonts w:hint="eastAsia" w:cs="Times New Roman" w:asciiTheme="minorEastAsia" w:hAnsiTheme="minorEastAsia" w:eastAsiaTheme="minorEastAsia"/>
          <w:szCs w:val="22"/>
          <w:highlight w:val="none"/>
          <w:u w:val="single"/>
        </w:rPr>
        <w:t>公司名称（盖章）</w:t>
      </w:r>
    </w:p>
    <w:p w14:paraId="44134636">
      <w:pPr>
        <w:spacing w:line="360" w:lineRule="auto"/>
        <w:ind w:firstLine="420" w:firstLineChars="200"/>
        <w:jc w:val="right"/>
        <w:rPr>
          <w:rFonts w:ascii="Times New Roman" w:hAnsi="Times New Roman" w:eastAsia="宋体" w:cs="Times New Roman"/>
          <w:b/>
          <w:bCs/>
          <w:sz w:val="24"/>
          <w:highlight w:val="none"/>
        </w:rPr>
      </w:pPr>
      <w:r>
        <w:rPr>
          <w:rFonts w:hint="eastAsia" w:cs="Times New Roman" w:asciiTheme="minorEastAsia" w:hAnsiTheme="minorEastAsia" w:eastAsiaTheme="minorEastAsia"/>
          <w:szCs w:val="22"/>
          <w:highlight w:val="none"/>
          <w:u w:val="single"/>
        </w:rPr>
        <w:t>XXXX年XX月XX日</w:t>
      </w:r>
    </w:p>
    <w:p w14:paraId="338CE9E4">
      <w:pPr>
        <w:jc w:val="center"/>
        <w:rPr>
          <w:rFonts w:ascii="微软雅黑" w:hAnsi="微软雅黑" w:eastAsia="微软雅黑" w:cs="Times New Roman"/>
          <w:b/>
          <w:szCs w:val="36"/>
          <w:highlight w:val="none"/>
        </w:rPr>
      </w:pPr>
    </w:p>
    <w:p w14:paraId="13B25576">
      <w:pPr>
        <w:jc w:val="center"/>
        <w:rPr>
          <w:rFonts w:ascii="微软雅黑" w:hAnsi="微软雅黑" w:eastAsia="微软雅黑" w:cs="Times New Roman"/>
          <w:b/>
          <w:szCs w:val="36"/>
          <w:highlight w:val="none"/>
        </w:rPr>
      </w:pPr>
      <w:r>
        <w:rPr>
          <w:rFonts w:hint="eastAsia" w:ascii="微软雅黑" w:hAnsi="微软雅黑" w:eastAsia="微软雅黑" w:cs="Times New Roman"/>
          <w:b/>
          <w:szCs w:val="36"/>
          <w:highlight w:val="none"/>
        </w:rPr>
        <w:t>承诺函</w:t>
      </w:r>
    </w:p>
    <w:p w14:paraId="110B3A29">
      <w:pPr>
        <w:topLinePunct/>
        <w:snapToGrid w:val="0"/>
        <w:spacing w:line="400" w:lineRule="exact"/>
        <w:rPr>
          <w:rFonts w:ascii="Times New Roman" w:hAnsi="宋体" w:eastAsia="宋体" w:cs="宋体"/>
          <w:highlight w:val="none"/>
        </w:rPr>
      </w:pPr>
    </w:p>
    <w:p w14:paraId="3971E20B">
      <w:pPr>
        <w:topLinePunct/>
        <w:snapToGrid w:val="0"/>
        <w:spacing w:line="400" w:lineRule="exact"/>
        <w:rPr>
          <w:rFonts w:cs="Times New Roman" w:asciiTheme="minorEastAsia" w:hAnsiTheme="minorEastAsia" w:eastAsiaTheme="minorEastAsia"/>
        </w:rPr>
      </w:pPr>
      <w:r>
        <w:rPr>
          <w:rFonts w:hint="eastAsia" w:cs="Times New Roman" w:asciiTheme="minorEastAsia" w:hAnsiTheme="minorEastAsia" w:eastAsiaTheme="minorEastAsia"/>
          <w:szCs w:val="21"/>
        </w:rPr>
        <w:t>致：【XX公司[招标人名称]】：</w:t>
      </w:r>
    </w:p>
    <w:p w14:paraId="7E6FC029">
      <w:pPr>
        <w:topLinePunct/>
        <w:snapToGrid w:val="0"/>
        <w:spacing w:line="400" w:lineRule="exact"/>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我方存在“中国电信在职员工、离职或退休后三年内在我方担任法定代表人或董监高的情况”、“中国电信员工近亲属在我方担任法定代表人或董监高的情况”的相关情形，现郑重承诺如下：</w:t>
      </w:r>
    </w:p>
    <w:p w14:paraId="03E3AB5C">
      <w:pPr>
        <w:topLinePunct/>
        <w:snapToGrid w:val="0"/>
        <w:spacing w:line="400" w:lineRule="exact"/>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一、相关情形不属于</w:t>
      </w:r>
      <w:r>
        <w:rPr>
          <w:rFonts w:hint="eastAsia" w:cs="Times New Roman" w:asciiTheme="minorEastAsia" w:hAnsiTheme="minorEastAsia" w:eastAsiaTheme="minorEastAsia"/>
          <w:szCs w:val="21"/>
          <w:lang w:val="en-US" w:eastAsia="zh-CN"/>
        </w:rPr>
        <w:t>集中</w:t>
      </w:r>
      <w:r>
        <w:rPr>
          <w:rFonts w:hint="eastAsia" w:cs="Times New Roman" w:asciiTheme="minorEastAsia" w:hAnsiTheme="minorEastAsia" w:eastAsiaTheme="minorEastAsia"/>
          <w:szCs w:val="21"/>
        </w:rPr>
        <w:t>招标文件第一章中载明的投标人不得存在的情形。</w:t>
      </w:r>
    </w:p>
    <w:p w14:paraId="22BDC2D3">
      <w:pPr>
        <w:topLinePunct/>
        <w:snapToGrid w:val="0"/>
        <w:spacing w:line="400" w:lineRule="exact"/>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二、不通过特殊关系或其他不正当手段干预中国电信的招标流程或结果，不与中国电信内部人员存在任何形式的串通投标、虚假投标等违规行为。</w:t>
      </w:r>
    </w:p>
    <w:p w14:paraId="671555FB">
      <w:pPr>
        <w:topLinePunct/>
        <w:snapToGrid w:val="0"/>
        <w:spacing w:line="400" w:lineRule="exact"/>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三、严格遵守中国电信及国家相关廉洁从业规定，不利用特定关系为我方或任何第三方谋取不正当利益、获取竞争优势。</w:t>
      </w:r>
    </w:p>
    <w:p w14:paraId="62D6D928">
      <w:pPr>
        <w:topLinePunct/>
        <w:snapToGrid w:val="0"/>
        <w:spacing w:line="440" w:lineRule="exact"/>
        <w:ind w:firstLine="420" w:firstLineChars="200"/>
        <w:rPr>
          <w:rFonts w:ascii="Times New Roman" w:hAnsi="宋体" w:eastAsia="宋体" w:cs="宋体"/>
          <w:highlight w:val="none"/>
        </w:rPr>
      </w:pPr>
    </w:p>
    <w:p w14:paraId="4D3C4285">
      <w:pPr>
        <w:topLinePunct/>
        <w:snapToGrid w:val="0"/>
        <w:spacing w:line="400" w:lineRule="exact"/>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如发生任何违反本承诺及其他影响公平公正的违法违规行为，我方自愿接受按法律法规、中国电信相关采购及供应商管理制度的处罚。</w:t>
      </w:r>
    </w:p>
    <w:p w14:paraId="5DE592AD">
      <w:pPr>
        <w:topLinePunct/>
        <w:snapToGrid w:val="0"/>
        <w:spacing w:line="400" w:lineRule="exact"/>
        <w:ind w:firstLine="420" w:firstLineChars="200"/>
        <w:rPr>
          <w:rFonts w:ascii="Times New Roman" w:hAnsi="宋体" w:eastAsia="宋体" w:cs="宋体"/>
          <w:highlight w:val="none"/>
        </w:rPr>
      </w:pPr>
      <w:r>
        <w:rPr>
          <w:rFonts w:ascii="Times New Roman" w:hAnsi="宋体" w:eastAsia="宋体" w:cs="宋体"/>
          <w:highlight w:val="none"/>
        </w:rPr>
        <w:t xml:space="preserve"> </w:t>
      </w:r>
    </w:p>
    <w:p w14:paraId="559E489C">
      <w:pPr>
        <w:rPr>
          <w:rFonts w:ascii="Times New Roman" w:hAnsi="宋体" w:eastAsia="宋体" w:cs="宋体"/>
          <w:highlight w:val="none"/>
        </w:rPr>
      </w:pPr>
    </w:p>
    <w:p w14:paraId="0174D560">
      <w:pPr>
        <w:spacing w:line="440" w:lineRule="exact"/>
        <w:rPr>
          <w:rFonts w:ascii="Times New Roman" w:hAnsi="宋体" w:eastAsia="宋体" w:cs="宋体"/>
          <w:highlight w:val="none"/>
          <w:u w:val="single"/>
        </w:rPr>
      </w:pPr>
      <w:r>
        <w:rPr>
          <w:rFonts w:hint="eastAsia" w:ascii="Times New Roman" w:hAnsi="宋体" w:eastAsia="宋体" w:cs="宋体"/>
          <w:highlight w:val="none"/>
        </w:rPr>
        <w:t>投标人名称：</w:t>
      </w:r>
      <w:r>
        <w:rPr>
          <w:rFonts w:hint="eastAsia" w:ascii="Times New Roman" w:hAnsi="宋体" w:eastAsia="宋体" w:cs="宋体"/>
          <w:highlight w:val="none"/>
          <w:u w:val="single"/>
        </w:rPr>
        <w:t>　　　　　　　　</w:t>
      </w:r>
      <w:r>
        <w:rPr>
          <w:rFonts w:ascii="Times New Roman" w:hAnsi="宋体" w:eastAsia="宋体" w:cs="宋体"/>
          <w:highlight w:val="none"/>
          <w:u w:val="single"/>
        </w:rPr>
        <w:t xml:space="preserve">                      </w:t>
      </w:r>
    </w:p>
    <w:p w14:paraId="75E1A5BA">
      <w:pPr>
        <w:spacing w:line="440" w:lineRule="exact"/>
        <w:rPr>
          <w:rFonts w:ascii="Times New Roman" w:hAnsi="宋体" w:eastAsia="宋体" w:cs="宋体"/>
          <w:highlight w:val="none"/>
        </w:rPr>
      </w:pPr>
      <w:r>
        <w:rPr>
          <w:rFonts w:hint="eastAsia" w:ascii="Times New Roman" w:hAnsi="宋体" w:eastAsia="宋体" w:cs="宋体"/>
          <w:highlight w:val="none"/>
        </w:rPr>
        <w:t>法定代表人</w:t>
      </w:r>
      <w:r>
        <w:rPr>
          <w:rFonts w:ascii="Times New Roman" w:hAnsi="宋体" w:eastAsia="宋体" w:cs="宋体"/>
          <w:highlight w:val="none"/>
        </w:rPr>
        <w:t>/负责人（</w:t>
      </w:r>
      <w:r>
        <w:rPr>
          <w:rFonts w:hint="eastAsia" w:ascii="Times New Roman" w:hAnsi="宋体" w:eastAsia="宋体" w:cs="宋体"/>
          <w:highlight w:val="none"/>
          <w:lang w:val="en-US" w:eastAsia="zh-CN"/>
        </w:rPr>
        <w:t>姓名</w:t>
      </w:r>
      <w:r>
        <w:rPr>
          <w:rFonts w:ascii="Times New Roman" w:hAnsi="宋体" w:eastAsia="宋体" w:cs="宋体"/>
          <w:highlight w:val="none"/>
        </w:rPr>
        <w:t>）或者其委托代理人</w:t>
      </w:r>
      <w:r>
        <w:rPr>
          <w:rFonts w:hint="eastAsia" w:ascii="Times New Roman" w:hAnsi="宋体" w:eastAsia="宋体" w:cs="宋体"/>
          <w:highlight w:val="none"/>
        </w:rPr>
        <w:t>（</w:t>
      </w:r>
      <w:r>
        <w:rPr>
          <w:rFonts w:hint="eastAsia" w:ascii="Times New Roman" w:hAnsi="宋体" w:eastAsia="宋体" w:cs="宋体"/>
          <w:highlight w:val="none"/>
          <w:lang w:val="en-US" w:eastAsia="zh-CN"/>
        </w:rPr>
        <w:t>姓名</w:t>
      </w:r>
      <w:r>
        <w:rPr>
          <w:rFonts w:hint="eastAsia" w:ascii="Times New Roman" w:hAnsi="宋体" w:eastAsia="宋体" w:cs="宋体"/>
          <w:highlight w:val="none"/>
        </w:rPr>
        <w:t>）</w:t>
      </w:r>
      <w:r>
        <w:rPr>
          <w:rFonts w:ascii="Times New Roman" w:hAnsi="宋体" w:eastAsia="宋体" w:cs="宋体"/>
          <w:highlight w:val="none"/>
        </w:rPr>
        <w:t>：</w:t>
      </w:r>
      <w:r>
        <w:rPr>
          <w:rFonts w:ascii="Times New Roman" w:hAnsi="宋体" w:eastAsia="宋体" w:cs="宋体"/>
          <w:highlight w:val="none"/>
          <w:u w:val="single"/>
        </w:rPr>
        <w:t xml:space="preserve">               </w:t>
      </w:r>
    </w:p>
    <w:p w14:paraId="5858A48A">
      <w:pPr>
        <w:spacing w:line="440" w:lineRule="exact"/>
        <w:rPr>
          <w:rFonts w:ascii="Times New Roman" w:hAnsi="宋体" w:eastAsia="宋体" w:cs="宋体"/>
          <w:highlight w:val="none"/>
        </w:rPr>
      </w:pPr>
      <w:r>
        <w:rPr>
          <w:rFonts w:hint="eastAsia" w:ascii="Times New Roman" w:hAnsi="宋体" w:eastAsia="宋体" w:cs="宋体"/>
          <w:highlight w:val="none"/>
        </w:rPr>
        <w:t>日期：</w:t>
      </w:r>
      <w:r>
        <w:rPr>
          <w:rFonts w:ascii="Times New Roman" w:hAnsi="宋体" w:eastAsia="宋体" w:cs="宋体"/>
          <w:highlight w:val="none"/>
          <w:u w:val="single"/>
        </w:rPr>
        <w:t xml:space="preserve">   </w:t>
      </w:r>
      <w:r>
        <w:rPr>
          <w:rFonts w:hint="eastAsia" w:ascii="Times New Roman" w:hAnsi="宋体" w:eastAsia="宋体" w:cs="宋体"/>
          <w:highlight w:val="none"/>
          <w:u w:val="single"/>
          <w:lang w:val="en-US" w:eastAsia="zh-CN"/>
        </w:rPr>
        <w:t xml:space="preserve">  </w:t>
      </w:r>
      <w:r>
        <w:rPr>
          <w:rFonts w:ascii="Times New Roman" w:hAnsi="宋体" w:eastAsia="宋体" w:cs="宋体"/>
          <w:highlight w:val="none"/>
          <w:u w:val="single"/>
        </w:rPr>
        <w:t xml:space="preserve">   </w:t>
      </w:r>
      <w:r>
        <w:rPr>
          <w:rFonts w:hint="eastAsia" w:ascii="Times New Roman" w:hAnsi="宋体" w:eastAsia="宋体" w:cs="宋体"/>
          <w:highlight w:val="none"/>
        </w:rPr>
        <w:t>年</w:t>
      </w:r>
      <w:r>
        <w:rPr>
          <w:rFonts w:ascii="Times New Roman" w:hAnsi="宋体" w:eastAsia="宋体" w:cs="宋体"/>
          <w:highlight w:val="none"/>
          <w:u w:val="single"/>
        </w:rPr>
        <w:t xml:space="preserve">   </w:t>
      </w:r>
      <w:r>
        <w:rPr>
          <w:rFonts w:hint="eastAsia" w:ascii="Times New Roman" w:hAnsi="宋体" w:eastAsia="宋体" w:cs="宋体"/>
          <w:highlight w:val="none"/>
          <w:u w:val="single"/>
          <w:lang w:val="en-US" w:eastAsia="zh-CN"/>
        </w:rPr>
        <w:t xml:space="preserve">   </w:t>
      </w:r>
      <w:r>
        <w:rPr>
          <w:rFonts w:ascii="Times New Roman" w:hAnsi="宋体" w:eastAsia="宋体" w:cs="宋体"/>
          <w:highlight w:val="none"/>
          <w:u w:val="single"/>
        </w:rPr>
        <w:t xml:space="preserve">  </w:t>
      </w:r>
      <w:r>
        <w:rPr>
          <w:rFonts w:hint="eastAsia" w:ascii="Times New Roman" w:hAnsi="宋体" w:eastAsia="宋体" w:cs="宋体"/>
          <w:highlight w:val="none"/>
        </w:rPr>
        <w:t>月</w:t>
      </w:r>
      <w:r>
        <w:rPr>
          <w:rFonts w:ascii="Times New Roman" w:hAnsi="宋体" w:eastAsia="宋体" w:cs="宋体"/>
          <w:highlight w:val="none"/>
          <w:u w:val="single"/>
        </w:rPr>
        <w:t xml:space="preserve"> </w:t>
      </w:r>
      <w:r>
        <w:rPr>
          <w:rFonts w:hint="eastAsia" w:ascii="Times New Roman" w:hAnsi="宋体" w:eastAsia="宋体" w:cs="宋体"/>
          <w:highlight w:val="none"/>
          <w:u w:val="single"/>
          <w:lang w:val="en-US" w:eastAsia="zh-CN"/>
        </w:rPr>
        <w:t xml:space="preserve">    </w:t>
      </w:r>
      <w:r>
        <w:rPr>
          <w:rFonts w:ascii="Times New Roman" w:hAnsi="宋体" w:eastAsia="宋体" w:cs="宋体"/>
          <w:highlight w:val="none"/>
          <w:u w:val="single"/>
        </w:rPr>
        <w:t xml:space="preserve">   </w:t>
      </w:r>
      <w:r>
        <w:rPr>
          <w:rFonts w:hint="eastAsia" w:ascii="Times New Roman" w:hAnsi="宋体" w:eastAsia="宋体" w:cs="宋体"/>
          <w:highlight w:val="none"/>
        </w:rPr>
        <w:t>日</w:t>
      </w:r>
    </w:p>
    <w:p w14:paraId="4EA73EA2">
      <w:pPr>
        <w:topLinePunct/>
        <w:spacing w:line="440" w:lineRule="exact"/>
        <w:jc w:val="left"/>
        <w:rPr>
          <w:rFonts w:hint="eastAsia" w:ascii="Times New Roman" w:hAnsi="Times New Roman" w:eastAsia="宋体" w:cs="Times New Roman"/>
        </w:rPr>
      </w:pPr>
      <w:r>
        <w:rPr>
          <w:rFonts w:hint="eastAsia" w:ascii="Times New Roman" w:hAnsi="Times New Roman" w:eastAsia="宋体" w:cs="Times New Roman"/>
        </w:rPr>
        <w:t>[招标人不得对本文件中的条款进行修改。</w:t>
      </w:r>
    </w:p>
    <w:p w14:paraId="5BA2190A">
      <w:pPr>
        <w:topLinePunct/>
        <w:spacing w:line="440" w:lineRule="exact"/>
        <w:jc w:val="left"/>
        <w:rPr>
          <w:rFonts w:hint="eastAsia" w:ascii="Times New Roman" w:hAnsi="宋体" w:eastAsia="宋体" w:cs="宋体"/>
          <w:highlight w:val="none"/>
        </w:rPr>
      </w:pPr>
      <w:r>
        <w:rPr>
          <w:rFonts w:hint="eastAsia" w:ascii="Times New Roman" w:hAnsi="宋体" w:eastAsia="宋体" w:cs="宋体"/>
          <w:b/>
          <w:highlight w:val="none"/>
        </w:rPr>
        <w:t>编制要求</w:t>
      </w:r>
      <w:r>
        <w:rPr>
          <w:rFonts w:hint="eastAsia" w:ascii="Times New Roman" w:hAnsi="宋体" w:eastAsia="宋体" w:cs="宋体"/>
          <w:highlight w:val="none"/>
        </w:rPr>
        <w:t>：</w:t>
      </w:r>
    </w:p>
    <w:p w14:paraId="3DEF731F">
      <w:pPr>
        <w:widowControl w:val="0"/>
        <w:numPr>
          <w:ilvl w:val="0"/>
          <w:numId w:val="96"/>
        </w:numPr>
        <w:adjustRightInd w:val="0"/>
        <w:snapToGrid w:val="0"/>
        <w:spacing w:line="440" w:lineRule="exact"/>
        <w:ind w:left="360" w:hanging="360" w:firstLineChars="0"/>
        <w:jc w:val="both"/>
        <w:rPr>
          <w:rFonts w:hint="eastAsia" w:cs="Times New Roman" w:asciiTheme="minorEastAsia" w:hAnsiTheme="minorEastAsia" w:eastAsiaTheme="minorEastAsia"/>
          <w:kern w:val="2"/>
          <w:sz w:val="21"/>
          <w:szCs w:val="24"/>
          <w:lang w:val="en-US" w:eastAsia="zh-CN" w:bidi="ar-SA"/>
        </w:rPr>
      </w:pPr>
      <w:r>
        <w:rPr>
          <w:rFonts w:hint="eastAsia" w:cs="Times New Roman" w:asciiTheme="minorEastAsia" w:hAnsiTheme="minorEastAsia" w:eastAsiaTheme="minorEastAsia"/>
          <w:kern w:val="2"/>
          <w:sz w:val="21"/>
          <w:szCs w:val="24"/>
          <w:lang w:val="en-US" w:eastAsia="zh-CN" w:bidi="ar-SA"/>
        </w:rPr>
        <w:t>投标人若存在“中国电信在职员工、离职或退休后三年内在我方担任法定代表人或董监高的情况”、“中国电信员工近亲属在我方担任法定代表人或董监高的情况”的，应填写该“承诺函”，不涉及则无需填写。</w:t>
      </w:r>
    </w:p>
    <w:p w14:paraId="3492209B">
      <w:pPr>
        <w:numPr>
          <w:ilvl w:val="0"/>
          <w:numId w:val="96"/>
        </w:numPr>
        <w:adjustRightInd w:val="0"/>
        <w:snapToGrid w:val="0"/>
        <w:spacing w:line="440" w:lineRule="exact"/>
        <w:ind w:left="0" w:firstLine="0" w:firstLineChars="0"/>
        <w:rPr>
          <w:rFonts w:hint="eastAsia" w:asciiTheme="minorEastAsia" w:hAnsiTheme="minorEastAsia" w:eastAsiaTheme="minorEastAsia"/>
        </w:rPr>
        <w:sectPr>
          <w:pgSz w:w="11906" w:h="16838"/>
          <w:pgMar w:top="1440" w:right="1800" w:bottom="1440" w:left="1800" w:header="851" w:footer="992" w:gutter="0"/>
          <w:cols w:space="425" w:num="1"/>
          <w:docGrid w:type="lines" w:linePitch="312" w:charSpace="0"/>
        </w:sectPr>
      </w:pPr>
      <w:r>
        <w:rPr>
          <w:rFonts w:hint="eastAsia" w:cs="Times New Roman" w:asciiTheme="minorEastAsia" w:hAnsiTheme="minorEastAsia" w:eastAsiaTheme="minorEastAsia"/>
          <w:kern w:val="2"/>
          <w:sz w:val="21"/>
          <w:szCs w:val="24"/>
          <w:lang w:val="en-US" w:eastAsia="zh-CN" w:bidi="ar-SA"/>
        </w:rPr>
        <w:t>除本文件允许投标人进行填写的内容以外，投标人不得对本文件进行修</w:t>
      </w:r>
    </w:p>
    <w:p w14:paraId="175784FB">
      <w:pPr>
        <w:rPr>
          <w:rFonts w:hint="eastAsia" w:cs="Times New Roman" w:asciiTheme="minorEastAsia" w:hAnsiTheme="minorEastAsia" w:eastAsiaTheme="minorEastAsia"/>
          <w:b/>
          <w:bCs/>
          <w:kern w:val="2"/>
          <w:sz w:val="24"/>
          <w:szCs w:val="24"/>
          <w:lang w:val="en-US" w:eastAsia="zh-CN" w:bidi="ar-SA"/>
        </w:rPr>
      </w:pPr>
    </w:p>
    <w:p w14:paraId="49A6EFB2">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rPr>
      </w:pPr>
      <w:bookmarkStart w:id="947" w:name="_Toc559"/>
      <w:bookmarkStart w:id="948" w:name="_Toc8720"/>
      <w:r>
        <w:rPr>
          <w:rFonts w:hint="eastAsia" w:cs="Times New Roman" w:asciiTheme="minorEastAsia" w:hAnsiTheme="minorEastAsia" w:eastAsiaTheme="minorEastAsia"/>
          <w:b/>
          <w:bCs/>
          <w:kern w:val="2"/>
          <w:sz w:val="24"/>
          <w:szCs w:val="24"/>
          <w:lang w:val="en-US" w:eastAsia="zh-CN" w:bidi="ar-SA"/>
        </w:rPr>
        <w:t>14.</w:t>
      </w:r>
      <w:r>
        <w:rPr>
          <w:rFonts w:hint="eastAsia" w:asciiTheme="minorEastAsia" w:hAnsiTheme="minorEastAsia" w:eastAsiaTheme="minorEastAsia"/>
          <w:sz w:val="24"/>
          <w:szCs w:val="24"/>
        </w:rPr>
        <w:t>资格审查资料</w:t>
      </w:r>
      <w:bookmarkEnd w:id="937"/>
      <w:bookmarkEnd w:id="938"/>
      <w:bookmarkEnd w:id="939"/>
      <w:bookmarkEnd w:id="940"/>
      <w:bookmarkEnd w:id="941"/>
      <w:bookmarkEnd w:id="942"/>
      <w:bookmarkEnd w:id="943"/>
      <w:bookmarkEnd w:id="944"/>
      <w:bookmarkEnd w:id="945"/>
      <w:bookmarkEnd w:id="947"/>
      <w:bookmarkEnd w:id="948"/>
    </w:p>
    <w:bookmarkEnd w:id="946"/>
    <w:p w14:paraId="509F4244">
      <w:pPr>
        <w:pStyle w:val="21"/>
        <w:snapToGrid w:val="0"/>
        <w:spacing w:line="440" w:lineRule="exact"/>
        <w:ind w:firstLine="0"/>
        <w:jc w:val="center"/>
        <w:rPr>
          <w:rFonts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b/>
          <w:color w:val="000000" w:themeColor="text1"/>
          <w:sz w:val="24"/>
          <w:szCs w:val="24"/>
          <w:highlight w:val="none"/>
          <w14:textFill>
            <w14:solidFill>
              <w14:schemeClr w14:val="tx1"/>
            </w14:solidFill>
          </w14:textFill>
        </w:rPr>
        <w:t>资格审查资料</w:t>
      </w:r>
    </w:p>
    <w:p w14:paraId="5ABE8124">
      <w:pPr>
        <w:pStyle w:val="21"/>
        <w:snapToGrid w:val="0"/>
        <w:spacing w:line="440" w:lineRule="exact"/>
        <w:ind w:firstLineChars="200"/>
        <w:rPr>
          <w:rFonts w:ascii="宋体" w:hAnsi="宋体" w:eastAsia="宋体"/>
          <w:bCs/>
          <w:color w:val="000000" w:themeColor="text1"/>
          <w:kern w:val="2"/>
          <w:sz w:val="21"/>
          <w:szCs w:val="21"/>
          <w:highlight w:val="none"/>
          <w14:textFill>
            <w14:solidFill>
              <w14:schemeClr w14:val="tx1"/>
            </w14:solidFill>
          </w14:textFill>
        </w:rPr>
      </w:pPr>
      <w:bookmarkStart w:id="949" w:name="_Hlk167182944"/>
      <w:r>
        <w:rPr>
          <w:rFonts w:hint="eastAsia" w:ascii="宋体" w:hAnsi="宋体" w:eastAsia="宋体"/>
          <w:bCs/>
          <w:color w:val="000000" w:themeColor="text1"/>
          <w:kern w:val="2"/>
          <w:sz w:val="21"/>
          <w:szCs w:val="21"/>
          <w:highlight w:val="none"/>
          <w14:textFill>
            <w14:solidFill>
              <w14:schemeClr w14:val="tx1"/>
            </w14:solidFill>
          </w14:textFill>
        </w:rPr>
        <w:t>根据招标文件投标人资格要求及技术规范书等资格审查资料，包括但不限于投标人登记注册证明文件等。</w:t>
      </w:r>
    </w:p>
    <w:bookmarkEnd w:id="949"/>
    <w:p w14:paraId="1CC8CD2B">
      <w:pPr>
        <w:pStyle w:val="21"/>
        <w:snapToGrid w:val="0"/>
        <w:spacing w:line="440" w:lineRule="exact"/>
        <w:ind w:firstLine="560" w:firstLineChars="200"/>
        <w:rPr>
          <w:highlight w:val="none"/>
        </w:rPr>
      </w:pPr>
    </w:p>
    <w:p w14:paraId="66258BDD">
      <w:pPr>
        <w:widowControl/>
        <w:jc w:val="left"/>
        <w:rPr>
          <w:rFonts w:ascii="楷体_GB2312" w:eastAsia="楷体_GB2312"/>
          <w:kern w:val="0"/>
          <w:sz w:val="28"/>
          <w:szCs w:val="20"/>
          <w:highlight w:val="none"/>
        </w:rPr>
      </w:pPr>
      <w:r>
        <w:rPr>
          <w:highlight w:val="none"/>
        </w:rPr>
        <w:br w:type="page"/>
      </w:r>
    </w:p>
    <w:p w14:paraId="2DDA7D17">
      <w:pPr>
        <w:pStyle w:val="21"/>
        <w:snapToGrid w:val="0"/>
        <w:spacing w:line="440" w:lineRule="exact"/>
        <w:ind w:firstLineChars="200"/>
        <w:rPr>
          <w:rFonts w:asciiTheme="minorEastAsia" w:hAnsiTheme="minorEastAsia" w:eastAsiaTheme="minorEastAsia"/>
          <w:bCs/>
          <w:kern w:val="2"/>
          <w:sz w:val="21"/>
          <w:szCs w:val="21"/>
          <w:highlight w:val="none"/>
        </w:rPr>
        <w:sectPr>
          <w:pgSz w:w="11906" w:h="16838"/>
          <w:pgMar w:top="1418" w:right="1800" w:bottom="1440" w:left="1800" w:header="851" w:footer="992" w:gutter="0"/>
          <w:pgNumType w:fmt="decimal"/>
          <w:cols w:space="720" w:num="1"/>
          <w:docGrid w:type="lines" w:linePitch="312" w:charSpace="0"/>
        </w:sectPr>
      </w:pPr>
    </w:p>
    <w:p w14:paraId="5F9A5780">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rPr>
      </w:pPr>
      <w:bookmarkStart w:id="950" w:name="_Toc75869521"/>
      <w:bookmarkEnd w:id="950"/>
      <w:bookmarkStart w:id="951" w:name="_Toc75869520"/>
      <w:bookmarkEnd w:id="951"/>
      <w:bookmarkStart w:id="952" w:name="_Toc75869523"/>
      <w:bookmarkEnd w:id="952"/>
      <w:bookmarkStart w:id="953" w:name="_Toc75869522"/>
      <w:bookmarkEnd w:id="953"/>
      <w:bookmarkStart w:id="954" w:name="_Toc75869518"/>
      <w:bookmarkEnd w:id="954"/>
      <w:bookmarkStart w:id="955" w:name="_Toc75869519"/>
      <w:bookmarkEnd w:id="955"/>
      <w:bookmarkStart w:id="956" w:name="_Toc27337"/>
      <w:bookmarkStart w:id="957" w:name="_Toc5307"/>
      <w:bookmarkStart w:id="958" w:name="_Toc10215"/>
      <w:bookmarkStart w:id="959" w:name="_Toc23416"/>
      <w:bookmarkStart w:id="960" w:name="_Toc38008090"/>
      <w:bookmarkStart w:id="961" w:name="_Toc8871"/>
      <w:bookmarkStart w:id="962" w:name="_Toc24936"/>
      <w:bookmarkStart w:id="963" w:name="_Toc11986"/>
      <w:bookmarkStart w:id="964" w:name="_Toc438052129"/>
      <w:bookmarkStart w:id="965" w:name="_Toc2632"/>
      <w:bookmarkStart w:id="966" w:name="_Toc475472682"/>
      <w:bookmarkStart w:id="967" w:name="_Toc18499"/>
      <w:bookmarkStart w:id="968" w:name="_Toc27525"/>
      <w:bookmarkStart w:id="969" w:name="_Toc136"/>
      <w:bookmarkStart w:id="970" w:name="_Hlk167299989"/>
      <w:r>
        <w:rPr>
          <w:rFonts w:hint="eastAsia" w:cs="Times New Roman" w:asciiTheme="minorEastAsia" w:hAnsiTheme="minorEastAsia" w:eastAsiaTheme="minorEastAsia"/>
          <w:b/>
          <w:bCs/>
          <w:kern w:val="2"/>
          <w:sz w:val="24"/>
          <w:szCs w:val="24"/>
          <w:lang w:val="en-US" w:eastAsia="zh-CN" w:bidi="ar-SA"/>
        </w:rPr>
        <w:t>15.</w:t>
      </w:r>
      <w:r>
        <w:rPr>
          <w:rFonts w:hint="eastAsia" w:asciiTheme="minorEastAsia" w:hAnsiTheme="minorEastAsia" w:eastAsiaTheme="minorEastAsia"/>
          <w:sz w:val="24"/>
          <w:szCs w:val="24"/>
        </w:rPr>
        <w:t>投标人控股及管理关系情况申报表</w:t>
      </w:r>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p>
    <w:bookmarkEnd w:id="970"/>
    <w:p w14:paraId="5584BDED">
      <w:pPr>
        <w:pStyle w:val="101"/>
        <w:ind w:firstLine="0" w:firstLineChars="0"/>
        <w:jc w:val="center"/>
        <w:rPr>
          <w:rFonts w:cs="宋体" w:asciiTheme="minorEastAsia" w:hAnsiTheme="minorEastAsia" w:eastAsiaTheme="minorEastAsia"/>
          <w:b/>
          <w:sz w:val="24"/>
          <w:highlight w:val="none"/>
        </w:rPr>
      </w:pPr>
      <w:r>
        <w:rPr>
          <w:rFonts w:hint="eastAsia" w:asciiTheme="minorEastAsia" w:hAnsiTheme="minorEastAsia" w:eastAsiaTheme="minorEastAsia"/>
          <w:b/>
          <w:sz w:val="24"/>
          <w:highlight w:val="none"/>
        </w:rPr>
        <w:t>投标人控股及管理关系情况申报表</w:t>
      </w:r>
    </w:p>
    <w:p w14:paraId="72C99BF4">
      <w:pPr>
        <w:adjustRightInd w:val="0"/>
        <w:snapToGrid w:val="0"/>
        <w:spacing w:line="440" w:lineRule="exact"/>
        <w:rPr>
          <w:rFonts w:asciiTheme="minorEastAsia" w:hAnsiTheme="minorEastAsia" w:eastAsiaTheme="minorEastAsia"/>
          <w:highlight w:val="none"/>
        </w:rPr>
      </w:pPr>
    </w:p>
    <w:p w14:paraId="5A718C11">
      <w:pPr>
        <w:adjustRightInd w:val="0"/>
        <w:snapToGrid w:val="0"/>
        <w:spacing w:line="440" w:lineRule="exact"/>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我方参加</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项目[集中招标项目名称]</w:t>
      </w:r>
      <w:r>
        <w:rPr>
          <w:rFonts w:hint="eastAsia" w:asciiTheme="minorEastAsia" w:hAnsiTheme="minorEastAsia" w:eastAsiaTheme="minorEastAsia"/>
          <w:highlight w:val="none"/>
          <w:u w:val="single"/>
        </w:rPr>
        <w:t>】【XX</w:t>
      </w:r>
      <w:r>
        <w:rPr>
          <w:rFonts w:asciiTheme="minorEastAsia" w:hAnsiTheme="minorEastAsia" w:eastAsiaTheme="minorEastAsia"/>
          <w:szCs w:val="21"/>
          <w:highlight w:val="none"/>
          <w:u w:val="single"/>
        </w:rPr>
        <w:t>标包</w:t>
      </w:r>
      <w:r>
        <w:rPr>
          <w:rFonts w:hint="eastAsia" w:asciiTheme="minorEastAsia" w:hAnsiTheme="minorEastAsia" w:eastAsiaTheme="minorEastAsia"/>
          <w:szCs w:val="21"/>
          <w:highlight w:val="none"/>
          <w:u w:val="single"/>
        </w:rPr>
        <w:t>[标包名称]</w:t>
      </w:r>
      <w:r>
        <w:rPr>
          <w:rFonts w:hint="eastAsia" w:asciiTheme="minorEastAsia" w:hAnsiTheme="minorEastAsia" w:eastAsiaTheme="minorEastAsia"/>
          <w:highlight w:val="none"/>
          <w:u w:val="single"/>
        </w:rPr>
        <w:t>】</w:t>
      </w:r>
      <w:r>
        <w:rPr>
          <w:rFonts w:hint="eastAsia" w:asciiTheme="minorEastAsia" w:hAnsiTheme="minorEastAsia" w:eastAsiaTheme="minorEastAsia"/>
          <w:highlight w:val="none"/>
        </w:rPr>
        <w:t>的投标，根据法律法规维护投标公正性的相关规定，特就本单位控股及管理关系情况申报如下，并承担申报不实的责任。</w:t>
      </w:r>
    </w:p>
    <w:tbl>
      <w:tblPr>
        <w:tblStyle w:val="85"/>
        <w:tblW w:w="8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266"/>
        <w:gridCol w:w="4646"/>
      </w:tblGrid>
      <w:tr w14:paraId="3294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448" w:type="dxa"/>
            <w:vAlign w:val="center"/>
          </w:tcPr>
          <w:p w14:paraId="505641C7">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申报人名称</w:t>
            </w:r>
          </w:p>
        </w:tc>
        <w:tc>
          <w:tcPr>
            <w:tcW w:w="5912" w:type="dxa"/>
            <w:gridSpan w:val="2"/>
            <w:vAlign w:val="center"/>
          </w:tcPr>
          <w:p w14:paraId="2CAC5A0A">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bCs/>
                <w:szCs w:val="21"/>
                <w:highlight w:val="none"/>
                <w:u w:val="single"/>
              </w:rPr>
              <w:t>【XX公司[投标人名称]】</w:t>
            </w:r>
          </w:p>
        </w:tc>
      </w:tr>
      <w:tr w14:paraId="6171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448" w:type="dxa"/>
            <w:vMerge w:val="restart"/>
            <w:vAlign w:val="center"/>
          </w:tcPr>
          <w:p w14:paraId="220811FE">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法定代表人</w:t>
            </w:r>
            <w:r>
              <w:rPr>
                <w:rFonts w:cs="宋体" w:asciiTheme="minorEastAsia" w:hAnsiTheme="minorEastAsia" w:eastAsiaTheme="minorEastAsia"/>
                <w:highlight w:val="none"/>
              </w:rPr>
              <w:t>/负责人</w:t>
            </w:r>
          </w:p>
        </w:tc>
        <w:tc>
          <w:tcPr>
            <w:tcW w:w="1266" w:type="dxa"/>
            <w:vAlign w:val="center"/>
          </w:tcPr>
          <w:p w14:paraId="4C7370B4">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姓    名</w:t>
            </w:r>
          </w:p>
        </w:tc>
        <w:tc>
          <w:tcPr>
            <w:tcW w:w="4646" w:type="dxa"/>
            <w:vAlign w:val="center"/>
          </w:tcPr>
          <w:p w14:paraId="1CC3FA38">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 xml:space="preserve"> [投标人法定代表人/负责人</w:t>
            </w:r>
            <w:r>
              <w:rPr>
                <w:rFonts w:asciiTheme="minorEastAsia" w:hAnsiTheme="minorEastAsia" w:eastAsiaTheme="minorEastAsia"/>
                <w:szCs w:val="21"/>
                <w:highlight w:val="none"/>
                <w:u w:val="single"/>
              </w:rPr>
              <w:t>姓名</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u w:val="single"/>
              </w:rPr>
              <w:t>】</w:t>
            </w:r>
          </w:p>
        </w:tc>
      </w:tr>
      <w:tr w14:paraId="4711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448" w:type="dxa"/>
            <w:vMerge w:val="continue"/>
            <w:vAlign w:val="center"/>
          </w:tcPr>
          <w:p w14:paraId="1616B6A8">
            <w:pPr>
              <w:adjustRightInd w:val="0"/>
              <w:snapToGrid w:val="0"/>
              <w:spacing w:line="440" w:lineRule="exact"/>
              <w:rPr>
                <w:rFonts w:cs="宋体" w:asciiTheme="minorEastAsia" w:hAnsiTheme="minorEastAsia" w:eastAsiaTheme="minorEastAsia"/>
                <w:highlight w:val="none"/>
              </w:rPr>
            </w:pPr>
          </w:p>
        </w:tc>
        <w:tc>
          <w:tcPr>
            <w:tcW w:w="1266" w:type="dxa"/>
            <w:vAlign w:val="center"/>
          </w:tcPr>
          <w:p w14:paraId="02183E54">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身份证号</w:t>
            </w:r>
          </w:p>
        </w:tc>
        <w:tc>
          <w:tcPr>
            <w:tcW w:w="4646" w:type="dxa"/>
            <w:vAlign w:val="center"/>
          </w:tcPr>
          <w:p w14:paraId="14D0E79A">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 xml:space="preserve"> [投标人法定代表人/负责人身份证号]</w:t>
            </w:r>
            <w:r>
              <w:rPr>
                <w:rFonts w:hint="eastAsia" w:asciiTheme="minorEastAsia" w:hAnsiTheme="minorEastAsia" w:eastAsiaTheme="minorEastAsia"/>
                <w:highlight w:val="none"/>
                <w:u w:val="single"/>
              </w:rPr>
              <w:t>】</w:t>
            </w:r>
          </w:p>
        </w:tc>
      </w:tr>
      <w:tr w14:paraId="3751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2448" w:type="dxa"/>
            <w:vAlign w:val="center"/>
          </w:tcPr>
          <w:p w14:paraId="2E576139">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控股股东/投资人名称</w:t>
            </w:r>
          </w:p>
          <w:p w14:paraId="06BEB648">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及出资比例</w:t>
            </w:r>
          </w:p>
        </w:tc>
        <w:tc>
          <w:tcPr>
            <w:tcW w:w="5912" w:type="dxa"/>
            <w:gridSpan w:val="2"/>
            <w:vAlign w:val="center"/>
          </w:tcPr>
          <w:p w14:paraId="05294B5E">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bCs/>
                <w:szCs w:val="21"/>
                <w:highlight w:val="none"/>
                <w:u w:val="single"/>
              </w:rPr>
              <w:t>【XX公司/XX[自然人]，出资比例XX%，[投标人控股股东/投资人名称及出资比例]】</w:t>
            </w:r>
          </w:p>
        </w:tc>
      </w:tr>
      <w:tr w14:paraId="4326C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2448" w:type="dxa"/>
            <w:vAlign w:val="center"/>
          </w:tcPr>
          <w:p w14:paraId="3A7E689F">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非控股股东/投资人名称</w:t>
            </w:r>
          </w:p>
          <w:p w14:paraId="7A341623">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及出资比例</w:t>
            </w:r>
          </w:p>
        </w:tc>
        <w:tc>
          <w:tcPr>
            <w:tcW w:w="5912" w:type="dxa"/>
            <w:gridSpan w:val="2"/>
            <w:vAlign w:val="center"/>
          </w:tcPr>
          <w:p w14:paraId="3D9CE3F1">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bCs/>
                <w:szCs w:val="21"/>
                <w:highlight w:val="none"/>
                <w:u w:val="single"/>
              </w:rPr>
              <w:t>【XX公司/XX[自然人]，出资比例XX%，[投标人非控股股东/投资人名称及出资比例，应从出资比例由高到低进行填写]】</w:t>
            </w:r>
          </w:p>
        </w:tc>
      </w:tr>
      <w:tr w14:paraId="25C19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448" w:type="dxa"/>
            <w:vMerge w:val="restart"/>
            <w:vAlign w:val="center"/>
          </w:tcPr>
          <w:p w14:paraId="6B1A0B4E">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管理关系单位名称</w:t>
            </w:r>
          </w:p>
        </w:tc>
        <w:tc>
          <w:tcPr>
            <w:tcW w:w="1266" w:type="dxa"/>
            <w:vAlign w:val="center"/>
          </w:tcPr>
          <w:p w14:paraId="0707C974">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管理关系单位名称</w:t>
            </w:r>
          </w:p>
        </w:tc>
        <w:tc>
          <w:tcPr>
            <w:tcW w:w="4646" w:type="dxa"/>
            <w:vAlign w:val="center"/>
          </w:tcPr>
          <w:p w14:paraId="55726590">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bCs/>
                <w:szCs w:val="21"/>
                <w:highlight w:val="none"/>
                <w:u w:val="single"/>
              </w:rPr>
              <w:t>【XX公司[管理单位全称]】</w:t>
            </w:r>
          </w:p>
        </w:tc>
      </w:tr>
      <w:tr w14:paraId="4E61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448" w:type="dxa"/>
            <w:vMerge w:val="continue"/>
            <w:vAlign w:val="center"/>
          </w:tcPr>
          <w:p w14:paraId="5188028D">
            <w:pPr>
              <w:adjustRightInd w:val="0"/>
              <w:snapToGrid w:val="0"/>
              <w:spacing w:line="440" w:lineRule="exact"/>
              <w:rPr>
                <w:rFonts w:cs="宋体" w:asciiTheme="minorEastAsia" w:hAnsiTheme="minorEastAsia" w:eastAsiaTheme="minorEastAsia"/>
                <w:highlight w:val="none"/>
              </w:rPr>
            </w:pPr>
          </w:p>
        </w:tc>
        <w:tc>
          <w:tcPr>
            <w:tcW w:w="1266" w:type="dxa"/>
            <w:vAlign w:val="center"/>
          </w:tcPr>
          <w:p w14:paraId="52645704">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被管理关系单位名称</w:t>
            </w:r>
          </w:p>
        </w:tc>
        <w:tc>
          <w:tcPr>
            <w:tcW w:w="4646" w:type="dxa"/>
            <w:vAlign w:val="center"/>
          </w:tcPr>
          <w:p w14:paraId="6F28A856">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bCs/>
                <w:szCs w:val="21"/>
                <w:highlight w:val="none"/>
                <w:u w:val="single"/>
              </w:rPr>
              <w:t>【XX公司[被管理单位全称，应列明所有被管理单位]】</w:t>
            </w:r>
          </w:p>
        </w:tc>
      </w:tr>
      <w:tr w14:paraId="0264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8360" w:type="dxa"/>
            <w:gridSpan w:val="3"/>
            <w:shd w:val="clear" w:color="auto" w:fill="auto"/>
            <w:vAlign w:val="center"/>
          </w:tcPr>
          <w:p w14:paraId="6AF2256F">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备注：</w:t>
            </w:r>
          </w:p>
        </w:tc>
      </w:tr>
    </w:tbl>
    <w:p w14:paraId="7CF77C8D">
      <w:pPr>
        <w:spacing w:line="440" w:lineRule="exact"/>
        <w:ind w:firstLine="707" w:firstLineChars="337"/>
        <w:rPr>
          <w:rFonts w:asciiTheme="minorEastAsia" w:hAnsiTheme="minorEastAsia" w:eastAsiaTheme="minorEastAsia"/>
          <w:szCs w:val="21"/>
          <w:highlight w:val="none"/>
        </w:rPr>
      </w:pPr>
    </w:p>
    <w:p w14:paraId="1E299ABA">
      <w:pPr>
        <w:spacing w:line="440" w:lineRule="exact"/>
        <w:ind w:firstLine="424" w:firstLineChars="202"/>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投标人名称：</w:t>
      </w:r>
      <w:r>
        <w:rPr>
          <w:rFonts w:hint="eastAsia" w:asciiTheme="minorEastAsia" w:hAnsiTheme="minorEastAsia" w:eastAsiaTheme="minorEastAsia"/>
          <w:szCs w:val="21"/>
          <w:highlight w:val="none"/>
          <w:u w:val="single"/>
        </w:rPr>
        <w:t xml:space="preserve">　　　　　　　　                      </w:t>
      </w:r>
    </w:p>
    <w:p w14:paraId="3B36CF12">
      <w:pPr>
        <w:spacing w:line="440" w:lineRule="exact"/>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法定代表人/负责人（签字或盖人名章）</w:t>
      </w:r>
      <w:r>
        <w:rPr>
          <w:rFonts w:asciiTheme="minorEastAsia" w:hAnsiTheme="minorEastAsia" w:eastAsiaTheme="minorEastAsia"/>
          <w:szCs w:val="21"/>
          <w:highlight w:val="none"/>
        </w:rPr>
        <w:t>或者其委托代理人</w:t>
      </w:r>
      <w:r>
        <w:rPr>
          <w:rFonts w:hint="eastAsia" w:asciiTheme="minorEastAsia" w:hAnsiTheme="minorEastAsia" w:eastAsiaTheme="minorEastAsia"/>
          <w:szCs w:val="21"/>
          <w:highlight w:val="none"/>
        </w:rPr>
        <w:t>（签字）</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 xml:space="preserve">               </w:t>
      </w:r>
    </w:p>
    <w:p w14:paraId="77608B37">
      <w:pPr>
        <w:spacing w:line="440" w:lineRule="exact"/>
        <w:ind w:firstLine="424" w:firstLineChars="202"/>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7C91DBE2">
      <w:pPr>
        <w:adjustRightInd w:val="0"/>
        <w:snapToGrid w:val="0"/>
        <w:spacing w:line="440" w:lineRule="exact"/>
        <w:rPr>
          <w:rFonts w:asciiTheme="minorEastAsia" w:hAnsiTheme="minorEastAsia" w:eastAsiaTheme="minorEastAsia"/>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p>
    <w:p w14:paraId="3136409F">
      <w:pPr>
        <w:rPr>
          <w:rFonts w:asciiTheme="minorEastAsia" w:hAnsiTheme="minorEastAsia" w:eastAsiaTheme="minorEastAsia"/>
          <w:highlight w:val="none"/>
        </w:rPr>
      </w:pPr>
      <w:r>
        <w:rPr>
          <w:rFonts w:hint="eastAsia" w:asciiTheme="minorEastAsia" w:hAnsiTheme="minorEastAsia" w:eastAsiaTheme="minorEastAsia"/>
          <w:highlight w:val="none"/>
        </w:rPr>
        <w:t>1.控股股东/投资人是指出资比例在50%以上，或者出资比例不足50%，但享有公司股东会/董事会控制权的投资方（含单位或者个人）。</w:t>
      </w:r>
    </w:p>
    <w:p w14:paraId="06CBC3F0">
      <w:pPr>
        <w:rPr>
          <w:rFonts w:asciiTheme="minorEastAsia" w:hAnsiTheme="minorEastAsia" w:eastAsiaTheme="minorEastAsia"/>
          <w:highlight w:val="none"/>
        </w:rPr>
      </w:pPr>
      <w:r>
        <w:rPr>
          <w:rFonts w:hint="eastAsia" w:asciiTheme="minorEastAsia" w:hAnsiTheme="minorEastAsia" w:eastAsiaTheme="minorEastAsia"/>
          <w:highlight w:val="none"/>
        </w:rPr>
        <w:t>2.管理关系单位是指与不具有出资持股关系的其他单位之间存在管理与被管理关系的单位。</w:t>
      </w:r>
    </w:p>
    <w:p w14:paraId="7C2C8F63">
      <w:pPr>
        <w:rPr>
          <w:rFonts w:asciiTheme="minorEastAsia" w:hAnsiTheme="minorEastAsia" w:eastAsiaTheme="minorEastAsia"/>
          <w:highlight w:val="none"/>
        </w:rPr>
      </w:pPr>
      <w:r>
        <w:rPr>
          <w:rFonts w:hint="eastAsia" w:asciiTheme="minorEastAsia" w:hAnsiTheme="minorEastAsia" w:eastAsiaTheme="minorEastAsia"/>
          <w:highlight w:val="none"/>
        </w:rPr>
        <w:t>3.如未有相关情况，请在相应栏填写“无”。</w:t>
      </w:r>
    </w:p>
    <w:p w14:paraId="5C10CE52">
      <w:pPr>
        <w:rPr>
          <w:rFonts w:asciiTheme="minorEastAsia" w:hAnsiTheme="minorEastAsia" w:eastAsiaTheme="minorEastAsia"/>
          <w:highlight w:val="none"/>
        </w:rPr>
      </w:pPr>
      <w:r>
        <w:rPr>
          <w:rFonts w:hint="eastAsia" w:asciiTheme="minorEastAsia" w:hAnsiTheme="minorEastAsia" w:eastAsiaTheme="minorEastAsia"/>
          <w:highlight w:val="none"/>
        </w:rPr>
        <w:t>4.</w:t>
      </w:r>
      <w:r>
        <w:rPr>
          <w:rFonts w:hint="eastAsia"/>
          <w:highlight w:val="none"/>
        </w:rPr>
        <w:t>除本文件允许投标人进行填写的内容以外，投标人不得对本文件进行修改</w:t>
      </w:r>
      <w:r>
        <w:rPr>
          <w:rFonts w:hint="eastAsia" w:asciiTheme="minorEastAsia" w:hAnsiTheme="minorEastAsia" w:eastAsiaTheme="minorEastAsia"/>
          <w:highlight w:val="none"/>
        </w:rPr>
        <w:t>。</w:t>
      </w:r>
    </w:p>
    <w:p w14:paraId="5F1F8530">
      <w:pPr>
        <w:widowControl/>
        <w:jc w:val="left"/>
        <w:rPr>
          <w:rFonts w:asciiTheme="minorEastAsia" w:hAnsiTheme="minorEastAsia" w:eastAsiaTheme="minorEastAsia"/>
          <w:highlight w:val="none"/>
        </w:rPr>
      </w:pPr>
      <w:r>
        <w:rPr>
          <w:rFonts w:asciiTheme="minorEastAsia" w:hAnsiTheme="minorEastAsia" w:eastAsiaTheme="minorEastAsia"/>
          <w:highlight w:val="none"/>
        </w:rPr>
        <w:br w:type="page"/>
      </w:r>
    </w:p>
    <w:tbl>
      <w:tblPr>
        <w:tblStyle w:val="85"/>
        <w:tblW w:w="8789" w:type="dxa"/>
        <w:tblInd w:w="108" w:type="dxa"/>
        <w:tblLayout w:type="autofit"/>
        <w:tblCellMar>
          <w:top w:w="0" w:type="dxa"/>
          <w:left w:w="108" w:type="dxa"/>
          <w:bottom w:w="0" w:type="dxa"/>
          <w:right w:w="108" w:type="dxa"/>
        </w:tblCellMar>
      </w:tblPr>
      <w:tblGrid>
        <w:gridCol w:w="851"/>
        <w:gridCol w:w="1134"/>
        <w:gridCol w:w="850"/>
        <w:gridCol w:w="993"/>
        <w:gridCol w:w="1417"/>
        <w:gridCol w:w="1418"/>
        <w:gridCol w:w="992"/>
        <w:gridCol w:w="1134"/>
      </w:tblGrid>
      <w:tr w14:paraId="5BEBBAD9">
        <w:tblPrEx>
          <w:tblCellMar>
            <w:top w:w="0" w:type="dxa"/>
            <w:left w:w="108" w:type="dxa"/>
            <w:bottom w:w="0" w:type="dxa"/>
            <w:right w:w="108" w:type="dxa"/>
          </w:tblCellMar>
        </w:tblPrEx>
        <w:trPr>
          <w:trHeight w:val="780" w:hRule="atLeast"/>
        </w:trPr>
        <w:tc>
          <w:tcPr>
            <w:tcW w:w="8789" w:type="dxa"/>
            <w:gridSpan w:val="8"/>
            <w:tcBorders>
              <w:top w:val="nil"/>
              <w:left w:val="nil"/>
              <w:bottom w:val="nil"/>
              <w:right w:val="nil"/>
            </w:tcBorders>
            <w:vAlign w:val="center"/>
          </w:tcPr>
          <w:p w14:paraId="67C31719">
            <w:pPr>
              <w:widowControl/>
              <w:topLinePun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参与供应商与中国电信贵州公司等关联公司人员关系申报表</w:t>
            </w:r>
          </w:p>
        </w:tc>
      </w:tr>
      <w:tr w14:paraId="08EF7C22">
        <w:tblPrEx>
          <w:tblCellMar>
            <w:top w:w="0" w:type="dxa"/>
            <w:left w:w="108" w:type="dxa"/>
            <w:bottom w:w="0" w:type="dxa"/>
            <w:right w:w="108" w:type="dxa"/>
          </w:tblCellMar>
        </w:tblPrEx>
        <w:trPr>
          <w:trHeight w:val="793" w:hRule="atLeast"/>
        </w:trPr>
        <w:tc>
          <w:tcPr>
            <w:tcW w:w="6663" w:type="dxa"/>
            <w:gridSpan w:val="6"/>
            <w:tcBorders>
              <w:top w:val="single" w:color="auto" w:sz="4" w:space="0"/>
              <w:left w:val="single" w:color="auto" w:sz="4" w:space="0"/>
              <w:bottom w:val="single" w:color="auto" w:sz="4" w:space="0"/>
              <w:right w:val="single" w:color="auto" w:sz="4" w:space="0"/>
            </w:tcBorders>
            <w:vAlign w:val="center"/>
          </w:tcPr>
          <w:p w14:paraId="3892FE97">
            <w:pPr>
              <w:widowControl/>
              <w:topLinePun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申报单位的法人代表、总经理、副总经理、股东（非上市公司）、投标人代表中是否有中国电信贵州分公司、贵州省通信产业服务有限公司及其控股子公司人员</w:t>
            </w:r>
          </w:p>
        </w:tc>
        <w:tc>
          <w:tcPr>
            <w:tcW w:w="2126" w:type="dxa"/>
            <w:gridSpan w:val="2"/>
            <w:tcBorders>
              <w:top w:val="single" w:color="auto" w:sz="4" w:space="0"/>
              <w:left w:val="nil"/>
              <w:bottom w:val="single" w:color="auto" w:sz="4" w:space="0"/>
              <w:right w:val="single" w:color="auto" w:sz="4" w:space="0"/>
            </w:tcBorders>
            <w:vAlign w:val="center"/>
          </w:tcPr>
          <w:p w14:paraId="2DF3E0DE">
            <w:pPr>
              <w:widowControl/>
              <w:topLinePun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□是    □否</w:t>
            </w:r>
          </w:p>
        </w:tc>
      </w:tr>
      <w:tr w14:paraId="74AEB1E7">
        <w:tblPrEx>
          <w:tblCellMar>
            <w:top w:w="0" w:type="dxa"/>
            <w:left w:w="108" w:type="dxa"/>
            <w:bottom w:w="0" w:type="dxa"/>
            <w:right w:w="108" w:type="dxa"/>
          </w:tblCellMar>
        </w:tblPrEx>
        <w:trPr>
          <w:trHeight w:val="740" w:hRule="atLeast"/>
        </w:trPr>
        <w:tc>
          <w:tcPr>
            <w:tcW w:w="6663" w:type="dxa"/>
            <w:gridSpan w:val="6"/>
            <w:tcBorders>
              <w:top w:val="single" w:color="auto" w:sz="4" w:space="0"/>
              <w:left w:val="single" w:color="auto" w:sz="4" w:space="0"/>
              <w:bottom w:val="single" w:color="auto" w:sz="4" w:space="0"/>
              <w:right w:val="single" w:color="auto" w:sz="4" w:space="0"/>
            </w:tcBorders>
            <w:vAlign w:val="center"/>
          </w:tcPr>
          <w:p w14:paraId="168F6EE3">
            <w:pPr>
              <w:widowControl/>
              <w:topLinePun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申报单位的法人代表、总经理、副总经理、股东（非上市公司）、投标人代表是否与中国电信贵州分公司、贵州省通信产业服务有限公司及其控股子公司人员存在亲属关系</w:t>
            </w:r>
          </w:p>
        </w:tc>
        <w:tc>
          <w:tcPr>
            <w:tcW w:w="2126" w:type="dxa"/>
            <w:gridSpan w:val="2"/>
            <w:tcBorders>
              <w:top w:val="nil"/>
              <w:left w:val="nil"/>
              <w:bottom w:val="single" w:color="auto" w:sz="4" w:space="0"/>
              <w:right w:val="single" w:color="auto" w:sz="4" w:space="0"/>
            </w:tcBorders>
            <w:vAlign w:val="center"/>
          </w:tcPr>
          <w:p w14:paraId="62247EDE">
            <w:pPr>
              <w:widowControl/>
              <w:topLinePun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□是    □否</w:t>
            </w:r>
          </w:p>
        </w:tc>
      </w:tr>
      <w:tr w14:paraId="74D160D6">
        <w:tblPrEx>
          <w:tblCellMar>
            <w:top w:w="0" w:type="dxa"/>
            <w:left w:w="108" w:type="dxa"/>
            <w:bottom w:w="0" w:type="dxa"/>
            <w:right w:w="108" w:type="dxa"/>
          </w:tblCellMar>
        </w:tblPrEx>
        <w:trPr>
          <w:trHeight w:val="660" w:hRule="atLeast"/>
        </w:trPr>
        <w:tc>
          <w:tcPr>
            <w:tcW w:w="851" w:type="dxa"/>
            <w:vMerge w:val="restart"/>
            <w:tcBorders>
              <w:top w:val="nil"/>
              <w:left w:val="single" w:color="auto" w:sz="4" w:space="0"/>
              <w:bottom w:val="single" w:color="auto" w:sz="4" w:space="0"/>
              <w:right w:val="single" w:color="auto" w:sz="4" w:space="0"/>
            </w:tcBorders>
            <w:vAlign w:val="center"/>
          </w:tcPr>
          <w:p w14:paraId="12014A4B">
            <w:pPr>
              <w:widowControl/>
              <w:topLinePun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关联关系  （如有必填）</w:t>
            </w:r>
          </w:p>
        </w:tc>
        <w:tc>
          <w:tcPr>
            <w:tcW w:w="1134" w:type="dxa"/>
            <w:tcBorders>
              <w:top w:val="nil"/>
              <w:left w:val="nil"/>
              <w:bottom w:val="single" w:color="auto" w:sz="4" w:space="0"/>
              <w:right w:val="single" w:color="auto" w:sz="4" w:space="0"/>
            </w:tcBorders>
            <w:vAlign w:val="center"/>
          </w:tcPr>
          <w:p w14:paraId="1F36AC06">
            <w:pPr>
              <w:widowControl/>
              <w:topLinePun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申报单位人员姓名</w:t>
            </w:r>
          </w:p>
        </w:tc>
        <w:tc>
          <w:tcPr>
            <w:tcW w:w="850" w:type="dxa"/>
            <w:tcBorders>
              <w:top w:val="nil"/>
              <w:left w:val="nil"/>
              <w:bottom w:val="single" w:color="auto" w:sz="4" w:space="0"/>
              <w:right w:val="single" w:color="auto" w:sz="4" w:space="0"/>
            </w:tcBorders>
            <w:vAlign w:val="center"/>
          </w:tcPr>
          <w:p w14:paraId="6CA34496">
            <w:pPr>
              <w:widowControl/>
              <w:topLinePun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申报单位人员职务</w:t>
            </w:r>
          </w:p>
        </w:tc>
        <w:tc>
          <w:tcPr>
            <w:tcW w:w="993" w:type="dxa"/>
            <w:tcBorders>
              <w:top w:val="nil"/>
              <w:left w:val="nil"/>
              <w:bottom w:val="single" w:color="auto" w:sz="4" w:space="0"/>
              <w:right w:val="single" w:color="auto" w:sz="4" w:space="0"/>
            </w:tcBorders>
            <w:vAlign w:val="center"/>
          </w:tcPr>
          <w:p w14:paraId="2FDE9216">
            <w:pPr>
              <w:widowControl/>
              <w:topLinePun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申报单位人员身份证号码</w:t>
            </w:r>
          </w:p>
        </w:tc>
        <w:tc>
          <w:tcPr>
            <w:tcW w:w="1417" w:type="dxa"/>
            <w:tcBorders>
              <w:top w:val="nil"/>
              <w:left w:val="nil"/>
              <w:bottom w:val="single" w:color="auto" w:sz="4" w:space="0"/>
              <w:right w:val="single" w:color="auto" w:sz="4" w:space="0"/>
            </w:tcBorders>
            <w:vAlign w:val="center"/>
          </w:tcPr>
          <w:p w14:paraId="5C10B863">
            <w:pPr>
              <w:widowControl/>
              <w:topLinePun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关联公司名称</w:t>
            </w:r>
          </w:p>
        </w:tc>
        <w:tc>
          <w:tcPr>
            <w:tcW w:w="1418" w:type="dxa"/>
            <w:tcBorders>
              <w:top w:val="nil"/>
              <w:left w:val="nil"/>
              <w:bottom w:val="single" w:color="auto" w:sz="4" w:space="0"/>
              <w:right w:val="single" w:color="auto" w:sz="4" w:space="0"/>
            </w:tcBorders>
            <w:vAlign w:val="center"/>
          </w:tcPr>
          <w:p w14:paraId="01498010">
            <w:pPr>
              <w:widowControl/>
              <w:topLinePun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与关联公司人员关系</w:t>
            </w:r>
          </w:p>
        </w:tc>
        <w:tc>
          <w:tcPr>
            <w:tcW w:w="992" w:type="dxa"/>
            <w:tcBorders>
              <w:top w:val="nil"/>
              <w:left w:val="nil"/>
              <w:bottom w:val="single" w:color="auto" w:sz="4" w:space="0"/>
              <w:right w:val="single" w:color="auto" w:sz="4" w:space="0"/>
            </w:tcBorders>
            <w:vAlign w:val="center"/>
          </w:tcPr>
          <w:p w14:paraId="02FF51C6">
            <w:pPr>
              <w:widowControl/>
              <w:topLinePun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关联公司人员姓名</w:t>
            </w:r>
          </w:p>
        </w:tc>
        <w:tc>
          <w:tcPr>
            <w:tcW w:w="1134" w:type="dxa"/>
            <w:tcBorders>
              <w:top w:val="nil"/>
              <w:left w:val="nil"/>
              <w:bottom w:val="single" w:color="auto" w:sz="4" w:space="0"/>
              <w:right w:val="single" w:color="auto" w:sz="4" w:space="0"/>
            </w:tcBorders>
            <w:vAlign w:val="center"/>
          </w:tcPr>
          <w:p w14:paraId="240A018D">
            <w:pPr>
              <w:widowControl/>
              <w:topLinePun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关联公司人员身份证号码</w:t>
            </w:r>
          </w:p>
        </w:tc>
      </w:tr>
      <w:tr w14:paraId="7F4D271F">
        <w:tblPrEx>
          <w:tblCellMar>
            <w:top w:w="0" w:type="dxa"/>
            <w:left w:w="108" w:type="dxa"/>
            <w:bottom w:w="0" w:type="dxa"/>
            <w:right w:w="108" w:type="dxa"/>
          </w:tblCellMar>
        </w:tblPrEx>
        <w:trPr>
          <w:trHeight w:val="660" w:hRule="atLeast"/>
        </w:trPr>
        <w:tc>
          <w:tcPr>
            <w:tcW w:w="851" w:type="dxa"/>
            <w:vMerge w:val="continue"/>
            <w:tcBorders>
              <w:top w:val="nil"/>
              <w:left w:val="single" w:color="auto" w:sz="4" w:space="0"/>
              <w:bottom w:val="single" w:color="auto" w:sz="4" w:space="0"/>
              <w:right w:val="single" w:color="auto" w:sz="4" w:space="0"/>
            </w:tcBorders>
            <w:vAlign w:val="center"/>
          </w:tcPr>
          <w:p w14:paraId="497F9438">
            <w:pPr>
              <w:widowControl/>
              <w:topLinePunct/>
              <w:jc w:val="left"/>
              <w:rPr>
                <w:rFonts w:ascii="宋体" w:hAnsi="宋体" w:cs="宋体"/>
                <w:color w:val="000000" w:themeColor="text1"/>
                <w:kern w:val="0"/>
                <w:szCs w:val="21"/>
                <w:highlight w:val="none"/>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14:paraId="7E21A08D">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850" w:type="dxa"/>
            <w:tcBorders>
              <w:top w:val="nil"/>
              <w:left w:val="nil"/>
              <w:bottom w:val="single" w:color="auto" w:sz="4" w:space="0"/>
              <w:right w:val="single" w:color="auto" w:sz="4" w:space="0"/>
            </w:tcBorders>
            <w:vAlign w:val="center"/>
          </w:tcPr>
          <w:p w14:paraId="4B3FA1A5">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993" w:type="dxa"/>
            <w:tcBorders>
              <w:top w:val="nil"/>
              <w:left w:val="nil"/>
              <w:bottom w:val="single" w:color="auto" w:sz="4" w:space="0"/>
              <w:right w:val="single" w:color="auto" w:sz="4" w:space="0"/>
            </w:tcBorders>
            <w:vAlign w:val="center"/>
          </w:tcPr>
          <w:p w14:paraId="65FB5F62">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1417" w:type="dxa"/>
            <w:tcBorders>
              <w:top w:val="nil"/>
              <w:left w:val="nil"/>
              <w:bottom w:val="single" w:color="auto" w:sz="4" w:space="0"/>
              <w:right w:val="single" w:color="auto" w:sz="4" w:space="0"/>
            </w:tcBorders>
            <w:vAlign w:val="center"/>
          </w:tcPr>
          <w:p w14:paraId="0DBAEDF6">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1418" w:type="dxa"/>
            <w:tcBorders>
              <w:top w:val="nil"/>
              <w:left w:val="nil"/>
              <w:bottom w:val="single" w:color="auto" w:sz="4" w:space="0"/>
              <w:right w:val="single" w:color="auto" w:sz="4" w:space="0"/>
            </w:tcBorders>
            <w:vAlign w:val="center"/>
          </w:tcPr>
          <w:p w14:paraId="639FE360">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992" w:type="dxa"/>
            <w:tcBorders>
              <w:top w:val="nil"/>
              <w:left w:val="nil"/>
              <w:bottom w:val="single" w:color="auto" w:sz="4" w:space="0"/>
              <w:right w:val="single" w:color="auto" w:sz="4" w:space="0"/>
            </w:tcBorders>
            <w:vAlign w:val="center"/>
          </w:tcPr>
          <w:p w14:paraId="67126DD2">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14:paraId="0AD8DFB0">
            <w:pPr>
              <w:widowControl/>
              <w:topLinePunct/>
              <w:jc w:val="center"/>
              <w:rPr>
                <w:rFonts w:ascii="宋体" w:hAnsi="宋体" w:cs="宋体"/>
                <w:color w:val="000000" w:themeColor="text1"/>
                <w:kern w:val="0"/>
                <w:szCs w:val="21"/>
                <w:highlight w:val="none"/>
                <w14:textFill>
                  <w14:solidFill>
                    <w14:schemeClr w14:val="tx1"/>
                  </w14:solidFill>
                </w14:textFill>
              </w:rPr>
            </w:pPr>
          </w:p>
        </w:tc>
      </w:tr>
      <w:tr w14:paraId="4F6B34CB">
        <w:tblPrEx>
          <w:tblCellMar>
            <w:top w:w="0" w:type="dxa"/>
            <w:left w:w="108" w:type="dxa"/>
            <w:bottom w:w="0" w:type="dxa"/>
            <w:right w:w="108" w:type="dxa"/>
          </w:tblCellMar>
        </w:tblPrEx>
        <w:trPr>
          <w:trHeight w:val="660" w:hRule="atLeast"/>
        </w:trPr>
        <w:tc>
          <w:tcPr>
            <w:tcW w:w="851" w:type="dxa"/>
            <w:vMerge w:val="continue"/>
            <w:tcBorders>
              <w:top w:val="nil"/>
              <w:left w:val="single" w:color="auto" w:sz="4" w:space="0"/>
              <w:bottom w:val="single" w:color="auto" w:sz="4" w:space="0"/>
              <w:right w:val="single" w:color="auto" w:sz="4" w:space="0"/>
            </w:tcBorders>
            <w:vAlign w:val="center"/>
          </w:tcPr>
          <w:p w14:paraId="1FA5ABE2">
            <w:pPr>
              <w:widowControl/>
              <w:topLinePunct/>
              <w:jc w:val="left"/>
              <w:rPr>
                <w:rFonts w:ascii="宋体" w:hAnsi="宋体" w:cs="宋体"/>
                <w:color w:val="000000" w:themeColor="text1"/>
                <w:kern w:val="0"/>
                <w:szCs w:val="21"/>
                <w:highlight w:val="none"/>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14:paraId="1BEAAFC7">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850" w:type="dxa"/>
            <w:tcBorders>
              <w:top w:val="nil"/>
              <w:left w:val="nil"/>
              <w:bottom w:val="single" w:color="auto" w:sz="4" w:space="0"/>
              <w:right w:val="single" w:color="auto" w:sz="4" w:space="0"/>
            </w:tcBorders>
            <w:vAlign w:val="center"/>
          </w:tcPr>
          <w:p w14:paraId="5B38D5C1">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993" w:type="dxa"/>
            <w:tcBorders>
              <w:top w:val="nil"/>
              <w:left w:val="nil"/>
              <w:bottom w:val="single" w:color="auto" w:sz="4" w:space="0"/>
              <w:right w:val="single" w:color="auto" w:sz="4" w:space="0"/>
            </w:tcBorders>
            <w:vAlign w:val="center"/>
          </w:tcPr>
          <w:p w14:paraId="57CDE9D2">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1417" w:type="dxa"/>
            <w:tcBorders>
              <w:top w:val="nil"/>
              <w:left w:val="nil"/>
              <w:bottom w:val="single" w:color="auto" w:sz="4" w:space="0"/>
              <w:right w:val="single" w:color="auto" w:sz="4" w:space="0"/>
            </w:tcBorders>
            <w:vAlign w:val="center"/>
          </w:tcPr>
          <w:p w14:paraId="09413213">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1418" w:type="dxa"/>
            <w:tcBorders>
              <w:top w:val="nil"/>
              <w:left w:val="nil"/>
              <w:bottom w:val="single" w:color="auto" w:sz="4" w:space="0"/>
              <w:right w:val="single" w:color="auto" w:sz="4" w:space="0"/>
            </w:tcBorders>
            <w:vAlign w:val="center"/>
          </w:tcPr>
          <w:p w14:paraId="013C3DF3">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992" w:type="dxa"/>
            <w:tcBorders>
              <w:top w:val="nil"/>
              <w:left w:val="nil"/>
              <w:bottom w:val="single" w:color="auto" w:sz="4" w:space="0"/>
              <w:right w:val="single" w:color="auto" w:sz="4" w:space="0"/>
            </w:tcBorders>
            <w:vAlign w:val="center"/>
          </w:tcPr>
          <w:p w14:paraId="7664DC86">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14:paraId="69DE58A4">
            <w:pPr>
              <w:widowControl/>
              <w:topLinePunct/>
              <w:jc w:val="center"/>
              <w:rPr>
                <w:rFonts w:ascii="宋体" w:hAnsi="宋体" w:cs="宋体"/>
                <w:color w:val="000000" w:themeColor="text1"/>
                <w:kern w:val="0"/>
                <w:szCs w:val="21"/>
                <w:highlight w:val="none"/>
                <w14:textFill>
                  <w14:solidFill>
                    <w14:schemeClr w14:val="tx1"/>
                  </w14:solidFill>
                </w14:textFill>
              </w:rPr>
            </w:pPr>
          </w:p>
        </w:tc>
      </w:tr>
      <w:tr w14:paraId="2F288D8A">
        <w:tblPrEx>
          <w:tblCellMar>
            <w:top w:w="0" w:type="dxa"/>
            <w:left w:w="108" w:type="dxa"/>
            <w:bottom w:w="0" w:type="dxa"/>
            <w:right w:w="108" w:type="dxa"/>
          </w:tblCellMar>
        </w:tblPrEx>
        <w:trPr>
          <w:trHeight w:val="660" w:hRule="atLeast"/>
        </w:trPr>
        <w:tc>
          <w:tcPr>
            <w:tcW w:w="851" w:type="dxa"/>
            <w:vMerge w:val="continue"/>
            <w:tcBorders>
              <w:top w:val="nil"/>
              <w:left w:val="single" w:color="auto" w:sz="4" w:space="0"/>
              <w:bottom w:val="single" w:color="auto" w:sz="4" w:space="0"/>
              <w:right w:val="single" w:color="auto" w:sz="4" w:space="0"/>
            </w:tcBorders>
            <w:vAlign w:val="center"/>
          </w:tcPr>
          <w:p w14:paraId="74AF1AAE">
            <w:pPr>
              <w:widowControl/>
              <w:topLinePunct/>
              <w:jc w:val="left"/>
              <w:rPr>
                <w:rFonts w:ascii="宋体" w:hAnsi="宋体" w:cs="宋体"/>
                <w:color w:val="000000" w:themeColor="text1"/>
                <w:kern w:val="0"/>
                <w:szCs w:val="21"/>
                <w:highlight w:val="none"/>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14:paraId="5E6C6C1F">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850" w:type="dxa"/>
            <w:tcBorders>
              <w:top w:val="nil"/>
              <w:left w:val="nil"/>
              <w:bottom w:val="single" w:color="auto" w:sz="4" w:space="0"/>
              <w:right w:val="single" w:color="auto" w:sz="4" w:space="0"/>
            </w:tcBorders>
            <w:vAlign w:val="center"/>
          </w:tcPr>
          <w:p w14:paraId="786CC86B">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993" w:type="dxa"/>
            <w:tcBorders>
              <w:top w:val="nil"/>
              <w:left w:val="nil"/>
              <w:bottom w:val="single" w:color="auto" w:sz="4" w:space="0"/>
              <w:right w:val="single" w:color="auto" w:sz="4" w:space="0"/>
            </w:tcBorders>
            <w:vAlign w:val="center"/>
          </w:tcPr>
          <w:p w14:paraId="2D139073">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1417" w:type="dxa"/>
            <w:tcBorders>
              <w:top w:val="nil"/>
              <w:left w:val="nil"/>
              <w:bottom w:val="single" w:color="auto" w:sz="4" w:space="0"/>
              <w:right w:val="single" w:color="auto" w:sz="4" w:space="0"/>
            </w:tcBorders>
            <w:vAlign w:val="center"/>
          </w:tcPr>
          <w:p w14:paraId="076CDFE2">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1418" w:type="dxa"/>
            <w:tcBorders>
              <w:top w:val="nil"/>
              <w:left w:val="nil"/>
              <w:bottom w:val="single" w:color="auto" w:sz="4" w:space="0"/>
              <w:right w:val="single" w:color="auto" w:sz="4" w:space="0"/>
            </w:tcBorders>
            <w:vAlign w:val="center"/>
          </w:tcPr>
          <w:p w14:paraId="79DEAAB1">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992" w:type="dxa"/>
            <w:tcBorders>
              <w:top w:val="nil"/>
              <w:left w:val="nil"/>
              <w:bottom w:val="single" w:color="auto" w:sz="4" w:space="0"/>
              <w:right w:val="single" w:color="auto" w:sz="4" w:space="0"/>
            </w:tcBorders>
            <w:vAlign w:val="center"/>
          </w:tcPr>
          <w:p w14:paraId="3818A41E">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14:paraId="636E6138">
            <w:pPr>
              <w:widowControl/>
              <w:topLinePunct/>
              <w:jc w:val="center"/>
              <w:rPr>
                <w:rFonts w:ascii="宋体" w:hAnsi="宋体" w:cs="宋体"/>
                <w:color w:val="000000" w:themeColor="text1"/>
                <w:kern w:val="0"/>
                <w:szCs w:val="21"/>
                <w:highlight w:val="none"/>
                <w14:textFill>
                  <w14:solidFill>
                    <w14:schemeClr w14:val="tx1"/>
                  </w14:solidFill>
                </w14:textFill>
              </w:rPr>
            </w:pPr>
          </w:p>
        </w:tc>
      </w:tr>
      <w:tr w14:paraId="244DAC47">
        <w:tblPrEx>
          <w:tblCellMar>
            <w:top w:w="0" w:type="dxa"/>
            <w:left w:w="108" w:type="dxa"/>
            <w:bottom w:w="0" w:type="dxa"/>
            <w:right w:w="108" w:type="dxa"/>
          </w:tblCellMar>
        </w:tblPrEx>
        <w:trPr>
          <w:trHeight w:val="1890" w:hRule="atLeast"/>
        </w:trPr>
        <w:tc>
          <w:tcPr>
            <w:tcW w:w="8789" w:type="dxa"/>
            <w:gridSpan w:val="8"/>
            <w:tcBorders>
              <w:top w:val="nil"/>
              <w:left w:val="nil"/>
              <w:bottom w:val="nil"/>
              <w:right w:val="nil"/>
            </w:tcBorders>
            <w:vAlign w:val="center"/>
          </w:tcPr>
          <w:p w14:paraId="6730ACEC">
            <w:pPr>
              <w:widowControl/>
              <w:topLinePunct/>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 xml:space="preserve">承诺：我单位在本表中已如实申报，如未如实申报接受取消参与资格和业务合同的处罚                          </w:t>
            </w:r>
            <w:r>
              <w:rPr>
                <w:rFonts w:hint="eastAsia" w:ascii="宋体" w:hAnsi="宋体" w:cs="宋体"/>
                <w:color w:val="000000" w:themeColor="text1"/>
                <w:kern w:val="0"/>
                <w:szCs w:val="21"/>
                <w:highlight w:val="none"/>
                <w14:textFill>
                  <w14:solidFill>
                    <w14:schemeClr w14:val="tx1"/>
                  </w14:solidFill>
                </w14:textFill>
              </w:rPr>
              <w:t xml:space="preserve">                                                                          注：1.如未有相关情况，请在相应栏填写“无”；</w:t>
            </w:r>
          </w:p>
          <w:p w14:paraId="12060A33">
            <w:pPr>
              <w:widowControl/>
              <w:topLinePun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2.如申报单位为贵州省通信产业服务有限公司及其控股子公司，只需申报与中国电信贵州分公司相关信息。</w:t>
            </w:r>
          </w:p>
        </w:tc>
      </w:tr>
      <w:tr w14:paraId="279CD446">
        <w:tblPrEx>
          <w:tblCellMar>
            <w:top w:w="0" w:type="dxa"/>
            <w:left w:w="108" w:type="dxa"/>
            <w:bottom w:w="0" w:type="dxa"/>
            <w:right w:w="108" w:type="dxa"/>
          </w:tblCellMar>
        </w:tblPrEx>
        <w:trPr>
          <w:trHeight w:val="1665" w:hRule="atLeast"/>
        </w:trPr>
        <w:tc>
          <w:tcPr>
            <w:tcW w:w="8789" w:type="dxa"/>
            <w:gridSpan w:val="8"/>
            <w:tcBorders>
              <w:top w:val="nil"/>
              <w:left w:val="nil"/>
              <w:bottom w:val="nil"/>
              <w:right w:val="nil"/>
            </w:tcBorders>
            <w:vAlign w:val="center"/>
          </w:tcPr>
          <w:p w14:paraId="53CC2029">
            <w:pPr>
              <w:widowControl/>
              <w:topLinePunct/>
              <w:jc w:val="center"/>
              <w:rPr>
                <w:rFonts w:hint="eastAsia" w:ascii="宋体" w:hAnsi="宋体" w:eastAsia="宋体" w:cs="宋体"/>
                <w:color w:val="000000" w:themeColor="text1"/>
                <w:kern w:val="0"/>
                <w:szCs w:val="21"/>
                <w:highlight w:val="none"/>
                <w:u w:val="singl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申报单位名称：</w:t>
            </w:r>
            <w:r>
              <w:rPr>
                <w:rFonts w:hint="eastAsia" w:ascii="宋体" w:hAnsi="宋体" w:cs="宋体"/>
                <w:color w:val="000000" w:themeColor="text1"/>
                <w:kern w:val="0"/>
                <w:szCs w:val="21"/>
                <w:highlight w:val="none"/>
                <w:u w:val="single"/>
                <w14:textFill>
                  <w14:solidFill>
                    <w14:schemeClr w14:val="tx1"/>
                  </w14:solidFill>
                </w14:textFill>
              </w:rPr>
              <w:t>　　　　　　　　</w:t>
            </w:r>
            <w:r>
              <w:rPr>
                <w:rFonts w:hint="eastAsia" w:ascii="宋体" w:hAnsi="宋体" w:cs="宋体"/>
                <w:color w:val="000000" w:themeColor="text1"/>
                <w:kern w:val="0"/>
                <w:szCs w:val="21"/>
                <w:highlight w:val="none"/>
                <w14:textFill>
                  <w14:solidFill>
                    <w14:schemeClr w14:val="tx1"/>
                  </w14:solidFill>
                </w14:textFill>
              </w:rPr>
              <w:t xml:space="preserve">                                                                       </w:t>
            </w:r>
            <w:r>
              <w:rPr>
                <w:rFonts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申报人 （签字）：</w:t>
            </w:r>
            <w:r>
              <w:rPr>
                <w:rFonts w:hint="eastAsia" w:ascii="宋体" w:hAnsi="宋体" w:cs="宋体"/>
                <w:color w:val="000000" w:themeColor="text1"/>
                <w:kern w:val="0"/>
                <w:szCs w:val="21"/>
                <w:highlight w:val="none"/>
                <w:u w:val="single"/>
                <w14:textFill>
                  <w14:solidFill>
                    <w14:schemeClr w14:val="tx1"/>
                  </w14:solidFill>
                </w14:textFill>
              </w:rPr>
              <w:t xml:space="preserve">       </w:t>
            </w:r>
          </w:p>
          <w:p w14:paraId="7A6C183F">
            <w:pPr>
              <w:widowControl/>
              <w:topLinePun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w:t>
            </w:r>
            <w:r>
              <w:rPr>
                <w:rFonts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日期： </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年 </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月</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日</w:t>
            </w:r>
          </w:p>
        </w:tc>
      </w:tr>
    </w:tbl>
    <w:p w14:paraId="2769713C">
      <w:pPr>
        <w:rPr>
          <w:rFonts w:asciiTheme="minorEastAsia" w:hAnsiTheme="minorEastAsia" w:eastAsiaTheme="minorEastAsia"/>
          <w:highlight w:val="none"/>
        </w:rPr>
      </w:pPr>
      <w:r>
        <w:rPr>
          <w:rFonts w:asciiTheme="minorEastAsia" w:hAnsiTheme="minorEastAsia" w:eastAsiaTheme="minorEastAsia"/>
          <w:highlight w:val="none"/>
        </w:rPr>
        <w:br w:type="page"/>
      </w:r>
    </w:p>
    <w:p w14:paraId="643659ED">
      <w:pPr>
        <w:widowControl w:val="0"/>
        <w:numPr>
          <w:ilvl w:val="0"/>
          <w:numId w:val="0"/>
        </w:numPr>
        <w:tabs>
          <w:tab w:val="left" w:pos="588"/>
        </w:tabs>
        <w:snapToGrid w:val="0"/>
        <w:spacing w:before="120" w:after="120" w:line="440" w:lineRule="exact"/>
        <w:ind w:left="635" w:leftChars="0" w:hanging="425" w:firstLineChars="0"/>
        <w:jc w:val="left"/>
        <w:outlineLvl w:val="0"/>
        <w:rPr>
          <w:rFonts w:ascii="宋体" w:hAnsi="宋体" w:eastAsia="宋体" w:cs="Times New Roman"/>
          <w:b/>
          <w:bCs/>
          <w:color w:val="000000" w:themeColor="text1"/>
          <w:kern w:val="2"/>
          <w:sz w:val="24"/>
          <w:szCs w:val="24"/>
          <w:lang w:val="en-US" w:eastAsia="zh-CN" w:bidi="ar-SA"/>
          <w14:textFill>
            <w14:solidFill>
              <w14:schemeClr w14:val="tx1"/>
            </w14:solidFill>
          </w14:textFill>
        </w:rPr>
      </w:pPr>
      <w:bookmarkStart w:id="971" w:name="_Toc9047"/>
      <w:bookmarkStart w:id="972" w:name="_Toc12199"/>
      <w:bookmarkStart w:id="973" w:name="_Toc15839"/>
      <w:r>
        <w:rPr>
          <w:rFonts w:hint="eastAsia" w:ascii="宋体" w:hAnsi="宋体" w:cs="Times New Roman"/>
          <w:b/>
          <w:bCs/>
          <w:color w:val="000000" w:themeColor="text1"/>
          <w:kern w:val="2"/>
          <w:sz w:val="24"/>
          <w:szCs w:val="24"/>
          <w:lang w:val="en-US" w:eastAsia="zh-CN" w:bidi="ar-SA"/>
          <w14:textFill>
            <w14:solidFill>
              <w14:schemeClr w14:val="tx1"/>
            </w14:solidFill>
          </w14:textFill>
        </w:rPr>
        <w:t>16.</w:t>
      </w:r>
      <w:r>
        <w:rPr>
          <w:rFonts w:hint="eastAsia" w:ascii="宋体" w:hAnsi="宋体" w:eastAsia="宋体" w:cs="Times New Roman"/>
          <w:b/>
          <w:bCs/>
          <w:color w:val="000000" w:themeColor="text1"/>
          <w:kern w:val="2"/>
          <w:sz w:val="24"/>
          <w:szCs w:val="24"/>
          <w:lang w:val="en-US" w:eastAsia="zh-CN" w:bidi="ar-SA"/>
          <w14:textFill>
            <w14:solidFill>
              <w14:schemeClr w14:val="tx1"/>
            </w14:solidFill>
          </w14:textFill>
        </w:rPr>
        <w:t>商务条款偏离表</w:t>
      </w:r>
      <w:bookmarkEnd w:id="971"/>
      <w:bookmarkEnd w:id="972"/>
      <w:bookmarkEnd w:id="973"/>
    </w:p>
    <w:p w14:paraId="75709140">
      <w:pPr>
        <w:rPr>
          <w:rFonts w:ascii="宋体" w:hAnsi="宋体" w:eastAsia="宋体" w:cs="宋体"/>
          <w:color w:val="000000" w:themeColor="text1"/>
          <w14:textFill>
            <w14:solidFill>
              <w14:schemeClr w14:val="tx1"/>
            </w14:solidFill>
          </w14:textFill>
        </w:rPr>
      </w:pPr>
    </w:p>
    <w:p w14:paraId="1040E444">
      <w:pPr>
        <w:widowControl w:val="0"/>
        <w:ind w:firstLine="0" w:firstLineChars="0"/>
        <w:jc w:val="center"/>
        <w:rPr>
          <w:rFonts w:ascii="宋体" w:hAnsi="宋体" w:eastAsia="宋体" w:cs="Times New Roman"/>
          <w:b/>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color w:val="000000" w:themeColor="text1"/>
          <w:kern w:val="2"/>
          <w:sz w:val="24"/>
          <w:szCs w:val="24"/>
          <w:lang w:val="en-US" w:eastAsia="zh-CN" w:bidi="ar-SA"/>
          <w14:textFill>
            <w14:solidFill>
              <w14:schemeClr w14:val="tx1"/>
            </w14:solidFill>
          </w14:textFill>
        </w:rPr>
        <w:t>商务条款偏离表</w:t>
      </w:r>
    </w:p>
    <w:p w14:paraId="16C85312">
      <w:pPr>
        <w:jc w:val="center"/>
        <w:rPr>
          <w:rFonts w:ascii="宋体" w:hAnsi="宋体" w:eastAsia="宋体" w:cs="宋体"/>
          <w:color w:val="000000" w:themeColor="text1"/>
          <w:sz w:val="24"/>
          <w14:textFill>
            <w14:solidFill>
              <w14:schemeClr w14:val="tx1"/>
            </w14:solidFill>
          </w14:textFill>
        </w:rPr>
      </w:pPr>
    </w:p>
    <w:p w14:paraId="1B88F15A">
      <w:pPr>
        <w:adjustRightInd w:val="0"/>
        <w:snapToGrid w:val="0"/>
        <w:spacing w:after="120"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项目名称：</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招标编号：</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标包：</w:t>
      </w:r>
      <w:r>
        <w:rPr>
          <w:rFonts w:hint="eastAsia" w:ascii="宋体" w:hAnsi="宋体" w:eastAsia="宋体" w:cs="宋体"/>
          <w:color w:val="000000" w:themeColor="text1"/>
          <w:szCs w:val="21"/>
          <w:u w:val="single"/>
          <w14:textFill>
            <w14:solidFill>
              <w14:schemeClr w14:val="tx1"/>
            </w14:solidFill>
          </w14:textFill>
        </w:rPr>
        <w:t xml:space="preserve">       </w:t>
      </w:r>
    </w:p>
    <w:tbl>
      <w:tblPr>
        <w:tblStyle w:val="85"/>
        <w:tblW w:w="8438" w:type="dxa"/>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5"/>
        <w:gridCol w:w="1746"/>
        <w:gridCol w:w="3541"/>
        <w:gridCol w:w="1102"/>
        <w:gridCol w:w="1364"/>
      </w:tblGrid>
      <w:tr w14:paraId="0D6EC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3" w:hRule="atLeast"/>
        </w:trPr>
        <w:tc>
          <w:tcPr>
            <w:tcW w:w="685" w:type="dxa"/>
            <w:vAlign w:val="center"/>
          </w:tcPr>
          <w:p w14:paraId="35A29D73">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序号</w:t>
            </w:r>
          </w:p>
        </w:tc>
        <w:tc>
          <w:tcPr>
            <w:tcW w:w="1746" w:type="dxa"/>
            <w:vAlign w:val="center"/>
          </w:tcPr>
          <w:p w14:paraId="11931ADA">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招标文件条目号</w:t>
            </w:r>
          </w:p>
        </w:tc>
        <w:tc>
          <w:tcPr>
            <w:tcW w:w="3541" w:type="dxa"/>
            <w:vAlign w:val="center"/>
          </w:tcPr>
          <w:p w14:paraId="7B5DDBB7">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招标文件的</w:t>
            </w:r>
            <w:r>
              <w:rPr>
                <w:rFonts w:hint="eastAsia" w:ascii="宋体" w:hAnsi="宋体" w:eastAsia="宋体" w:cs="宋体"/>
                <w:color w:val="000000" w:themeColor="text1"/>
                <w:szCs w:val="21"/>
                <w14:textFill>
                  <w14:solidFill>
                    <w14:schemeClr w14:val="tx1"/>
                  </w14:solidFill>
                </w14:textFill>
              </w:rPr>
              <w:t>商务</w:t>
            </w:r>
            <w:r>
              <w:rPr>
                <w:rFonts w:ascii="宋体" w:hAnsi="宋体" w:eastAsia="宋体" w:cs="宋体"/>
                <w:color w:val="000000" w:themeColor="text1"/>
                <w:szCs w:val="21"/>
                <w14:textFill>
                  <w14:solidFill>
                    <w14:schemeClr w14:val="tx1"/>
                  </w14:solidFill>
                </w14:textFill>
              </w:rPr>
              <w:t>条款</w:t>
            </w:r>
          </w:p>
        </w:tc>
        <w:tc>
          <w:tcPr>
            <w:tcW w:w="1102" w:type="dxa"/>
            <w:vAlign w:val="center"/>
          </w:tcPr>
          <w:p w14:paraId="5B92E24B">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投标</w:t>
            </w:r>
            <w:r>
              <w:rPr>
                <w:rFonts w:hint="eastAsia" w:ascii="宋体" w:hAnsi="宋体" w:eastAsia="宋体" w:cs="宋体"/>
                <w:color w:val="000000" w:themeColor="text1"/>
                <w:szCs w:val="21"/>
                <w14:textFill>
                  <w14:solidFill>
                    <w14:schemeClr w14:val="tx1"/>
                  </w14:solidFill>
                </w14:textFill>
              </w:rPr>
              <w:t>文件</w:t>
            </w:r>
            <w:r>
              <w:rPr>
                <w:rFonts w:ascii="宋体" w:hAnsi="宋体" w:eastAsia="宋体" w:cs="宋体"/>
                <w:color w:val="000000" w:themeColor="text1"/>
                <w:szCs w:val="21"/>
                <w14:textFill>
                  <w14:solidFill>
                    <w14:schemeClr w14:val="tx1"/>
                  </w14:solidFill>
                </w14:textFill>
              </w:rPr>
              <w:t>偏离情况</w:t>
            </w:r>
          </w:p>
        </w:tc>
        <w:tc>
          <w:tcPr>
            <w:tcW w:w="1364" w:type="dxa"/>
            <w:vAlign w:val="center"/>
          </w:tcPr>
          <w:p w14:paraId="5B7D2651">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说明</w:t>
            </w:r>
          </w:p>
        </w:tc>
      </w:tr>
      <w:tr w14:paraId="1D4C7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1" w:hRule="atLeast"/>
        </w:trPr>
        <w:tc>
          <w:tcPr>
            <w:tcW w:w="685" w:type="dxa"/>
            <w:vAlign w:val="center"/>
          </w:tcPr>
          <w:p w14:paraId="2D3032E1">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1746" w:type="dxa"/>
            <w:vAlign w:val="center"/>
          </w:tcPr>
          <w:p w14:paraId="0D2972B2">
            <w:pPr>
              <w:autoSpaceDE w:val="0"/>
              <w:autoSpaceDN w:val="0"/>
              <w:rPr>
                <w:rFonts w:ascii="宋体" w:hAnsi="宋体" w:eastAsia="宋体" w:cs="Times New Roman"/>
                <w:color w:val="000000" w:themeColor="text1"/>
                <w:szCs w:val="21"/>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服务</w:t>
            </w:r>
            <w:r>
              <w:rPr>
                <w:rFonts w:hint="eastAsia" w:ascii="宋体" w:hAnsi="宋体" w:cs="宋体"/>
                <w:color w:val="000000" w:themeColor="text1"/>
                <w:szCs w:val="21"/>
                <w:highlight w:val="none"/>
                <w14:textFill>
                  <w14:solidFill>
                    <w14:schemeClr w14:val="tx1"/>
                  </w14:solidFill>
                </w14:textFill>
              </w:rPr>
              <w:t>地点</w:t>
            </w:r>
          </w:p>
        </w:tc>
        <w:tc>
          <w:tcPr>
            <w:tcW w:w="3541" w:type="dxa"/>
            <w:vAlign w:val="center"/>
          </w:tcPr>
          <w:p w14:paraId="2D9169CE">
            <w:pPr>
              <w:autoSpaceDE w:val="0"/>
              <w:autoSpaceDN w:val="0"/>
              <w:rPr>
                <w:rFonts w:ascii="宋体" w:hAnsi="宋体" w:eastAsia="宋体" w:cs="Times New Roman"/>
                <w:color w:val="000000" w:themeColor="text1"/>
                <w:szCs w:val="21"/>
                <w14:textFill>
                  <w14:solidFill>
                    <w14:schemeClr w14:val="tx1"/>
                  </w14:solidFill>
                </w14:textFill>
              </w:rPr>
            </w:pPr>
            <w:r>
              <w:rPr>
                <w:rFonts w:hint="eastAsia" w:ascii="宋体" w:hAnsi="宋体" w:cs="宋体"/>
                <w:bCs/>
                <w:szCs w:val="21"/>
                <w:highlight w:val="none"/>
                <w:lang w:val="en-US" w:eastAsia="zh-CN"/>
              </w:rPr>
              <w:t>贵州省遵义市红花岗区</w:t>
            </w:r>
          </w:p>
        </w:tc>
        <w:tc>
          <w:tcPr>
            <w:tcW w:w="1102" w:type="dxa"/>
            <w:vAlign w:val="center"/>
          </w:tcPr>
          <w:p w14:paraId="249A0330">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364" w:type="dxa"/>
            <w:vAlign w:val="center"/>
          </w:tcPr>
          <w:p w14:paraId="4EB7D598">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r w14:paraId="624FE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5" w:hRule="atLeast"/>
        </w:trPr>
        <w:tc>
          <w:tcPr>
            <w:tcW w:w="685" w:type="dxa"/>
            <w:vAlign w:val="center"/>
          </w:tcPr>
          <w:p w14:paraId="6061AE2D">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1746" w:type="dxa"/>
            <w:vAlign w:val="center"/>
          </w:tcPr>
          <w:p w14:paraId="5E4A34DB">
            <w:pPr>
              <w:autoSpaceDE w:val="0"/>
              <w:autoSpaceDN w:val="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保修期</w:t>
            </w:r>
          </w:p>
        </w:tc>
        <w:tc>
          <w:tcPr>
            <w:tcW w:w="3541" w:type="dxa"/>
            <w:vAlign w:val="center"/>
          </w:tcPr>
          <w:p w14:paraId="34327895">
            <w:pPr>
              <w:autoSpaceDE w:val="0"/>
              <w:autoSpaceDN w:val="0"/>
              <w:rPr>
                <w:rFonts w:ascii="宋体" w:hAnsi="宋体" w:eastAsia="宋体" w:cs="宋体"/>
                <w:color w:val="000000" w:themeColor="text1"/>
                <w:szCs w:val="21"/>
                <w14:textFill>
                  <w14:solidFill>
                    <w14:schemeClr w14:val="tx1"/>
                  </w14:solidFill>
                </w14:textFill>
              </w:rPr>
            </w:pPr>
            <w:r>
              <w:rPr>
                <w:rFonts w:hint="eastAsia" w:ascii="宋体" w:hAnsi="宋体" w:cs="宋体"/>
                <w:bCs/>
                <w:szCs w:val="21"/>
                <w:highlight w:val="none"/>
                <w:lang w:val="en-US" w:eastAsia="zh-CN"/>
              </w:rPr>
              <w:t>软件保修期为12个月，质保期自项目正式验收合格之日起计算。</w:t>
            </w:r>
          </w:p>
        </w:tc>
        <w:tc>
          <w:tcPr>
            <w:tcW w:w="1102" w:type="dxa"/>
            <w:vAlign w:val="center"/>
          </w:tcPr>
          <w:p w14:paraId="333D2B02">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364" w:type="dxa"/>
            <w:vAlign w:val="center"/>
          </w:tcPr>
          <w:p w14:paraId="53D115E2">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r w14:paraId="6E556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1DF4229A">
            <w:pPr>
              <w:adjustRightInd w:val="0"/>
              <w:snapToGrid w:val="0"/>
              <w:spacing w:line="44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w:t>
            </w:r>
          </w:p>
        </w:tc>
        <w:tc>
          <w:tcPr>
            <w:tcW w:w="1746" w:type="dxa"/>
            <w:vAlign w:val="center"/>
          </w:tcPr>
          <w:p w14:paraId="1C93A506">
            <w:pPr>
              <w:autoSpaceDE w:val="0"/>
              <w:autoSpaceDN w:val="0"/>
              <w:rPr>
                <w:rFonts w:hint="eastAsia" w:ascii="宋体" w:hAnsi="宋体" w:eastAsia="宋体" w:cs="Times New Roman"/>
                <w:color w:val="000000"/>
                <w:szCs w:val="21"/>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支付方式</w:t>
            </w:r>
          </w:p>
        </w:tc>
        <w:tc>
          <w:tcPr>
            <w:tcW w:w="3541" w:type="dxa"/>
            <w:vAlign w:val="center"/>
          </w:tcPr>
          <w:p w14:paraId="696A6C6F">
            <w:pPr>
              <w:autoSpaceDE w:val="0"/>
              <w:autoSpaceDN w:val="0"/>
              <w:rPr>
                <w:rFonts w:hint="eastAsia" w:ascii="宋体" w:hAnsi="宋体" w:cs="宋体"/>
                <w:bCs/>
                <w:szCs w:val="21"/>
                <w:highlight w:val="none"/>
              </w:rPr>
            </w:pPr>
            <w:r>
              <w:rPr>
                <w:rFonts w:hint="eastAsia" w:ascii="宋体" w:hAnsi="宋体" w:cs="宋体"/>
                <w:bCs/>
                <w:szCs w:val="21"/>
                <w:highlight w:val="none"/>
              </w:rPr>
              <w:t>甲乙双方框架合同签订后，合同订单金额由甲方下单并验收合格后且甲方收到乙方下列全部单据后[30]个工作日内，向乙方支付该笔订单[99]%的款项 ：</w:t>
            </w:r>
          </w:p>
          <w:p w14:paraId="75E65333">
            <w:pPr>
              <w:numPr>
                <w:ilvl w:val="0"/>
                <w:numId w:val="97"/>
              </w:numPr>
              <w:autoSpaceDE w:val="0"/>
              <w:autoSpaceDN w:val="0"/>
              <w:rPr>
                <w:rFonts w:hint="eastAsia" w:ascii="宋体" w:hAnsi="宋体" w:cs="宋体"/>
                <w:bCs/>
                <w:szCs w:val="21"/>
                <w:highlight w:val="none"/>
              </w:rPr>
            </w:pPr>
            <w:r>
              <w:rPr>
                <w:rFonts w:hint="eastAsia" w:ascii="宋体" w:hAnsi="宋体" w:cs="宋体"/>
                <w:bCs/>
                <w:szCs w:val="21"/>
                <w:highlight w:val="none"/>
              </w:rPr>
              <w:t>付款通知书，原件一份。</w:t>
            </w:r>
          </w:p>
          <w:p w14:paraId="068BB913">
            <w:pPr>
              <w:numPr>
                <w:ilvl w:val="0"/>
                <w:numId w:val="97"/>
              </w:numPr>
              <w:autoSpaceDE w:val="0"/>
              <w:autoSpaceDN w:val="0"/>
              <w:rPr>
                <w:rFonts w:hint="eastAsia" w:ascii="宋体" w:hAnsi="宋体" w:cs="宋体"/>
                <w:bCs/>
                <w:szCs w:val="21"/>
                <w:highlight w:val="none"/>
              </w:rPr>
            </w:pPr>
            <w:r>
              <w:rPr>
                <w:rFonts w:hint="eastAsia" w:ascii="宋体" w:hAnsi="宋体" w:cs="宋体"/>
                <w:bCs/>
                <w:szCs w:val="21"/>
                <w:highlight w:val="none"/>
              </w:rPr>
              <w:t>相应金额的、符合国家规定的增值税专用发票</w:t>
            </w:r>
          </w:p>
          <w:p w14:paraId="3A28A96F">
            <w:pPr>
              <w:autoSpaceDE w:val="0"/>
              <w:autoSpaceDN w:val="0"/>
              <w:rPr>
                <w:rFonts w:hint="eastAsia" w:ascii="宋体" w:hAnsi="宋体" w:cs="宋体"/>
                <w:bCs/>
                <w:szCs w:val="21"/>
                <w:highlight w:val="none"/>
              </w:rPr>
            </w:pPr>
            <w:r>
              <w:rPr>
                <w:rFonts w:hint="eastAsia" w:ascii="宋体" w:hAnsi="宋体" w:cs="宋体"/>
                <w:bCs/>
                <w:szCs w:val="21"/>
                <w:highlight w:val="none"/>
              </w:rPr>
              <w:t>(3)项目验收报告原件一份。</w:t>
            </w:r>
          </w:p>
          <w:p w14:paraId="77931B44">
            <w:pPr>
              <w:autoSpaceDE w:val="0"/>
              <w:autoSpaceDN w:val="0"/>
              <w:rPr>
                <w:rFonts w:hint="eastAsia" w:ascii="宋体" w:hAnsi="宋体" w:cs="宋体"/>
                <w:bCs/>
                <w:szCs w:val="21"/>
                <w:highlight w:val="none"/>
              </w:rPr>
            </w:pPr>
            <w:r>
              <w:rPr>
                <w:rFonts w:hint="eastAsia" w:ascii="宋体" w:hAnsi="宋体" w:cs="宋体"/>
                <w:bCs/>
                <w:szCs w:val="21"/>
                <w:highlight w:val="none"/>
              </w:rPr>
              <w:t>维保期满后，甲方收到乙方提供的下列全部单据后[30]个工作日内，甲方向乙方支付该笔订单剩余[1]%的款项：</w:t>
            </w:r>
          </w:p>
          <w:p w14:paraId="0C1D1342">
            <w:pPr>
              <w:autoSpaceDE w:val="0"/>
              <w:autoSpaceDN w:val="0"/>
              <w:rPr>
                <w:rFonts w:hint="eastAsia" w:ascii="宋体" w:hAnsi="宋体" w:cs="宋体"/>
                <w:bCs/>
                <w:szCs w:val="21"/>
                <w:highlight w:val="none"/>
              </w:rPr>
            </w:pPr>
            <w:r>
              <w:rPr>
                <w:rFonts w:hint="eastAsia" w:ascii="宋体" w:hAnsi="宋体" w:cs="宋体"/>
                <w:bCs/>
                <w:szCs w:val="21"/>
                <w:highlight w:val="none"/>
              </w:rPr>
              <w:t>(1)付款通知书，原件一份。</w:t>
            </w:r>
          </w:p>
          <w:p w14:paraId="1D9FC78B">
            <w:pPr>
              <w:autoSpaceDE w:val="0"/>
              <w:autoSpaceDN w:val="0"/>
              <w:rPr>
                <w:rFonts w:hint="eastAsia" w:ascii="宋体" w:hAnsi="宋体" w:cs="宋体"/>
                <w:bCs/>
                <w:szCs w:val="21"/>
                <w:highlight w:val="none"/>
              </w:rPr>
            </w:pPr>
            <w:r>
              <w:rPr>
                <w:rFonts w:hint="eastAsia" w:ascii="宋体" w:hAnsi="宋体" w:cs="宋体"/>
                <w:bCs/>
                <w:szCs w:val="21"/>
                <w:highlight w:val="none"/>
              </w:rPr>
              <w:t>(2)相应金额的、符合国家规定的增值税专用发票。</w:t>
            </w:r>
          </w:p>
          <w:p w14:paraId="67C13393">
            <w:pPr>
              <w:autoSpaceDE w:val="0"/>
              <w:autoSpaceDN w:val="0"/>
              <w:rPr>
                <w:rFonts w:hint="eastAsia" w:ascii="宋体" w:hAnsi="宋体" w:eastAsia="宋体" w:cs="宋体"/>
                <w:bCs/>
                <w:szCs w:val="21"/>
              </w:rPr>
            </w:pPr>
            <w:r>
              <w:rPr>
                <w:rFonts w:hint="eastAsia" w:ascii="宋体" w:hAnsi="宋体" w:cs="宋体"/>
                <w:bCs/>
                <w:szCs w:val="21"/>
                <w:highlight w:val="none"/>
              </w:rPr>
              <w:t>(3)保修期满证书原件</w:t>
            </w:r>
          </w:p>
        </w:tc>
        <w:tc>
          <w:tcPr>
            <w:tcW w:w="1102" w:type="dxa"/>
            <w:vAlign w:val="center"/>
          </w:tcPr>
          <w:p w14:paraId="7FC48ECC">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364" w:type="dxa"/>
            <w:vAlign w:val="center"/>
          </w:tcPr>
          <w:p w14:paraId="4AD5713D">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r w14:paraId="1A69D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12737B15">
            <w:pPr>
              <w:adjustRightInd w:val="0"/>
              <w:snapToGrid w:val="0"/>
              <w:spacing w:line="44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4</w:t>
            </w:r>
          </w:p>
        </w:tc>
        <w:tc>
          <w:tcPr>
            <w:tcW w:w="1746" w:type="dxa"/>
            <w:vAlign w:val="center"/>
          </w:tcPr>
          <w:p w14:paraId="04E271B8">
            <w:pPr>
              <w:autoSpaceDE w:val="0"/>
              <w:autoSpaceDN w:val="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合同</w:t>
            </w:r>
            <w:r>
              <w:rPr>
                <w:rFonts w:hint="eastAsia" w:ascii="宋体" w:hAnsi="宋体" w:cs="宋体"/>
                <w:color w:val="000000" w:themeColor="text1"/>
                <w:szCs w:val="21"/>
                <w:highlight w:val="none"/>
                <w:lang w:val="en-US" w:eastAsia="zh-CN"/>
                <w14:textFill>
                  <w14:solidFill>
                    <w14:schemeClr w14:val="tx1"/>
                  </w14:solidFill>
                </w14:textFill>
              </w:rPr>
              <w:t>履约期限</w:t>
            </w:r>
          </w:p>
        </w:tc>
        <w:tc>
          <w:tcPr>
            <w:tcW w:w="3541" w:type="dxa"/>
            <w:vAlign w:val="center"/>
          </w:tcPr>
          <w:p w14:paraId="40985588">
            <w:pPr>
              <w:autoSpaceDE w:val="0"/>
              <w:autoSpaceDN w:val="0"/>
              <w:rPr>
                <w:rFonts w:hint="default" w:ascii="宋体" w:hAnsi="宋体" w:cs="宋体"/>
                <w:bCs/>
                <w:szCs w:val="21"/>
                <w:highlight w:val="none"/>
                <w:lang w:val="en-US" w:eastAsia="zh-CN"/>
              </w:rPr>
            </w:pPr>
            <w:r>
              <w:rPr>
                <w:rFonts w:hint="eastAsia" w:ascii="宋体" w:hAnsi="宋体" w:cs="宋体"/>
                <w:bCs/>
                <w:szCs w:val="21"/>
                <w:highlight w:val="none"/>
                <w:lang w:val="en-US" w:eastAsia="zh-CN"/>
              </w:rPr>
              <w:t>合同签订之日起12个月</w:t>
            </w:r>
          </w:p>
        </w:tc>
        <w:tc>
          <w:tcPr>
            <w:tcW w:w="1102" w:type="dxa"/>
            <w:vAlign w:val="center"/>
          </w:tcPr>
          <w:p w14:paraId="5DA9AE1F">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364" w:type="dxa"/>
            <w:vAlign w:val="center"/>
          </w:tcPr>
          <w:p w14:paraId="7EF99E0C">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r w14:paraId="2970D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61AB9F8E">
            <w:pPr>
              <w:adjustRightInd w:val="0"/>
              <w:snapToGrid w:val="0"/>
              <w:spacing w:line="440" w:lineRule="exac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5</w:t>
            </w:r>
          </w:p>
        </w:tc>
        <w:tc>
          <w:tcPr>
            <w:tcW w:w="1746" w:type="dxa"/>
            <w:vAlign w:val="center"/>
          </w:tcPr>
          <w:p w14:paraId="4E72D365">
            <w:pPr>
              <w:autoSpaceDE w:val="0"/>
              <w:autoSpaceDN w:val="0"/>
              <w:rPr>
                <w:rFonts w:hint="default" w:ascii="宋体" w:hAnsi="宋体" w:eastAsia="宋体" w:cs="宋体"/>
                <w:bCs/>
                <w:szCs w:val="21"/>
                <w:lang w:val="en-US"/>
              </w:rPr>
            </w:pP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项目进度</w:t>
            </w:r>
          </w:p>
        </w:tc>
        <w:tc>
          <w:tcPr>
            <w:tcW w:w="3541" w:type="dxa"/>
            <w:vAlign w:val="center"/>
          </w:tcPr>
          <w:p w14:paraId="0386DFEF">
            <w:pPr>
              <w:autoSpaceDE w:val="0"/>
              <w:autoSpaceDN w:val="0"/>
              <w:rPr>
                <w:rFonts w:ascii="宋体" w:hAnsi="宋体" w:eastAsia="宋体" w:cs="宋体"/>
                <w:bCs/>
                <w:szCs w:val="21"/>
              </w:rPr>
            </w:pPr>
            <w:r>
              <w:rPr>
                <w:rFonts w:hint="default" w:ascii="宋体" w:hAnsi="宋体" w:cs="宋体"/>
                <w:bCs/>
                <w:szCs w:val="21"/>
                <w:highlight w:val="none"/>
                <w:lang w:val="en-US" w:eastAsia="zh-CN"/>
              </w:rPr>
              <w:t>合同签订之日起，乙方接收到甲方订单后30个工作日内完成软件的部署交付。</w:t>
            </w:r>
          </w:p>
        </w:tc>
        <w:tc>
          <w:tcPr>
            <w:tcW w:w="1102" w:type="dxa"/>
            <w:vAlign w:val="center"/>
          </w:tcPr>
          <w:p w14:paraId="374CB27E">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364" w:type="dxa"/>
            <w:vAlign w:val="center"/>
          </w:tcPr>
          <w:p w14:paraId="28AEB96C">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r w14:paraId="5FDA9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1FB7B186">
            <w:pPr>
              <w:adjustRightInd w:val="0"/>
              <w:snapToGrid w:val="0"/>
              <w:spacing w:line="440" w:lineRule="exact"/>
              <w:ind w:firstLine="210" w:firstLineChars="100"/>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p>
        </w:tc>
        <w:tc>
          <w:tcPr>
            <w:tcW w:w="1746" w:type="dxa"/>
            <w:vAlign w:val="center"/>
          </w:tcPr>
          <w:p w14:paraId="6521845C">
            <w:pPr>
              <w:adjustRightInd w:val="0"/>
              <w:snapToGrid w:val="0"/>
              <w:spacing w:line="440" w:lineRule="exact"/>
              <w:rPr>
                <w:rFonts w:ascii="宋体" w:hAnsi="宋体" w:eastAsia="宋体" w:cs="宋体"/>
                <w:bCs/>
                <w:szCs w:val="21"/>
              </w:rPr>
            </w:pPr>
            <w:r>
              <w:rPr>
                <w:rFonts w:hint="eastAsia" w:cs="宋体" w:asciiTheme="minorEastAsia" w:hAnsiTheme="minorEastAsia" w:eastAsiaTheme="minorEastAsia"/>
                <w:szCs w:val="21"/>
                <w:highlight w:val="none"/>
              </w:rPr>
              <w:t>★</w:t>
            </w:r>
            <w:r>
              <w:rPr>
                <w:rFonts w:hint="eastAsia" w:cs="宋体" w:asciiTheme="minorEastAsia" w:hAnsiTheme="minorEastAsia" w:eastAsiaTheme="minorEastAsia"/>
                <w:szCs w:val="21"/>
                <w:highlight w:val="none"/>
                <w:lang w:val="en-US" w:eastAsia="zh-CN"/>
              </w:rPr>
              <w:t>其他</w:t>
            </w:r>
          </w:p>
        </w:tc>
        <w:tc>
          <w:tcPr>
            <w:tcW w:w="3541" w:type="dxa"/>
            <w:vAlign w:val="center"/>
          </w:tcPr>
          <w:p w14:paraId="3295EAF7">
            <w:pPr>
              <w:adjustRightInd w:val="0"/>
              <w:snapToGrid w:val="0"/>
              <w:spacing w:line="440" w:lineRule="exact"/>
              <w:rPr>
                <w:rFonts w:hint="eastAsia" w:ascii="宋体" w:hAnsi="宋体" w:eastAsia="宋体" w:cs="宋体"/>
                <w:bCs/>
                <w:szCs w:val="21"/>
                <w:lang w:eastAsia="zh-CN"/>
              </w:rPr>
            </w:pPr>
            <w:r>
              <w:rPr>
                <w:rFonts w:hint="eastAsia" w:cs="宋体" w:asciiTheme="minorEastAsia" w:hAnsiTheme="minorEastAsia" w:eastAsiaTheme="minorEastAsia"/>
                <w:szCs w:val="21"/>
                <w:highlight w:val="none"/>
              </w:rPr>
              <w:t>人员名单需作为合同附件，名单内人员变更需经甲方书面同意。</w:t>
            </w:r>
          </w:p>
        </w:tc>
        <w:tc>
          <w:tcPr>
            <w:tcW w:w="1102" w:type="dxa"/>
            <w:vAlign w:val="center"/>
          </w:tcPr>
          <w:p w14:paraId="571DCE70">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364" w:type="dxa"/>
            <w:vAlign w:val="center"/>
          </w:tcPr>
          <w:p w14:paraId="66B33869">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r w14:paraId="5FD02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4" w:hRule="atLeast"/>
        </w:trPr>
        <w:tc>
          <w:tcPr>
            <w:tcW w:w="685" w:type="dxa"/>
            <w:vAlign w:val="center"/>
          </w:tcPr>
          <w:p w14:paraId="458D8F52">
            <w:pPr>
              <w:spacing w:line="360" w:lineRule="exact"/>
              <w:jc w:val="center"/>
              <w:rPr>
                <w:rFonts w:hint="eastAsia" w:ascii="宋体" w:hAnsi="宋体" w:eastAsia="宋体" w:cs="宋体"/>
                <w:bCs/>
                <w:szCs w:val="21"/>
                <w:lang w:eastAsia="zh-CN"/>
              </w:rPr>
            </w:pPr>
            <w:r>
              <w:rPr>
                <w:rFonts w:hint="eastAsia" w:ascii="宋体" w:hAnsi="宋体" w:cs="宋体"/>
                <w:bCs/>
                <w:szCs w:val="21"/>
                <w:lang w:val="en-US" w:eastAsia="zh-CN"/>
              </w:rPr>
              <w:t>7</w:t>
            </w:r>
          </w:p>
        </w:tc>
        <w:tc>
          <w:tcPr>
            <w:tcW w:w="1746" w:type="dxa"/>
            <w:vAlign w:val="center"/>
          </w:tcPr>
          <w:p w14:paraId="3987C6CB">
            <w:pPr>
              <w:widowControl/>
              <w:jc w:val="center"/>
              <w:textAlignment w:val="center"/>
              <w:rPr>
                <w:rFonts w:ascii="宋体" w:hAnsi="宋体" w:eastAsia="宋体" w:cs="宋体"/>
                <w:bCs/>
                <w:szCs w:val="21"/>
              </w:rPr>
            </w:pPr>
          </w:p>
        </w:tc>
        <w:tc>
          <w:tcPr>
            <w:tcW w:w="3541" w:type="dxa"/>
            <w:vAlign w:val="center"/>
          </w:tcPr>
          <w:p w14:paraId="268AF5BA">
            <w:pPr>
              <w:autoSpaceDE w:val="0"/>
              <w:autoSpaceDN w:val="0"/>
              <w:rPr>
                <w:rFonts w:ascii="宋体" w:hAnsi="宋体" w:eastAsia="宋体" w:cs="宋体"/>
                <w:bCs/>
                <w:szCs w:val="21"/>
              </w:rPr>
            </w:pPr>
          </w:p>
        </w:tc>
        <w:tc>
          <w:tcPr>
            <w:tcW w:w="1102" w:type="dxa"/>
            <w:vAlign w:val="center"/>
          </w:tcPr>
          <w:p w14:paraId="4527DE50">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364" w:type="dxa"/>
            <w:vAlign w:val="center"/>
          </w:tcPr>
          <w:p w14:paraId="503158C4">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bl>
    <w:p w14:paraId="63F0BFDC">
      <w:pPr>
        <w:adjustRightInd w:val="0"/>
        <w:snapToGrid w:val="0"/>
        <w:spacing w:after="120" w:line="440" w:lineRule="exact"/>
        <w:ind w:left="693" w:hanging="693" w:hangingChars="330"/>
        <w:rPr>
          <w:rFonts w:ascii="宋体" w:hAnsi="宋体" w:eastAsia="宋体" w:cs="宋体"/>
          <w:color w:val="000000" w:themeColor="text1"/>
          <w:szCs w:val="21"/>
          <w14:textFill>
            <w14:solidFill>
              <w14:schemeClr w14:val="tx1"/>
            </w14:solidFill>
          </w14:textFill>
        </w:rPr>
      </w:pPr>
    </w:p>
    <w:p w14:paraId="11F2FF3A">
      <w:pPr>
        <w:spacing w:line="440" w:lineRule="exact"/>
        <w:ind w:firstLine="1274" w:firstLineChars="607"/>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投标人名称：</w:t>
      </w:r>
      <w:r>
        <w:rPr>
          <w:rFonts w:hint="eastAsia" w:ascii="宋体" w:hAnsi="宋体" w:eastAsia="宋体" w:cs="Times New Roman"/>
          <w:color w:val="000000" w:themeColor="text1"/>
          <w:szCs w:val="21"/>
          <w:u w:val="single"/>
          <w14:textFill>
            <w14:solidFill>
              <w14:schemeClr w14:val="tx1"/>
            </w14:solidFill>
          </w14:textFill>
        </w:rPr>
        <w:t xml:space="preserve">　　　　　　　　                 </w:t>
      </w:r>
    </w:p>
    <w:p w14:paraId="1825A745">
      <w:pPr>
        <w:spacing w:line="440" w:lineRule="exact"/>
        <w:ind w:firstLine="1274" w:firstLineChars="607"/>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w:t>
      </w:r>
      <w:r>
        <w:rPr>
          <w:rFonts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年</w:t>
      </w:r>
      <w:r>
        <w:rPr>
          <w:rFonts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月</w:t>
      </w:r>
      <w:r>
        <w:rPr>
          <w:rFonts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日</w:t>
      </w:r>
    </w:p>
    <w:p w14:paraId="3408BB71">
      <w:pPr>
        <w:adjustRightInd w:val="0"/>
        <w:snapToGrid w:val="0"/>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编制要求</w:t>
      </w:r>
      <w:r>
        <w:rPr>
          <w:rFonts w:hint="eastAsia" w:ascii="宋体" w:hAnsi="宋体" w:eastAsia="宋体" w:cs="宋体"/>
          <w:color w:val="000000" w:themeColor="text1"/>
          <w:szCs w:val="21"/>
          <w14:textFill>
            <w14:solidFill>
              <w14:schemeClr w14:val="tx1"/>
            </w14:solidFill>
          </w14:textFill>
        </w:rPr>
        <w:t>：</w:t>
      </w:r>
    </w:p>
    <w:p w14:paraId="6E1E8954">
      <w:pPr>
        <w:widowControl w:val="0"/>
        <w:adjustRightInd w:val="0"/>
        <w:snapToGrid w:val="0"/>
        <w:spacing w:line="440" w:lineRule="exact"/>
        <w:ind w:firstLine="0" w:firstLineChars="0"/>
        <w:jc w:val="both"/>
        <w:rPr>
          <w:rFonts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4"/>
          <w:lang w:val="en-US" w:eastAsia="zh-CN" w:bidi="ar-SA"/>
          <w14:textFill>
            <w14:solidFill>
              <w14:schemeClr w14:val="tx1"/>
            </w14:solidFill>
          </w14:textFill>
        </w:rPr>
        <w:t>1</w:t>
      </w:r>
      <w:r>
        <w:rPr>
          <w:rFonts w:ascii="宋体" w:hAnsi="宋体" w:eastAsia="宋体" w:cs="Times New Roman"/>
          <w:color w:val="000000" w:themeColor="text1"/>
          <w:kern w:val="2"/>
          <w:sz w:val="21"/>
          <w:szCs w:val="24"/>
          <w:lang w:val="en-US" w:eastAsia="zh-CN" w:bidi="ar-SA"/>
          <w14:textFill>
            <w14:solidFill>
              <w14:schemeClr w14:val="tx1"/>
            </w14:solidFill>
          </w14:textFill>
        </w:rPr>
        <w:t>.</w:t>
      </w:r>
      <w:r>
        <w:rPr>
          <w:rFonts w:hint="eastAsia" w:ascii="宋体" w:hAnsi="宋体" w:eastAsia="宋体" w:cs="Times New Roman"/>
          <w:color w:val="000000" w:themeColor="text1"/>
          <w:kern w:val="2"/>
          <w:sz w:val="21"/>
          <w:szCs w:val="24"/>
          <w:lang w:val="en-US" w:eastAsia="zh-CN" w:bidi="ar-SA"/>
          <w14:textFill>
            <w14:solidFill>
              <w14:schemeClr w14:val="tx1"/>
            </w14:solidFill>
          </w14:textFill>
        </w:rPr>
        <w:t>如对商务条款无任何偏离，投标人仅需在本偏离表中填写“无偏离”即可。当本表为空时，视为投标文件对商务条款全部满足，无偏离。</w:t>
      </w:r>
    </w:p>
    <w:p w14:paraId="3A78EDA0">
      <w:pPr>
        <w:widowControl w:val="0"/>
        <w:adjustRightInd w:val="0"/>
        <w:snapToGrid w:val="0"/>
        <w:spacing w:line="440" w:lineRule="exact"/>
        <w:ind w:firstLine="0" w:firstLineChars="0"/>
        <w:jc w:val="both"/>
        <w:rPr>
          <w:rFonts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4"/>
          <w:lang w:val="en-US" w:eastAsia="zh-CN" w:bidi="ar-SA"/>
          <w14:textFill>
            <w14:solidFill>
              <w14:schemeClr w14:val="tx1"/>
            </w14:solidFill>
          </w14:textFill>
        </w:rPr>
        <w:t>2</w:t>
      </w:r>
      <w:r>
        <w:rPr>
          <w:rFonts w:ascii="宋体" w:hAnsi="宋体" w:eastAsia="宋体" w:cs="Times New Roman"/>
          <w:color w:val="000000" w:themeColor="text1"/>
          <w:kern w:val="2"/>
          <w:sz w:val="21"/>
          <w:szCs w:val="24"/>
          <w:lang w:val="en-US" w:eastAsia="zh-CN" w:bidi="ar-SA"/>
          <w14:textFill>
            <w14:solidFill>
              <w14:schemeClr w14:val="tx1"/>
            </w14:solidFill>
          </w14:textFill>
        </w:rPr>
        <w:t>.</w:t>
      </w:r>
      <w:r>
        <w:rPr>
          <w:rFonts w:hint="eastAsia" w:ascii="宋体" w:hAnsi="宋体" w:eastAsia="宋体" w:cs="Times New Roman"/>
          <w:color w:val="000000" w:themeColor="text1"/>
          <w:kern w:val="2"/>
          <w:sz w:val="21"/>
          <w:szCs w:val="24"/>
          <w:lang w:val="en-US" w:eastAsia="zh-CN" w:bidi="ar-SA"/>
          <w14:textFill>
            <w14:solidFill>
              <w14:schemeClr w14:val="tx1"/>
            </w14:solidFill>
          </w14:textFill>
        </w:rPr>
        <w:t>如对商务条款存在偏离，投标人需对商务条款存在的偏离逐条做出说明。</w:t>
      </w:r>
    </w:p>
    <w:p w14:paraId="051294CF">
      <w:pPr>
        <w:widowControl/>
        <w:jc w:val="left"/>
        <w:rPr>
          <w:rFonts w:asciiTheme="minorEastAsia" w:hAnsiTheme="minorEastAsia" w:eastAsiaTheme="minorEastAsia"/>
          <w:highlight w:val="none"/>
        </w:rPr>
      </w:pPr>
      <w:r>
        <w:rPr>
          <w:rFonts w:hint="eastAsia" w:ascii="宋体" w:hAnsi="宋体" w:eastAsia="宋体" w:cs="Times New Roman"/>
          <w:color w:val="000000" w:themeColor="text1"/>
          <w14:textFill>
            <w14:solidFill>
              <w14:schemeClr w14:val="tx1"/>
            </w14:solidFill>
          </w14:textFill>
        </w:rPr>
        <w:t>3</w:t>
      </w:r>
      <w:r>
        <w:rPr>
          <w:rFonts w:ascii="宋体" w:hAnsi="宋体" w:eastAsia="宋体" w:cs="Times New Roman"/>
          <w:color w:val="000000" w:themeColor="text1"/>
          <w14:textFill>
            <w14:solidFill>
              <w14:schemeClr w14:val="tx1"/>
            </w14:solidFill>
          </w14:textFill>
        </w:rPr>
        <w:t>.</w:t>
      </w:r>
      <w:r>
        <w:rPr>
          <w:rFonts w:hint="eastAsia" w:ascii="宋体" w:hAnsi="宋体" w:eastAsia="宋体" w:cs="Times New Roman"/>
          <w:color w:val="000000" w:themeColor="text1"/>
          <w14:textFill>
            <w14:solidFill>
              <w14:schemeClr w14:val="tx1"/>
            </w14:solidFill>
          </w14:textFill>
        </w:rPr>
        <w:t>投标人可以根据实际情况对本文件进行调整和修改，但应满足招标文件对本文件的要求。</w:t>
      </w:r>
      <w:r>
        <w:rPr>
          <w:rFonts w:asciiTheme="minorEastAsia" w:hAnsiTheme="minorEastAsia" w:eastAsiaTheme="minorEastAsia"/>
          <w:highlight w:val="none"/>
        </w:rPr>
        <w:br w:type="page"/>
      </w:r>
    </w:p>
    <w:p w14:paraId="3647EC59">
      <w:pPr>
        <w:rPr>
          <w:rFonts w:asciiTheme="minorEastAsia" w:hAnsiTheme="minorEastAsia" w:eastAsiaTheme="minorEastAsia"/>
          <w:highlight w:val="none"/>
        </w:rPr>
        <w:sectPr>
          <w:pgSz w:w="11906" w:h="16838"/>
          <w:pgMar w:top="1440" w:right="1800" w:bottom="1440" w:left="1800" w:header="851" w:footer="992" w:gutter="0"/>
          <w:pgNumType w:fmt="decimal"/>
          <w:cols w:space="425" w:num="1"/>
          <w:docGrid w:type="lines" w:linePitch="312" w:charSpace="0"/>
        </w:sectPr>
      </w:pPr>
    </w:p>
    <w:p w14:paraId="126AD1F9">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rPr>
      </w:pPr>
      <w:bookmarkStart w:id="974" w:name="_Toc24624"/>
      <w:bookmarkStart w:id="975" w:name="_Toc5994"/>
      <w:bookmarkStart w:id="976" w:name="_Toc447265324"/>
      <w:bookmarkStart w:id="977" w:name="_Toc19006"/>
      <w:bookmarkStart w:id="978" w:name="_Toc24125"/>
      <w:bookmarkStart w:id="979" w:name="_Toc38008091"/>
      <w:bookmarkStart w:id="980" w:name="_Toc447265610"/>
      <w:bookmarkStart w:id="981" w:name="_Toc5090"/>
      <w:bookmarkStart w:id="982" w:name="_Toc475472683"/>
      <w:bookmarkStart w:id="983" w:name="_Toc10007"/>
      <w:bookmarkStart w:id="984" w:name="_Toc17633"/>
      <w:bookmarkStart w:id="985" w:name="_Toc10979"/>
      <w:bookmarkStart w:id="986" w:name="_Toc20325"/>
      <w:bookmarkStart w:id="987" w:name="_Toc5856"/>
      <w:bookmarkStart w:id="988" w:name="_Toc2550"/>
      <w:bookmarkStart w:id="989" w:name="_Hlk167300006"/>
      <w:r>
        <w:rPr>
          <w:rFonts w:hint="eastAsia" w:cs="Times New Roman" w:asciiTheme="minorEastAsia" w:hAnsiTheme="minorEastAsia" w:eastAsiaTheme="minorEastAsia"/>
          <w:b/>
          <w:bCs/>
          <w:kern w:val="2"/>
          <w:sz w:val="24"/>
          <w:szCs w:val="24"/>
          <w:lang w:val="en-US" w:eastAsia="zh-CN" w:bidi="ar-SA"/>
        </w:rPr>
        <w:t>17.</w:t>
      </w:r>
      <w:r>
        <w:rPr>
          <w:rFonts w:hint="eastAsia" w:asciiTheme="minorEastAsia" w:hAnsiTheme="minorEastAsia" w:eastAsiaTheme="minorEastAsia"/>
          <w:sz w:val="24"/>
          <w:szCs w:val="24"/>
        </w:rPr>
        <w:t>合同条款偏离表</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p>
    <w:bookmarkEnd w:id="989"/>
    <w:p w14:paraId="0C2D0752">
      <w:pPr>
        <w:rPr>
          <w:rFonts w:cs="宋体" w:asciiTheme="minorEastAsia" w:hAnsiTheme="minorEastAsia" w:eastAsiaTheme="minorEastAsia"/>
          <w:highlight w:val="none"/>
        </w:rPr>
      </w:pPr>
    </w:p>
    <w:p w14:paraId="7E7255CB">
      <w:pPr>
        <w:pStyle w:val="101"/>
        <w:ind w:firstLine="0" w:firstLineChars="0"/>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合同条款偏离表</w:t>
      </w:r>
    </w:p>
    <w:p w14:paraId="1B75377C">
      <w:pPr>
        <w:jc w:val="center"/>
        <w:rPr>
          <w:rFonts w:cs="宋体" w:asciiTheme="minorEastAsia" w:hAnsiTheme="minorEastAsia" w:eastAsiaTheme="minorEastAsia"/>
          <w:sz w:val="24"/>
          <w:highlight w:val="none"/>
        </w:rPr>
      </w:pPr>
    </w:p>
    <w:p w14:paraId="287470CE">
      <w:pPr>
        <w:adjustRightInd w:val="0"/>
        <w:snapToGrid w:val="0"/>
        <w:spacing w:after="120" w:line="44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项目名称：</w:t>
      </w:r>
      <w:r>
        <w:rPr>
          <w:rFonts w:hint="eastAsia" w:cs="宋体" w:asciiTheme="minorEastAsia" w:hAnsiTheme="minorEastAsia" w:eastAsiaTheme="minorEastAsia"/>
          <w:szCs w:val="21"/>
          <w:highlight w:val="none"/>
          <w:u w:val="single"/>
        </w:rPr>
        <w:t xml:space="preserve">                         </w:t>
      </w:r>
      <w:r>
        <w:rPr>
          <w:rFonts w:hint="eastAsia" w:cs="宋体" w:asciiTheme="minorEastAsia" w:hAnsiTheme="minorEastAsia" w:eastAsiaTheme="minorEastAsia"/>
          <w:szCs w:val="21"/>
          <w:highlight w:val="none"/>
        </w:rPr>
        <w:t xml:space="preserve">   招标编号：</w:t>
      </w:r>
      <w:r>
        <w:rPr>
          <w:rFonts w:hint="eastAsia" w:cs="宋体" w:asciiTheme="minorEastAsia" w:hAnsiTheme="minorEastAsia" w:eastAsiaTheme="minorEastAsia"/>
          <w:szCs w:val="21"/>
          <w:highlight w:val="none"/>
          <w:u w:val="single"/>
        </w:rPr>
        <w:t xml:space="preserve">               </w:t>
      </w:r>
      <w:r>
        <w:rPr>
          <w:rFonts w:hint="eastAsia" w:cs="宋体" w:asciiTheme="minorEastAsia" w:hAnsiTheme="minorEastAsia" w:eastAsiaTheme="minorEastAsia"/>
          <w:szCs w:val="21"/>
          <w:highlight w:val="none"/>
        </w:rPr>
        <w:t xml:space="preserve"> 标包：</w:t>
      </w:r>
      <w:r>
        <w:rPr>
          <w:rFonts w:hint="eastAsia" w:cs="宋体" w:asciiTheme="minorEastAsia" w:hAnsiTheme="minorEastAsia" w:eastAsiaTheme="minorEastAsia"/>
          <w:szCs w:val="21"/>
          <w:highlight w:val="none"/>
          <w:u w:val="single"/>
        </w:rPr>
        <w:t xml:space="preserve">       </w:t>
      </w:r>
    </w:p>
    <w:tbl>
      <w:tblPr>
        <w:tblStyle w:val="85"/>
        <w:tblW w:w="8438" w:type="dxa"/>
        <w:tblInd w:w="4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5"/>
        <w:gridCol w:w="1746"/>
        <w:gridCol w:w="2476"/>
        <w:gridCol w:w="2167"/>
        <w:gridCol w:w="1364"/>
      </w:tblGrid>
      <w:tr w14:paraId="1689B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3" w:hRule="atLeast"/>
        </w:trPr>
        <w:tc>
          <w:tcPr>
            <w:tcW w:w="685" w:type="dxa"/>
            <w:vAlign w:val="center"/>
          </w:tcPr>
          <w:p w14:paraId="38444AE2">
            <w:pPr>
              <w:adjustRightInd w:val="0"/>
              <w:snapToGrid w:val="0"/>
              <w:spacing w:line="440" w:lineRule="exact"/>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序号</w:t>
            </w:r>
          </w:p>
        </w:tc>
        <w:tc>
          <w:tcPr>
            <w:tcW w:w="1746" w:type="dxa"/>
            <w:vAlign w:val="center"/>
          </w:tcPr>
          <w:p w14:paraId="1C26FFB6">
            <w:pPr>
              <w:adjustRightInd w:val="0"/>
              <w:snapToGrid w:val="0"/>
              <w:spacing w:line="440" w:lineRule="exact"/>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招标文件条目号</w:t>
            </w:r>
          </w:p>
        </w:tc>
        <w:tc>
          <w:tcPr>
            <w:tcW w:w="2476" w:type="dxa"/>
            <w:vAlign w:val="center"/>
          </w:tcPr>
          <w:p w14:paraId="3B31C5A3">
            <w:pPr>
              <w:adjustRightInd w:val="0"/>
              <w:snapToGrid w:val="0"/>
              <w:spacing w:line="440" w:lineRule="exact"/>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招标文件的</w:t>
            </w:r>
            <w:r>
              <w:rPr>
                <w:rFonts w:hint="eastAsia" w:cs="宋体" w:asciiTheme="minorEastAsia" w:hAnsiTheme="minorEastAsia" w:eastAsiaTheme="minorEastAsia"/>
                <w:szCs w:val="21"/>
                <w:highlight w:val="none"/>
              </w:rPr>
              <w:t>合同</w:t>
            </w:r>
            <w:r>
              <w:rPr>
                <w:rFonts w:cs="宋体" w:asciiTheme="minorEastAsia" w:hAnsiTheme="minorEastAsia" w:eastAsiaTheme="minorEastAsia"/>
                <w:szCs w:val="21"/>
                <w:highlight w:val="none"/>
              </w:rPr>
              <w:t>条款</w:t>
            </w:r>
          </w:p>
        </w:tc>
        <w:tc>
          <w:tcPr>
            <w:tcW w:w="2167" w:type="dxa"/>
            <w:vAlign w:val="center"/>
          </w:tcPr>
          <w:p w14:paraId="0CD1CA17">
            <w:pPr>
              <w:adjustRightInd w:val="0"/>
              <w:snapToGrid w:val="0"/>
              <w:spacing w:line="440" w:lineRule="exact"/>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投标</w:t>
            </w:r>
            <w:r>
              <w:rPr>
                <w:rFonts w:hint="eastAsia" w:cs="宋体" w:asciiTheme="minorEastAsia" w:hAnsiTheme="minorEastAsia" w:eastAsiaTheme="minorEastAsia"/>
                <w:szCs w:val="21"/>
                <w:highlight w:val="none"/>
              </w:rPr>
              <w:t>文件</w:t>
            </w:r>
            <w:r>
              <w:rPr>
                <w:rFonts w:cs="宋体" w:asciiTheme="minorEastAsia" w:hAnsiTheme="minorEastAsia" w:eastAsiaTheme="minorEastAsia"/>
                <w:szCs w:val="21"/>
                <w:highlight w:val="none"/>
              </w:rPr>
              <w:t>偏离情况</w:t>
            </w:r>
          </w:p>
        </w:tc>
        <w:tc>
          <w:tcPr>
            <w:tcW w:w="1364" w:type="dxa"/>
            <w:vAlign w:val="center"/>
          </w:tcPr>
          <w:p w14:paraId="20D97DC0">
            <w:pPr>
              <w:adjustRightInd w:val="0"/>
              <w:snapToGrid w:val="0"/>
              <w:spacing w:line="440" w:lineRule="exact"/>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说明</w:t>
            </w:r>
          </w:p>
        </w:tc>
      </w:tr>
      <w:tr w14:paraId="5E361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75F52521">
            <w:pPr>
              <w:adjustRightInd w:val="0"/>
              <w:snapToGrid w:val="0"/>
              <w:spacing w:line="440" w:lineRule="exact"/>
              <w:rPr>
                <w:rFonts w:hint="eastAsia" w:cs="宋体" w:asciiTheme="minorEastAsia" w:hAnsiTheme="minorEastAsia" w:eastAsiaTheme="minorEastAsia"/>
                <w:szCs w:val="21"/>
                <w:highlight w:val="none"/>
                <w:lang w:val="en-US" w:eastAsia="zh-CN"/>
              </w:rPr>
            </w:pPr>
          </w:p>
        </w:tc>
        <w:tc>
          <w:tcPr>
            <w:tcW w:w="1746" w:type="dxa"/>
            <w:vAlign w:val="center"/>
          </w:tcPr>
          <w:p w14:paraId="5FE52ADF">
            <w:pPr>
              <w:adjustRightInd w:val="0"/>
              <w:snapToGrid w:val="0"/>
              <w:spacing w:line="440" w:lineRule="exact"/>
              <w:rPr>
                <w:rFonts w:hint="eastAsia" w:cs="宋体" w:asciiTheme="minorEastAsia" w:hAnsiTheme="minorEastAsia" w:eastAsiaTheme="minorEastAsia"/>
                <w:szCs w:val="21"/>
                <w:highlight w:val="none"/>
                <w:lang w:val="en-US" w:eastAsia="zh-CN"/>
              </w:rPr>
            </w:pPr>
          </w:p>
        </w:tc>
        <w:tc>
          <w:tcPr>
            <w:tcW w:w="2476" w:type="dxa"/>
            <w:vAlign w:val="center"/>
          </w:tcPr>
          <w:p w14:paraId="217FCABF">
            <w:pPr>
              <w:adjustRightInd w:val="0"/>
              <w:snapToGrid w:val="0"/>
              <w:spacing w:line="440" w:lineRule="exact"/>
              <w:rPr>
                <w:rFonts w:cs="宋体" w:asciiTheme="minorEastAsia" w:hAnsiTheme="minorEastAsia" w:eastAsiaTheme="minorEastAsia"/>
                <w:szCs w:val="21"/>
                <w:highlight w:val="none"/>
              </w:rPr>
            </w:pPr>
          </w:p>
        </w:tc>
        <w:tc>
          <w:tcPr>
            <w:tcW w:w="2167" w:type="dxa"/>
            <w:vAlign w:val="center"/>
          </w:tcPr>
          <w:p w14:paraId="29352DB9">
            <w:pPr>
              <w:adjustRightInd w:val="0"/>
              <w:snapToGrid w:val="0"/>
              <w:spacing w:line="440" w:lineRule="exact"/>
              <w:rPr>
                <w:rFonts w:cs="宋体" w:asciiTheme="minorEastAsia" w:hAnsiTheme="minorEastAsia" w:eastAsiaTheme="minorEastAsia"/>
                <w:szCs w:val="21"/>
                <w:highlight w:val="none"/>
              </w:rPr>
            </w:pPr>
          </w:p>
        </w:tc>
        <w:tc>
          <w:tcPr>
            <w:tcW w:w="1364" w:type="dxa"/>
            <w:vAlign w:val="center"/>
          </w:tcPr>
          <w:p w14:paraId="704CA096">
            <w:pPr>
              <w:adjustRightInd w:val="0"/>
              <w:snapToGrid w:val="0"/>
              <w:spacing w:line="440" w:lineRule="exact"/>
              <w:rPr>
                <w:rFonts w:cs="宋体" w:asciiTheme="minorEastAsia" w:hAnsiTheme="minorEastAsia" w:eastAsiaTheme="minorEastAsia"/>
                <w:szCs w:val="21"/>
                <w:highlight w:val="none"/>
              </w:rPr>
            </w:pPr>
          </w:p>
        </w:tc>
      </w:tr>
      <w:tr w14:paraId="297A9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76D43F3D">
            <w:pPr>
              <w:adjustRightInd w:val="0"/>
              <w:snapToGrid w:val="0"/>
              <w:spacing w:line="440" w:lineRule="exact"/>
              <w:rPr>
                <w:rFonts w:cs="宋体" w:asciiTheme="minorEastAsia" w:hAnsiTheme="minorEastAsia" w:eastAsiaTheme="minorEastAsia"/>
                <w:szCs w:val="21"/>
                <w:highlight w:val="none"/>
              </w:rPr>
            </w:pPr>
          </w:p>
        </w:tc>
        <w:tc>
          <w:tcPr>
            <w:tcW w:w="1746" w:type="dxa"/>
            <w:vAlign w:val="center"/>
          </w:tcPr>
          <w:p w14:paraId="36BB6985">
            <w:pPr>
              <w:adjustRightInd w:val="0"/>
              <w:snapToGrid w:val="0"/>
              <w:spacing w:line="440" w:lineRule="exact"/>
              <w:rPr>
                <w:rFonts w:cs="宋体" w:asciiTheme="minorEastAsia" w:hAnsiTheme="minorEastAsia" w:eastAsiaTheme="minorEastAsia"/>
                <w:szCs w:val="21"/>
                <w:highlight w:val="none"/>
              </w:rPr>
            </w:pPr>
          </w:p>
        </w:tc>
        <w:tc>
          <w:tcPr>
            <w:tcW w:w="2476" w:type="dxa"/>
            <w:vAlign w:val="center"/>
          </w:tcPr>
          <w:p w14:paraId="4C718483">
            <w:pPr>
              <w:adjustRightInd w:val="0"/>
              <w:snapToGrid w:val="0"/>
              <w:spacing w:line="440" w:lineRule="exact"/>
              <w:rPr>
                <w:rFonts w:cs="宋体" w:asciiTheme="minorEastAsia" w:hAnsiTheme="minorEastAsia" w:eastAsiaTheme="minorEastAsia"/>
                <w:szCs w:val="21"/>
                <w:highlight w:val="none"/>
              </w:rPr>
            </w:pPr>
          </w:p>
        </w:tc>
        <w:tc>
          <w:tcPr>
            <w:tcW w:w="2167" w:type="dxa"/>
            <w:vAlign w:val="center"/>
          </w:tcPr>
          <w:p w14:paraId="3AD5625C">
            <w:pPr>
              <w:adjustRightInd w:val="0"/>
              <w:snapToGrid w:val="0"/>
              <w:spacing w:line="440" w:lineRule="exact"/>
              <w:rPr>
                <w:rFonts w:cs="宋体" w:asciiTheme="minorEastAsia" w:hAnsiTheme="minorEastAsia" w:eastAsiaTheme="minorEastAsia"/>
                <w:szCs w:val="21"/>
                <w:highlight w:val="none"/>
              </w:rPr>
            </w:pPr>
          </w:p>
        </w:tc>
        <w:tc>
          <w:tcPr>
            <w:tcW w:w="1364" w:type="dxa"/>
            <w:vAlign w:val="center"/>
          </w:tcPr>
          <w:p w14:paraId="03697950">
            <w:pPr>
              <w:adjustRightInd w:val="0"/>
              <w:snapToGrid w:val="0"/>
              <w:spacing w:line="440" w:lineRule="exact"/>
              <w:rPr>
                <w:rFonts w:cs="宋体" w:asciiTheme="minorEastAsia" w:hAnsiTheme="minorEastAsia" w:eastAsiaTheme="minorEastAsia"/>
                <w:szCs w:val="21"/>
                <w:highlight w:val="none"/>
              </w:rPr>
            </w:pPr>
          </w:p>
        </w:tc>
      </w:tr>
      <w:tr w14:paraId="22E61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00A09085">
            <w:pPr>
              <w:adjustRightInd w:val="0"/>
              <w:snapToGrid w:val="0"/>
              <w:spacing w:line="440" w:lineRule="exact"/>
              <w:rPr>
                <w:rFonts w:cs="宋体" w:asciiTheme="minorEastAsia" w:hAnsiTheme="minorEastAsia" w:eastAsiaTheme="minorEastAsia"/>
                <w:szCs w:val="21"/>
                <w:highlight w:val="none"/>
              </w:rPr>
            </w:pPr>
          </w:p>
        </w:tc>
        <w:tc>
          <w:tcPr>
            <w:tcW w:w="1746" w:type="dxa"/>
            <w:vAlign w:val="center"/>
          </w:tcPr>
          <w:p w14:paraId="0E21BB34">
            <w:pPr>
              <w:adjustRightInd w:val="0"/>
              <w:snapToGrid w:val="0"/>
              <w:spacing w:line="440" w:lineRule="exact"/>
              <w:rPr>
                <w:rFonts w:cs="宋体" w:asciiTheme="minorEastAsia" w:hAnsiTheme="minorEastAsia" w:eastAsiaTheme="minorEastAsia"/>
                <w:szCs w:val="21"/>
                <w:highlight w:val="none"/>
              </w:rPr>
            </w:pPr>
          </w:p>
        </w:tc>
        <w:tc>
          <w:tcPr>
            <w:tcW w:w="2476" w:type="dxa"/>
            <w:vAlign w:val="center"/>
          </w:tcPr>
          <w:p w14:paraId="2DCD788C">
            <w:pPr>
              <w:adjustRightInd w:val="0"/>
              <w:snapToGrid w:val="0"/>
              <w:spacing w:line="440" w:lineRule="exact"/>
              <w:rPr>
                <w:rFonts w:cs="宋体" w:asciiTheme="minorEastAsia" w:hAnsiTheme="minorEastAsia" w:eastAsiaTheme="minorEastAsia"/>
                <w:szCs w:val="21"/>
                <w:highlight w:val="none"/>
              </w:rPr>
            </w:pPr>
          </w:p>
        </w:tc>
        <w:tc>
          <w:tcPr>
            <w:tcW w:w="2167" w:type="dxa"/>
            <w:vAlign w:val="center"/>
          </w:tcPr>
          <w:p w14:paraId="68FB9485">
            <w:pPr>
              <w:adjustRightInd w:val="0"/>
              <w:snapToGrid w:val="0"/>
              <w:spacing w:line="440" w:lineRule="exact"/>
              <w:rPr>
                <w:rFonts w:cs="宋体" w:asciiTheme="minorEastAsia" w:hAnsiTheme="minorEastAsia" w:eastAsiaTheme="minorEastAsia"/>
                <w:szCs w:val="21"/>
                <w:highlight w:val="none"/>
              </w:rPr>
            </w:pPr>
          </w:p>
        </w:tc>
        <w:tc>
          <w:tcPr>
            <w:tcW w:w="1364" w:type="dxa"/>
            <w:vAlign w:val="center"/>
          </w:tcPr>
          <w:p w14:paraId="0C000335">
            <w:pPr>
              <w:adjustRightInd w:val="0"/>
              <w:snapToGrid w:val="0"/>
              <w:spacing w:line="440" w:lineRule="exact"/>
              <w:rPr>
                <w:rFonts w:cs="宋体" w:asciiTheme="minorEastAsia" w:hAnsiTheme="minorEastAsia" w:eastAsiaTheme="minorEastAsia"/>
                <w:szCs w:val="21"/>
                <w:highlight w:val="none"/>
              </w:rPr>
            </w:pPr>
          </w:p>
        </w:tc>
      </w:tr>
      <w:tr w14:paraId="5CC6E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6" w:hRule="atLeast"/>
        </w:trPr>
        <w:tc>
          <w:tcPr>
            <w:tcW w:w="685" w:type="dxa"/>
            <w:vAlign w:val="center"/>
          </w:tcPr>
          <w:p w14:paraId="46124F76">
            <w:pPr>
              <w:adjustRightInd w:val="0"/>
              <w:snapToGrid w:val="0"/>
              <w:spacing w:line="440" w:lineRule="exact"/>
              <w:rPr>
                <w:rFonts w:cs="宋体" w:asciiTheme="minorEastAsia" w:hAnsiTheme="minorEastAsia" w:eastAsiaTheme="minorEastAsia"/>
                <w:szCs w:val="21"/>
                <w:highlight w:val="none"/>
              </w:rPr>
            </w:pPr>
          </w:p>
        </w:tc>
        <w:tc>
          <w:tcPr>
            <w:tcW w:w="1746" w:type="dxa"/>
            <w:vAlign w:val="center"/>
          </w:tcPr>
          <w:p w14:paraId="7F51EDB8">
            <w:pPr>
              <w:adjustRightInd w:val="0"/>
              <w:snapToGrid w:val="0"/>
              <w:spacing w:line="440" w:lineRule="exact"/>
              <w:rPr>
                <w:rFonts w:cs="宋体" w:asciiTheme="minorEastAsia" w:hAnsiTheme="minorEastAsia" w:eastAsiaTheme="minorEastAsia"/>
                <w:szCs w:val="21"/>
                <w:highlight w:val="none"/>
              </w:rPr>
            </w:pPr>
          </w:p>
        </w:tc>
        <w:tc>
          <w:tcPr>
            <w:tcW w:w="2476" w:type="dxa"/>
            <w:vAlign w:val="center"/>
          </w:tcPr>
          <w:p w14:paraId="3B3D3017">
            <w:pPr>
              <w:adjustRightInd w:val="0"/>
              <w:snapToGrid w:val="0"/>
              <w:spacing w:line="440" w:lineRule="exact"/>
              <w:rPr>
                <w:rFonts w:cs="宋体" w:asciiTheme="minorEastAsia" w:hAnsiTheme="minorEastAsia" w:eastAsiaTheme="minorEastAsia"/>
                <w:szCs w:val="21"/>
                <w:highlight w:val="none"/>
              </w:rPr>
            </w:pPr>
          </w:p>
        </w:tc>
        <w:tc>
          <w:tcPr>
            <w:tcW w:w="2167" w:type="dxa"/>
            <w:vAlign w:val="center"/>
          </w:tcPr>
          <w:p w14:paraId="1DA436DF">
            <w:pPr>
              <w:adjustRightInd w:val="0"/>
              <w:snapToGrid w:val="0"/>
              <w:spacing w:line="440" w:lineRule="exact"/>
              <w:rPr>
                <w:rFonts w:cs="宋体" w:asciiTheme="minorEastAsia" w:hAnsiTheme="minorEastAsia" w:eastAsiaTheme="minorEastAsia"/>
                <w:szCs w:val="21"/>
                <w:highlight w:val="none"/>
              </w:rPr>
            </w:pPr>
          </w:p>
        </w:tc>
        <w:tc>
          <w:tcPr>
            <w:tcW w:w="1364" w:type="dxa"/>
            <w:vAlign w:val="center"/>
          </w:tcPr>
          <w:p w14:paraId="32D916AF">
            <w:pPr>
              <w:adjustRightInd w:val="0"/>
              <w:snapToGrid w:val="0"/>
              <w:spacing w:line="440" w:lineRule="exact"/>
              <w:rPr>
                <w:rFonts w:cs="宋体" w:asciiTheme="minorEastAsia" w:hAnsiTheme="minorEastAsia" w:eastAsiaTheme="minorEastAsia"/>
                <w:szCs w:val="21"/>
                <w:highlight w:val="none"/>
              </w:rPr>
            </w:pPr>
          </w:p>
        </w:tc>
      </w:tr>
      <w:tr w14:paraId="0BA5A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5B7254A7">
            <w:pPr>
              <w:adjustRightInd w:val="0"/>
              <w:snapToGrid w:val="0"/>
              <w:spacing w:line="440" w:lineRule="exact"/>
              <w:rPr>
                <w:rFonts w:cs="宋体" w:asciiTheme="minorEastAsia" w:hAnsiTheme="minorEastAsia" w:eastAsiaTheme="minorEastAsia"/>
                <w:szCs w:val="21"/>
                <w:highlight w:val="none"/>
              </w:rPr>
            </w:pPr>
          </w:p>
        </w:tc>
        <w:tc>
          <w:tcPr>
            <w:tcW w:w="1746" w:type="dxa"/>
            <w:vAlign w:val="center"/>
          </w:tcPr>
          <w:p w14:paraId="167682CA">
            <w:pPr>
              <w:adjustRightInd w:val="0"/>
              <w:snapToGrid w:val="0"/>
              <w:spacing w:line="440" w:lineRule="exact"/>
              <w:rPr>
                <w:rFonts w:cs="宋体" w:asciiTheme="minorEastAsia" w:hAnsiTheme="minorEastAsia" w:eastAsiaTheme="minorEastAsia"/>
                <w:szCs w:val="21"/>
                <w:highlight w:val="none"/>
              </w:rPr>
            </w:pPr>
          </w:p>
        </w:tc>
        <w:tc>
          <w:tcPr>
            <w:tcW w:w="2476" w:type="dxa"/>
            <w:vAlign w:val="center"/>
          </w:tcPr>
          <w:p w14:paraId="6516FBC5">
            <w:pPr>
              <w:adjustRightInd w:val="0"/>
              <w:snapToGrid w:val="0"/>
              <w:spacing w:line="440" w:lineRule="exact"/>
              <w:rPr>
                <w:rFonts w:cs="宋体" w:asciiTheme="minorEastAsia" w:hAnsiTheme="minorEastAsia" w:eastAsiaTheme="minorEastAsia"/>
                <w:szCs w:val="21"/>
                <w:highlight w:val="none"/>
              </w:rPr>
            </w:pPr>
          </w:p>
        </w:tc>
        <w:tc>
          <w:tcPr>
            <w:tcW w:w="2167" w:type="dxa"/>
            <w:vAlign w:val="center"/>
          </w:tcPr>
          <w:p w14:paraId="70A995A6">
            <w:pPr>
              <w:adjustRightInd w:val="0"/>
              <w:snapToGrid w:val="0"/>
              <w:spacing w:line="440" w:lineRule="exact"/>
              <w:rPr>
                <w:rFonts w:cs="宋体" w:asciiTheme="minorEastAsia" w:hAnsiTheme="minorEastAsia" w:eastAsiaTheme="minorEastAsia"/>
                <w:szCs w:val="21"/>
                <w:highlight w:val="none"/>
              </w:rPr>
            </w:pPr>
          </w:p>
        </w:tc>
        <w:tc>
          <w:tcPr>
            <w:tcW w:w="1364" w:type="dxa"/>
            <w:vAlign w:val="center"/>
          </w:tcPr>
          <w:p w14:paraId="54F2EF7E">
            <w:pPr>
              <w:adjustRightInd w:val="0"/>
              <w:snapToGrid w:val="0"/>
              <w:spacing w:line="440" w:lineRule="exact"/>
              <w:rPr>
                <w:rFonts w:cs="宋体" w:asciiTheme="minorEastAsia" w:hAnsiTheme="minorEastAsia" w:eastAsiaTheme="minorEastAsia"/>
                <w:szCs w:val="21"/>
                <w:highlight w:val="none"/>
              </w:rPr>
            </w:pPr>
          </w:p>
        </w:tc>
      </w:tr>
      <w:tr w14:paraId="57566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674011C7">
            <w:pPr>
              <w:adjustRightInd w:val="0"/>
              <w:snapToGrid w:val="0"/>
              <w:spacing w:line="440" w:lineRule="exact"/>
              <w:rPr>
                <w:rFonts w:cs="宋体" w:asciiTheme="minorEastAsia" w:hAnsiTheme="minorEastAsia" w:eastAsiaTheme="minorEastAsia"/>
                <w:szCs w:val="21"/>
                <w:highlight w:val="none"/>
              </w:rPr>
            </w:pPr>
          </w:p>
        </w:tc>
        <w:tc>
          <w:tcPr>
            <w:tcW w:w="1746" w:type="dxa"/>
            <w:vAlign w:val="center"/>
          </w:tcPr>
          <w:p w14:paraId="5161FEEF">
            <w:pPr>
              <w:adjustRightInd w:val="0"/>
              <w:snapToGrid w:val="0"/>
              <w:spacing w:line="440" w:lineRule="exact"/>
              <w:rPr>
                <w:rFonts w:cs="宋体" w:asciiTheme="minorEastAsia" w:hAnsiTheme="minorEastAsia" w:eastAsiaTheme="minorEastAsia"/>
                <w:szCs w:val="21"/>
                <w:highlight w:val="none"/>
              </w:rPr>
            </w:pPr>
          </w:p>
        </w:tc>
        <w:tc>
          <w:tcPr>
            <w:tcW w:w="2476" w:type="dxa"/>
            <w:vAlign w:val="center"/>
          </w:tcPr>
          <w:p w14:paraId="3DD6ED19">
            <w:pPr>
              <w:adjustRightInd w:val="0"/>
              <w:snapToGrid w:val="0"/>
              <w:spacing w:line="440" w:lineRule="exact"/>
              <w:rPr>
                <w:rFonts w:cs="宋体" w:asciiTheme="minorEastAsia" w:hAnsiTheme="minorEastAsia" w:eastAsiaTheme="minorEastAsia"/>
                <w:szCs w:val="21"/>
                <w:highlight w:val="none"/>
              </w:rPr>
            </w:pPr>
          </w:p>
        </w:tc>
        <w:tc>
          <w:tcPr>
            <w:tcW w:w="2167" w:type="dxa"/>
            <w:vAlign w:val="center"/>
          </w:tcPr>
          <w:p w14:paraId="6D25B517">
            <w:pPr>
              <w:adjustRightInd w:val="0"/>
              <w:snapToGrid w:val="0"/>
              <w:spacing w:line="440" w:lineRule="exact"/>
              <w:rPr>
                <w:rFonts w:cs="宋体" w:asciiTheme="minorEastAsia" w:hAnsiTheme="minorEastAsia" w:eastAsiaTheme="minorEastAsia"/>
                <w:szCs w:val="21"/>
                <w:highlight w:val="none"/>
              </w:rPr>
            </w:pPr>
          </w:p>
        </w:tc>
        <w:tc>
          <w:tcPr>
            <w:tcW w:w="1364" w:type="dxa"/>
            <w:vAlign w:val="center"/>
          </w:tcPr>
          <w:p w14:paraId="23C6F2E4">
            <w:pPr>
              <w:adjustRightInd w:val="0"/>
              <w:snapToGrid w:val="0"/>
              <w:spacing w:line="440" w:lineRule="exact"/>
              <w:rPr>
                <w:rFonts w:cs="宋体" w:asciiTheme="minorEastAsia" w:hAnsiTheme="minorEastAsia" w:eastAsiaTheme="minorEastAsia"/>
                <w:szCs w:val="21"/>
                <w:highlight w:val="none"/>
              </w:rPr>
            </w:pPr>
          </w:p>
        </w:tc>
      </w:tr>
    </w:tbl>
    <w:p w14:paraId="68CD7C6C">
      <w:pPr>
        <w:adjustRightInd w:val="0"/>
        <w:snapToGrid w:val="0"/>
        <w:spacing w:after="120" w:line="440" w:lineRule="exact"/>
        <w:ind w:left="693" w:hanging="693" w:hangingChars="330"/>
        <w:rPr>
          <w:rFonts w:cs="宋体" w:asciiTheme="minorEastAsia" w:hAnsiTheme="minorEastAsia" w:eastAsiaTheme="minorEastAsia"/>
          <w:szCs w:val="21"/>
          <w:highlight w:val="none"/>
        </w:rPr>
      </w:pPr>
    </w:p>
    <w:p w14:paraId="0CC46067">
      <w:pPr>
        <w:spacing w:line="440" w:lineRule="exact"/>
        <w:ind w:firstLine="1274" w:firstLineChars="607"/>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投标人名称：</w:t>
      </w:r>
      <w:r>
        <w:rPr>
          <w:rFonts w:hint="eastAsia" w:asciiTheme="minorEastAsia" w:hAnsiTheme="minorEastAsia" w:eastAsiaTheme="minorEastAsia"/>
          <w:szCs w:val="21"/>
          <w:highlight w:val="none"/>
          <w:u w:val="single"/>
        </w:rPr>
        <w:t xml:space="preserve">　　　　　　　　                 </w:t>
      </w:r>
    </w:p>
    <w:p w14:paraId="3283CF5A">
      <w:pPr>
        <w:spacing w:line="440" w:lineRule="exact"/>
        <w:ind w:firstLine="1274" w:firstLineChars="607"/>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6A9B7A62">
      <w:pPr>
        <w:adjustRightInd w:val="0"/>
        <w:snapToGrid w:val="0"/>
        <w:spacing w:line="440" w:lineRule="exact"/>
        <w:rPr>
          <w:rFonts w:cs="宋体" w:asciiTheme="minorEastAsia" w:hAnsiTheme="minorEastAsia" w:eastAsiaTheme="minorEastAsia"/>
          <w:szCs w:val="21"/>
          <w:highlight w:val="none"/>
        </w:rPr>
      </w:pPr>
      <w:r>
        <w:rPr>
          <w:rFonts w:hint="eastAsia"/>
          <w:highlight w:val="none"/>
        </w:rPr>
        <w:t xml:space="preserve"> [招标人可根据项目实际情况修改本文件中的条款、增加新的条款。]</w:t>
      </w:r>
    </w:p>
    <w:p w14:paraId="30C6B8A2">
      <w:pPr>
        <w:adjustRightInd w:val="0"/>
        <w:snapToGrid w:val="0"/>
        <w:spacing w:line="44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b/>
          <w:szCs w:val="21"/>
          <w:highlight w:val="none"/>
        </w:rPr>
        <w:t>编制要求</w:t>
      </w:r>
      <w:r>
        <w:rPr>
          <w:rFonts w:hint="eastAsia" w:cs="宋体" w:asciiTheme="minorEastAsia" w:hAnsiTheme="minorEastAsia" w:eastAsiaTheme="minorEastAsia"/>
          <w:szCs w:val="21"/>
          <w:highlight w:val="none"/>
        </w:rPr>
        <w:t>：</w:t>
      </w:r>
    </w:p>
    <w:p w14:paraId="0E4DC0FD">
      <w:pPr>
        <w:pStyle w:val="101"/>
        <w:numPr>
          <w:ilvl w:val="0"/>
          <w:numId w:val="96"/>
        </w:numPr>
        <w:adjustRightInd w:val="0"/>
        <w:snapToGrid w:val="0"/>
        <w:spacing w:line="440" w:lineRule="exact"/>
        <w:ind w:left="0" w:firstLine="0" w:firstLineChars="0"/>
        <w:rPr>
          <w:rFonts w:asciiTheme="minorEastAsia" w:hAnsiTheme="minorEastAsia" w:eastAsiaTheme="minorEastAsia"/>
          <w:highlight w:val="none"/>
        </w:rPr>
      </w:pPr>
      <w:r>
        <w:rPr>
          <w:rFonts w:hint="eastAsia" w:asciiTheme="minorEastAsia" w:hAnsiTheme="minorEastAsia" w:eastAsiaTheme="minorEastAsia"/>
          <w:highlight w:val="none"/>
        </w:rPr>
        <w:t>如对合同条款无任何偏离，投标人仅需在本偏离表中填写“无偏离”即可。当本表为空时，视为投标文件对合同条款全部满足，无偏离。</w:t>
      </w:r>
    </w:p>
    <w:p w14:paraId="211D1556">
      <w:pPr>
        <w:pStyle w:val="101"/>
        <w:numPr>
          <w:ilvl w:val="0"/>
          <w:numId w:val="96"/>
        </w:numPr>
        <w:adjustRightInd w:val="0"/>
        <w:snapToGrid w:val="0"/>
        <w:spacing w:line="440" w:lineRule="exact"/>
        <w:ind w:left="0" w:firstLine="0" w:firstLineChars="0"/>
        <w:rPr>
          <w:rFonts w:asciiTheme="minorEastAsia" w:hAnsiTheme="minorEastAsia" w:eastAsiaTheme="minorEastAsia"/>
          <w:highlight w:val="none"/>
        </w:rPr>
      </w:pPr>
      <w:r>
        <w:rPr>
          <w:rFonts w:hint="eastAsia" w:asciiTheme="minorEastAsia" w:hAnsiTheme="minorEastAsia" w:eastAsiaTheme="minorEastAsia"/>
          <w:highlight w:val="none"/>
        </w:rPr>
        <w:t>如对合同条款存在偏离，投标人需对合同条款存在的偏离逐条做出说明。</w:t>
      </w:r>
    </w:p>
    <w:p w14:paraId="105402D2">
      <w:pPr>
        <w:pStyle w:val="101"/>
        <w:numPr>
          <w:ilvl w:val="0"/>
          <w:numId w:val="96"/>
        </w:numPr>
        <w:adjustRightInd w:val="0"/>
        <w:snapToGrid w:val="0"/>
        <w:spacing w:line="440" w:lineRule="exact"/>
        <w:ind w:firstLineChars="0"/>
        <w:rPr>
          <w:rFonts w:asciiTheme="minorEastAsia" w:hAnsiTheme="minorEastAsia" w:eastAsiaTheme="minorEastAsia"/>
          <w:highlight w:val="none"/>
        </w:rPr>
      </w:pPr>
      <w:r>
        <w:rPr>
          <w:rFonts w:hint="eastAsia"/>
          <w:highlight w:val="none"/>
        </w:rPr>
        <w:t>投标人可以根据实际情况对本文件进行调整和修改，但应满足招标文件对本文件的要求。</w:t>
      </w:r>
    </w:p>
    <w:p w14:paraId="1B8B51C7">
      <w:pPr>
        <w:pStyle w:val="101"/>
        <w:numPr>
          <w:ilvl w:val="0"/>
          <w:numId w:val="96"/>
        </w:numPr>
        <w:adjustRightInd w:val="0"/>
        <w:snapToGrid w:val="0"/>
        <w:spacing w:line="440" w:lineRule="exact"/>
        <w:ind w:left="0" w:firstLine="0" w:firstLineChars="0"/>
        <w:rPr>
          <w:rFonts w:asciiTheme="minorEastAsia" w:hAnsiTheme="minorEastAsia" w:eastAsiaTheme="minorEastAsia"/>
          <w:highlight w:val="none"/>
        </w:rPr>
        <w:sectPr>
          <w:pgSz w:w="11906" w:h="16838"/>
          <w:pgMar w:top="1440" w:right="1797" w:bottom="1440" w:left="1797" w:header="851" w:footer="992" w:gutter="0"/>
          <w:pgNumType w:fmt="decimal"/>
          <w:cols w:space="425" w:num="1"/>
          <w:docGrid w:type="lines" w:linePitch="312" w:charSpace="0"/>
        </w:sectPr>
      </w:pPr>
    </w:p>
    <w:p w14:paraId="5AD52581">
      <w:pPr>
        <w:pStyle w:val="81"/>
        <w:numPr>
          <w:ilvl w:val="0"/>
          <w:numId w:val="0"/>
        </w:numPr>
        <w:tabs>
          <w:tab w:val="left" w:pos="588"/>
        </w:tabs>
        <w:snapToGrid w:val="0"/>
        <w:spacing w:before="120" w:after="120" w:line="440" w:lineRule="exact"/>
        <w:ind w:left="425" w:leftChars="0" w:hanging="425" w:firstLineChars="0"/>
        <w:jc w:val="left"/>
        <w:rPr>
          <w:rFonts w:ascii="宋体" w:hAnsi="宋体" w:eastAsia="宋体"/>
          <w:sz w:val="24"/>
          <w:szCs w:val="24"/>
        </w:rPr>
      </w:pPr>
      <w:bookmarkStart w:id="990" w:name="_Toc16788"/>
      <w:bookmarkStart w:id="991" w:name="_Toc1143"/>
      <w:bookmarkStart w:id="992" w:name="_Toc11664"/>
      <w:bookmarkStart w:id="993" w:name="_Toc27193"/>
      <w:bookmarkStart w:id="994" w:name="_Toc26923"/>
      <w:bookmarkStart w:id="995" w:name="_Toc16501"/>
      <w:bookmarkStart w:id="996" w:name="_Toc19891"/>
      <w:bookmarkStart w:id="997" w:name="_Toc7390"/>
      <w:bookmarkStart w:id="998" w:name="_Toc23319"/>
      <w:bookmarkStart w:id="999" w:name="_Toc31915"/>
      <w:bookmarkStart w:id="1000" w:name="_Toc38008092"/>
      <w:bookmarkStart w:id="1001" w:name="_Toc444791971"/>
      <w:bookmarkStart w:id="1002" w:name="_Toc475472685"/>
      <w:bookmarkStart w:id="1003" w:name="_Toc326856160"/>
      <w:r>
        <w:rPr>
          <w:rFonts w:hint="eastAsia" w:ascii="宋体" w:hAnsi="宋体"/>
          <w:sz w:val="24"/>
          <w:szCs w:val="24"/>
          <w:lang w:val="en-US" w:eastAsia="zh-CN"/>
        </w:rPr>
        <w:t>18</w:t>
      </w:r>
      <w:r>
        <w:rPr>
          <w:rFonts w:hint="eastAsia" w:ascii="宋体" w:hAnsi="宋体" w:eastAsia="宋体"/>
          <w:sz w:val="24"/>
          <w:szCs w:val="24"/>
          <w:lang w:val="en-US" w:eastAsia="zh-CN"/>
        </w:rPr>
        <w:t>.投标</w:t>
      </w:r>
      <w:r>
        <w:rPr>
          <w:rFonts w:hint="eastAsia" w:ascii="宋体" w:hAnsi="宋体" w:eastAsia="宋体"/>
          <w:sz w:val="24"/>
          <w:szCs w:val="24"/>
        </w:rPr>
        <w:t>人须知前附表偏离表</w:t>
      </w:r>
      <w:bookmarkEnd w:id="990"/>
      <w:bookmarkEnd w:id="991"/>
      <w:bookmarkEnd w:id="992"/>
      <w:bookmarkEnd w:id="993"/>
      <w:bookmarkEnd w:id="994"/>
      <w:bookmarkEnd w:id="995"/>
      <w:bookmarkEnd w:id="996"/>
      <w:bookmarkEnd w:id="997"/>
      <w:bookmarkEnd w:id="998"/>
      <w:bookmarkEnd w:id="999"/>
    </w:p>
    <w:p w14:paraId="5E490B86">
      <w:pPr>
        <w:rPr>
          <w:rFonts w:ascii="宋体" w:hAnsi="宋体" w:eastAsia="宋体" w:cs="宋体"/>
        </w:rPr>
      </w:pPr>
    </w:p>
    <w:p w14:paraId="541C43CF">
      <w:pPr>
        <w:jc w:val="center"/>
        <w:rPr>
          <w:rFonts w:ascii="宋体" w:hAnsi="宋体" w:eastAsia="宋体" w:cs="宋体"/>
          <w:szCs w:val="21"/>
        </w:rPr>
      </w:pPr>
      <w:r>
        <w:rPr>
          <w:rFonts w:hint="eastAsia" w:ascii="宋体" w:hAnsi="宋体" w:eastAsia="宋体" w:cs="宋体"/>
          <w:szCs w:val="21"/>
          <w:lang w:val="en-US" w:eastAsia="zh-CN"/>
        </w:rPr>
        <w:t>投标</w:t>
      </w:r>
      <w:r>
        <w:rPr>
          <w:rFonts w:hint="eastAsia" w:ascii="宋体" w:hAnsi="宋体" w:eastAsia="宋体" w:cs="宋体"/>
          <w:szCs w:val="21"/>
        </w:rPr>
        <w:t>人须知前附表偏离表</w:t>
      </w:r>
    </w:p>
    <w:p w14:paraId="70EE25E7">
      <w:pPr>
        <w:adjustRightInd w:val="0"/>
        <w:snapToGrid w:val="0"/>
        <w:spacing w:after="120" w:line="440" w:lineRule="exact"/>
        <w:rPr>
          <w:rFonts w:ascii="宋体" w:hAnsi="宋体" w:eastAsia="宋体" w:cs="宋体"/>
          <w:szCs w:val="21"/>
        </w:rPr>
      </w:pPr>
      <w:r>
        <w:rPr>
          <w:rFonts w:hint="eastAsia" w:ascii="宋体" w:hAnsi="宋体" w:eastAsia="宋体" w:cs="宋体"/>
          <w:szCs w:val="21"/>
        </w:rPr>
        <w:t>项目</w:t>
      </w:r>
      <w:r>
        <w:rPr>
          <w:rFonts w:ascii="宋体" w:hAnsi="宋体" w:eastAsia="宋体" w:cs="宋体"/>
          <w:szCs w:val="21"/>
        </w:rPr>
        <w:t>名称：</w:t>
      </w:r>
      <w:r>
        <w:rPr>
          <w:rFonts w:ascii="宋体" w:hAnsi="宋体" w:eastAsia="宋体" w:cs="宋体"/>
          <w:szCs w:val="21"/>
          <w:u w:val="single"/>
        </w:rPr>
        <w:t xml:space="preserve">                     </w:t>
      </w:r>
      <w:r>
        <w:rPr>
          <w:rFonts w:hint="eastAsia" w:ascii="宋体" w:hAnsi="宋体" w:eastAsia="宋体" w:cs="宋体"/>
          <w:szCs w:val="21"/>
          <w:lang w:val="en-US" w:eastAsia="zh-CN"/>
        </w:rPr>
        <w:t>招标</w:t>
      </w:r>
      <w:r>
        <w:rPr>
          <w:rFonts w:ascii="宋体" w:hAnsi="宋体" w:eastAsia="宋体" w:cs="宋体"/>
          <w:szCs w:val="21"/>
        </w:rPr>
        <w:t>编号：</w:t>
      </w:r>
      <w:r>
        <w:rPr>
          <w:rFonts w:ascii="宋体" w:hAnsi="宋体" w:eastAsia="宋体" w:cs="宋体"/>
          <w:szCs w:val="21"/>
          <w:u w:val="single"/>
        </w:rPr>
        <w:t xml:space="preserve">                </w:t>
      </w:r>
      <w:r>
        <w:rPr>
          <w:rFonts w:hint="eastAsia" w:ascii="宋体" w:hAnsi="宋体" w:eastAsia="宋体" w:cs="宋体"/>
          <w:szCs w:val="21"/>
        </w:rPr>
        <w:t>分包（标包）</w:t>
      </w:r>
      <w:r>
        <w:rPr>
          <w:rFonts w:ascii="宋体" w:hAnsi="宋体" w:eastAsia="宋体" w:cs="宋体"/>
          <w:szCs w:val="21"/>
        </w:rPr>
        <w:t>：</w:t>
      </w:r>
      <w:r>
        <w:rPr>
          <w:rFonts w:ascii="宋体" w:hAnsi="宋体" w:eastAsia="宋体" w:cs="宋体"/>
          <w:szCs w:val="21"/>
          <w:u w:val="single"/>
        </w:rPr>
        <w:t xml:space="preserve">       </w:t>
      </w:r>
    </w:p>
    <w:tbl>
      <w:tblPr>
        <w:tblStyle w:val="85"/>
        <w:tblW w:w="8438" w:type="dxa"/>
        <w:tblInd w:w="4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5"/>
        <w:gridCol w:w="1746"/>
        <w:gridCol w:w="2208"/>
        <w:gridCol w:w="2435"/>
        <w:gridCol w:w="1364"/>
      </w:tblGrid>
      <w:tr w14:paraId="4B78D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3" w:hRule="atLeast"/>
        </w:trPr>
        <w:tc>
          <w:tcPr>
            <w:tcW w:w="685" w:type="dxa"/>
            <w:noWrap w:val="0"/>
            <w:vAlign w:val="center"/>
          </w:tcPr>
          <w:p w14:paraId="2651C39C">
            <w:pPr>
              <w:adjustRightInd w:val="0"/>
              <w:snapToGrid w:val="0"/>
              <w:spacing w:line="440" w:lineRule="exact"/>
              <w:jc w:val="center"/>
              <w:rPr>
                <w:rFonts w:ascii="宋体" w:hAnsi="宋体" w:eastAsia="宋体" w:cs="宋体"/>
                <w:szCs w:val="21"/>
              </w:rPr>
            </w:pPr>
            <w:r>
              <w:rPr>
                <w:rFonts w:ascii="宋体" w:hAnsi="宋体" w:eastAsia="宋体" w:cs="宋体"/>
                <w:szCs w:val="21"/>
              </w:rPr>
              <w:t>序号</w:t>
            </w:r>
          </w:p>
        </w:tc>
        <w:tc>
          <w:tcPr>
            <w:tcW w:w="1746" w:type="dxa"/>
            <w:noWrap w:val="0"/>
            <w:vAlign w:val="center"/>
          </w:tcPr>
          <w:p w14:paraId="65218337">
            <w:pPr>
              <w:adjustRightInd w:val="0"/>
              <w:snapToGrid w:val="0"/>
              <w:spacing w:line="440" w:lineRule="exact"/>
              <w:jc w:val="center"/>
              <w:rPr>
                <w:rFonts w:ascii="宋体" w:hAnsi="宋体" w:eastAsia="宋体" w:cs="宋体"/>
                <w:szCs w:val="21"/>
              </w:rPr>
            </w:pPr>
            <w:r>
              <w:rPr>
                <w:rFonts w:hint="eastAsia" w:ascii="宋体" w:hAnsi="宋体" w:eastAsia="宋体" w:cs="宋体"/>
                <w:szCs w:val="21"/>
                <w:lang w:val="en-US" w:eastAsia="zh-CN"/>
              </w:rPr>
              <w:t>招标</w:t>
            </w:r>
            <w:r>
              <w:rPr>
                <w:rFonts w:ascii="宋体" w:hAnsi="宋体" w:eastAsia="宋体" w:cs="宋体"/>
                <w:szCs w:val="21"/>
              </w:rPr>
              <w:t>文件条目号</w:t>
            </w:r>
          </w:p>
        </w:tc>
        <w:tc>
          <w:tcPr>
            <w:tcW w:w="2208" w:type="dxa"/>
            <w:noWrap w:val="0"/>
            <w:vAlign w:val="center"/>
          </w:tcPr>
          <w:p w14:paraId="43B9AE11">
            <w:pPr>
              <w:adjustRightInd w:val="0"/>
              <w:snapToGrid w:val="0"/>
              <w:spacing w:line="440" w:lineRule="exact"/>
              <w:jc w:val="center"/>
              <w:rPr>
                <w:rFonts w:ascii="宋体" w:hAnsi="宋体" w:eastAsia="宋体" w:cs="宋体"/>
                <w:szCs w:val="21"/>
              </w:rPr>
            </w:pPr>
            <w:r>
              <w:rPr>
                <w:rFonts w:hint="eastAsia" w:ascii="宋体" w:hAnsi="宋体" w:eastAsia="宋体" w:cs="宋体"/>
                <w:szCs w:val="21"/>
                <w:lang w:val="en-US" w:eastAsia="zh-CN"/>
              </w:rPr>
              <w:t>招标</w:t>
            </w:r>
            <w:r>
              <w:rPr>
                <w:rFonts w:ascii="宋体" w:hAnsi="宋体" w:eastAsia="宋体" w:cs="宋体"/>
                <w:szCs w:val="21"/>
              </w:rPr>
              <w:t>文件的</w:t>
            </w:r>
            <w:r>
              <w:rPr>
                <w:rFonts w:hint="eastAsia" w:ascii="宋体" w:hAnsi="宋体" w:eastAsia="宋体" w:cs="宋体"/>
                <w:szCs w:val="21"/>
              </w:rPr>
              <w:t>合同</w:t>
            </w:r>
            <w:r>
              <w:rPr>
                <w:rFonts w:ascii="宋体" w:hAnsi="宋体" w:eastAsia="宋体" w:cs="宋体"/>
                <w:szCs w:val="21"/>
              </w:rPr>
              <w:t>条款</w:t>
            </w:r>
          </w:p>
        </w:tc>
        <w:tc>
          <w:tcPr>
            <w:tcW w:w="2435" w:type="dxa"/>
            <w:noWrap w:val="0"/>
            <w:vAlign w:val="center"/>
          </w:tcPr>
          <w:p w14:paraId="6D2FB968">
            <w:pPr>
              <w:adjustRightInd w:val="0"/>
              <w:snapToGrid w:val="0"/>
              <w:spacing w:line="440" w:lineRule="exact"/>
              <w:jc w:val="center"/>
              <w:rPr>
                <w:rFonts w:ascii="宋体" w:hAnsi="宋体" w:eastAsia="宋体" w:cs="宋体"/>
                <w:szCs w:val="21"/>
              </w:rPr>
            </w:pPr>
            <w:r>
              <w:rPr>
                <w:rFonts w:hint="eastAsia" w:ascii="宋体" w:hAnsi="宋体" w:eastAsia="宋体" w:cs="宋体"/>
                <w:szCs w:val="21"/>
                <w:lang w:val="en-US" w:eastAsia="zh-CN"/>
              </w:rPr>
              <w:t>投标</w:t>
            </w:r>
            <w:r>
              <w:rPr>
                <w:rFonts w:hint="eastAsia" w:ascii="宋体" w:hAnsi="宋体" w:eastAsia="宋体" w:cs="宋体"/>
                <w:szCs w:val="21"/>
              </w:rPr>
              <w:t>文件</w:t>
            </w:r>
            <w:r>
              <w:rPr>
                <w:rFonts w:ascii="宋体" w:hAnsi="宋体" w:eastAsia="宋体" w:cs="宋体"/>
                <w:szCs w:val="21"/>
              </w:rPr>
              <w:t>偏离情况</w:t>
            </w:r>
          </w:p>
        </w:tc>
        <w:tc>
          <w:tcPr>
            <w:tcW w:w="1364" w:type="dxa"/>
            <w:noWrap w:val="0"/>
            <w:vAlign w:val="center"/>
          </w:tcPr>
          <w:p w14:paraId="370ACB52">
            <w:pPr>
              <w:adjustRightInd w:val="0"/>
              <w:snapToGrid w:val="0"/>
              <w:spacing w:line="440" w:lineRule="exact"/>
              <w:jc w:val="center"/>
              <w:rPr>
                <w:rFonts w:ascii="宋体" w:hAnsi="宋体" w:eastAsia="宋体" w:cs="宋体"/>
                <w:szCs w:val="21"/>
              </w:rPr>
            </w:pPr>
            <w:r>
              <w:rPr>
                <w:rFonts w:ascii="宋体" w:hAnsi="宋体" w:eastAsia="宋体" w:cs="宋体"/>
                <w:szCs w:val="21"/>
              </w:rPr>
              <w:t>说明</w:t>
            </w:r>
          </w:p>
        </w:tc>
      </w:tr>
      <w:tr w14:paraId="47D9B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noWrap w:val="0"/>
            <w:vAlign w:val="center"/>
          </w:tcPr>
          <w:p w14:paraId="3CA849AC">
            <w:pPr>
              <w:adjustRightInd w:val="0"/>
              <w:snapToGrid w:val="0"/>
              <w:spacing w:line="440" w:lineRule="exact"/>
              <w:rPr>
                <w:rFonts w:ascii="宋体" w:hAnsi="宋体" w:eastAsia="宋体" w:cs="宋体"/>
                <w:szCs w:val="21"/>
              </w:rPr>
            </w:pPr>
          </w:p>
        </w:tc>
        <w:tc>
          <w:tcPr>
            <w:tcW w:w="1746" w:type="dxa"/>
            <w:noWrap w:val="0"/>
            <w:vAlign w:val="center"/>
          </w:tcPr>
          <w:p w14:paraId="56C790CC">
            <w:pPr>
              <w:adjustRightInd w:val="0"/>
              <w:snapToGrid w:val="0"/>
              <w:spacing w:line="440" w:lineRule="exact"/>
              <w:rPr>
                <w:rFonts w:ascii="宋体" w:hAnsi="宋体" w:eastAsia="宋体" w:cs="宋体"/>
                <w:szCs w:val="21"/>
              </w:rPr>
            </w:pPr>
          </w:p>
        </w:tc>
        <w:tc>
          <w:tcPr>
            <w:tcW w:w="2208" w:type="dxa"/>
            <w:noWrap w:val="0"/>
            <w:vAlign w:val="center"/>
          </w:tcPr>
          <w:p w14:paraId="67E85C09">
            <w:pPr>
              <w:adjustRightInd w:val="0"/>
              <w:snapToGrid w:val="0"/>
              <w:spacing w:line="440" w:lineRule="exact"/>
              <w:rPr>
                <w:rFonts w:ascii="宋体" w:hAnsi="宋体" w:eastAsia="宋体" w:cs="宋体"/>
                <w:szCs w:val="21"/>
              </w:rPr>
            </w:pPr>
          </w:p>
        </w:tc>
        <w:tc>
          <w:tcPr>
            <w:tcW w:w="2435" w:type="dxa"/>
            <w:noWrap w:val="0"/>
            <w:vAlign w:val="center"/>
          </w:tcPr>
          <w:p w14:paraId="2B2C2465">
            <w:pPr>
              <w:adjustRightInd w:val="0"/>
              <w:snapToGrid w:val="0"/>
              <w:spacing w:line="440" w:lineRule="exact"/>
              <w:rPr>
                <w:rFonts w:ascii="宋体" w:hAnsi="宋体" w:eastAsia="宋体" w:cs="宋体"/>
                <w:szCs w:val="21"/>
              </w:rPr>
            </w:pPr>
          </w:p>
        </w:tc>
        <w:tc>
          <w:tcPr>
            <w:tcW w:w="1364" w:type="dxa"/>
            <w:noWrap w:val="0"/>
            <w:vAlign w:val="center"/>
          </w:tcPr>
          <w:p w14:paraId="392FF140">
            <w:pPr>
              <w:adjustRightInd w:val="0"/>
              <w:snapToGrid w:val="0"/>
              <w:spacing w:line="440" w:lineRule="exact"/>
              <w:rPr>
                <w:rFonts w:ascii="宋体" w:hAnsi="宋体" w:eastAsia="宋体" w:cs="宋体"/>
                <w:szCs w:val="21"/>
              </w:rPr>
            </w:pPr>
          </w:p>
        </w:tc>
      </w:tr>
      <w:tr w14:paraId="55C15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noWrap w:val="0"/>
            <w:vAlign w:val="center"/>
          </w:tcPr>
          <w:p w14:paraId="5B80D298">
            <w:pPr>
              <w:adjustRightInd w:val="0"/>
              <w:snapToGrid w:val="0"/>
              <w:spacing w:line="440" w:lineRule="exact"/>
              <w:rPr>
                <w:rFonts w:ascii="宋体" w:hAnsi="宋体" w:eastAsia="宋体" w:cs="宋体"/>
                <w:szCs w:val="21"/>
              </w:rPr>
            </w:pPr>
          </w:p>
        </w:tc>
        <w:tc>
          <w:tcPr>
            <w:tcW w:w="1746" w:type="dxa"/>
            <w:noWrap w:val="0"/>
            <w:vAlign w:val="center"/>
          </w:tcPr>
          <w:p w14:paraId="1E7B0036">
            <w:pPr>
              <w:adjustRightInd w:val="0"/>
              <w:snapToGrid w:val="0"/>
              <w:spacing w:line="440" w:lineRule="exact"/>
              <w:rPr>
                <w:rFonts w:ascii="宋体" w:hAnsi="宋体" w:eastAsia="宋体" w:cs="宋体"/>
                <w:szCs w:val="21"/>
              </w:rPr>
            </w:pPr>
          </w:p>
        </w:tc>
        <w:tc>
          <w:tcPr>
            <w:tcW w:w="2208" w:type="dxa"/>
            <w:noWrap w:val="0"/>
            <w:vAlign w:val="center"/>
          </w:tcPr>
          <w:p w14:paraId="4ABBE3A5">
            <w:pPr>
              <w:adjustRightInd w:val="0"/>
              <w:snapToGrid w:val="0"/>
              <w:spacing w:line="440" w:lineRule="exact"/>
              <w:rPr>
                <w:rFonts w:ascii="宋体" w:hAnsi="宋体" w:eastAsia="宋体" w:cs="宋体"/>
                <w:szCs w:val="21"/>
              </w:rPr>
            </w:pPr>
          </w:p>
        </w:tc>
        <w:tc>
          <w:tcPr>
            <w:tcW w:w="2435" w:type="dxa"/>
            <w:noWrap w:val="0"/>
            <w:vAlign w:val="center"/>
          </w:tcPr>
          <w:p w14:paraId="22D40285">
            <w:pPr>
              <w:adjustRightInd w:val="0"/>
              <w:snapToGrid w:val="0"/>
              <w:spacing w:line="440" w:lineRule="exact"/>
              <w:rPr>
                <w:rFonts w:ascii="宋体" w:hAnsi="宋体" w:eastAsia="宋体" w:cs="宋体"/>
                <w:szCs w:val="21"/>
              </w:rPr>
            </w:pPr>
          </w:p>
        </w:tc>
        <w:tc>
          <w:tcPr>
            <w:tcW w:w="1364" w:type="dxa"/>
            <w:noWrap w:val="0"/>
            <w:vAlign w:val="center"/>
          </w:tcPr>
          <w:p w14:paraId="7FFEED5D">
            <w:pPr>
              <w:adjustRightInd w:val="0"/>
              <w:snapToGrid w:val="0"/>
              <w:spacing w:line="440" w:lineRule="exact"/>
              <w:rPr>
                <w:rFonts w:ascii="宋体" w:hAnsi="宋体" w:eastAsia="宋体" w:cs="宋体"/>
                <w:szCs w:val="21"/>
              </w:rPr>
            </w:pPr>
          </w:p>
        </w:tc>
      </w:tr>
      <w:tr w14:paraId="095B7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noWrap w:val="0"/>
            <w:vAlign w:val="center"/>
          </w:tcPr>
          <w:p w14:paraId="3C5D4DD3">
            <w:pPr>
              <w:adjustRightInd w:val="0"/>
              <w:snapToGrid w:val="0"/>
              <w:spacing w:line="440" w:lineRule="exact"/>
              <w:rPr>
                <w:rFonts w:ascii="宋体" w:hAnsi="宋体" w:eastAsia="宋体" w:cs="宋体"/>
                <w:szCs w:val="21"/>
              </w:rPr>
            </w:pPr>
          </w:p>
        </w:tc>
        <w:tc>
          <w:tcPr>
            <w:tcW w:w="1746" w:type="dxa"/>
            <w:noWrap w:val="0"/>
            <w:vAlign w:val="center"/>
          </w:tcPr>
          <w:p w14:paraId="470F69C8">
            <w:pPr>
              <w:adjustRightInd w:val="0"/>
              <w:snapToGrid w:val="0"/>
              <w:spacing w:line="440" w:lineRule="exact"/>
              <w:rPr>
                <w:rFonts w:ascii="宋体" w:hAnsi="宋体" w:eastAsia="宋体" w:cs="宋体"/>
                <w:szCs w:val="21"/>
              </w:rPr>
            </w:pPr>
          </w:p>
        </w:tc>
        <w:tc>
          <w:tcPr>
            <w:tcW w:w="2208" w:type="dxa"/>
            <w:noWrap w:val="0"/>
            <w:vAlign w:val="center"/>
          </w:tcPr>
          <w:p w14:paraId="6943D422">
            <w:pPr>
              <w:adjustRightInd w:val="0"/>
              <w:snapToGrid w:val="0"/>
              <w:spacing w:line="440" w:lineRule="exact"/>
              <w:rPr>
                <w:rFonts w:ascii="宋体" w:hAnsi="宋体" w:eastAsia="宋体" w:cs="宋体"/>
                <w:szCs w:val="21"/>
              </w:rPr>
            </w:pPr>
          </w:p>
        </w:tc>
        <w:tc>
          <w:tcPr>
            <w:tcW w:w="2435" w:type="dxa"/>
            <w:noWrap w:val="0"/>
            <w:vAlign w:val="center"/>
          </w:tcPr>
          <w:p w14:paraId="175ECFD2">
            <w:pPr>
              <w:adjustRightInd w:val="0"/>
              <w:snapToGrid w:val="0"/>
              <w:spacing w:line="440" w:lineRule="exact"/>
              <w:rPr>
                <w:rFonts w:ascii="宋体" w:hAnsi="宋体" w:eastAsia="宋体" w:cs="宋体"/>
                <w:szCs w:val="21"/>
              </w:rPr>
            </w:pPr>
          </w:p>
        </w:tc>
        <w:tc>
          <w:tcPr>
            <w:tcW w:w="1364" w:type="dxa"/>
            <w:noWrap w:val="0"/>
            <w:vAlign w:val="center"/>
          </w:tcPr>
          <w:p w14:paraId="41D8653D">
            <w:pPr>
              <w:adjustRightInd w:val="0"/>
              <w:snapToGrid w:val="0"/>
              <w:spacing w:line="440" w:lineRule="exact"/>
              <w:rPr>
                <w:rFonts w:ascii="宋体" w:hAnsi="宋体" w:eastAsia="宋体" w:cs="宋体"/>
                <w:szCs w:val="21"/>
              </w:rPr>
            </w:pPr>
          </w:p>
        </w:tc>
      </w:tr>
      <w:tr w14:paraId="32944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6" w:hRule="atLeast"/>
        </w:trPr>
        <w:tc>
          <w:tcPr>
            <w:tcW w:w="685" w:type="dxa"/>
            <w:noWrap w:val="0"/>
            <w:vAlign w:val="center"/>
          </w:tcPr>
          <w:p w14:paraId="2944ACC9">
            <w:pPr>
              <w:adjustRightInd w:val="0"/>
              <w:snapToGrid w:val="0"/>
              <w:spacing w:line="440" w:lineRule="exact"/>
              <w:rPr>
                <w:rFonts w:ascii="宋体" w:hAnsi="宋体" w:eastAsia="宋体" w:cs="宋体"/>
                <w:szCs w:val="21"/>
              </w:rPr>
            </w:pPr>
          </w:p>
        </w:tc>
        <w:tc>
          <w:tcPr>
            <w:tcW w:w="1746" w:type="dxa"/>
            <w:noWrap w:val="0"/>
            <w:vAlign w:val="center"/>
          </w:tcPr>
          <w:p w14:paraId="2FE28B71">
            <w:pPr>
              <w:adjustRightInd w:val="0"/>
              <w:snapToGrid w:val="0"/>
              <w:spacing w:line="440" w:lineRule="exact"/>
              <w:rPr>
                <w:rFonts w:ascii="宋体" w:hAnsi="宋体" w:eastAsia="宋体" w:cs="宋体"/>
                <w:szCs w:val="21"/>
              </w:rPr>
            </w:pPr>
          </w:p>
        </w:tc>
        <w:tc>
          <w:tcPr>
            <w:tcW w:w="2208" w:type="dxa"/>
            <w:noWrap w:val="0"/>
            <w:vAlign w:val="center"/>
          </w:tcPr>
          <w:p w14:paraId="0C3DD260">
            <w:pPr>
              <w:adjustRightInd w:val="0"/>
              <w:snapToGrid w:val="0"/>
              <w:spacing w:line="440" w:lineRule="exact"/>
              <w:rPr>
                <w:rFonts w:ascii="宋体" w:hAnsi="宋体" w:eastAsia="宋体" w:cs="宋体"/>
                <w:szCs w:val="21"/>
              </w:rPr>
            </w:pPr>
          </w:p>
        </w:tc>
        <w:tc>
          <w:tcPr>
            <w:tcW w:w="2435" w:type="dxa"/>
            <w:noWrap w:val="0"/>
            <w:vAlign w:val="center"/>
          </w:tcPr>
          <w:p w14:paraId="2E89EE00">
            <w:pPr>
              <w:adjustRightInd w:val="0"/>
              <w:snapToGrid w:val="0"/>
              <w:spacing w:line="440" w:lineRule="exact"/>
              <w:rPr>
                <w:rFonts w:ascii="宋体" w:hAnsi="宋体" w:eastAsia="宋体" w:cs="宋体"/>
                <w:szCs w:val="21"/>
              </w:rPr>
            </w:pPr>
          </w:p>
        </w:tc>
        <w:tc>
          <w:tcPr>
            <w:tcW w:w="1364" w:type="dxa"/>
            <w:noWrap w:val="0"/>
            <w:vAlign w:val="center"/>
          </w:tcPr>
          <w:p w14:paraId="3155A01A">
            <w:pPr>
              <w:adjustRightInd w:val="0"/>
              <w:snapToGrid w:val="0"/>
              <w:spacing w:line="440" w:lineRule="exact"/>
              <w:rPr>
                <w:rFonts w:ascii="宋体" w:hAnsi="宋体" w:eastAsia="宋体" w:cs="宋体"/>
                <w:szCs w:val="21"/>
              </w:rPr>
            </w:pPr>
          </w:p>
        </w:tc>
      </w:tr>
      <w:tr w14:paraId="4EA212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noWrap w:val="0"/>
            <w:vAlign w:val="center"/>
          </w:tcPr>
          <w:p w14:paraId="1E34FC9E">
            <w:pPr>
              <w:adjustRightInd w:val="0"/>
              <w:snapToGrid w:val="0"/>
              <w:spacing w:line="440" w:lineRule="exact"/>
              <w:rPr>
                <w:rFonts w:ascii="宋体" w:hAnsi="宋体" w:eastAsia="宋体" w:cs="宋体"/>
                <w:szCs w:val="21"/>
              </w:rPr>
            </w:pPr>
          </w:p>
        </w:tc>
        <w:tc>
          <w:tcPr>
            <w:tcW w:w="1746" w:type="dxa"/>
            <w:noWrap w:val="0"/>
            <w:vAlign w:val="center"/>
          </w:tcPr>
          <w:p w14:paraId="53E250CF">
            <w:pPr>
              <w:adjustRightInd w:val="0"/>
              <w:snapToGrid w:val="0"/>
              <w:spacing w:line="440" w:lineRule="exact"/>
              <w:rPr>
                <w:rFonts w:ascii="宋体" w:hAnsi="宋体" w:eastAsia="宋体" w:cs="宋体"/>
                <w:szCs w:val="21"/>
              </w:rPr>
            </w:pPr>
          </w:p>
        </w:tc>
        <w:tc>
          <w:tcPr>
            <w:tcW w:w="2208" w:type="dxa"/>
            <w:noWrap w:val="0"/>
            <w:vAlign w:val="center"/>
          </w:tcPr>
          <w:p w14:paraId="776C8368">
            <w:pPr>
              <w:adjustRightInd w:val="0"/>
              <w:snapToGrid w:val="0"/>
              <w:spacing w:line="440" w:lineRule="exact"/>
              <w:rPr>
                <w:rFonts w:ascii="宋体" w:hAnsi="宋体" w:eastAsia="宋体" w:cs="宋体"/>
                <w:szCs w:val="21"/>
              </w:rPr>
            </w:pPr>
          </w:p>
        </w:tc>
        <w:tc>
          <w:tcPr>
            <w:tcW w:w="2435" w:type="dxa"/>
            <w:noWrap w:val="0"/>
            <w:vAlign w:val="center"/>
          </w:tcPr>
          <w:p w14:paraId="5F42C9AE">
            <w:pPr>
              <w:adjustRightInd w:val="0"/>
              <w:snapToGrid w:val="0"/>
              <w:spacing w:line="440" w:lineRule="exact"/>
              <w:rPr>
                <w:rFonts w:ascii="宋体" w:hAnsi="宋体" w:eastAsia="宋体" w:cs="宋体"/>
                <w:szCs w:val="21"/>
              </w:rPr>
            </w:pPr>
          </w:p>
        </w:tc>
        <w:tc>
          <w:tcPr>
            <w:tcW w:w="1364" w:type="dxa"/>
            <w:noWrap w:val="0"/>
            <w:vAlign w:val="center"/>
          </w:tcPr>
          <w:p w14:paraId="7FE4BFC1">
            <w:pPr>
              <w:adjustRightInd w:val="0"/>
              <w:snapToGrid w:val="0"/>
              <w:spacing w:line="440" w:lineRule="exact"/>
              <w:rPr>
                <w:rFonts w:ascii="宋体" w:hAnsi="宋体" w:eastAsia="宋体" w:cs="宋体"/>
                <w:szCs w:val="21"/>
              </w:rPr>
            </w:pPr>
          </w:p>
        </w:tc>
      </w:tr>
      <w:tr w14:paraId="339B5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noWrap w:val="0"/>
            <w:vAlign w:val="center"/>
          </w:tcPr>
          <w:p w14:paraId="5954F3B5">
            <w:pPr>
              <w:adjustRightInd w:val="0"/>
              <w:snapToGrid w:val="0"/>
              <w:spacing w:line="440" w:lineRule="exact"/>
              <w:rPr>
                <w:rFonts w:ascii="宋体" w:hAnsi="宋体" w:eastAsia="宋体" w:cs="宋体"/>
                <w:szCs w:val="21"/>
              </w:rPr>
            </w:pPr>
          </w:p>
        </w:tc>
        <w:tc>
          <w:tcPr>
            <w:tcW w:w="1746" w:type="dxa"/>
            <w:noWrap w:val="0"/>
            <w:vAlign w:val="center"/>
          </w:tcPr>
          <w:p w14:paraId="1659E7C9">
            <w:pPr>
              <w:adjustRightInd w:val="0"/>
              <w:snapToGrid w:val="0"/>
              <w:spacing w:line="440" w:lineRule="exact"/>
              <w:rPr>
                <w:rFonts w:ascii="宋体" w:hAnsi="宋体" w:eastAsia="宋体" w:cs="宋体"/>
                <w:szCs w:val="21"/>
              </w:rPr>
            </w:pPr>
          </w:p>
        </w:tc>
        <w:tc>
          <w:tcPr>
            <w:tcW w:w="2208" w:type="dxa"/>
            <w:noWrap w:val="0"/>
            <w:vAlign w:val="center"/>
          </w:tcPr>
          <w:p w14:paraId="0DAC62AA">
            <w:pPr>
              <w:adjustRightInd w:val="0"/>
              <w:snapToGrid w:val="0"/>
              <w:spacing w:line="440" w:lineRule="exact"/>
              <w:rPr>
                <w:rFonts w:ascii="宋体" w:hAnsi="宋体" w:eastAsia="宋体" w:cs="宋体"/>
                <w:szCs w:val="21"/>
              </w:rPr>
            </w:pPr>
          </w:p>
        </w:tc>
        <w:tc>
          <w:tcPr>
            <w:tcW w:w="2435" w:type="dxa"/>
            <w:noWrap w:val="0"/>
            <w:vAlign w:val="center"/>
          </w:tcPr>
          <w:p w14:paraId="4B8D7D5B">
            <w:pPr>
              <w:adjustRightInd w:val="0"/>
              <w:snapToGrid w:val="0"/>
              <w:spacing w:line="440" w:lineRule="exact"/>
              <w:rPr>
                <w:rFonts w:ascii="宋体" w:hAnsi="宋体" w:eastAsia="宋体" w:cs="宋体"/>
                <w:szCs w:val="21"/>
              </w:rPr>
            </w:pPr>
          </w:p>
        </w:tc>
        <w:tc>
          <w:tcPr>
            <w:tcW w:w="1364" w:type="dxa"/>
            <w:noWrap w:val="0"/>
            <w:vAlign w:val="center"/>
          </w:tcPr>
          <w:p w14:paraId="6AF9D0EE">
            <w:pPr>
              <w:adjustRightInd w:val="0"/>
              <w:snapToGrid w:val="0"/>
              <w:spacing w:line="440" w:lineRule="exact"/>
              <w:rPr>
                <w:rFonts w:ascii="宋体" w:hAnsi="宋体" w:eastAsia="宋体" w:cs="宋体"/>
                <w:szCs w:val="21"/>
              </w:rPr>
            </w:pPr>
          </w:p>
        </w:tc>
      </w:tr>
    </w:tbl>
    <w:p w14:paraId="635FC898">
      <w:pPr>
        <w:adjustRightInd w:val="0"/>
        <w:snapToGrid w:val="0"/>
        <w:spacing w:after="120" w:line="440" w:lineRule="exact"/>
        <w:ind w:left="693" w:hanging="693" w:hangingChars="330"/>
        <w:rPr>
          <w:rFonts w:ascii="宋体" w:hAnsi="宋体" w:eastAsia="宋体" w:cs="宋体"/>
          <w:szCs w:val="21"/>
        </w:rPr>
      </w:pPr>
    </w:p>
    <w:p w14:paraId="2D8783F8">
      <w:pPr>
        <w:spacing w:line="440" w:lineRule="exact"/>
        <w:ind w:firstLine="1134" w:firstLineChars="540"/>
        <w:rPr>
          <w:rFonts w:ascii="宋体" w:hAnsi="宋体" w:eastAsia="宋体"/>
          <w:szCs w:val="21"/>
          <w:u w:val="single"/>
        </w:rPr>
      </w:pPr>
      <w:r>
        <w:rPr>
          <w:rFonts w:hint="eastAsia" w:ascii="宋体" w:hAnsi="宋体" w:eastAsia="宋体"/>
          <w:szCs w:val="21"/>
          <w:lang w:val="en-US" w:eastAsia="zh-CN"/>
        </w:rPr>
        <w:t>投标</w:t>
      </w:r>
      <w:r>
        <w:rPr>
          <w:rFonts w:hint="eastAsia" w:ascii="宋体" w:hAnsi="宋体" w:eastAsia="宋体"/>
          <w:szCs w:val="21"/>
        </w:rPr>
        <w:t>人名称：</w:t>
      </w:r>
      <w:r>
        <w:rPr>
          <w:rFonts w:hint="eastAsia" w:ascii="宋体" w:hAnsi="宋体" w:eastAsia="宋体"/>
          <w:szCs w:val="21"/>
          <w:u w:val="single"/>
        </w:rPr>
        <w:t>　　　　　　　　</w:t>
      </w:r>
    </w:p>
    <w:p w14:paraId="2835C2E2">
      <w:pPr>
        <w:spacing w:line="440" w:lineRule="exact"/>
        <w:ind w:firstLine="1134" w:firstLineChars="540"/>
        <w:rPr>
          <w:rFonts w:ascii="宋体" w:hAnsi="宋体" w:eastAsia="宋体"/>
          <w:szCs w:val="21"/>
        </w:rPr>
      </w:pPr>
      <w:r>
        <w:rPr>
          <w:rFonts w:hint="eastAsia" w:ascii="宋体" w:hAnsi="宋体" w:eastAsia="宋体"/>
          <w:szCs w:val="21"/>
        </w:rPr>
        <w:t>法定代表人/负责人（签字或盖人名章）</w:t>
      </w:r>
      <w:r>
        <w:rPr>
          <w:rFonts w:ascii="宋体" w:hAnsi="宋体" w:eastAsia="宋体"/>
          <w:szCs w:val="21"/>
        </w:rPr>
        <w:t>或者其委托代理人</w:t>
      </w:r>
      <w:r>
        <w:rPr>
          <w:rFonts w:hint="eastAsia" w:ascii="宋体" w:hAnsi="宋体" w:eastAsia="宋体"/>
          <w:szCs w:val="21"/>
        </w:rPr>
        <w:t>（签字）</w:t>
      </w:r>
      <w:r>
        <w:rPr>
          <w:rFonts w:ascii="宋体" w:hAnsi="宋体" w:eastAsia="宋体"/>
          <w:szCs w:val="21"/>
        </w:rPr>
        <w:t>：</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14:paraId="4C27A16C">
      <w:pPr>
        <w:widowControl/>
        <w:tabs>
          <w:tab w:val="left" w:pos="3018"/>
          <w:tab w:val="left" w:pos="6260"/>
        </w:tabs>
        <w:ind w:firstLine="2692" w:firstLineChars="1282"/>
        <w:jc w:val="left"/>
        <w:rPr>
          <w:rFonts w:ascii="宋体" w:hAnsi="宋体" w:eastAsia="宋体" w:cs="Arial"/>
          <w:bCs/>
          <w:szCs w:val="21"/>
        </w:rPr>
      </w:pPr>
    </w:p>
    <w:p w14:paraId="2AAD55CF">
      <w:pPr>
        <w:widowControl/>
        <w:tabs>
          <w:tab w:val="left" w:pos="3018"/>
          <w:tab w:val="left" w:pos="6260"/>
        </w:tabs>
        <w:ind w:firstLine="1134" w:firstLineChars="540"/>
        <w:jc w:val="left"/>
        <w:rPr>
          <w:rFonts w:ascii="宋体" w:hAnsi="宋体" w:eastAsia="宋体"/>
        </w:rPr>
      </w:pPr>
      <w:r>
        <w:rPr>
          <w:rFonts w:hint="eastAsia" w:ascii="宋体" w:hAnsi="宋体" w:eastAsia="宋体" w:cs="Arial"/>
          <w:bCs/>
          <w:szCs w:val="21"/>
        </w:rPr>
        <w:t>日期：XX年 XX月XX日</w:t>
      </w:r>
    </w:p>
    <w:p w14:paraId="7FE536EF">
      <w:pPr>
        <w:adjustRightInd w:val="0"/>
        <w:snapToGrid w:val="0"/>
        <w:spacing w:line="440" w:lineRule="exact"/>
        <w:rPr>
          <w:rFonts w:ascii="宋体" w:hAnsi="宋体" w:eastAsia="宋体" w:cs="宋体"/>
          <w:szCs w:val="21"/>
        </w:rPr>
      </w:pPr>
      <w:r>
        <w:rPr>
          <w:rFonts w:hint="eastAsia" w:ascii="宋体" w:hAnsi="宋体" w:eastAsia="宋体" w:cs="宋体"/>
          <w:b/>
          <w:szCs w:val="21"/>
        </w:rPr>
        <w:t>编制要求</w:t>
      </w:r>
      <w:r>
        <w:rPr>
          <w:rFonts w:hint="eastAsia" w:ascii="宋体" w:hAnsi="宋体" w:eastAsia="宋体" w:cs="宋体"/>
          <w:szCs w:val="21"/>
        </w:rPr>
        <w:t>：</w:t>
      </w:r>
    </w:p>
    <w:p w14:paraId="45E2DF3E">
      <w:pPr>
        <w:pStyle w:val="101"/>
        <w:adjustRightInd w:val="0"/>
        <w:snapToGrid w:val="0"/>
        <w:spacing w:line="440" w:lineRule="exact"/>
        <w:ind w:firstLine="0" w:firstLineChars="0"/>
        <w:rPr>
          <w:rFonts w:ascii="宋体" w:hAnsi="宋体" w:eastAsia="宋体"/>
        </w:rPr>
      </w:pPr>
      <w:r>
        <w:rPr>
          <w:rFonts w:hint="eastAsia" w:ascii="宋体" w:hAnsi="宋体" w:eastAsia="宋体"/>
        </w:rPr>
        <w:t>1. 提供本文件的原件；</w:t>
      </w:r>
    </w:p>
    <w:p w14:paraId="10CECE39">
      <w:pPr>
        <w:pStyle w:val="101"/>
        <w:adjustRightInd w:val="0"/>
        <w:snapToGrid w:val="0"/>
        <w:spacing w:line="440" w:lineRule="exact"/>
        <w:ind w:firstLine="0" w:firstLineChars="0"/>
        <w:rPr>
          <w:rFonts w:ascii="宋体" w:hAnsi="宋体" w:eastAsia="宋体"/>
        </w:rPr>
      </w:pPr>
      <w:r>
        <w:rPr>
          <w:rFonts w:hint="eastAsia" w:ascii="宋体" w:hAnsi="宋体" w:eastAsia="宋体"/>
        </w:rPr>
        <w:t>2. 如对商务规范书条款无任何偏离，</w:t>
      </w:r>
      <w:r>
        <w:rPr>
          <w:rFonts w:hint="eastAsia" w:ascii="宋体" w:hAnsi="宋体" w:eastAsia="宋体"/>
          <w:lang w:val="en-US" w:eastAsia="zh-CN"/>
        </w:rPr>
        <w:t>投标</w:t>
      </w:r>
      <w:r>
        <w:rPr>
          <w:rFonts w:hint="eastAsia" w:ascii="宋体" w:hAnsi="宋体" w:eastAsia="宋体"/>
        </w:rPr>
        <w:t>人仅需在本偏离表中填写“无偏离”即可。当本表为空时，视为</w:t>
      </w:r>
      <w:r>
        <w:rPr>
          <w:rFonts w:hint="eastAsia" w:ascii="宋体" w:hAnsi="宋体" w:eastAsia="宋体"/>
          <w:lang w:val="en-US" w:eastAsia="zh-CN"/>
        </w:rPr>
        <w:t>投标</w:t>
      </w:r>
      <w:r>
        <w:rPr>
          <w:rFonts w:hint="eastAsia" w:ascii="宋体" w:hAnsi="宋体" w:eastAsia="宋体"/>
        </w:rPr>
        <w:t>文件对商务规范书条款全部满足，无偏离；</w:t>
      </w:r>
    </w:p>
    <w:p w14:paraId="5A3091FF">
      <w:pPr>
        <w:pStyle w:val="101"/>
        <w:adjustRightInd w:val="0"/>
        <w:snapToGrid w:val="0"/>
        <w:spacing w:line="440" w:lineRule="exact"/>
        <w:ind w:firstLine="0" w:firstLineChars="0"/>
        <w:rPr>
          <w:rFonts w:ascii="宋体" w:hAnsi="宋体" w:eastAsia="宋体"/>
        </w:rPr>
      </w:pPr>
      <w:r>
        <w:rPr>
          <w:rFonts w:hint="eastAsia" w:ascii="宋体" w:hAnsi="宋体" w:eastAsia="宋体"/>
        </w:rPr>
        <w:t>3. 如对商务规范书条款存在偏离，</w:t>
      </w:r>
      <w:r>
        <w:rPr>
          <w:rFonts w:hint="eastAsia" w:ascii="宋体" w:hAnsi="宋体" w:eastAsia="宋体"/>
          <w:lang w:val="en-US" w:eastAsia="zh-CN"/>
        </w:rPr>
        <w:t>投标</w:t>
      </w:r>
      <w:r>
        <w:rPr>
          <w:rFonts w:hint="eastAsia" w:ascii="宋体" w:hAnsi="宋体" w:eastAsia="宋体"/>
        </w:rPr>
        <w:t>人需对商务规范书条款存在的偏离逐条做出说明。</w:t>
      </w:r>
    </w:p>
    <w:p w14:paraId="7E4D4315">
      <w:pPr>
        <w:snapToGrid w:val="0"/>
        <w:spacing w:line="440" w:lineRule="exact"/>
        <w:rPr>
          <w:rFonts w:asciiTheme="minorEastAsia" w:hAnsiTheme="minorEastAsia" w:eastAsiaTheme="minorEastAsia"/>
          <w:szCs w:val="21"/>
          <w:highlight w:val="none"/>
        </w:rPr>
      </w:pPr>
      <w:r>
        <w:rPr>
          <w:rFonts w:hint="eastAsia"/>
        </w:rPr>
        <w:t xml:space="preserve">4. </w:t>
      </w:r>
      <w:r>
        <w:rPr>
          <w:rFonts w:hint="eastAsia"/>
          <w:lang w:val="en-US" w:eastAsia="zh-CN"/>
        </w:rPr>
        <w:t>投标</w:t>
      </w:r>
      <w:r>
        <w:rPr>
          <w:rFonts w:hint="eastAsia"/>
        </w:rPr>
        <w:t>人可以根据实际情况对本文件进行调整和修改，但应满足</w:t>
      </w:r>
      <w:r>
        <w:rPr>
          <w:rFonts w:hint="eastAsia"/>
          <w:lang w:val="en-US" w:eastAsia="zh-CN"/>
        </w:rPr>
        <w:t>招标</w:t>
      </w:r>
      <w:r>
        <w:rPr>
          <w:rFonts w:hint="eastAsia"/>
        </w:rPr>
        <w:t>文件对本文件的要求。</w:t>
      </w:r>
      <w:r>
        <w:rPr>
          <w:rFonts w:hint="eastAsia" w:asciiTheme="minorEastAsia" w:hAnsiTheme="minorEastAsia" w:eastAsiaTheme="minorEastAsia"/>
          <w:szCs w:val="21"/>
          <w:highlight w:val="none"/>
        </w:rPr>
        <w:t xml:space="preserve"> </w:t>
      </w:r>
    </w:p>
    <w:p w14:paraId="7EA449C9">
      <w:pPr>
        <w:rPr>
          <w:highlight w:val="none"/>
        </w:rPr>
      </w:pPr>
    </w:p>
    <w:p w14:paraId="6E6FC9D3">
      <w:pPr>
        <w:widowControl/>
        <w:jc w:val="left"/>
        <w:rPr>
          <w:rFonts w:asciiTheme="minorEastAsia" w:hAnsiTheme="minorEastAsia" w:eastAsiaTheme="minorEastAsia"/>
          <w:b/>
          <w:bCs/>
          <w:sz w:val="24"/>
          <w:highlight w:val="none"/>
        </w:rPr>
      </w:pPr>
      <w:r>
        <w:rPr>
          <w:rFonts w:asciiTheme="minorEastAsia" w:hAnsiTheme="minorEastAsia" w:eastAsiaTheme="minorEastAsia"/>
          <w:sz w:val="24"/>
          <w:highlight w:val="none"/>
        </w:rPr>
        <w:br w:type="page"/>
      </w:r>
    </w:p>
    <w:bookmarkEnd w:id="1000"/>
    <w:p w14:paraId="3A316ADD">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rPr>
      </w:pPr>
      <w:bookmarkStart w:id="1004" w:name="_Toc9141"/>
      <w:bookmarkStart w:id="1005" w:name="_Toc7826"/>
      <w:bookmarkStart w:id="1006" w:name="_Toc31736"/>
      <w:bookmarkStart w:id="1007" w:name="_Toc10420"/>
      <w:bookmarkStart w:id="1008" w:name="_Toc11217"/>
      <w:bookmarkStart w:id="1009" w:name="_Toc31242"/>
      <w:bookmarkStart w:id="1010" w:name="_Toc5042"/>
      <w:bookmarkStart w:id="1011" w:name="_Toc31178"/>
      <w:bookmarkStart w:id="1012" w:name="_Toc31248"/>
      <w:bookmarkStart w:id="1013" w:name="_Toc15873"/>
      <w:bookmarkStart w:id="1014" w:name="_Toc25131"/>
      <w:bookmarkStart w:id="1015" w:name="_Hlk167300016"/>
      <w:r>
        <w:rPr>
          <w:rFonts w:hint="eastAsia" w:cs="Times New Roman" w:asciiTheme="minorEastAsia" w:hAnsiTheme="minorEastAsia" w:eastAsiaTheme="minorEastAsia"/>
          <w:b/>
          <w:bCs/>
          <w:kern w:val="2"/>
          <w:sz w:val="24"/>
          <w:szCs w:val="24"/>
          <w:lang w:val="en-US" w:eastAsia="zh-CN" w:bidi="ar-SA"/>
        </w:rPr>
        <w:t>19.</w:t>
      </w:r>
      <w:r>
        <w:rPr>
          <w:rFonts w:hint="eastAsia" w:asciiTheme="minorEastAsia" w:hAnsiTheme="minorEastAsia" w:eastAsiaTheme="minorEastAsia"/>
          <w:sz w:val="24"/>
          <w:szCs w:val="24"/>
          <w:lang w:val="en-US" w:eastAsia="zh-CN"/>
        </w:rPr>
        <w:t>网络及</w:t>
      </w:r>
      <w:r>
        <w:rPr>
          <w:rFonts w:hint="eastAsia" w:asciiTheme="minorEastAsia" w:hAnsiTheme="minorEastAsia" w:eastAsiaTheme="minorEastAsia"/>
          <w:sz w:val="24"/>
          <w:szCs w:val="24"/>
        </w:rPr>
        <w:t>信息安全承诺书</w:t>
      </w:r>
      <w:bookmarkEnd w:id="1004"/>
      <w:bookmarkEnd w:id="1005"/>
      <w:bookmarkEnd w:id="1006"/>
      <w:bookmarkEnd w:id="1007"/>
      <w:bookmarkEnd w:id="1008"/>
      <w:bookmarkEnd w:id="1009"/>
      <w:bookmarkEnd w:id="1010"/>
      <w:bookmarkEnd w:id="1011"/>
      <w:bookmarkEnd w:id="1012"/>
      <w:bookmarkEnd w:id="1013"/>
      <w:bookmarkEnd w:id="1014"/>
    </w:p>
    <w:bookmarkEnd w:id="1015"/>
    <w:p w14:paraId="68A5E2D2">
      <w:pPr>
        <w:pStyle w:val="143"/>
        <w:spacing w:line="360" w:lineRule="atLeast"/>
        <w:jc w:val="center"/>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网络及信息安全承诺书</w:t>
      </w:r>
    </w:p>
    <w:p w14:paraId="5206C1AC">
      <w:pPr>
        <w:pStyle w:val="143"/>
        <w:spacing w:line="360" w:lineRule="atLeast"/>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[根据规定使用本承诺书的项目，应将本承诺书作为采购合同的附件]</w:t>
      </w:r>
    </w:p>
    <w:p w14:paraId="20EEA57D">
      <w:pPr>
        <w:pStyle w:val="143"/>
        <w:spacing w:line="360" w:lineRule="atLeast"/>
        <w:jc w:val="center"/>
        <w:rPr>
          <w:rFonts w:asciiTheme="minorEastAsia" w:hAnsiTheme="minorEastAsia" w:eastAsiaTheme="minorEastAsia"/>
          <w:b/>
          <w:bCs/>
          <w:sz w:val="24"/>
          <w:highlight w:val="none"/>
        </w:rPr>
      </w:pPr>
    </w:p>
    <w:p w14:paraId="4DE0370D">
      <w:pPr>
        <w:pStyle w:val="143"/>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b/>
          <w:bCs/>
          <w:szCs w:val="21"/>
          <w:highlight w:val="none"/>
        </w:rPr>
        <w:t>致：【XX公司[招标人名称]】：</w:t>
      </w:r>
    </w:p>
    <w:p w14:paraId="7870D111">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本单位郑重承诺遵守本承诺书，如有违反本承诺书有关条款的行为，本单位承担由此带来的一切民事、行政和刑事责任。</w:t>
      </w:r>
    </w:p>
    <w:p w14:paraId="4C4356CC">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本单位郑重承诺遵守本承诺书，如有违反本承诺书有关条款的行为，本单位承担由此带来的一切责任。</w:t>
      </w:r>
    </w:p>
    <w:p w14:paraId="753CA342">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本单位承诺遵守《中华人民共和国网络安全法》《中华人民共和国数据安全法》《中华人民共和国个人信息保护法》《全国人民代表大会常务委员会关于加强网络信息保护的决定》《中华人民共和国电信条例》《中华人民共和国计算机信息系统安全保护条例》《计算机信息网络国际联网安全保护管理办法》《互联网信息服务管理办法》《非经营性互联网信息服务备案管理办法》《移动互联网应用程序信息服务管理规定》《网络信息内容生态治理规定》《电信和互联网用户个人信息保护规定》《公共互联网网络安全突发事件应急预案》《关键信息基础设施安全保护条例》《网络安全审查办法》及有关法律、法规、规章和政策文件规定（“相关规定”）。</w:t>
      </w:r>
    </w:p>
    <w:p w14:paraId="1F95960A">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本单位承诺向贵公司提供产品或服务符合相关规定、政府主管部门要求以及与贵公司的合同/协议（“合同”）约定，落实网络安全、数据安全和个人信息保护责任。本单位承诺具备履行合同所需的全部合法必要的资质条件。</w:t>
      </w:r>
    </w:p>
    <w:p w14:paraId="6AD4E479">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三、本单位承诺按照用户真实身份信息制度（“实名制”）的要求提供身份信息、使用业务，并保证所提供信息、资料的真实、完整、准确、有效。</w:t>
      </w:r>
    </w:p>
    <w:p w14:paraId="1909631A">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四、本单位保证不利用网络（包括但不限于固定网、移动网、互联网，下同）从事危害国家安全、泄露国家秘密等违法犯罪活动，不侵犯他人的合法权益。</w:t>
      </w:r>
    </w:p>
    <w:p w14:paraId="01DB03AE">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五、本单位保证在处理个人信息前依法向个人信息主体（“个人”）履行法定告知义务并取得个人的明确同意。法律、行政法规规定处理个人信息应当取得个人单独同意或者书面同意的，本单位保证在处理个人信息前依法取得个人单独同意或书面同意。</w:t>
      </w:r>
    </w:p>
    <w:p w14:paraId="410E7AB2">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六、本单位向贵公司提供个人信息或委托贵公司处理个人信息的，本单位承诺已依法向个人履行了告知义务，并依法取得了个人同意。本单位承诺，向贵公司提供或委托贵公司处理的个人信息等数据来源合法合规，不存在违反相关规定以及合同约定的情况。</w:t>
      </w:r>
    </w:p>
    <w:p w14:paraId="441B3EB6">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七、本单位受贵公司委托处理个人信息等数据的，或本单位与贵公司共同处理个人信息等数据的，本单位承诺按照与贵公司的合同约定处理，不得超出约定的处理目的、处理方式等处理上述数据，严格遵循数据处理时限。如果合同不生效、无效、被撤销、终止，或其他贵公司认为必要的情况下，本单位承诺按照贵公司的要求对个人信息等数据（包括但不限于原始数据、备份数据、基于所提供的数据产生的衍生数据）予以返还或者删除，且未经贵公司同意不得以任何方式留存履行合同过程中所处理的任何上述数据。上述数据的返还或删除并不免除本单位其他义务。未经贵公司同意,本单位不得转委托他人处理上述数据。本单位承诺按照法律规定及贵公司要求处理个人基于其主体权利提出的请求（包括个人信息查询、更正、删除、撤回授权同意、注销账户、获取个人信息副本等）。</w:t>
      </w:r>
    </w:p>
    <w:p w14:paraId="04AF73CF">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八、对本单位在合同签订及履行过程中接触或知悉的贵公司和/或贵公司客户的数据和用户个人信息，本单位应当严格保密，不得向其他方提供、披露。本单位应当按照相关规定、政府主管部门要求和合同约定采取保密措施，防止未经授权的访问以及个人信息等数据的泄露、篡改、丢失。对于本单位在合同签订及履行过程中接触和获得的个人信息等数据，应当依法在境内存储，且不得向境外提供。</w:t>
      </w:r>
    </w:p>
    <w:p w14:paraId="79673DD4">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九、本单位承诺严格按照相关规定做好本单位网络安全、数据安全和个人信息保护管理工作，健全各项网络安全、数据安全和个人信息保护管理制度和操作规程，落实各项安全保护技术措施，实施个人信息和数据分类分级管理、依法落实个人信息保护影响评估和数据安全风险评估、报告、信息共享、监测预警机制，定期对从业人员进行安全教育和培训，依法设置网络安全、数据安全和个人信息保护责任人和管理机构，按政府主管部门要求设立信息安全责任人和信息安全审查员，当信息安全责任人发生变更时及时通知贵公司。否则，导致的一切后果由本单位承担，贵公司有权立即终止合同。</w:t>
      </w:r>
    </w:p>
    <w:p w14:paraId="21EE49C5">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本单位承诺配合贵公司为公安机关、国家安全机关、网信部门等政府部门依法履行职责、维护国家安全和侦查犯罪等活动提供协助，如实提供有关安全保护的信息、资料及数据文件，积极协助查处信息网络违法犯罪行为。</w:t>
      </w:r>
    </w:p>
    <w:p w14:paraId="2AF68CAC">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一、本单位承诺利用网络发送的信息以及向贵公司提供的信息真实、准确、合法。该等信息内容应当严格符合相关规定，本单位不得通过通信网络、互联网制作、复制、查阅和传播有害信息，不得散发传播违法、不健康、反动等信息，不得制作、复制、查阅和传播任何违反下列要求（即“九不准”及“六不许”）的信息。</w:t>
      </w:r>
    </w:p>
    <w:p w14:paraId="7BAF8FA5">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“九不准”，即不准制作、复制、查阅和传播含有以下内容的信息：</w:t>
      </w:r>
    </w:p>
    <w:p w14:paraId="4BDB0C5C">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1、反对宪法所确定的基本原则的</w:t>
      </w:r>
      <w:r>
        <w:rPr>
          <w:rFonts w:hint="eastAsia" w:asciiTheme="minorEastAsia" w:hAnsiTheme="minorEastAsia" w:eastAsiaTheme="minorEastAsia"/>
          <w:szCs w:val="21"/>
          <w:highlight w:val="none"/>
        </w:rPr>
        <w:t>；</w:t>
      </w:r>
    </w:p>
    <w:p w14:paraId="5DABD795">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2、危害国家安全，泄露国家秘密，颠覆国家政权，破坏国家统一的</w:t>
      </w:r>
      <w:r>
        <w:rPr>
          <w:rFonts w:hint="eastAsia" w:asciiTheme="minorEastAsia" w:hAnsiTheme="minorEastAsia" w:eastAsiaTheme="minorEastAsia"/>
          <w:szCs w:val="21"/>
          <w:highlight w:val="none"/>
        </w:rPr>
        <w:t>；</w:t>
      </w:r>
    </w:p>
    <w:p w14:paraId="46AC7B32">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3、损害国家荣誉和利益的</w:t>
      </w:r>
      <w:r>
        <w:rPr>
          <w:rFonts w:hint="eastAsia" w:asciiTheme="minorEastAsia" w:hAnsiTheme="minorEastAsia" w:eastAsiaTheme="minorEastAsia"/>
          <w:szCs w:val="21"/>
          <w:highlight w:val="none"/>
        </w:rPr>
        <w:t>；</w:t>
      </w:r>
    </w:p>
    <w:p w14:paraId="3F39226A">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4、煽动民族仇恨、民族歧视，破坏民族团结的</w:t>
      </w:r>
      <w:r>
        <w:rPr>
          <w:rFonts w:hint="eastAsia" w:asciiTheme="minorEastAsia" w:hAnsiTheme="minorEastAsia" w:eastAsiaTheme="minorEastAsia"/>
          <w:szCs w:val="21"/>
          <w:highlight w:val="none"/>
        </w:rPr>
        <w:t>；</w:t>
      </w:r>
    </w:p>
    <w:p w14:paraId="0B22383C">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5、破坏国家宗教政策，宣扬邪教和封建迷信的</w:t>
      </w:r>
      <w:r>
        <w:rPr>
          <w:rFonts w:hint="eastAsia" w:asciiTheme="minorEastAsia" w:hAnsiTheme="minorEastAsia" w:eastAsiaTheme="minorEastAsia"/>
          <w:szCs w:val="21"/>
          <w:highlight w:val="none"/>
        </w:rPr>
        <w:t>；</w:t>
      </w:r>
    </w:p>
    <w:p w14:paraId="0B432E4F">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6、散布谣言，扰乱社会秩序，破坏社会稳定的</w:t>
      </w:r>
      <w:r>
        <w:rPr>
          <w:rFonts w:hint="eastAsia" w:asciiTheme="minorEastAsia" w:hAnsiTheme="minorEastAsia" w:eastAsiaTheme="minorEastAsia"/>
          <w:szCs w:val="21"/>
          <w:highlight w:val="none"/>
        </w:rPr>
        <w:t>；</w:t>
      </w:r>
    </w:p>
    <w:p w14:paraId="06FF1767">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7、散布淫秽、色情、赌博、暴力、凶杀、恐怖或者教唆犯罪的</w:t>
      </w:r>
      <w:r>
        <w:rPr>
          <w:rFonts w:hint="eastAsia" w:asciiTheme="minorEastAsia" w:hAnsiTheme="minorEastAsia" w:eastAsiaTheme="minorEastAsia"/>
          <w:szCs w:val="21"/>
          <w:highlight w:val="none"/>
        </w:rPr>
        <w:t>；</w:t>
      </w:r>
    </w:p>
    <w:p w14:paraId="67B98270">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8、侮辱或者诽谤他人，侵害他人合法权益的</w:t>
      </w:r>
      <w:r>
        <w:rPr>
          <w:rFonts w:hint="eastAsia" w:asciiTheme="minorEastAsia" w:hAnsiTheme="minorEastAsia" w:eastAsiaTheme="minorEastAsia"/>
          <w:szCs w:val="21"/>
          <w:highlight w:val="none"/>
        </w:rPr>
        <w:t>；</w:t>
      </w:r>
    </w:p>
    <w:p w14:paraId="6250E057">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9、含有法律</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法规禁止的其他内容的。</w:t>
      </w:r>
    </w:p>
    <w:p w14:paraId="10D3A999">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 “六不许”，即：</w:t>
      </w:r>
    </w:p>
    <w:p w14:paraId="03B62AF9">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1、决不允许在群众中散布违背党的理论和路线方针政策的意见。</w:t>
      </w:r>
    </w:p>
    <w:p w14:paraId="0A5FD30A">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2、决不允许公开发表同中央的决定相违背的言论。</w:t>
      </w:r>
    </w:p>
    <w:p w14:paraId="1C37FF4C">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3、决不允许对中央的决策部署阳奉阴违。</w:t>
      </w:r>
    </w:p>
    <w:p w14:paraId="78BD0DAD">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4、决不允许编造、传播政治谣言及丑化党和国家形象的言论。</w:t>
      </w:r>
    </w:p>
    <w:p w14:paraId="60E61395">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5、决不允许以任何形式泄露党和国家的秘密。</w:t>
      </w:r>
    </w:p>
    <w:p w14:paraId="414429C0">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6、决不允许参与各种非法组织和非法活动。</w:t>
      </w:r>
    </w:p>
    <w:p w14:paraId="661788C7">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二、本单位承诺不利用提供给贵公司的产品或服务或通过网络从事危害中华人民共和国安全、泄露中华人民共和国国家秘密等活动，不从事任何危害网络安全、数据安全的活动，不从事侵犯他人合法权益的活动，包括但不限于：</w:t>
      </w:r>
    </w:p>
    <w:p w14:paraId="456BF094">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1、未经允许进入网络或者使用网络资源；</w:t>
      </w:r>
    </w:p>
    <w:p w14:paraId="5FECFE43">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2、未经允许对网络功能进行删除、修改或者增加；</w:t>
      </w:r>
    </w:p>
    <w:p w14:paraId="31287C98">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3、未经允许对网络中存储或者传输的数据和应用程序进行删除、修改或者增加；</w:t>
      </w:r>
    </w:p>
    <w:p w14:paraId="4DFFC8B1">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4、制作、传播、利用网络病毒等恶意程序或破坏性程序；</w:t>
      </w:r>
    </w:p>
    <w:p w14:paraId="57195852">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5、非法收集、使用、加工、传输或以其他方式处理个人信息等数据；</w:t>
      </w:r>
    </w:p>
    <w:p w14:paraId="05E54417">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、非法买卖、提供或者公开个人信息等数据；</w:t>
      </w:r>
    </w:p>
    <w:p w14:paraId="7F7EE274">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、从事危害国家安全、公共利益的个人信息和数据处理活动；</w:t>
      </w:r>
    </w:p>
    <w:p w14:paraId="55223800">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8</w:t>
      </w:r>
      <w:r>
        <w:rPr>
          <w:rFonts w:hint="eastAsia" w:asciiTheme="minorEastAsia" w:hAnsiTheme="minorEastAsia" w:eastAsiaTheme="minorEastAsia"/>
          <w:szCs w:val="21"/>
          <w:highlight w:val="none"/>
        </w:rPr>
        <w:t>、其他危害网络安全、数据安全、侵犯他人合法权益的活动。</w:t>
      </w:r>
    </w:p>
    <w:p w14:paraId="63A02A3C">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三、本单位承诺在履行合同过程中发生重大安全事故或发生或者可能发生个人信息等数据泄露、篡改、丢失时，立即采取应急措施，保留有关原始记录，在24小时内向有关部门报告并书面通知贵公司。如发生重大安全事故或其他影响网络安全、数据安全和个人信息保护的突发事件，贵公司有权采取包括但不限于停止合同项下业务等紧急措施，以保证网络安全、数据安全和保护个人信息。</w:t>
      </w:r>
    </w:p>
    <w:p w14:paraId="0EFC35D2">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十四、本单位承诺不进行法律、法规、政府监管规定等禁止的行为，包括但不限于：</w:t>
      </w:r>
    </w:p>
    <w:p w14:paraId="4D0769D6">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1、所提供或接入的设备未取得入网许可，或可能影响网络安全或网络服务质量；</w:t>
      </w:r>
    </w:p>
    <w:p w14:paraId="7358BEBC">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2、将</w:t>
      </w:r>
      <w:r>
        <w:rPr>
          <w:rFonts w:hint="eastAsia" w:asciiTheme="minorEastAsia" w:hAnsiTheme="minorEastAsia" w:eastAsiaTheme="minorEastAsia"/>
          <w:szCs w:val="21"/>
          <w:highlight w:val="none"/>
        </w:rPr>
        <w:t>合同履行</w:t>
      </w:r>
      <w:r>
        <w:rPr>
          <w:rFonts w:asciiTheme="minorEastAsia" w:hAnsiTheme="minorEastAsia" w:eastAsiaTheme="minorEastAsia"/>
          <w:szCs w:val="21"/>
          <w:highlight w:val="none"/>
        </w:rPr>
        <w:t>中获得的账号、密码私自转让、转租或以非法</w:t>
      </w:r>
      <w:r>
        <w:rPr>
          <w:rFonts w:hint="eastAsia" w:asciiTheme="minorEastAsia" w:hAnsiTheme="minorEastAsia" w:eastAsiaTheme="minorEastAsia"/>
          <w:szCs w:val="21"/>
          <w:highlight w:val="none"/>
        </w:rPr>
        <w:t>方式</w:t>
      </w:r>
      <w:r>
        <w:rPr>
          <w:rFonts w:asciiTheme="minorEastAsia" w:hAnsiTheme="minorEastAsia" w:eastAsiaTheme="minorEastAsia"/>
          <w:szCs w:val="21"/>
          <w:highlight w:val="none"/>
        </w:rPr>
        <w:t>提供给第三方；</w:t>
      </w:r>
    </w:p>
    <w:p w14:paraId="2BC1BF5D">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3、在</w:t>
      </w:r>
      <w:r>
        <w:rPr>
          <w:rFonts w:hint="eastAsia" w:asciiTheme="minorEastAsia" w:hAnsiTheme="minorEastAsia" w:eastAsiaTheme="minorEastAsia"/>
          <w:szCs w:val="21"/>
          <w:highlight w:val="none"/>
        </w:rPr>
        <w:t>设备、</w:t>
      </w:r>
      <w:r>
        <w:rPr>
          <w:rFonts w:asciiTheme="minorEastAsia" w:hAnsiTheme="minorEastAsia" w:eastAsiaTheme="minorEastAsia"/>
          <w:szCs w:val="21"/>
          <w:highlight w:val="none"/>
        </w:rPr>
        <w:t>系统、计算机软件</w:t>
      </w:r>
      <w:r>
        <w:rPr>
          <w:rFonts w:hint="eastAsia" w:asciiTheme="minorEastAsia" w:hAnsiTheme="minorEastAsia" w:eastAsiaTheme="minorEastAsia"/>
          <w:szCs w:val="21"/>
          <w:highlight w:val="none"/>
        </w:rPr>
        <w:t>等产品或服务</w:t>
      </w:r>
      <w:r>
        <w:rPr>
          <w:rFonts w:asciiTheme="minorEastAsia" w:hAnsiTheme="minorEastAsia" w:eastAsiaTheme="minorEastAsia"/>
          <w:szCs w:val="21"/>
          <w:highlight w:val="none"/>
        </w:rPr>
        <w:t>中非法植入后门程序</w:t>
      </w:r>
      <w:r>
        <w:rPr>
          <w:rFonts w:hint="eastAsia" w:asciiTheme="minorEastAsia" w:hAnsiTheme="minorEastAsia" w:eastAsiaTheme="minorEastAsia"/>
          <w:szCs w:val="21"/>
          <w:highlight w:val="none"/>
        </w:rPr>
        <w:t>等恶意程序或破坏性程序</w:t>
      </w:r>
      <w:r>
        <w:rPr>
          <w:rFonts w:asciiTheme="minorEastAsia" w:hAnsiTheme="minorEastAsia" w:eastAsiaTheme="minorEastAsia"/>
          <w:szCs w:val="21"/>
          <w:highlight w:val="none"/>
        </w:rPr>
        <w:t>；</w:t>
      </w:r>
    </w:p>
    <w:p w14:paraId="08C82AB0">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4、</w:t>
      </w:r>
      <w:r>
        <w:rPr>
          <w:rFonts w:hint="eastAsia" w:asciiTheme="minorEastAsia" w:hAnsiTheme="minorEastAsia" w:eastAsiaTheme="minorEastAsia"/>
          <w:szCs w:val="21"/>
          <w:highlight w:val="none"/>
        </w:rPr>
        <w:t>利用提供产品或服务的便利条件非法获取用户个人信息等数据及重要运营数据、非法控制和操纵用户设备；</w:t>
      </w:r>
    </w:p>
    <w:p w14:paraId="6D3487E6">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5</w:t>
      </w:r>
      <w:r>
        <w:rPr>
          <w:rFonts w:hint="eastAsia" w:asciiTheme="minorEastAsia" w:hAnsiTheme="minorEastAsia" w:eastAsiaTheme="minorEastAsia"/>
          <w:szCs w:val="21"/>
          <w:highlight w:val="none"/>
        </w:rPr>
        <w:t>、未经贵公司同意擅自公开所提供产品或服务的源代码；</w:t>
      </w:r>
    </w:p>
    <w:p w14:paraId="6DDFAE9E">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未经贵公司同意探测、发布贵公司及其关联方（“中国电信”）的网络、终端、信息系统漏洞，对中国电信运营的网络开展渗透测试；</w:t>
      </w:r>
    </w:p>
    <w:p w14:paraId="48DEEB0C">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7、</w:t>
      </w:r>
      <w:r>
        <w:rPr>
          <w:rFonts w:asciiTheme="minorEastAsia" w:hAnsiTheme="minorEastAsia" w:eastAsiaTheme="minorEastAsia"/>
          <w:szCs w:val="21"/>
          <w:highlight w:val="none"/>
        </w:rPr>
        <w:t>法律法规规定或</w:t>
      </w:r>
      <w:r>
        <w:rPr>
          <w:rFonts w:hint="eastAsia" w:asciiTheme="minorEastAsia" w:hAnsiTheme="minorEastAsia" w:eastAsiaTheme="minorEastAsia"/>
          <w:szCs w:val="21"/>
          <w:highlight w:val="none"/>
        </w:rPr>
        <w:t>合同约定的其他禁止行为</w:t>
      </w:r>
      <w:r>
        <w:rPr>
          <w:rFonts w:asciiTheme="minorEastAsia" w:hAnsiTheme="minorEastAsia" w:eastAsiaTheme="minorEastAsia"/>
          <w:szCs w:val="21"/>
          <w:highlight w:val="none"/>
        </w:rPr>
        <w:t>。</w:t>
      </w:r>
    </w:p>
    <w:p w14:paraId="1EA05794">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十五、本单位承诺提供给贵公司的产品或服务已关闭与合同约定无关的端口，不存在与合同约定无关的进程。</w:t>
      </w:r>
    </w:p>
    <w:p w14:paraId="3EECF3F8">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十六、本单位承诺未经贵公司同意不得以任何形式对提供给贵公司的产品或服务进行任何操作。本单位承诺严格按最小化原则管理相关产品或服务的操作权限并事先征得贵公司同意。</w:t>
      </w:r>
    </w:p>
    <w:p w14:paraId="1BC345E6">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十七、本单位承诺对提供给贵公司的产品或服务在交付前完成已知病毒查杀、安全缺陷及漏洞扫描和修复，交付后对发现的安全缺陷、漏洞等风险及时采取补救措施。</w:t>
      </w:r>
    </w:p>
    <w:p w14:paraId="466A40B6">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十八、本单位承诺无正当理由不会中断所提供的产品或服务，亦不会中断提供必要的技术支持服务。</w:t>
      </w:r>
    </w:p>
    <w:p w14:paraId="1DCDE3FE">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九、就本单位向贵公司提供的产品和服务，本单位承诺向贵公司提供该等产品或服务所包含或调用的开源软件和第三方软件清单，以及合法获取开源软件、第三方软件使用权的证明，并配合贵公司开展软件安全检测和知识产权风险审核等工作。</w:t>
      </w:r>
    </w:p>
    <w:p w14:paraId="0478CF17">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二十、本单位承诺同意并配合贵公司进行网络安全审查，检查的内容包括但不限于网络安全检查项、计算环境安全检查项、开发流程检查项、提供或委托处理数据的数据处理行为检查项等方面。</w:t>
      </w:r>
    </w:p>
    <w:p w14:paraId="535A638A">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二十一、本单位承诺按要求提供网络安全审查工作需要的材料，严格履行网络安全审查中作出的承诺。</w:t>
      </w:r>
    </w:p>
    <w:p w14:paraId="4322A7F4">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二、本单位如出现任何违反上述承诺的情况，将依据合同承担责任，接受有关政府主管部门的处理（包括但不限于限期整改、公开曝光），并直接承担相应法律责任，造成财产损失的，由本单位直接赔偿。同时，贵公司有权在不通知本单位的情况下暂停履行合同直至解除合同并不承担任何责任，一切责任后果全部由本单位自行承担。给贵公司造成损失或不良影响的，本单位负责消除不良影响并赔偿贵公司相应损失。</w:t>
      </w:r>
    </w:p>
    <w:p w14:paraId="43A02BCE">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三、如出现任何违反上述承诺的情况引发的投诉、举报，由本单位负责解决并承担责任。当接到通信主管部门、“12321网络不良与垃圾信息举报受理中心”、中国电信10000热线等各类渠道投诉、举报时，贵公司有权在不通知本单位的情况下立即终止合同并不承担任何责任，一切责任后果全部由本单位自行承担。给贵公司造成损失或不良影响的，本单位负责消除不良影响并赔偿贵公司相应损失。</w:t>
      </w:r>
    </w:p>
    <w:p w14:paraId="36BE5BB2">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二十四、本单位的信息安全责任人如下：</w:t>
      </w:r>
    </w:p>
    <w:p w14:paraId="78D5A05B">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姓名：</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、职务：</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、联系方式：</w:t>
      </w:r>
      <w:r>
        <w:rPr>
          <w:rFonts w:hint="eastAsia" w:asciiTheme="minorEastAsia" w:hAnsiTheme="minorEastAsia" w:eastAsiaTheme="minorEastAsia"/>
          <w:szCs w:val="21"/>
          <w:highlight w:val="none"/>
          <w:u w:val="single"/>
        </w:rPr>
        <w:t xml:space="preserve">                   </w:t>
      </w:r>
    </w:p>
    <w:p w14:paraId="28FECD0F">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二十五、本单位承诺要求并监督参与向贵公司提供产品或服务的本单位人员（“本单位人员”）履行本《网络及信息安全承诺书》项下的义务和责任，并对本单位人员的行为承担责任。</w:t>
      </w:r>
    </w:p>
    <w:p w14:paraId="2B839F0B">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二十六、本承诺书经本单位签署后，与合同同时生效。</w:t>
      </w:r>
    </w:p>
    <w:p w14:paraId="1D020D29">
      <w:pPr>
        <w:pStyle w:val="133"/>
        <w:snapToGrid w:val="0"/>
        <w:spacing w:line="440" w:lineRule="exact"/>
        <w:ind w:firstLine="425" w:firstLineChars="0"/>
        <w:rPr>
          <w:rFonts w:asciiTheme="minorEastAsia" w:hAnsiTheme="minorEastAsia" w:eastAsiaTheme="minorEastAsia"/>
          <w:kern w:val="0"/>
          <w:szCs w:val="21"/>
          <w:highlight w:val="none"/>
        </w:rPr>
      </w:pPr>
    </w:p>
    <w:p w14:paraId="7732086B">
      <w:pPr>
        <w:spacing w:line="440" w:lineRule="exact"/>
        <w:ind w:firstLine="424" w:firstLineChars="202"/>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承诺单位：</w:t>
      </w:r>
      <w:r>
        <w:rPr>
          <w:rFonts w:hint="eastAsia" w:asciiTheme="minorEastAsia" w:hAnsiTheme="minorEastAsia" w:eastAsiaTheme="minorEastAsia"/>
          <w:szCs w:val="21"/>
          <w:highlight w:val="none"/>
          <w:u w:val="single"/>
        </w:rPr>
        <w:t xml:space="preserve">　　　　　　　　                       </w:t>
      </w:r>
    </w:p>
    <w:p w14:paraId="5465D3AF">
      <w:pPr>
        <w:spacing w:line="440" w:lineRule="exact"/>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法定代表人/负责人（签字或盖人名章）</w:t>
      </w:r>
      <w:r>
        <w:rPr>
          <w:rFonts w:asciiTheme="minorEastAsia" w:hAnsiTheme="minorEastAsia" w:eastAsiaTheme="minorEastAsia"/>
          <w:szCs w:val="21"/>
          <w:highlight w:val="none"/>
        </w:rPr>
        <w:t>或者其委托代理人</w:t>
      </w:r>
      <w:r>
        <w:rPr>
          <w:rFonts w:hint="eastAsia" w:asciiTheme="minorEastAsia" w:hAnsiTheme="minorEastAsia" w:eastAsiaTheme="minorEastAsia"/>
          <w:szCs w:val="21"/>
          <w:highlight w:val="none"/>
        </w:rPr>
        <w:t>（签字）</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 xml:space="preserve">               </w:t>
      </w:r>
    </w:p>
    <w:p w14:paraId="57A2A5BD">
      <w:pPr>
        <w:spacing w:line="440" w:lineRule="exact"/>
        <w:ind w:firstLine="424" w:firstLineChars="202"/>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6ECFB2B6">
      <w:pPr>
        <w:snapToGrid w:val="0"/>
        <w:spacing w:line="440" w:lineRule="exact"/>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编制要求：</w:t>
      </w:r>
    </w:p>
    <w:p w14:paraId="4D341319">
      <w:pPr>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1.代理商投标的，制造商和代理商须各自提供一份本承诺函。</w:t>
      </w:r>
    </w:p>
    <w:p w14:paraId="0B3DA126">
      <w:pPr>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投标产品制造商注册地在中华人民共和国境外（与中华人民共和国有正常贸易与往来的国家或地区）及香港、澳门、台湾地区使用代理商投标和签订销售合同且制造商无法加盖单位公章的，本文件应由有签署权的代表签字确认，并提供委托签署权的相关证明材料。</w:t>
      </w:r>
    </w:p>
    <w:p w14:paraId="17DA6FA4">
      <w:pPr>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hint="eastAsia"/>
          <w:highlight w:val="none"/>
        </w:rPr>
        <w:t>除本文件允许投标人进行填写的内容以外，投标人不得对本文件进行修改</w:t>
      </w:r>
      <w:r>
        <w:rPr>
          <w:rFonts w:hint="eastAsia" w:asciiTheme="minorEastAsia" w:hAnsiTheme="minorEastAsia" w:eastAsiaTheme="minorEastAsia"/>
          <w:highlight w:val="none"/>
        </w:rPr>
        <w:t>。</w:t>
      </w:r>
    </w:p>
    <w:p w14:paraId="0C75EBBE">
      <w:pPr>
        <w:widowControl/>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br w:type="page"/>
      </w:r>
    </w:p>
    <w:p w14:paraId="2E68B19A">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lang w:eastAsia="zh-CN"/>
        </w:rPr>
      </w:pPr>
      <w:bookmarkStart w:id="1016" w:name="_Hlk167300028"/>
      <w:bookmarkStart w:id="1017" w:name="_Toc22083"/>
      <w:bookmarkStart w:id="1018" w:name="_Toc19811"/>
      <w:bookmarkStart w:id="1019" w:name="_Toc1808"/>
      <w:bookmarkStart w:id="1020" w:name="_Toc14789"/>
      <w:bookmarkStart w:id="1021" w:name="_Toc25556"/>
      <w:bookmarkStart w:id="1022" w:name="_Toc4115"/>
      <w:bookmarkStart w:id="1023" w:name="_Toc32275"/>
      <w:bookmarkStart w:id="1024" w:name="_Toc6826"/>
      <w:bookmarkStart w:id="1025" w:name="_Toc8523"/>
      <w:bookmarkStart w:id="1026" w:name="_Toc14650"/>
      <w:bookmarkStart w:id="1027" w:name="_Toc27927"/>
      <w:r>
        <w:rPr>
          <w:rFonts w:hint="eastAsia" w:cs="Times New Roman" w:asciiTheme="minorEastAsia" w:hAnsiTheme="minorEastAsia" w:eastAsiaTheme="minorEastAsia"/>
          <w:b/>
          <w:bCs/>
          <w:kern w:val="2"/>
          <w:sz w:val="24"/>
          <w:szCs w:val="24"/>
          <w:lang w:val="en-US" w:eastAsia="zh-CN" w:bidi="ar-SA"/>
        </w:rPr>
        <w:t>20.</w:t>
      </w:r>
      <w:r>
        <w:rPr>
          <w:rFonts w:hint="eastAsia" w:asciiTheme="minorEastAsia" w:hAnsiTheme="minorEastAsia" w:eastAsiaTheme="minorEastAsia"/>
          <w:sz w:val="24"/>
          <w:szCs w:val="24"/>
        </w:rPr>
        <w:t>开源软件、第三方软件清单及合法获取开源软件、第三方软件使用权的证明</w:t>
      </w:r>
      <w:bookmarkEnd w:id="1016"/>
      <w:bookmarkEnd w:id="1017"/>
      <w:r>
        <w:rPr>
          <w:rFonts w:hint="eastAsia" w:asciiTheme="minorEastAsia" w:hAnsiTheme="minorEastAsia" w:eastAsiaTheme="minorEastAsia"/>
          <w:sz w:val="24"/>
          <w:szCs w:val="24"/>
        </w:rPr>
        <w:t>[与《</w:t>
      </w:r>
      <w:r>
        <w:rPr>
          <w:rFonts w:hint="eastAsia" w:asciiTheme="minorEastAsia" w:hAnsiTheme="minorEastAsia" w:eastAsiaTheme="minorEastAsia"/>
          <w:sz w:val="24"/>
          <w:szCs w:val="24"/>
          <w:lang w:val="en-US" w:eastAsia="zh-CN"/>
        </w:rPr>
        <w:t>网络及</w:t>
      </w:r>
      <w:r>
        <w:rPr>
          <w:rFonts w:hint="eastAsia" w:asciiTheme="minorEastAsia" w:hAnsiTheme="minorEastAsia" w:eastAsiaTheme="minorEastAsia"/>
          <w:sz w:val="24"/>
          <w:szCs w:val="24"/>
        </w:rPr>
        <w:t>信息安全承诺书》同步使用，软件类采购应当使用，使用本文件的应作为采购合同的附件]</w:t>
      </w:r>
      <w:bookmarkEnd w:id="1018"/>
      <w:bookmarkEnd w:id="1019"/>
      <w:bookmarkEnd w:id="1020"/>
      <w:bookmarkEnd w:id="1021"/>
      <w:bookmarkEnd w:id="1022"/>
      <w:bookmarkEnd w:id="1023"/>
      <w:bookmarkEnd w:id="1024"/>
      <w:bookmarkEnd w:id="1025"/>
      <w:bookmarkEnd w:id="1026"/>
      <w:bookmarkEnd w:id="1027"/>
    </w:p>
    <w:p w14:paraId="6158BC2E">
      <w:pPr>
        <w:rPr>
          <w:highlight w:val="none"/>
        </w:rPr>
      </w:pPr>
    </w:p>
    <w:p w14:paraId="704A278A">
      <w:pPr>
        <w:pStyle w:val="101"/>
        <w:ind w:firstLine="0" w:firstLineChars="0"/>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开源软件、第三方软件清单及合规使用权证明</w:t>
      </w:r>
    </w:p>
    <w:p w14:paraId="274CED7E">
      <w:pPr>
        <w:pStyle w:val="101"/>
        <w:ind w:firstLine="0" w:firstLineChars="0"/>
        <w:jc w:val="center"/>
        <w:rPr>
          <w:rFonts w:asciiTheme="minorEastAsia" w:hAnsiTheme="minorEastAsia" w:eastAsiaTheme="minorEastAsia"/>
          <w:b/>
          <w:sz w:val="24"/>
          <w:highlight w:val="none"/>
        </w:rPr>
      </w:pPr>
    </w:p>
    <w:tbl>
      <w:tblPr>
        <w:tblStyle w:val="86"/>
        <w:tblW w:w="8097" w:type="dxa"/>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59"/>
        <w:gridCol w:w="2410"/>
        <w:gridCol w:w="1916"/>
        <w:gridCol w:w="1536"/>
      </w:tblGrid>
      <w:tr w14:paraId="20F0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dxa"/>
            <w:vAlign w:val="center"/>
          </w:tcPr>
          <w:p w14:paraId="47A70636">
            <w:pPr>
              <w:snapToGrid w:val="0"/>
              <w:jc w:val="center"/>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序号</w:t>
            </w:r>
          </w:p>
        </w:tc>
        <w:tc>
          <w:tcPr>
            <w:tcW w:w="1559" w:type="dxa"/>
            <w:vAlign w:val="center"/>
          </w:tcPr>
          <w:p w14:paraId="66C57E0C">
            <w:pPr>
              <w:snapToGrid w:val="0"/>
              <w:jc w:val="center"/>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软件名称</w:t>
            </w:r>
          </w:p>
        </w:tc>
        <w:tc>
          <w:tcPr>
            <w:tcW w:w="2410" w:type="dxa"/>
            <w:vAlign w:val="center"/>
          </w:tcPr>
          <w:p w14:paraId="0064C036">
            <w:pPr>
              <w:snapToGrid w:val="0"/>
              <w:jc w:val="center"/>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软件类型</w:t>
            </w:r>
          </w:p>
        </w:tc>
        <w:tc>
          <w:tcPr>
            <w:tcW w:w="1916" w:type="dxa"/>
          </w:tcPr>
          <w:p w14:paraId="3B0D3DE1">
            <w:pPr>
              <w:snapToGrid w:val="0"/>
              <w:jc w:val="center"/>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合法获取开源软件、第三方软件使用权的证明材料</w:t>
            </w:r>
          </w:p>
        </w:tc>
        <w:tc>
          <w:tcPr>
            <w:tcW w:w="1536" w:type="dxa"/>
            <w:vAlign w:val="center"/>
          </w:tcPr>
          <w:p w14:paraId="19D70AD1">
            <w:pPr>
              <w:snapToGrid w:val="0"/>
              <w:jc w:val="center"/>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证明材料所在页码</w:t>
            </w:r>
          </w:p>
        </w:tc>
      </w:tr>
      <w:tr w14:paraId="7B65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6" w:type="dxa"/>
          </w:tcPr>
          <w:p w14:paraId="29EA432D">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w:t>
            </w:r>
          </w:p>
        </w:tc>
        <w:tc>
          <w:tcPr>
            <w:tcW w:w="1559" w:type="dxa"/>
          </w:tcPr>
          <w:p w14:paraId="5FBB0C4F">
            <w:pPr>
              <w:snapToGrid w:val="0"/>
              <w:jc w:val="center"/>
              <w:rPr>
                <w:rFonts w:cs="宋体" w:asciiTheme="minorEastAsia" w:hAnsiTheme="minorEastAsia" w:eastAsiaTheme="minorEastAsia"/>
                <w:szCs w:val="21"/>
                <w:highlight w:val="none"/>
              </w:rPr>
            </w:pPr>
          </w:p>
        </w:tc>
        <w:tc>
          <w:tcPr>
            <w:tcW w:w="2410" w:type="dxa"/>
            <w:vAlign w:val="center"/>
          </w:tcPr>
          <w:p w14:paraId="6D7EE59B">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开源软件或第三方软件</w:t>
            </w:r>
          </w:p>
        </w:tc>
        <w:tc>
          <w:tcPr>
            <w:tcW w:w="1916" w:type="dxa"/>
            <w:vAlign w:val="center"/>
          </w:tcPr>
          <w:p w14:paraId="22118B47">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开源许可协议及其说明；或第三方软件许可文件</w:t>
            </w:r>
          </w:p>
        </w:tc>
        <w:tc>
          <w:tcPr>
            <w:tcW w:w="1536" w:type="dxa"/>
          </w:tcPr>
          <w:p w14:paraId="32116461">
            <w:pPr>
              <w:snapToGrid w:val="0"/>
              <w:jc w:val="center"/>
              <w:rPr>
                <w:rFonts w:cs="宋体" w:asciiTheme="minorEastAsia" w:hAnsiTheme="minorEastAsia" w:eastAsiaTheme="minorEastAsia"/>
                <w:szCs w:val="21"/>
                <w:highlight w:val="none"/>
              </w:rPr>
            </w:pPr>
          </w:p>
        </w:tc>
      </w:tr>
      <w:tr w14:paraId="3C06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6" w:type="dxa"/>
          </w:tcPr>
          <w:p w14:paraId="47F23DD9">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w:t>
            </w:r>
          </w:p>
        </w:tc>
        <w:tc>
          <w:tcPr>
            <w:tcW w:w="1559" w:type="dxa"/>
          </w:tcPr>
          <w:p w14:paraId="08549098">
            <w:pPr>
              <w:snapToGrid w:val="0"/>
              <w:jc w:val="center"/>
              <w:rPr>
                <w:rFonts w:cs="宋体" w:asciiTheme="minorEastAsia" w:hAnsiTheme="minorEastAsia" w:eastAsiaTheme="minorEastAsia"/>
                <w:szCs w:val="21"/>
                <w:highlight w:val="none"/>
              </w:rPr>
            </w:pPr>
          </w:p>
        </w:tc>
        <w:tc>
          <w:tcPr>
            <w:tcW w:w="2410" w:type="dxa"/>
          </w:tcPr>
          <w:p w14:paraId="2FD1A097">
            <w:pPr>
              <w:snapToGrid w:val="0"/>
              <w:jc w:val="center"/>
              <w:rPr>
                <w:rFonts w:cs="宋体" w:asciiTheme="minorEastAsia" w:hAnsiTheme="minorEastAsia" w:eastAsiaTheme="minorEastAsia"/>
                <w:szCs w:val="21"/>
                <w:highlight w:val="none"/>
              </w:rPr>
            </w:pPr>
          </w:p>
        </w:tc>
        <w:tc>
          <w:tcPr>
            <w:tcW w:w="1916" w:type="dxa"/>
          </w:tcPr>
          <w:p w14:paraId="3666270C">
            <w:pPr>
              <w:snapToGrid w:val="0"/>
              <w:jc w:val="center"/>
              <w:rPr>
                <w:rFonts w:cs="宋体" w:asciiTheme="minorEastAsia" w:hAnsiTheme="minorEastAsia" w:eastAsiaTheme="minorEastAsia"/>
                <w:szCs w:val="21"/>
                <w:highlight w:val="none"/>
              </w:rPr>
            </w:pPr>
          </w:p>
        </w:tc>
        <w:tc>
          <w:tcPr>
            <w:tcW w:w="1536" w:type="dxa"/>
          </w:tcPr>
          <w:p w14:paraId="2684D5A8">
            <w:pPr>
              <w:snapToGrid w:val="0"/>
              <w:jc w:val="center"/>
              <w:rPr>
                <w:rFonts w:cs="宋体" w:asciiTheme="minorEastAsia" w:hAnsiTheme="minorEastAsia" w:eastAsiaTheme="minorEastAsia"/>
                <w:szCs w:val="21"/>
                <w:highlight w:val="none"/>
              </w:rPr>
            </w:pPr>
          </w:p>
        </w:tc>
      </w:tr>
      <w:tr w14:paraId="289A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6" w:type="dxa"/>
          </w:tcPr>
          <w:p w14:paraId="22755400">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w:t>
            </w:r>
          </w:p>
        </w:tc>
        <w:tc>
          <w:tcPr>
            <w:tcW w:w="1559" w:type="dxa"/>
          </w:tcPr>
          <w:p w14:paraId="7B646A25">
            <w:pPr>
              <w:snapToGrid w:val="0"/>
              <w:jc w:val="center"/>
              <w:rPr>
                <w:rFonts w:cs="宋体" w:asciiTheme="minorEastAsia" w:hAnsiTheme="minorEastAsia" w:eastAsiaTheme="minorEastAsia"/>
                <w:szCs w:val="21"/>
                <w:highlight w:val="none"/>
              </w:rPr>
            </w:pPr>
          </w:p>
        </w:tc>
        <w:tc>
          <w:tcPr>
            <w:tcW w:w="2410" w:type="dxa"/>
          </w:tcPr>
          <w:p w14:paraId="07E412E9">
            <w:pPr>
              <w:snapToGrid w:val="0"/>
              <w:jc w:val="center"/>
              <w:rPr>
                <w:rFonts w:cs="宋体" w:asciiTheme="minorEastAsia" w:hAnsiTheme="minorEastAsia" w:eastAsiaTheme="minorEastAsia"/>
                <w:szCs w:val="21"/>
                <w:highlight w:val="none"/>
              </w:rPr>
            </w:pPr>
          </w:p>
        </w:tc>
        <w:tc>
          <w:tcPr>
            <w:tcW w:w="1916" w:type="dxa"/>
          </w:tcPr>
          <w:p w14:paraId="4206A67D">
            <w:pPr>
              <w:snapToGrid w:val="0"/>
              <w:jc w:val="center"/>
              <w:rPr>
                <w:rFonts w:cs="宋体" w:asciiTheme="minorEastAsia" w:hAnsiTheme="minorEastAsia" w:eastAsiaTheme="minorEastAsia"/>
                <w:szCs w:val="21"/>
                <w:highlight w:val="none"/>
              </w:rPr>
            </w:pPr>
          </w:p>
        </w:tc>
        <w:tc>
          <w:tcPr>
            <w:tcW w:w="1536" w:type="dxa"/>
          </w:tcPr>
          <w:p w14:paraId="16E07ED1">
            <w:pPr>
              <w:snapToGrid w:val="0"/>
              <w:jc w:val="center"/>
              <w:rPr>
                <w:rFonts w:cs="宋体" w:asciiTheme="minorEastAsia" w:hAnsiTheme="minorEastAsia" w:eastAsiaTheme="minorEastAsia"/>
                <w:szCs w:val="21"/>
                <w:highlight w:val="none"/>
              </w:rPr>
            </w:pPr>
          </w:p>
        </w:tc>
      </w:tr>
      <w:tr w14:paraId="5C1C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6" w:type="dxa"/>
          </w:tcPr>
          <w:p w14:paraId="1838A337">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w:t>
            </w:r>
          </w:p>
        </w:tc>
        <w:tc>
          <w:tcPr>
            <w:tcW w:w="1559" w:type="dxa"/>
          </w:tcPr>
          <w:p w14:paraId="7013E00E">
            <w:pPr>
              <w:snapToGrid w:val="0"/>
              <w:jc w:val="center"/>
              <w:rPr>
                <w:rFonts w:cs="宋体" w:asciiTheme="minorEastAsia" w:hAnsiTheme="minorEastAsia" w:eastAsiaTheme="minorEastAsia"/>
                <w:szCs w:val="21"/>
                <w:highlight w:val="none"/>
              </w:rPr>
            </w:pPr>
          </w:p>
        </w:tc>
        <w:tc>
          <w:tcPr>
            <w:tcW w:w="2410" w:type="dxa"/>
          </w:tcPr>
          <w:p w14:paraId="6D8F976A">
            <w:pPr>
              <w:snapToGrid w:val="0"/>
              <w:jc w:val="center"/>
              <w:rPr>
                <w:rFonts w:cs="宋体" w:asciiTheme="minorEastAsia" w:hAnsiTheme="minorEastAsia" w:eastAsiaTheme="minorEastAsia"/>
                <w:szCs w:val="21"/>
                <w:highlight w:val="none"/>
              </w:rPr>
            </w:pPr>
          </w:p>
        </w:tc>
        <w:tc>
          <w:tcPr>
            <w:tcW w:w="1916" w:type="dxa"/>
          </w:tcPr>
          <w:p w14:paraId="7A4ED3DA">
            <w:pPr>
              <w:snapToGrid w:val="0"/>
              <w:jc w:val="center"/>
              <w:rPr>
                <w:rFonts w:cs="宋体" w:asciiTheme="minorEastAsia" w:hAnsiTheme="minorEastAsia" w:eastAsiaTheme="minorEastAsia"/>
                <w:szCs w:val="21"/>
                <w:highlight w:val="none"/>
              </w:rPr>
            </w:pPr>
          </w:p>
        </w:tc>
        <w:tc>
          <w:tcPr>
            <w:tcW w:w="1536" w:type="dxa"/>
          </w:tcPr>
          <w:p w14:paraId="0ABC0718">
            <w:pPr>
              <w:snapToGrid w:val="0"/>
              <w:jc w:val="center"/>
              <w:rPr>
                <w:rFonts w:cs="宋体" w:asciiTheme="minorEastAsia" w:hAnsiTheme="minorEastAsia" w:eastAsiaTheme="minorEastAsia"/>
                <w:szCs w:val="21"/>
                <w:highlight w:val="none"/>
              </w:rPr>
            </w:pPr>
          </w:p>
        </w:tc>
      </w:tr>
    </w:tbl>
    <w:p w14:paraId="1551167E">
      <w:pPr>
        <w:rPr>
          <w:highlight w:val="none"/>
        </w:rPr>
      </w:pPr>
    </w:p>
    <w:p w14:paraId="7F60E94A">
      <w:pPr>
        <w:spacing w:line="440" w:lineRule="exact"/>
        <w:ind w:firstLine="424" w:firstLineChars="202"/>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投标人名称：</w:t>
      </w:r>
      <w:r>
        <w:rPr>
          <w:rFonts w:hint="eastAsia" w:asciiTheme="minorEastAsia" w:hAnsiTheme="minorEastAsia" w:eastAsiaTheme="minorEastAsia"/>
          <w:szCs w:val="21"/>
          <w:highlight w:val="none"/>
          <w:u w:val="single"/>
        </w:rPr>
        <w:t xml:space="preserve">　　　　　　　　                      </w:t>
      </w:r>
    </w:p>
    <w:p w14:paraId="46C64D7C">
      <w:pPr>
        <w:spacing w:line="440" w:lineRule="exact"/>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法定代表人/负责人（签字或盖人名章）</w:t>
      </w:r>
      <w:r>
        <w:rPr>
          <w:rFonts w:asciiTheme="minorEastAsia" w:hAnsiTheme="minorEastAsia" w:eastAsiaTheme="minorEastAsia"/>
          <w:szCs w:val="21"/>
          <w:highlight w:val="none"/>
        </w:rPr>
        <w:t>或者其委托代理人</w:t>
      </w:r>
      <w:r>
        <w:rPr>
          <w:rFonts w:hint="eastAsia" w:asciiTheme="minorEastAsia" w:hAnsiTheme="minorEastAsia" w:eastAsiaTheme="minorEastAsia"/>
          <w:szCs w:val="21"/>
          <w:highlight w:val="none"/>
        </w:rPr>
        <w:t>（签字）</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 xml:space="preserve">               </w:t>
      </w:r>
    </w:p>
    <w:p w14:paraId="0BDFBBF8">
      <w:pPr>
        <w:spacing w:line="440" w:lineRule="exact"/>
        <w:ind w:firstLine="424" w:firstLineChars="202"/>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180D8508">
      <w:pPr>
        <w:rPr>
          <w:highlight w:val="none"/>
        </w:rPr>
      </w:pPr>
    </w:p>
    <w:p w14:paraId="24EC3CD4">
      <w:pPr>
        <w:topLinePunct/>
        <w:spacing w:line="440" w:lineRule="exact"/>
        <w:ind w:left="424" w:hanging="424" w:hangingChars="201"/>
        <w:jc w:val="left"/>
        <w:rPr>
          <w:rFonts w:asciiTheme="minorEastAsia" w:hAnsiTheme="minorEastAsia" w:eastAsiaTheme="minorEastAsia"/>
          <w:b/>
          <w:highlight w:val="none"/>
        </w:rPr>
      </w:pPr>
      <w:r>
        <w:rPr>
          <w:rFonts w:hint="eastAsia" w:asciiTheme="minorEastAsia" w:hAnsiTheme="minorEastAsia" w:eastAsiaTheme="minorEastAsia"/>
          <w:b/>
          <w:highlight w:val="none"/>
        </w:rPr>
        <w:t>编制要求：</w:t>
      </w:r>
    </w:p>
    <w:p w14:paraId="463F82AE">
      <w:pPr>
        <w:numPr>
          <w:ilvl w:val="0"/>
          <w:numId w:val="0"/>
        </w:numPr>
        <w:topLinePunct/>
        <w:spacing w:line="440" w:lineRule="exact"/>
        <w:ind w:left="0" w:leftChars="0" w:firstLine="0" w:firstLineChars="0"/>
        <w:jc w:val="left"/>
        <w:rPr>
          <w:rFonts w:asciiTheme="minorEastAsia" w:hAnsiTheme="minorEastAsia" w:eastAsiaTheme="minorEastAsia"/>
          <w:highlight w:val="none"/>
        </w:rPr>
      </w:pPr>
      <w:r>
        <w:rPr>
          <w:rFonts w:hint="default" w:ascii="宋体" w:hAnsi="宋体" w:eastAsia="宋体" w:cs="Times New Roman"/>
          <w:b w:val="0"/>
          <w:i w:val="0"/>
          <w:kern w:val="2"/>
          <w:sz w:val="21"/>
          <w:szCs w:val="24"/>
          <w:lang w:val="en-US" w:eastAsia="zh-CN" w:bidi="ar-SA"/>
        </w:rPr>
        <w:t>3.</w:t>
      </w:r>
      <w:r>
        <w:rPr>
          <w:rFonts w:hint="eastAsia" w:asciiTheme="minorEastAsia" w:hAnsiTheme="minorEastAsia" w:eastAsiaTheme="minorEastAsia"/>
          <w:highlight w:val="none"/>
        </w:rPr>
        <w:t>应提供合法获取开源软件、第三方软件（含开发环境和开发平台）使用权的证明，证明文件顺序应与清单一一对应。</w:t>
      </w:r>
    </w:p>
    <w:p w14:paraId="2BC06F55">
      <w:pPr>
        <w:numPr>
          <w:ilvl w:val="0"/>
          <w:numId w:val="0"/>
        </w:numPr>
        <w:topLinePunct/>
        <w:spacing w:line="440" w:lineRule="exact"/>
        <w:ind w:left="360" w:leftChars="0" w:hanging="360" w:firstLineChars="0"/>
        <w:jc w:val="left"/>
        <w:rPr>
          <w:rFonts w:asciiTheme="minorEastAsia" w:hAnsiTheme="minorEastAsia" w:eastAsiaTheme="minorEastAsia"/>
          <w:highlight w:val="none"/>
        </w:rPr>
      </w:pPr>
      <w:r>
        <w:rPr>
          <w:rFonts w:hint="default" w:ascii="宋体" w:hAnsi="宋体" w:eastAsia="宋体" w:cs="Times New Roman"/>
          <w:b w:val="0"/>
          <w:i w:val="0"/>
          <w:kern w:val="2"/>
          <w:sz w:val="21"/>
          <w:szCs w:val="24"/>
          <w:lang w:val="en-US" w:eastAsia="zh-CN" w:bidi="ar-SA"/>
        </w:rPr>
        <w:t>4.</w:t>
      </w:r>
      <w:r>
        <w:rPr>
          <w:rFonts w:hint="eastAsia" w:asciiTheme="minorEastAsia" w:hAnsiTheme="minorEastAsia" w:eastAsiaTheme="minorEastAsia"/>
          <w:szCs w:val="21"/>
          <w:highlight w:val="none"/>
        </w:rPr>
        <w:t>代理商投标的，制造商和代理商须各自提供一份本文件。</w:t>
      </w:r>
    </w:p>
    <w:p w14:paraId="1800EFEA">
      <w:pPr>
        <w:numPr>
          <w:ilvl w:val="0"/>
          <w:numId w:val="0"/>
        </w:numPr>
        <w:topLinePunct/>
        <w:spacing w:line="440" w:lineRule="exact"/>
        <w:ind w:left="360" w:leftChars="0" w:hanging="360" w:firstLineChars="0"/>
        <w:jc w:val="left"/>
        <w:rPr>
          <w:rFonts w:asciiTheme="minorEastAsia" w:hAnsiTheme="minorEastAsia" w:eastAsiaTheme="minorEastAsia"/>
          <w:highlight w:val="none"/>
        </w:rPr>
      </w:pPr>
      <w:r>
        <w:rPr>
          <w:rFonts w:hint="default" w:ascii="宋体" w:hAnsi="宋体" w:eastAsia="宋体" w:cs="Times New Roman"/>
          <w:b w:val="0"/>
          <w:i w:val="0"/>
          <w:kern w:val="2"/>
          <w:sz w:val="21"/>
          <w:szCs w:val="24"/>
          <w:lang w:val="en-US" w:eastAsia="zh-CN" w:bidi="ar-SA"/>
        </w:rPr>
        <w:t>5.</w:t>
      </w:r>
      <w:r>
        <w:rPr>
          <w:rFonts w:hint="eastAsia"/>
          <w:highlight w:val="none"/>
        </w:rPr>
        <w:t>投标人可以根据实际情况对本文件进行调整和修改，但应满足招标文件对本文件的要求。</w:t>
      </w:r>
    </w:p>
    <w:p w14:paraId="60C954EF">
      <w:pPr>
        <w:rPr>
          <w:highlight w:val="none"/>
        </w:rPr>
      </w:pPr>
    </w:p>
    <w:p w14:paraId="2E91A484">
      <w:pPr>
        <w:widowControl/>
        <w:jc w:val="left"/>
        <w:rPr>
          <w:rFonts w:asciiTheme="minorEastAsia" w:hAnsiTheme="minorEastAsia" w:eastAsiaTheme="minorEastAsia"/>
          <w:b/>
          <w:bCs/>
          <w:sz w:val="24"/>
          <w:highlight w:val="none"/>
        </w:rPr>
      </w:pPr>
      <w:r>
        <w:rPr>
          <w:rFonts w:asciiTheme="minorEastAsia" w:hAnsiTheme="minorEastAsia" w:eastAsiaTheme="minorEastAsia"/>
          <w:sz w:val="24"/>
          <w:highlight w:val="none"/>
        </w:rPr>
        <w:br w:type="page"/>
      </w:r>
    </w:p>
    <w:p w14:paraId="49D408C5">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rPr>
      </w:pPr>
      <w:bookmarkStart w:id="1028" w:name="_Toc106784696"/>
      <w:bookmarkEnd w:id="1028"/>
      <w:bookmarkStart w:id="1029" w:name="_Toc106784524"/>
      <w:bookmarkEnd w:id="1029"/>
      <w:bookmarkStart w:id="1030" w:name="_Toc20929"/>
      <w:bookmarkStart w:id="1031" w:name="_Toc22817"/>
      <w:bookmarkStart w:id="1032" w:name="_Toc14328"/>
      <w:bookmarkStart w:id="1033" w:name="_Toc6033"/>
      <w:bookmarkStart w:id="1034" w:name="_Toc668"/>
      <w:bookmarkStart w:id="1035" w:name="_Toc9186"/>
      <w:bookmarkStart w:id="1036" w:name="_Toc11495"/>
      <w:bookmarkStart w:id="1037" w:name="_Toc10457"/>
      <w:bookmarkStart w:id="1038" w:name="_Toc3663"/>
      <w:bookmarkStart w:id="1039" w:name="_Toc11051"/>
      <w:bookmarkStart w:id="1040" w:name="_Toc7110"/>
      <w:bookmarkStart w:id="1041" w:name="_Hlk167300039"/>
      <w:r>
        <w:rPr>
          <w:rFonts w:hint="eastAsia" w:cs="Times New Roman" w:asciiTheme="minorEastAsia" w:hAnsiTheme="minorEastAsia" w:eastAsiaTheme="minorEastAsia"/>
          <w:b/>
          <w:bCs/>
          <w:kern w:val="2"/>
          <w:sz w:val="24"/>
          <w:szCs w:val="24"/>
          <w:lang w:val="en-US" w:eastAsia="zh-CN" w:bidi="ar-SA"/>
        </w:rPr>
        <w:t>21.</w:t>
      </w:r>
      <w:r>
        <w:rPr>
          <w:rFonts w:hint="eastAsia" w:asciiTheme="minorEastAsia" w:hAnsiTheme="minorEastAsia" w:eastAsiaTheme="minorEastAsia"/>
          <w:sz w:val="24"/>
          <w:szCs w:val="24"/>
        </w:rPr>
        <w:t>销售/转许可同意函</w:t>
      </w:r>
      <w:bookmarkEnd w:id="1030"/>
      <w:bookmarkEnd w:id="1031"/>
      <w:bookmarkEnd w:id="1032"/>
      <w:bookmarkEnd w:id="1033"/>
      <w:bookmarkEnd w:id="1034"/>
      <w:bookmarkEnd w:id="1035"/>
      <w:bookmarkEnd w:id="1036"/>
      <w:bookmarkEnd w:id="1037"/>
      <w:bookmarkEnd w:id="1038"/>
      <w:bookmarkEnd w:id="1039"/>
      <w:bookmarkEnd w:id="1040"/>
    </w:p>
    <w:bookmarkEnd w:id="1041"/>
    <w:p w14:paraId="75F18966">
      <w:pPr>
        <w:pStyle w:val="101"/>
        <w:ind w:firstLine="0" w:firstLineChars="0"/>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销售/转许可同意函</w:t>
      </w:r>
    </w:p>
    <w:p w14:paraId="15D974F1">
      <w:pPr>
        <w:pStyle w:val="101"/>
        <w:ind w:firstLine="0" w:firstLineChars="0"/>
        <w:jc w:val="center"/>
        <w:rPr>
          <w:rFonts w:asciiTheme="minorEastAsia" w:hAnsiTheme="minorEastAsia" w:eastAsiaTheme="minorEastAsia"/>
          <w:b/>
          <w:bCs/>
          <w:sz w:val="24"/>
          <w:highlight w:val="none"/>
        </w:rPr>
      </w:pPr>
    </w:p>
    <w:p w14:paraId="27CED5ED">
      <w:pPr>
        <w:pStyle w:val="143"/>
        <w:spacing w:line="360" w:lineRule="atLeast"/>
        <w:jc w:val="left"/>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[集中采购项目原则上应使用，其余项目根据项目情况使用；投标人应答“同意”时，应将本函作为采购合同的附件]</w:t>
      </w:r>
    </w:p>
    <w:p w14:paraId="7F984A33">
      <w:pPr>
        <w:pStyle w:val="143"/>
        <w:spacing w:line="360" w:lineRule="atLeast"/>
        <w:jc w:val="center"/>
        <w:rPr>
          <w:rFonts w:asciiTheme="minorEastAsia" w:hAnsiTheme="minorEastAsia" w:eastAsiaTheme="minorEastAsia"/>
          <w:b/>
          <w:bCs/>
          <w:sz w:val="24"/>
          <w:highlight w:val="none"/>
        </w:rPr>
      </w:pPr>
    </w:p>
    <w:p w14:paraId="2E1F8672">
      <w:pPr>
        <w:pStyle w:val="143"/>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b/>
          <w:bCs/>
          <w:szCs w:val="21"/>
          <w:highlight w:val="none"/>
        </w:rPr>
        <w:t>致：【XX公司[招标人名称]】：</w:t>
      </w:r>
    </w:p>
    <w:p w14:paraId="159486CF">
      <w:pPr>
        <w:pStyle w:val="143"/>
        <w:snapToGrid w:val="0"/>
        <w:spacing w:line="440" w:lineRule="exact"/>
        <w:ind w:firstLine="411" w:firstLineChars="196"/>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1.</w:t>
      </w:r>
      <w:r>
        <w:rPr>
          <w:rFonts w:hint="eastAsia" w:asciiTheme="minorEastAsia" w:hAnsiTheme="minorEastAsia" w:eastAsiaTheme="minorEastAsia"/>
          <w:kern w:val="0"/>
          <w:szCs w:val="21"/>
          <w:highlight w:val="none"/>
        </w:rPr>
        <w:tab/>
      </w:r>
      <w:r>
        <w:rPr>
          <w:rFonts w:hint="eastAsia" w:asciiTheme="minorEastAsia" w:hAnsiTheme="minorEastAsia" w:eastAsiaTheme="minorEastAsia"/>
          <w:kern w:val="0"/>
          <w:szCs w:val="21"/>
          <w:highlight w:val="none"/>
        </w:rPr>
        <w:t>我方</w:t>
      </w:r>
      <w:r>
        <w:rPr>
          <w:rFonts w:hint="eastAsia" w:asciiTheme="minorEastAsia" w:hAnsiTheme="minorEastAsia" w:eastAsiaTheme="minorEastAsia"/>
          <w:kern w:val="0"/>
          <w:szCs w:val="21"/>
          <w:highlight w:val="none"/>
          <w:u w:val="single"/>
        </w:rPr>
        <w:t>【       （同意/不同意）】</w:t>
      </w:r>
      <w:r>
        <w:rPr>
          <w:rFonts w:hint="eastAsia" w:asciiTheme="minorEastAsia" w:hAnsiTheme="minorEastAsia" w:eastAsiaTheme="minorEastAsia"/>
          <w:kern w:val="0"/>
          <w:szCs w:val="21"/>
          <w:highlight w:val="none"/>
        </w:rPr>
        <w:t>买方/采购方将</w:t>
      </w:r>
      <w:r>
        <w:rPr>
          <w:rFonts w:hint="eastAsia" w:asciiTheme="minorEastAsia" w:hAnsiTheme="minorEastAsia" w:eastAsiaTheme="minorEastAsia"/>
          <w:kern w:val="0"/>
          <w:szCs w:val="21"/>
          <w:highlight w:val="none"/>
          <w:u w:val="single"/>
        </w:rPr>
        <w:t>【       （招标项目名称）】</w:t>
      </w:r>
      <w:r>
        <w:rPr>
          <w:rFonts w:hint="eastAsia" w:asciiTheme="minorEastAsia" w:hAnsiTheme="minorEastAsia" w:eastAsiaTheme="minorEastAsia"/>
          <w:kern w:val="0"/>
          <w:szCs w:val="21"/>
          <w:highlight w:val="none"/>
        </w:rPr>
        <w:t>采购的设备及相关服务、软件许可等直接或集成其他设备、服务销售/转许可给买方/采购方的客户，买方</w:t>
      </w:r>
      <w:r>
        <w:rPr>
          <w:rFonts w:asciiTheme="minorEastAsia" w:hAnsiTheme="minorEastAsia" w:eastAsiaTheme="minorEastAsia"/>
          <w:kern w:val="0"/>
          <w:szCs w:val="21"/>
          <w:highlight w:val="none"/>
        </w:rPr>
        <w:t>/采购方向其客户</w:t>
      </w:r>
      <w:r>
        <w:rPr>
          <w:rFonts w:hint="eastAsia" w:asciiTheme="minorEastAsia" w:hAnsiTheme="minorEastAsia" w:eastAsiaTheme="minorEastAsia"/>
          <w:kern w:val="0"/>
          <w:szCs w:val="21"/>
          <w:highlight w:val="none"/>
        </w:rPr>
        <w:t>销售/转许可的价格由买方/采购方自行确定，我方不再向买方/采购方及其客户收取费用。</w:t>
      </w:r>
    </w:p>
    <w:p w14:paraId="712ABB84">
      <w:pPr>
        <w:pStyle w:val="143"/>
        <w:snapToGrid w:val="0"/>
        <w:spacing w:line="440" w:lineRule="exact"/>
        <w:ind w:firstLine="411" w:firstLineChars="196"/>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2.</w:t>
      </w:r>
      <w:r>
        <w:rPr>
          <w:rFonts w:hint="eastAsia" w:asciiTheme="minorEastAsia" w:hAnsiTheme="minorEastAsia" w:eastAsiaTheme="minorEastAsia"/>
          <w:kern w:val="0"/>
          <w:szCs w:val="21"/>
          <w:highlight w:val="none"/>
        </w:rPr>
        <w:tab/>
      </w:r>
      <w:r>
        <w:rPr>
          <w:rFonts w:hint="eastAsia" w:asciiTheme="minorEastAsia" w:hAnsiTheme="minorEastAsia" w:eastAsiaTheme="minorEastAsia"/>
          <w:kern w:val="0"/>
          <w:szCs w:val="21"/>
          <w:highlight w:val="none"/>
        </w:rPr>
        <w:t xml:space="preserve">如【我方/我方的代理商】在本项目中标，我方承诺将按照本项目签署的合同（协议）向买方/采购方及其客户提供无差别的服务并保证买方/采购方的客户享有协议下买方/采购方的所有权利。 </w:t>
      </w:r>
    </w:p>
    <w:p w14:paraId="0A7C90EB">
      <w:pPr>
        <w:pStyle w:val="143"/>
        <w:snapToGrid w:val="0"/>
        <w:spacing w:line="440" w:lineRule="exact"/>
        <w:ind w:firstLine="411" w:firstLineChars="196"/>
        <w:rPr>
          <w:rFonts w:asciiTheme="minorEastAsia" w:hAnsiTheme="minorEastAsia" w:eastAsiaTheme="minorEastAsia"/>
          <w:kern w:val="0"/>
          <w:szCs w:val="21"/>
          <w:highlight w:val="none"/>
        </w:rPr>
      </w:pPr>
    </w:p>
    <w:p w14:paraId="13733738">
      <w:pPr>
        <w:spacing w:line="440" w:lineRule="exact"/>
        <w:ind w:firstLine="424" w:firstLineChars="202"/>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承诺单位：</w:t>
      </w:r>
      <w:r>
        <w:rPr>
          <w:rFonts w:hint="eastAsia" w:asciiTheme="minorEastAsia" w:hAnsiTheme="minorEastAsia" w:eastAsiaTheme="minorEastAsia"/>
          <w:szCs w:val="21"/>
          <w:highlight w:val="none"/>
          <w:u w:val="single"/>
        </w:rPr>
        <w:t xml:space="preserve">　　　　　　　　                      </w:t>
      </w:r>
    </w:p>
    <w:p w14:paraId="3A48777E">
      <w:pPr>
        <w:spacing w:line="440" w:lineRule="exact"/>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法定代表人/负责人（签字或盖人名章）</w:t>
      </w:r>
      <w:r>
        <w:rPr>
          <w:rFonts w:asciiTheme="minorEastAsia" w:hAnsiTheme="minorEastAsia" w:eastAsiaTheme="minorEastAsia"/>
          <w:szCs w:val="21"/>
          <w:highlight w:val="none"/>
        </w:rPr>
        <w:t>或者其委托代理人</w:t>
      </w:r>
      <w:r>
        <w:rPr>
          <w:rFonts w:hint="eastAsia" w:asciiTheme="minorEastAsia" w:hAnsiTheme="minorEastAsia" w:eastAsiaTheme="minorEastAsia"/>
          <w:szCs w:val="21"/>
          <w:highlight w:val="none"/>
        </w:rPr>
        <w:t>（签字）</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 xml:space="preserve">               </w:t>
      </w:r>
    </w:p>
    <w:p w14:paraId="00B6D5A3">
      <w:pPr>
        <w:spacing w:line="440" w:lineRule="exact"/>
        <w:ind w:firstLine="424" w:firstLineChars="202"/>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4BC19689">
      <w:pPr>
        <w:pStyle w:val="143"/>
        <w:snapToGrid w:val="0"/>
        <w:spacing w:line="440" w:lineRule="exact"/>
        <w:ind w:firstLine="411" w:firstLineChars="196"/>
        <w:rPr>
          <w:rFonts w:asciiTheme="minorEastAsia" w:hAnsiTheme="minorEastAsia" w:eastAsiaTheme="minorEastAsia"/>
          <w:kern w:val="0"/>
          <w:szCs w:val="21"/>
          <w:highlight w:val="none"/>
        </w:rPr>
      </w:pPr>
    </w:p>
    <w:p w14:paraId="45FD4E7E">
      <w:pPr>
        <w:snapToGrid w:val="0"/>
        <w:spacing w:line="440" w:lineRule="exact"/>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编制要求：</w:t>
      </w:r>
    </w:p>
    <w:p w14:paraId="0F64A1F6">
      <w:pPr>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 代理商投标的，制造商和代理商须各自提供一份本承诺函。</w:t>
      </w:r>
    </w:p>
    <w:p w14:paraId="454D4F75">
      <w:pPr>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 投标产品制造商注册地在中华人民共和国境外（与中华人民共和国有正常贸易与往来的国家或地区）及香港、澳门、台湾地区使用代理商投标和签订销售合同且制造商无法加盖单位公章的，本文件应由有签署权的代表签字确认，并提供委托签署权的相关证明材料。</w:t>
      </w:r>
    </w:p>
    <w:p w14:paraId="328BF61F">
      <w:pPr>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 投标人可根据自身实际情况以自愿原则出具本承诺函。</w:t>
      </w:r>
    </w:p>
    <w:p w14:paraId="61DF994A">
      <w:pPr>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4. </w:t>
      </w:r>
      <w:r>
        <w:rPr>
          <w:rFonts w:hint="eastAsia"/>
          <w:highlight w:val="none"/>
        </w:rPr>
        <w:t>投标人可以根据实际情况对本文件进行调整和修改，但应满足招标文件对本文件的要求。</w:t>
      </w:r>
    </w:p>
    <w:p w14:paraId="2E15A900">
      <w:pPr>
        <w:snapToGrid w:val="0"/>
        <w:spacing w:line="440" w:lineRule="exact"/>
        <w:rPr>
          <w:rFonts w:asciiTheme="minorEastAsia" w:hAnsiTheme="minorEastAsia" w:eastAsiaTheme="minorEastAsia"/>
          <w:szCs w:val="21"/>
          <w:highlight w:val="none"/>
        </w:rPr>
      </w:pPr>
    </w:p>
    <w:p w14:paraId="3BD1BCD6">
      <w:pPr>
        <w:widowControl/>
        <w:jc w:val="left"/>
        <w:rPr>
          <w:rFonts w:asciiTheme="minorEastAsia" w:hAnsiTheme="minorEastAsia" w:eastAsiaTheme="minorEastAsia"/>
          <w:b/>
          <w:bCs/>
          <w:sz w:val="24"/>
          <w:highlight w:val="none"/>
        </w:rPr>
      </w:pPr>
      <w:r>
        <w:rPr>
          <w:rFonts w:asciiTheme="minorEastAsia" w:hAnsiTheme="minorEastAsia" w:eastAsiaTheme="minorEastAsia"/>
          <w:sz w:val="24"/>
          <w:highlight w:val="none"/>
        </w:rPr>
        <w:br w:type="page"/>
      </w:r>
    </w:p>
    <w:bookmarkEnd w:id="1001"/>
    <w:bookmarkEnd w:id="1002"/>
    <w:bookmarkEnd w:id="1003"/>
    <w:p w14:paraId="5F0FB5CA">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rPr>
      </w:pPr>
      <w:bookmarkStart w:id="1042" w:name="_Toc674"/>
      <w:bookmarkStart w:id="1043" w:name="_Toc18468"/>
      <w:bookmarkStart w:id="1044" w:name="_Toc30625"/>
      <w:bookmarkStart w:id="1045" w:name="_Toc26358"/>
      <w:bookmarkStart w:id="1046" w:name="_Toc3072"/>
      <w:bookmarkStart w:id="1047" w:name="_Toc1462"/>
      <w:bookmarkStart w:id="1048" w:name="_Toc1378"/>
      <w:bookmarkStart w:id="1049" w:name="_Toc8694"/>
      <w:bookmarkStart w:id="1050" w:name="_Toc6863"/>
      <w:bookmarkStart w:id="1051" w:name="_Toc19083"/>
      <w:bookmarkStart w:id="1052" w:name="_Toc5818"/>
      <w:bookmarkStart w:id="1053" w:name="_Hlk167300045"/>
      <w:r>
        <w:rPr>
          <w:rFonts w:hint="eastAsia" w:cs="Times New Roman" w:asciiTheme="minorEastAsia" w:hAnsiTheme="minorEastAsia" w:eastAsiaTheme="minorEastAsia"/>
          <w:b/>
          <w:bCs/>
          <w:kern w:val="2"/>
          <w:sz w:val="24"/>
          <w:szCs w:val="24"/>
          <w:lang w:val="en-US" w:eastAsia="zh-CN" w:bidi="ar-SA"/>
        </w:rPr>
        <w:t>22.</w:t>
      </w:r>
      <w:r>
        <w:rPr>
          <w:rFonts w:hint="eastAsia" w:asciiTheme="minorEastAsia" w:hAnsiTheme="minorEastAsia" w:eastAsiaTheme="minorEastAsia"/>
          <w:sz w:val="24"/>
          <w:szCs w:val="24"/>
        </w:rPr>
        <w:t>投标保函</w:t>
      </w:r>
      <w:bookmarkEnd w:id="1042"/>
      <w:bookmarkEnd w:id="1043"/>
      <w:bookmarkEnd w:id="1044"/>
      <w:bookmarkEnd w:id="1045"/>
      <w:bookmarkEnd w:id="1046"/>
      <w:bookmarkEnd w:id="1047"/>
      <w:bookmarkEnd w:id="1048"/>
      <w:bookmarkEnd w:id="1049"/>
      <w:bookmarkEnd w:id="1050"/>
      <w:bookmarkEnd w:id="1051"/>
      <w:bookmarkEnd w:id="1052"/>
    </w:p>
    <w:bookmarkEnd w:id="1053"/>
    <w:p w14:paraId="60EB9AC2">
      <w:pPr>
        <w:ind w:firstLine="562"/>
        <w:jc w:val="center"/>
        <w:rPr>
          <w:rFonts w:asciiTheme="minorEastAsia" w:hAnsiTheme="minorEastAsia" w:eastAsiaTheme="minorEastAsia"/>
          <w:b/>
          <w:sz w:val="24"/>
          <w:szCs w:val="30"/>
          <w:highlight w:val="none"/>
        </w:rPr>
      </w:pPr>
      <w:bookmarkStart w:id="1054" w:name="_Toc297638737"/>
      <w:r>
        <w:rPr>
          <w:rFonts w:hint="eastAsia" w:asciiTheme="minorEastAsia" w:hAnsiTheme="minorEastAsia" w:eastAsiaTheme="minorEastAsia"/>
          <w:b/>
          <w:sz w:val="24"/>
          <w:szCs w:val="30"/>
          <w:highlight w:val="none"/>
        </w:rPr>
        <w:t>投标保函</w:t>
      </w:r>
      <w:bookmarkEnd w:id="1054"/>
      <w:r>
        <w:rPr>
          <w:rFonts w:hint="eastAsia" w:ascii="宋体" w:hAnsi="宋体"/>
          <w:b/>
          <w:color w:val="000000" w:themeColor="text1"/>
          <w:sz w:val="24"/>
          <w:szCs w:val="30"/>
          <w:highlight w:val="none"/>
          <w14:textFill>
            <w14:solidFill>
              <w14:schemeClr w14:val="tx1"/>
            </w14:solidFill>
          </w14:textFill>
        </w:rPr>
        <w:t>（如有）</w:t>
      </w:r>
    </w:p>
    <w:p w14:paraId="1F5A344A">
      <w:pPr>
        <w:ind w:firstLine="560"/>
        <w:jc w:val="center"/>
        <w:rPr>
          <w:rFonts w:asciiTheme="minorEastAsia" w:hAnsiTheme="minorEastAsia" w:eastAsiaTheme="minorEastAsia"/>
          <w:szCs w:val="21"/>
          <w:highlight w:val="none"/>
        </w:rPr>
      </w:pPr>
    </w:p>
    <w:p w14:paraId="6A83D587">
      <w:pPr>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致：</w:t>
      </w:r>
      <w:r>
        <w:rPr>
          <w:rFonts w:hint="eastAsia" w:asciiTheme="minorEastAsia" w:hAnsiTheme="minorEastAsia" w:eastAsiaTheme="minorEastAsia"/>
          <w:szCs w:val="21"/>
          <w:highlight w:val="none"/>
          <w:u w:val="single"/>
        </w:rPr>
        <w:t xml:space="preserve">          （受益人）</w:t>
      </w:r>
    </w:p>
    <w:p w14:paraId="443AC4A3">
      <w:pPr>
        <w:snapToGrid w:val="0"/>
        <w:spacing w:line="360" w:lineRule="auto"/>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本保函作为</w:t>
      </w:r>
      <w:r>
        <w:rPr>
          <w:rFonts w:hint="eastAsia" w:asciiTheme="minorEastAsia" w:hAnsiTheme="minorEastAsia" w:eastAsiaTheme="minorEastAsia"/>
          <w:szCs w:val="21"/>
          <w:highlight w:val="none"/>
          <w:u w:val="single"/>
        </w:rPr>
        <w:t xml:space="preserve">     （投标人名称）</w:t>
      </w:r>
      <w:r>
        <w:rPr>
          <w:rFonts w:hint="eastAsia" w:asciiTheme="minorEastAsia" w:hAnsiTheme="minorEastAsia" w:eastAsiaTheme="minorEastAsia"/>
          <w:szCs w:val="21"/>
          <w:highlight w:val="none"/>
        </w:rPr>
        <w:t>（以下简称投标人）对</w:t>
      </w:r>
      <w:r>
        <w:rPr>
          <w:rFonts w:hint="eastAsia" w:asciiTheme="minorEastAsia" w:hAnsiTheme="minorEastAsia" w:eastAsiaTheme="minorEastAsia"/>
          <w:szCs w:val="21"/>
          <w:highlight w:val="none"/>
          <w:u w:val="single"/>
        </w:rPr>
        <w:t xml:space="preserve">        （招标人名称）（项目名称）</w:t>
      </w:r>
      <w:r>
        <w:rPr>
          <w:rFonts w:hint="eastAsia" w:asciiTheme="minorEastAsia" w:hAnsiTheme="minorEastAsia" w:eastAsiaTheme="minorEastAsia"/>
          <w:szCs w:val="21"/>
          <w:highlight w:val="none"/>
        </w:rPr>
        <w:t>的投标邀请而提供的投标保函。</w:t>
      </w:r>
    </w:p>
    <w:p w14:paraId="28D21ED4">
      <w:pPr>
        <w:snapToGrid w:val="0"/>
        <w:spacing w:line="360" w:lineRule="auto"/>
        <w:ind w:firstLine="424" w:firstLineChars="202"/>
        <w:rPr>
          <w:rFonts w:asciiTheme="minorEastAsia" w:hAnsiTheme="minorEastAsia" w:eastAsiaTheme="minorEastAsia"/>
          <w:szCs w:val="21"/>
          <w:highlight w:val="none"/>
        </w:rPr>
      </w:pPr>
      <w:r>
        <w:rPr>
          <w:rFonts w:hint="eastAsia" w:cs="仿宋_GB2312" w:asciiTheme="minorEastAsia" w:hAnsiTheme="minorEastAsia" w:eastAsiaTheme="minorEastAsia"/>
          <w:iCs/>
          <w:szCs w:val="21"/>
          <w:highlight w:val="none"/>
          <w:u w:val="single"/>
        </w:rPr>
        <w:t xml:space="preserve">      （保函开立人）</w:t>
      </w:r>
      <w:r>
        <w:rPr>
          <w:rFonts w:hint="eastAsia" w:cs="仿宋_GB2312" w:asciiTheme="minorEastAsia" w:hAnsiTheme="minorEastAsia" w:eastAsiaTheme="minorEastAsia"/>
          <w:szCs w:val="21"/>
          <w:highlight w:val="none"/>
        </w:rPr>
        <w:t>无条件地、不可撤销地保证并约束本方、其继承人和受让人，一旦收到贵方提出的就下述任何一种事实的书面通知，立即无追索地向贵方支付金额为</w:t>
      </w:r>
      <w:r>
        <w:rPr>
          <w:rFonts w:hint="eastAsia" w:cs="仿宋_GB2312" w:asciiTheme="minorEastAsia" w:hAnsiTheme="minorEastAsia" w:eastAsiaTheme="minorEastAsia"/>
          <w:szCs w:val="21"/>
          <w:highlight w:val="none"/>
          <w:u w:val="single"/>
        </w:rPr>
        <w:t xml:space="preserve">   人民币</w:t>
      </w:r>
      <w:r>
        <w:rPr>
          <w:rFonts w:hint="eastAsia" w:cs="仿宋_GB2312" w:asciiTheme="minorEastAsia" w:hAnsiTheme="minorEastAsia" w:eastAsiaTheme="minorEastAsia"/>
          <w:iCs/>
          <w:szCs w:val="21"/>
          <w:highlight w:val="none"/>
          <w:u w:val="single"/>
        </w:rPr>
        <w:t>（按投标人须知要求规定的金额和币种）</w:t>
      </w:r>
      <w:r>
        <w:rPr>
          <w:rFonts w:hint="eastAsia" w:cs="仿宋_GB2312" w:asciiTheme="minorEastAsia" w:hAnsiTheme="minorEastAsia" w:eastAsiaTheme="minorEastAsia"/>
          <w:szCs w:val="21"/>
          <w:highlight w:val="none"/>
        </w:rPr>
        <w:t>保证金：</w:t>
      </w:r>
    </w:p>
    <w:p w14:paraId="51E976CD">
      <w:pPr>
        <w:numPr>
          <w:ilvl w:val="0"/>
          <w:numId w:val="98"/>
        </w:numPr>
        <w:tabs>
          <w:tab w:val="clear" w:pos="780"/>
        </w:tabs>
        <w:autoSpaceDE w:val="0"/>
        <w:autoSpaceDN w:val="0"/>
        <w:adjustRightInd w:val="0"/>
        <w:snapToGrid w:val="0"/>
        <w:spacing w:line="360" w:lineRule="auto"/>
        <w:ind w:left="0" w:firstLine="420"/>
        <w:jc w:val="left"/>
        <w:rPr>
          <w:rFonts w:cs="仿宋_GB2312" w:asciiTheme="minorEastAsia" w:hAnsiTheme="minorEastAsia" w:eastAsiaTheme="minorEastAsia"/>
          <w:szCs w:val="21"/>
          <w:highlight w:val="none"/>
        </w:rPr>
      </w:pPr>
      <w:r>
        <w:rPr>
          <w:rFonts w:hint="eastAsia" w:cs="仿宋_GB2312" w:asciiTheme="minorEastAsia" w:hAnsiTheme="minorEastAsia" w:eastAsiaTheme="minorEastAsia"/>
          <w:szCs w:val="21"/>
          <w:highlight w:val="none"/>
        </w:rPr>
        <w:t>投标人在招标文件规定的投标截止时间后投标有效期内撤销其投标；或</w:t>
      </w:r>
    </w:p>
    <w:p w14:paraId="41A88AE2">
      <w:pPr>
        <w:numPr>
          <w:ilvl w:val="0"/>
          <w:numId w:val="98"/>
        </w:numPr>
        <w:tabs>
          <w:tab w:val="clear" w:pos="780"/>
        </w:tabs>
        <w:autoSpaceDE w:val="0"/>
        <w:autoSpaceDN w:val="0"/>
        <w:adjustRightInd w:val="0"/>
        <w:snapToGrid w:val="0"/>
        <w:spacing w:line="360" w:lineRule="auto"/>
        <w:ind w:left="0" w:firstLine="420"/>
        <w:jc w:val="left"/>
        <w:rPr>
          <w:rFonts w:cs="仿宋_GB2312" w:asciiTheme="minorEastAsia" w:hAnsiTheme="minorEastAsia" w:eastAsiaTheme="minorEastAsia"/>
          <w:szCs w:val="21"/>
          <w:highlight w:val="none"/>
        </w:rPr>
      </w:pPr>
      <w:r>
        <w:rPr>
          <w:rFonts w:hint="eastAsia" w:cs="仿宋_GB2312" w:asciiTheme="minorEastAsia" w:hAnsiTheme="minorEastAsia" w:eastAsiaTheme="minorEastAsia"/>
          <w:szCs w:val="21"/>
          <w:highlight w:val="none"/>
        </w:rPr>
        <w:t>投标人在招标文件规定的投标截止时间后对投标文件作实质性修改；或</w:t>
      </w:r>
    </w:p>
    <w:p w14:paraId="32D787BE">
      <w:pPr>
        <w:numPr>
          <w:ilvl w:val="0"/>
          <w:numId w:val="98"/>
        </w:numPr>
        <w:tabs>
          <w:tab w:val="clear" w:pos="780"/>
        </w:tabs>
        <w:autoSpaceDE w:val="0"/>
        <w:autoSpaceDN w:val="0"/>
        <w:adjustRightInd w:val="0"/>
        <w:snapToGrid w:val="0"/>
        <w:spacing w:line="360" w:lineRule="auto"/>
        <w:ind w:left="0" w:firstLine="420"/>
        <w:jc w:val="left"/>
        <w:rPr>
          <w:rFonts w:cs="仿宋_GB2312" w:asciiTheme="minorEastAsia" w:hAnsiTheme="minorEastAsia" w:eastAsiaTheme="minorEastAsia"/>
          <w:szCs w:val="21"/>
          <w:highlight w:val="none"/>
        </w:rPr>
      </w:pPr>
      <w:r>
        <w:rPr>
          <w:rFonts w:hint="eastAsia" w:cs="仿宋_GB2312" w:asciiTheme="minorEastAsia" w:hAnsiTheme="minorEastAsia" w:eastAsiaTheme="minorEastAsia"/>
          <w:szCs w:val="21"/>
          <w:highlight w:val="none"/>
        </w:rPr>
        <w:t>投标人在收到中标通知书后，无正当理由不与招标人在规定期限内订立合同、在签订合同时向招标人提出附加条件或改变其投标文件的实质性内容，或者不按照招标文件要求递交履约保证金的；或</w:t>
      </w:r>
    </w:p>
    <w:p w14:paraId="1AACAE12">
      <w:pPr>
        <w:numPr>
          <w:ilvl w:val="0"/>
          <w:numId w:val="98"/>
        </w:numPr>
        <w:tabs>
          <w:tab w:val="clear" w:pos="780"/>
        </w:tabs>
        <w:autoSpaceDE w:val="0"/>
        <w:autoSpaceDN w:val="0"/>
        <w:adjustRightInd w:val="0"/>
        <w:snapToGrid w:val="0"/>
        <w:spacing w:line="360" w:lineRule="auto"/>
        <w:ind w:left="0" w:firstLine="420"/>
        <w:jc w:val="left"/>
        <w:rPr>
          <w:rFonts w:cs="仿宋_GB2312" w:asciiTheme="minorEastAsia" w:hAnsiTheme="minorEastAsia" w:eastAsiaTheme="minorEastAsia"/>
          <w:szCs w:val="21"/>
          <w:highlight w:val="none"/>
        </w:rPr>
      </w:pPr>
      <w:r>
        <w:rPr>
          <w:rFonts w:hint="eastAsia" w:cs="仿宋_GB2312" w:asciiTheme="minorEastAsia" w:hAnsiTheme="minorEastAsia" w:eastAsiaTheme="minorEastAsia"/>
          <w:szCs w:val="21"/>
          <w:highlight w:val="none"/>
        </w:rPr>
        <w:t>投标人有串通投标、弄虚作假等行为的；或</w:t>
      </w:r>
    </w:p>
    <w:p w14:paraId="234CC299">
      <w:pPr>
        <w:numPr>
          <w:ilvl w:val="0"/>
          <w:numId w:val="98"/>
        </w:numPr>
        <w:tabs>
          <w:tab w:val="clear" w:pos="780"/>
        </w:tabs>
        <w:autoSpaceDE w:val="0"/>
        <w:autoSpaceDN w:val="0"/>
        <w:adjustRightInd w:val="0"/>
        <w:snapToGrid w:val="0"/>
        <w:spacing w:line="360" w:lineRule="auto"/>
        <w:ind w:left="0" w:firstLine="420"/>
        <w:jc w:val="left"/>
        <w:rPr>
          <w:rFonts w:cs="仿宋_GB2312" w:asciiTheme="minorEastAsia" w:hAnsiTheme="minorEastAsia" w:eastAsiaTheme="minorEastAsia"/>
          <w:szCs w:val="21"/>
          <w:highlight w:val="none"/>
        </w:rPr>
      </w:pPr>
      <w:r>
        <w:rPr>
          <w:rFonts w:hint="eastAsia" w:cs="仿宋_GB2312" w:asciiTheme="minorEastAsia" w:hAnsiTheme="minorEastAsia" w:eastAsiaTheme="minorEastAsia"/>
          <w:szCs w:val="21"/>
          <w:highlight w:val="none"/>
        </w:rPr>
        <w:t>投标人有招标文件中有关投标保证金不予退还的其它情形的。</w:t>
      </w:r>
    </w:p>
    <w:p w14:paraId="1AA6B4B0">
      <w:pPr>
        <w:snapToGrid w:val="0"/>
        <w:spacing w:line="360" w:lineRule="auto"/>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本保函有效期应不短于投标有效期，从投标文件递交截止之日起计算，</w:t>
      </w:r>
      <w:r>
        <w:rPr>
          <w:rFonts w:hint="eastAsia" w:cs="仿宋_GB2312" w:asciiTheme="minorEastAsia" w:hAnsiTheme="minorEastAsia" w:eastAsiaTheme="minorEastAsia"/>
          <w:szCs w:val="21"/>
          <w:highlight w:val="none"/>
        </w:rPr>
        <w:t>并在贵方和投标人同意延长的有效期内保持有效，延长的有效期只需通知本方即可。贵方有权提前终止或解除本保函。</w:t>
      </w:r>
    </w:p>
    <w:p w14:paraId="2035F48B">
      <w:pPr>
        <w:snapToGrid w:val="0"/>
        <w:spacing w:line="360" w:lineRule="auto"/>
        <w:ind w:firstLine="424" w:firstLineChars="202"/>
        <w:rPr>
          <w:rFonts w:asciiTheme="minorEastAsia" w:hAnsiTheme="minorEastAsia" w:eastAsiaTheme="minorEastAsia"/>
          <w:szCs w:val="21"/>
          <w:highlight w:val="none"/>
        </w:rPr>
      </w:pPr>
    </w:p>
    <w:p w14:paraId="31B149EB">
      <w:pPr>
        <w:pStyle w:val="143"/>
        <w:snapToGrid w:val="0"/>
        <w:spacing w:line="440" w:lineRule="exact"/>
        <w:ind w:firstLine="411" w:firstLineChars="196"/>
        <w:rPr>
          <w:rFonts w:asciiTheme="minorEastAsia" w:hAnsiTheme="minorEastAsia" w:eastAsiaTheme="minorEastAsia"/>
          <w:kern w:val="0"/>
          <w:szCs w:val="21"/>
          <w:highlight w:val="none"/>
        </w:rPr>
      </w:pPr>
      <w:r>
        <w:rPr>
          <w:rFonts w:hint="eastAsia" w:asciiTheme="minorEastAsia" w:hAnsiTheme="minorEastAsia" w:eastAsiaTheme="minorEastAsia"/>
          <w:szCs w:val="21"/>
          <w:highlight w:val="none"/>
        </w:rPr>
        <w:t>保函开立人名称：</w:t>
      </w:r>
      <w:r>
        <w:rPr>
          <w:rFonts w:hint="eastAsia" w:asciiTheme="minorEastAsia" w:hAnsiTheme="minorEastAsia" w:eastAsiaTheme="minorEastAsia"/>
          <w:kern w:val="0"/>
          <w:szCs w:val="21"/>
          <w:highlight w:val="none"/>
          <w:u w:val="single"/>
        </w:rPr>
        <w:t>　　　　　　　　</w:t>
      </w:r>
      <w:r>
        <w:rPr>
          <w:rFonts w:hint="eastAsia" w:asciiTheme="minorEastAsia" w:hAnsiTheme="minorEastAsia" w:eastAsiaTheme="minorEastAsia"/>
          <w:kern w:val="0"/>
          <w:szCs w:val="21"/>
          <w:highlight w:val="none"/>
        </w:rPr>
        <w:t>（盖单位公章）</w:t>
      </w:r>
    </w:p>
    <w:p w14:paraId="0BF130B0">
      <w:pPr>
        <w:pStyle w:val="143"/>
        <w:snapToGrid w:val="0"/>
        <w:spacing w:line="440" w:lineRule="exact"/>
        <w:ind w:firstLine="411" w:firstLineChars="196"/>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法定代表人/负责人（签字或盖人名章）或者其委托代理人（签字）：</w:t>
      </w:r>
      <w:r>
        <w:rPr>
          <w:rFonts w:hint="eastAsia" w:asciiTheme="minorEastAsia" w:hAnsiTheme="minorEastAsia" w:eastAsiaTheme="minorEastAsia"/>
          <w:kern w:val="0"/>
          <w:szCs w:val="21"/>
          <w:highlight w:val="none"/>
          <w:u w:val="single"/>
        </w:rPr>
        <w:t xml:space="preserve">        </w:t>
      </w:r>
    </w:p>
    <w:p w14:paraId="2B01018B">
      <w:pPr>
        <w:pStyle w:val="143"/>
        <w:snapToGrid w:val="0"/>
        <w:spacing w:line="440" w:lineRule="exact"/>
        <w:ind w:firstLine="411" w:firstLineChars="196"/>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日期：</w:t>
      </w:r>
      <w:r>
        <w:rPr>
          <w:rFonts w:hint="eastAsia" w:asciiTheme="minorEastAsia" w:hAnsiTheme="minorEastAsia" w:eastAsiaTheme="minorEastAsia"/>
          <w:kern w:val="0"/>
          <w:szCs w:val="21"/>
          <w:highlight w:val="none"/>
          <w:u w:val="single"/>
        </w:rPr>
        <w:t xml:space="preserve">      </w:t>
      </w:r>
      <w:r>
        <w:rPr>
          <w:rFonts w:hint="eastAsia" w:asciiTheme="minorEastAsia" w:hAnsiTheme="minorEastAsia" w:eastAsiaTheme="minorEastAsia"/>
          <w:kern w:val="0"/>
          <w:szCs w:val="21"/>
          <w:highlight w:val="none"/>
        </w:rPr>
        <w:t>年</w:t>
      </w:r>
      <w:r>
        <w:rPr>
          <w:rFonts w:hint="eastAsia" w:asciiTheme="minorEastAsia" w:hAnsiTheme="minorEastAsia" w:eastAsiaTheme="minorEastAsia"/>
          <w:kern w:val="0"/>
          <w:szCs w:val="21"/>
          <w:highlight w:val="none"/>
          <w:u w:val="single"/>
        </w:rPr>
        <w:t xml:space="preserve">      </w:t>
      </w:r>
      <w:r>
        <w:rPr>
          <w:rFonts w:hint="eastAsia" w:asciiTheme="minorEastAsia" w:hAnsiTheme="minorEastAsia" w:eastAsiaTheme="minorEastAsia"/>
          <w:kern w:val="0"/>
          <w:szCs w:val="21"/>
          <w:highlight w:val="none"/>
        </w:rPr>
        <w:t>月</w:t>
      </w:r>
      <w:r>
        <w:rPr>
          <w:rFonts w:hint="eastAsia" w:asciiTheme="minorEastAsia" w:hAnsiTheme="minorEastAsia" w:eastAsiaTheme="minorEastAsia"/>
          <w:kern w:val="0"/>
          <w:szCs w:val="21"/>
          <w:highlight w:val="none"/>
          <w:u w:val="single"/>
        </w:rPr>
        <w:t xml:space="preserve">     </w:t>
      </w:r>
      <w:r>
        <w:rPr>
          <w:rFonts w:hint="eastAsia" w:asciiTheme="minorEastAsia" w:hAnsiTheme="minorEastAsia" w:eastAsiaTheme="minorEastAsia"/>
          <w:kern w:val="0"/>
          <w:szCs w:val="21"/>
          <w:highlight w:val="none"/>
        </w:rPr>
        <w:t>日</w:t>
      </w:r>
    </w:p>
    <w:p w14:paraId="45B6CC5A">
      <w:pPr>
        <w:widowControl/>
        <w:jc w:val="left"/>
        <w:rPr>
          <w:rFonts w:asciiTheme="minorEastAsia" w:hAnsiTheme="minorEastAsia" w:eastAsiaTheme="minorEastAsia"/>
          <w:b/>
          <w:highlight w:val="none"/>
        </w:rPr>
      </w:pPr>
    </w:p>
    <w:p w14:paraId="361944A4">
      <w:pPr>
        <w:widowControl/>
        <w:jc w:val="left"/>
        <w:rPr>
          <w:rFonts w:asciiTheme="minorEastAsia" w:hAnsiTheme="minorEastAsia" w:eastAsiaTheme="minorEastAsia"/>
          <w:b/>
          <w:highlight w:val="none"/>
        </w:rPr>
      </w:pPr>
    </w:p>
    <w:p w14:paraId="2E5E0F01">
      <w:pPr>
        <w:widowControl/>
        <w:jc w:val="left"/>
        <w:rPr>
          <w:rFonts w:asciiTheme="minorEastAsia" w:hAnsiTheme="minorEastAsia" w:eastAsiaTheme="minorEastAsia"/>
          <w:b/>
          <w:highlight w:val="none"/>
        </w:rPr>
      </w:pPr>
    </w:p>
    <w:p w14:paraId="11995D7D">
      <w:pPr>
        <w:snapToGrid w:val="0"/>
        <w:spacing w:line="360" w:lineRule="auto"/>
        <w:rPr>
          <w:rFonts w:hint="eastAsia" w:asciiTheme="minorEastAsia" w:hAnsiTheme="minorEastAsia" w:eastAsiaTheme="minorEastAsia"/>
          <w:b/>
          <w:szCs w:val="21"/>
          <w:highlight w:val="none"/>
          <w:lang w:eastAsia="zh-CN"/>
        </w:rPr>
      </w:pPr>
      <w:r>
        <w:rPr>
          <w:rFonts w:hint="eastAsia" w:asciiTheme="minorEastAsia" w:hAnsiTheme="minorEastAsia" w:eastAsiaTheme="minorEastAsia"/>
          <w:b/>
          <w:szCs w:val="21"/>
          <w:highlight w:val="none"/>
          <w:lang w:eastAsia="zh-CN"/>
        </w:rPr>
        <w:t>编制要求：投标人可以根据实际情况对本文件进行调整和修改，但应满足集中招标文件对本文件的要求。</w:t>
      </w:r>
    </w:p>
    <w:p w14:paraId="45870BA3">
      <w:pPr>
        <w:snapToGrid w:val="0"/>
        <w:spacing w:line="360" w:lineRule="auto"/>
        <w:rPr>
          <w:rFonts w:hint="eastAsia" w:asciiTheme="minorEastAsia" w:hAnsiTheme="minorEastAsia" w:eastAsiaTheme="minorEastAsia"/>
          <w:b/>
          <w:szCs w:val="21"/>
          <w:highlight w:val="none"/>
          <w:lang w:eastAsia="zh-CN"/>
        </w:rPr>
      </w:pPr>
    </w:p>
    <w:p w14:paraId="79C58E03">
      <w:pPr>
        <w:widowControl/>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br w:type="page"/>
      </w:r>
    </w:p>
    <w:p w14:paraId="402E6050">
      <w:pPr>
        <w:spacing w:before="260" w:after="260"/>
        <w:jc w:val="center"/>
        <w:rPr>
          <w:rFonts w:ascii="宋体" w:hAnsi="宋体"/>
          <w:bCs/>
          <w:color w:val="000000" w:themeColor="text1"/>
          <w:sz w:val="28"/>
          <w:szCs w:val="28"/>
          <w:highlight w:val="none"/>
          <w14:textFill>
            <w14:solidFill>
              <w14:schemeClr w14:val="tx1"/>
            </w14:solidFill>
          </w14:textFill>
        </w:rPr>
      </w:pPr>
      <w:r>
        <w:rPr>
          <w:rFonts w:hint="eastAsia" w:ascii="宋体" w:hAnsi="宋体"/>
          <w:bCs/>
          <w:color w:val="000000" w:themeColor="text1"/>
          <w:sz w:val="28"/>
          <w:szCs w:val="28"/>
          <w:highlight w:val="none"/>
          <w14:textFill>
            <w14:solidFill>
              <w14:schemeClr w14:val="tx1"/>
            </w14:solidFill>
          </w14:textFill>
        </w:rPr>
        <w:t>投标保证金汇款</w:t>
      </w:r>
      <w:r>
        <w:rPr>
          <w:rFonts w:hint="eastAsia" w:ascii="宋体" w:hAnsi="宋体"/>
          <w:bCs/>
          <w:color w:val="000000" w:themeColor="text1"/>
          <w:sz w:val="28"/>
          <w:szCs w:val="21"/>
          <w:highlight w:val="none"/>
          <w14:textFill>
            <w14:solidFill>
              <w14:schemeClr w14:val="tx1"/>
            </w14:solidFill>
          </w14:textFill>
        </w:rPr>
        <w:t>凭据复印件</w:t>
      </w:r>
    </w:p>
    <w:tbl>
      <w:tblPr>
        <w:tblStyle w:val="8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0FCE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1" w:hRule="atLeast"/>
        </w:trPr>
        <w:tc>
          <w:tcPr>
            <w:tcW w:w="8528" w:type="dxa"/>
          </w:tcPr>
          <w:p w14:paraId="70B30F2F">
            <w:pPr>
              <w:jc w:val="center"/>
              <w:rPr>
                <w:rFonts w:ascii="宋体" w:hAnsi="宋体"/>
                <w:b/>
                <w:color w:val="000000" w:themeColor="text1"/>
                <w:highlight w:val="none"/>
                <w14:textFill>
                  <w14:solidFill>
                    <w14:schemeClr w14:val="tx1"/>
                  </w14:solidFill>
                </w14:textFill>
              </w:rPr>
            </w:pPr>
            <w:bookmarkStart w:id="1055" w:name="_Toc402947466"/>
            <w:bookmarkStart w:id="1056" w:name="_Toc402947290"/>
            <w:r>
              <w:rPr>
                <w:rFonts w:hint="eastAsia" w:ascii="宋体" w:hAnsi="宋体"/>
                <w:b/>
                <w:color w:val="000000" w:themeColor="text1"/>
                <w:highlight w:val="none"/>
                <w14:textFill>
                  <w14:solidFill>
                    <w14:schemeClr w14:val="tx1"/>
                  </w14:solidFill>
                </w14:textFill>
              </w:rPr>
              <w:t>投标保证金汇款凭据复印件贴附处</w:t>
            </w:r>
            <w:bookmarkEnd w:id="1055"/>
            <w:bookmarkEnd w:id="1056"/>
            <w:r>
              <w:rPr>
                <w:rFonts w:hint="eastAsia" w:ascii="宋体" w:hAnsi="宋体"/>
                <w:b/>
                <w:color w:val="000000" w:themeColor="text1"/>
                <w:highlight w:val="none"/>
                <w14:textFill>
                  <w14:solidFill>
                    <w14:schemeClr w14:val="tx1"/>
                  </w14:solidFill>
                </w14:textFill>
              </w:rPr>
              <w:t>。</w:t>
            </w:r>
          </w:p>
          <w:p w14:paraId="4D129C26">
            <w:pPr>
              <w:rPr>
                <w:rFonts w:ascii="宋体" w:hAnsi="宋体"/>
                <w:b/>
                <w:color w:val="000000" w:themeColor="text1"/>
                <w:highlight w:val="none"/>
                <w14:textFill>
                  <w14:solidFill>
                    <w14:schemeClr w14:val="tx1"/>
                  </w14:solidFill>
                </w14:textFill>
              </w:rPr>
            </w:pPr>
          </w:p>
        </w:tc>
      </w:tr>
    </w:tbl>
    <w:p w14:paraId="32E5B4F0">
      <w:pPr>
        <w:widowControl/>
        <w:jc w:val="left"/>
        <w:rPr>
          <w:rFonts w:ascii="宋体" w:hAnsi="宋体"/>
          <w:b/>
          <w:color w:val="000000" w:themeColor="text1"/>
          <w:highlight w:val="none"/>
          <w14:textFill>
            <w14:solidFill>
              <w14:schemeClr w14:val="tx1"/>
            </w14:solidFill>
          </w14:textFill>
        </w:rPr>
      </w:pPr>
    </w:p>
    <w:p w14:paraId="73CAB82B">
      <w:pPr>
        <w:widowControl/>
        <w:jc w:val="left"/>
        <w:rPr>
          <w:rFonts w:ascii="宋体" w:hAnsi="宋体"/>
          <w:b/>
          <w:color w:val="000000" w:themeColor="text1"/>
          <w:highlight w:val="none"/>
          <w14:textFill>
            <w14:solidFill>
              <w14:schemeClr w14:val="tx1"/>
            </w14:solidFill>
          </w14:textFill>
        </w:rPr>
      </w:pPr>
    </w:p>
    <w:p w14:paraId="31DA1FCF">
      <w:pPr>
        <w:widowControl/>
        <w:jc w:val="left"/>
        <w:rPr>
          <w:rFonts w:ascii="宋体" w:hAnsi="宋体"/>
          <w:b/>
          <w:color w:val="000000" w:themeColor="text1"/>
          <w:highlight w:val="none"/>
          <w14:textFill>
            <w14:solidFill>
              <w14:schemeClr w14:val="tx1"/>
            </w14:solidFill>
          </w14:textFill>
        </w:rPr>
      </w:pPr>
    </w:p>
    <w:p w14:paraId="136B9D57">
      <w:pPr>
        <w:widowControl/>
        <w:jc w:val="left"/>
        <w:rPr>
          <w:rFonts w:ascii="宋体" w:hAnsi="宋体"/>
          <w:b/>
          <w:color w:val="000000" w:themeColor="text1"/>
          <w:highlight w:val="none"/>
          <w14:textFill>
            <w14:solidFill>
              <w14:schemeClr w14:val="tx1"/>
            </w14:solidFill>
          </w14:textFill>
        </w:rPr>
      </w:pPr>
    </w:p>
    <w:p w14:paraId="559B1172">
      <w:pPr>
        <w:snapToGrid w:val="0"/>
        <w:spacing w:line="360" w:lineRule="auto"/>
        <w:rPr>
          <w:rFonts w:hint="eastAsia" w:ascii="宋体" w:hAnsi="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lang w:eastAsia="zh-CN"/>
          <w14:textFill>
            <w14:solidFill>
              <w14:schemeClr w14:val="tx1"/>
            </w14:solidFill>
          </w14:textFill>
        </w:rPr>
        <w:t>编制要求：投标人可以根据实际情况对本文件进行调整和修改，但应满足集中招标文件对本文件的要求。</w:t>
      </w:r>
    </w:p>
    <w:p w14:paraId="57941012">
      <w:pPr>
        <w:snapToGrid w:val="0"/>
        <w:spacing w:line="360" w:lineRule="auto"/>
        <w:rPr>
          <w:rFonts w:hint="eastAsia" w:ascii="宋体" w:hAnsi="宋体"/>
          <w:b/>
          <w:color w:val="000000" w:themeColor="text1"/>
          <w:szCs w:val="21"/>
          <w:highlight w:val="none"/>
          <w:lang w:eastAsia="zh-CN"/>
          <w14:textFill>
            <w14:solidFill>
              <w14:schemeClr w14:val="tx1"/>
            </w14:solidFill>
          </w14:textFill>
        </w:rPr>
      </w:pPr>
    </w:p>
    <w:p w14:paraId="09DFB797">
      <w:pPr>
        <w:widowControl/>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p>
    <w:p w14:paraId="0F89930A">
      <w:pPr>
        <w:pStyle w:val="81"/>
        <w:tabs>
          <w:tab w:val="left" w:pos="588"/>
        </w:tabs>
        <w:snapToGrid w:val="0"/>
        <w:spacing w:before="120" w:after="120" w:line="440" w:lineRule="exact"/>
        <w:ind w:left="425"/>
        <w:outlineLvl w:val="9"/>
        <w:rPr>
          <w:rFonts w:ascii="宋体" w:hAnsi="宋体"/>
          <w:color w:val="000000" w:themeColor="text1"/>
          <w:sz w:val="24"/>
          <w:szCs w:val="24"/>
          <w:highlight w:val="none"/>
          <w14:textFill>
            <w14:solidFill>
              <w14:schemeClr w14:val="tx1"/>
            </w14:solidFill>
          </w14:textFill>
        </w:rPr>
      </w:pPr>
      <w:bookmarkStart w:id="1057" w:name="_Toc51338419"/>
      <w:bookmarkStart w:id="1058" w:name="_Toc13301"/>
      <w:bookmarkStart w:id="1059" w:name="_Toc52360177"/>
      <w:bookmarkStart w:id="1060" w:name="_Toc51338573"/>
      <w:bookmarkStart w:id="1061" w:name="_Toc479855107"/>
      <w:bookmarkStart w:id="1062" w:name="_Toc51338725"/>
      <w:r>
        <w:rPr>
          <w:rFonts w:hint="eastAsia" w:ascii="宋体" w:hAnsi="宋体"/>
          <w:color w:val="000000" w:themeColor="text1"/>
          <w:sz w:val="24"/>
          <w:szCs w:val="24"/>
          <w:highlight w:val="none"/>
          <w14:textFill>
            <w14:solidFill>
              <w14:schemeClr w14:val="tx1"/>
            </w14:solidFill>
          </w14:textFill>
        </w:rPr>
        <w:t>投标保证金返还书</w:t>
      </w:r>
      <w:bookmarkEnd w:id="1057"/>
      <w:bookmarkEnd w:id="1058"/>
      <w:bookmarkEnd w:id="1059"/>
      <w:bookmarkEnd w:id="1060"/>
      <w:bookmarkEnd w:id="1061"/>
      <w:bookmarkEnd w:id="1062"/>
    </w:p>
    <w:p w14:paraId="526225B2">
      <w:pPr>
        <w:spacing w:line="48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中通服供应链股份有限公司贵州分公司：</w:t>
      </w:r>
    </w:p>
    <w:p w14:paraId="11694D72">
      <w:pPr>
        <w:spacing w:line="400" w:lineRule="exact"/>
        <w:ind w:firstLine="360" w:firstLineChars="1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我单位参加你公司组织的招标</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招标编号</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的投标，如须退还投标保证金请贵公司将我单位提供的投标保证金汇入到以下帐户。</w:t>
      </w:r>
    </w:p>
    <w:p w14:paraId="1FE52808">
      <w:pPr>
        <w:spacing w:line="400" w:lineRule="exact"/>
        <w:ind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以下是我单位提供的有关内容，保证真实。</w:t>
      </w:r>
    </w:p>
    <w:p w14:paraId="04699BE5">
      <w:pPr>
        <w:spacing w:line="400" w:lineRule="exact"/>
        <w:ind w:firstLine="315" w:firstLineChars="15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投标单位全称：</w:t>
      </w:r>
      <w:r>
        <w:rPr>
          <w:rFonts w:hint="eastAsia" w:ascii="宋体" w:hAnsi="宋体"/>
          <w:color w:val="000000" w:themeColor="text1"/>
          <w:sz w:val="24"/>
          <w:highlight w:val="none"/>
          <w:u w:val="single"/>
          <w14:textFill>
            <w14:solidFill>
              <w14:schemeClr w14:val="tx1"/>
            </w14:solidFill>
          </w14:textFill>
        </w:rPr>
        <w:t xml:space="preserve">                                                        </w:t>
      </w:r>
    </w:p>
    <w:p w14:paraId="09347AA4">
      <w:pPr>
        <w:spacing w:line="400" w:lineRule="exact"/>
        <w:ind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开户名称：    </w:t>
      </w:r>
      <w:r>
        <w:rPr>
          <w:rFonts w:hint="eastAsia" w:ascii="宋体" w:hAnsi="宋体"/>
          <w:color w:val="000000" w:themeColor="text1"/>
          <w:szCs w:val="21"/>
          <w:highlight w:val="none"/>
          <w:u w:val="single"/>
          <w14:textFill>
            <w14:solidFill>
              <w14:schemeClr w14:val="tx1"/>
            </w14:solidFill>
          </w14:textFill>
        </w:rPr>
        <w:t xml:space="preserve">                                                                </w:t>
      </w:r>
    </w:p>
    <w:p w14:paraId="0C0284CB">
      <w:pPr>
        <w:spacing w:line="400" w:lineRule="exact"/>
        <w:ind w:firstLine="315" w:firstLineChars="15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投标单位地址：</w:t>
      </w:r>
      <w:r>
        <w:rPr>
          <w:rFonts w:hint="eastAsia" w:ascii="宋体" w:hAnsi="宋体"/>
          <w:color w:val="000000" w:themeColor="text1"/>
          <w:sz w:val="24"/>
          <w:highlight w:val="none"/>
          <w:u w:val="single"/>
          <w14:textFill>
            <w14:solidFill>
              <w14:schemeClr w14:val="tx1"/>
            </w14:solidFill>
          </w14:textFill>
        </w:rPr>
        <w:t xml:space="preserve">                                                        </w:t>
      </w:r>
    </w:p>
    <w:p w14:paraId="735458AB">
      <w:pPr>
        <w:spacing w:line="400" w:lineRule="exact"/>
        <w:ind w:firstLine="315" w:firstLineChars="15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银 行：</w:t>
      </w:r>
      <w:r>
        <w:rPr>
          <w:rFonts w:hint="eastAsia" w:ascii="宋体" w:hAnsi="宋体"/>
          <w:color w:val="000000" w:themeColor="text1"/>
          <w:sz w:val="24"/>
          <w:highlight w:val="none"/>
          <w:u w:val="single"/>
          <w14:textFill>
            <w14:solidFill>
              <w14:schemeClr w14:val="tx1"/>
            </w14:solidFill>
          </w14:textFill>
        </w:rPr>
        <w:t xml:space="preserve">                                                         </w:t>
      </w:r>
    </w:p>
    <w:p w14:paraId="380D6DF8">
      <w:pPr>
        <w:spacing w:line="400" w:lineRule="exact"/>
        <w:ind w:firstLine="315" w:firstLineChars="15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账      号：</w:t>
      </w:r>
      <w:r>
        <w:rPr>
          <w:rFonts w:hint="eastAsia" w:ascii="宋体" w:hAnsi="宋体"/>
          <w:color w:val="000000" w:themeColor="text1"/>
          <w:sz w:val="24"/>
          <w:highlight w:val="none"/>
          <w:u w:val="single"/>
          <w14:textFill>
            <w14:solidFill>
              <w14:schemeClr w14:val="tx1"/>
            </w14:solidFill>
          </w14:textFill>
        </w:rPr>
        <w:t xml:space="preserve">                                                          </w:t>
      </w:r>
    </w:p>
    <w:p w14:paraId="1427F18E">
      <w:pPr>
        <w:spacing w:line="400" w:lineRule="exact"/>
        <w:ind w:firstLine="315" w:firstLineChars="15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  系  人：</w:t>
      </w:r>
      <w:r>
        <w:rPr>
          <w:rFonts w:hint="eastAsia" w:ascii="宋体" w:hAnsi="宋体"/>
          <w:color w:val="000000" w:themeColor="text1"/>
          <w:sz w:val="24"/>
          <w:highlight w:val="none"/>
          <w:u w:val="single"/>
          <w14:textFill>
            <w14:solidFill>
              <w14:schemeClr w14:val="tx1"/>
            </w14:solidFill>
          </w14:textFill>
        </w:rPr>
        <w:t xml:space="preserve">                                                          </w:t>
      </w:r>
    </w:p>
    <w:p w14:paraId="488738CC">
      <w:pPr>
        <w:spacing w:line="400" w:lineRule="exact"/>
        <w:ind w:firstLine="315" w:firstLineChars="15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联系电话及传真：</w:t>
      </w:r>
      <w:r>
        <w:rPr>
          <w:rFonts w:hint="eastAsia" w:ascii="宋体" w:hAnsi="宋体"/>
          <w:color w:val="000000" w:themeColor="text1"/>
          <w:sz w:val="24"/>
          <w:highlight w:val="none"/>
          <w:u w:val="single"/>
          <w14:textFill>
            <w14:solidFill>
              <w14:schemeClr w14:val="tx1"/>
            </w14:solidFill>
          </w14:textFill>
        </w:rPr>
        <w:t xml:space="preserve">                                                      </w:t>
      </w:r>
    </w:p>
    <w:p w14:paraId="2CE97F02">
      <w:pPr>
        <w:spacing w:line="400" w:lineRule="exact"/>
        <w:ind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特别说明：</w:t>
      </w:r>
    </w:p>
    <w:p w14:paraId="4678133C">
      <w:pPr>
        <w:spacing w:line="400" w:lineRule="exact"/>
        <w:ind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 投标人请认真填写以上内容，如由于投标人的填写错误或字迹不清楚而造成的损失由投标人自行承担。</w:t>
      </w:r>
    </w:p>
    <w:p w14:paraId="56863911">
      <w:pPr>
        <w:spacing w:line="400" w:lineRule="exact"/>
        <w:ind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2）“投标保证金返还书”为投标人返还投标保证金的重要依据，投标人必须加盖公章和法定代表人或授权代表签字后方能生效。</w:t>
      </w:r>
    </w:p>
    <w:p w14:paraId="7FCD7906">
      <w:pPr>
        <w:spacing w:line="400" w:lineRule="exact"/>
        <w:ind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3）“投标保证金返还书”将作退还投标保证金的唯一凭证，我单位严格按照“投标保证金返还书”所提供资料进行返还。</w:t>
      </w:r>
    </w:p>
    <w:p w14:paraId="3E21C836">
      <w:pPr>
        <w:spacing w:line="440" w:lineRule="exact"/>
        <w:ind w:firstLine="1890" w:firstLineChars="900"/>
        <w:rPr>
          <w:rFonts w:ascii="宋体" w:hAnsi="宋体"/>
          <w:color w:val="000000" w:themeColor="text1"/>
          <w:szCs w:val="21"/>
          <w:highlight w:val="none"/>
          <w14:textFill>
            <w14:solidFill>
              <w14:schemeClr w14:val="tx1"/>
            </w14:solidFill>
          </w14:textFill>
        </w:rPr>
      </w:pPr>
    </w:p>
    <w:p w14:paraId="0B82ACF4">
      <w:pPr>
        <w:spacing w:line="440" w:lineRule="exact"/>
        <w:ind w:firstLine="1890" w:firstLineChars="900"/>
        <w:rPr>
          <w:rFonts w:ascii="宋体" w:hAnsi="宋体"/>
          <w:color w:val="000000" w:themeColor="text1"/>
          <w:szCs w:val="21"/>
          <w:highlight w:val="none"/>
          <w14:textFill>
            <w14:solidFill>
              <w14:schemeClr w14:val="tx1"/>
            </w14:solidFill>
          </w14:textFill>
        </w:rPr>
      </w:pPr>
    </w:p>
    <w:p w14:paraId="5662E7A0">
      <w:pPr>
        <w:spacing w:line="440" w:lineRule="exact"/>
        <w:ind w:firstLine="1890" w:firstLineChars="900"/>
        <w:rPr>
          <w:rFonts w:ascii="宋体" w:hAnsi="宋体"/>
          <w:color w:val="000000" w:themeColor="text1"/>
          <w:szCs w:val="21"/>
          <w:highlight w:val="none"/>
          <w14:textFill>
            <w14:solidFill>
              <w14:schemeClr w14:val="tx1"/>
            </w14:solidFill>
          </w14:textFill>
        </w:rPr>
      </w:pPr>
    </w:p>
    <w:p w14:paraId="0B4A50B0">
      <w:pPr>
        <w:spacing w:line="440" w:lineRule="exact"/>
        <w:ind w:right="840" w:firstLine="5880" w:firstLineChars="28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ascii="宋体" w:hAnsi="宋体"/>
          <w:color w:val="000000" w:themeColor="text1"/>
          <w:szCs w:val="21"/>
          <w:highlight w:val="none"/>
          <w:u w:val="single"/>
          <w14:textFill>
            <w14:solidFill>
              <w14:schemeClr w14:val="tx1"/>
            </w14:solidFill>
          </w14:textFill>
        </w:rPr>
        <w:t xml:space="preserve">        </w:t>
      </w:r>
    </w:p>
    <w:p w14:paraId="2CB8DC0E">
      <w:pPr>
        <w:spacing w:line="440" w:lineRule="exact"/>
        <w:ind w:firstLine="1890" w:firstLineChars="90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1E9A6E83">
      <w:pPr>
        <w:snapToGrid w:val="0"/>
        <w:spacing w:line="360" w:lineRule="auto"/>
        <w:rPr>
          <w:rFonts w:ascii="宋体" w:hAnsi="宋体"/>
          <w:color w:val="000000" w:themeColor="text1"/>
          <w:szCs w:val="21"/>
          <w:highlight w:val="none"/>
          <w14:textFill>
            <w14:solidFill>
              <w14:schemeClr w14:val="tx1"/>
            </w14:solidFill>
          </w14:textFill>
        </w:rPr>
      </w:pPr>
    </w:p>
    <w:p w14:paraId="5DE85BFD">
      <w:pPr>
        <w:snapToGrid w:val="0"/>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br w:type="page"/>
      </w:r>
    </w:p>
    <w:p w14:paraId="275B2029">
      <w:pPr>
        <w:pStyle w:val="3"/>
        <w:bidi w:val="0"/>
        <w:rPr>
          <w:rFonts w:asciiTheme="minorEastAsia" w:hAnsiTheme="minorEastAsia" w:eastAsiaTheme="minorEastAsia"/>
        </w:rPr>
      </w:pPr>
      <w:bookmarkStart w:id="1063" w:name="_Toc475472686"/>
      <w:bookmarkStart w:id="1064" w:name="_Toc38008094"/>
      <w:bookmarkStart w:id="1065" w:name="_Toc25138"/>
      <w:bookmarkStart w:id="1066" w:name="_Hlk167300063"/>
      <w:bookmarkStart w:id="1067" w:name="_Toc22971"/>
      <w:bookmarkStart w:id="1068" w:name="_Toc711"/>
      <w:bookmarkStart w:id="1069" w:name="_Toc467"/>
      <w:bookmarkStart w:id="1070" w:name="_Toc25304"/>
      <w:bookmarkStart w:id="1071" w:name="_Toc9189"/>
      <w:bookmarkStart w:id="1072" w:name="_Toc8336"/>
      <w:bookmarkStart w:id="1073" w:name="_Toc9348"/>
      <w:bookmarkStart w:id="1074" w:name="_Toc17557"/>
      <w:bookmarkStart w:id="1075" w:name="_Toc23760"/>
      <w:bookmarkStart w:id="1076" w:name="_Toc9234"/>
      <w:r>
        <w:rPr>
          <w:rFonts w:hint="eastAsia"/>
          <w:sz w:val="28"/>
          <w:szCs w:val="28"/>
          <w:lang w:val="en-US" w:eastAsia="zh-CN"/>
        </w:rPr>
        <w:t>23.</w:t>
      </w:r>
      <w:bookmarkEnd w:id="1063"/>
      <w:bookmarkEnd w:id="1064"/>
      <w:bookmarkEnd w:id="1065"/>
      <w:bookmarkEnd w:id="1066"/>
      <w:r>
        <w:rPr>
          <w:rFonts w:hint="eastAsia"/>
          <w:sz w:val="28"/>
          <w:szCs w:val="28"/>
        </w:rPr>
        <w:t>基本开户银行情况</w:t>
      </w:r>
      <w:bookmarkEnd w:id="1067"/>
      <w:bookmarkEnd w:id="1068"/>
      <w:bookmarkEnd w:id="1069"/>
      <w:bookmarkEnd w:id="1070"/>
      <w:bookmarkEnd w:id="1071"/>
      <w:bookmarkEnd w:id="1072"/>
      <w:bookmarkEnd w:id="1073"/>
      <w:bookmarkEnd w:id="1074"/>
      <w:bookmarkEnd w:id="1075"/>
      <w:bookmarkEnd w:id="1076"/>
    </w:p>
    <w:tbl>
      <w:tblPr>
        <w:tblStyle w:val="85"/>
        <w:tblW w:w="0" w:type="auto"/>
        <w:jc w:val="center"/>
        <w:tblLayout w:type="fixed"/>
        <w:tblCellMar>
          <w:top w:w="0" w:type="dxa"/>
          <w:left w:w="28" w:type="dxa"/>
          <w:bottom w:w="0" w:type="dxa"/>
          <w:right w:w="28" w:type="dxa"/>
        </w:tblCellMar>
      </w:tblPr>
      <w:tblGrid>
        <w:gridCol w:w="1108"/>
        <w:gridCol w:w="3482"/>
        <w:gridCol w:w="3795"/>
      </w:tblGrid>
      <w:tr w14:paraId="54267375">
        <w:tblPrEx>
          <w:tblCellMar>
            <w:top w:w="0" w:type="dxa"/>
            <w:left w:w="28" w:type="dxa"/>
            <w:bottom w:w="0" w:type="dxa"/>
            <w:right w:w="28" w:type="dxa"/>
          </w:tblCellMar>
        </w:tblPrEx>
        <w:trPr>
          <w:cantSplit/>
          <w:trHeight w:val="380" w:hRule="atLeast"/>
          <w:jc w:val="center"/>
        </w:trPr>
        <w:tc>
          <w:tcPr>
            <w:tcW w:w="1108" w:type="dxa"/>
            <w:vMerge w:val="restart"/>
            <w:tcBorders>
              <w:top w:val="single" w:color="auto" w:sz="4" w:space="0"/>
              <w:left w:val="single" w:color="auto" w:sz="4" w:space="0"/>
              <w:right w:val="single" w:color="auto" w:sz="4" w:space="0"/>
            </w:tcBorders>
            <w:vAlign w:val="center"/>
          </w:tcPr>
          <w:p w14:paraId="5BD68E81">
            <w:pPr>
              <w:spacing w:line="400" w:lineRule="exact"/>
              <w:rPr>
                <w:rFonts w:ascii="宋体" w:hAnsi="宋体"/>
                <w:color w:val="000000"/>
              </w:rPr>
            </w:pPr>
            <w:r>
              <w:rPr>
                <w:rFonts w:hint="eastAsia" w:ascii="宋体" w:hAnsi="宋体"/>
                <w:b/>
                <w:color w:val="000000"/>
              </w:rPr>
              <w:t>开户银行</w:t>
            </w:r>
          </w:p>
        </w:tc>
        <w:tc>
          <w:tcPr>
            <w:tcW w:w="7277" w:type="dxa"/>
            <w:gridSpan w:val="2"/>
            <w:tcBorders>
              <w:top w:val="single" w:color="auto" w:sz="4" w:space="0"/>
              <w:left w:val="single" w:color="auto" w:sz="4" w:space="0"/>
              <w:bottom w:val="single" w:color="auto" w:sz="4" w:space="0"/>
              <w:right w:val="single" w:color="auto" w:sz="4" w:space="0"/>
            </w:tcBorders>
            <w:vAlign w:val="center"/>
          </w:tcPr>
          <w:p w14:paraId="72D39260">
            <w:pPr>
              <w:spacing w:line="400" w:lineRule="exact"/>
              <w:rPr>
                <w:rFonts w:ascii="宋体" w:hAnsi="宋体"/>
                <w:color w:val="000000"/>
              </w:rPr>
            </w:pPr>
            <w:r>
              <w:rPr>
                <w:rFonts w:hint="eastAsia" w:ascii="宋体" w:hAnsi="宋体"/>
                <w:color w:val="000000"/>
              </w:rPr>
              <w:t>名称：</w:t>
            </w:r>
            <w:r>
              <w:rPr>
                <w:rFonts w:hint="eastAsia" w:ascii="宋体" w:hAnsi="宋体"/>
                <w:color w:val="000000"/>
                <w:u w:val="single"/>
              </w:rPr>
              <w:t>【XX[基本账户开户银行名称]】</w:t>
            </w:r>
          </w:p>
        </w:tc>
      </w:tr>
      <w:tr w14:paraId="3F6EF166">
        <w:tblPrEx>
          <w:tblCellMar>
            <w:top w:w="0" w:type="dxa"/>
            <w:left w:w="28" w:type="dxa"/>
            <w:bottom w:w="0" w:type="dxa"/>
            <w:right w:w="28" w:type="dxa"/>
          </w:tblCellMar>
        </w:tblPrEx>
        <w:trPr>
          <w:cantSplit/>
          <w:trHeight w:val="380" w:hRule="atLeast"/>
          <w:jc w:val="center"/>
        </w:trPr>
        <w:tc>
          <w:tcPr>
            <w:tcW w:w="1108" w:type="dxa"/>
            <w:vMerge w:val="continue"/>
            <w:tcBorders>
              <w:left w:val="single" w:color="auto" w:sz="4" w:space="0"/>
              <w:right w:val="single" w:color="auto" w:sz="4" w:space="0"/>
            </w:tcBorders>
            <w:vAlign w:val="center"/>
          </w:tcPr>
          <w:p w14:paraId="47419A5F">
            <w:pPr>
              <w:spacing w:line="400" w:lineRule="exact"/>
              <w:rPr>
                <w:rFonts w:ascii="宋体" w:hAnsi="宋体"/>
                <w:color w:val="000000"/>
              </w:rPr>
            </w:pPr>
          </w:p>
        </w:tc>
        <w:tc>
          <w:tcPr>
            <w:tcW w:w="7277" w:type="dxa"/>
            <w:gridSpan w:val="2"/>
            <w:tcBorders>
              <w:top w:val="single" w:color="auto" w:sz="4" w:space="0"/>
              <w:left w:val="single" w:color="auto" w:sz="4" w:space="0"/>
              <w:bottom w:val="single" w:color="auto" w:sz="4" w:space="0"/>
              <w:right w:val="single" w:color="auto" w:sz="4" w:space="0"/>
            </w:tcBorders>
            <w:vAlign w:val="center"/>
          </w:tcPr>
          <w:p w14:paraId="2D131845">
            <w:pPr>
              <w:spacing w:line="400" w:lineRule="exact"/>
              <w:rPr>
                <w:rFonts w:ascii="宋体" w:hAnsi="宋体"/>
                <w:color w:val="000000"/>
              </w:rPr>
            </w:pPr>
            <w:r>
              <w:rPr>
                <w:rFonts w:hint="eastAsia" w:ascii="宋体" w:hAnsi="宋体"/>
                <w:color w:val="000000"/>
              </w:rPr>
              <w:t>地址：</w:t>
            </w:r>
            <w:r>
              <w:rPr>
                <w:rFonts w:hint="eastAsia" w:ascii="宋体" w:hAnsi="宋体"/>
                <w:color w:val="000000"/>
                <w:u w:val="single"/>
              </w:rPr>
              <w:t>【XX[基本账户开户银行地址]】</w:t>
            </w:r>
          </w:p>
        </w:tc>
      </w:tr>
      <w:tr w14:paraId="746E4645">
        <w:tblPrEx>
          <w:tblCellMar>
            <w:top w:w="0" w:type="dxa"/>
            <w:left w:w="28" w:type="dxa"/>
            <w:bottom w:w="0" w:type="dxa"/>
            <w:right w:w="28" w:type="dxa"/>
          </w:tblCellMar>
        </w:tblPrEx>
        <w:trPr>
          <w:cantSplit/>
          <w:trHeight w:val="380" w:hRule="atLeast"/>
          <w:jc w:val="center"/>
        </w:trPr>
        <w:tc>
          <w:tcPr>
            <w:tcW w:w="1108" w:type="dxa"/>
            <w:vMerge w:val="continue"/>
            <w:tcBorders>
              <w:left w:val="single" w:color="auto" w:sz="4" w:space="0"/>
              <w:right w:val="single" w:color="auto" w:sz="4" w:space="0"/>
            </w:tcBorders>
            <w:vAlign w:val="center"/>
          </w:tcPr>
          <w:p w14:paraId="3B451116">
            <w:pPr>
              <w:spacing w:line="400" w:lineRule="exact"/>
              <w:rPr>
                <w:rFonts w:ascii="宋体" w:hAnsi="宋体"/>
                <w:color w:val="000000"/>
              </w:rPr>
            </w:pPr>
          </w:p>
        </w:tc>
        <w:tc>
          <w:tcPr>
            <w:tcW w:w="7277" w:type="dxa"/>
            <w:gridSpan w:val="2"/>
            <w:tcBorders>
              <w:top w:val="single" w:color="auto" w:sz="4" w:space="0"/>
              <w:left w:val="single" w:color="auto" w:sz="4" w:space="0"/>
              <w:bottom w:val="single" w:color="auto" w:sz="4" w:space="0"/>
              <w:right w:val="single" w:color="auto" w:sz="4" w:space="0"/>
            </w:tcBorders>
            <w:vAlign w:val="center"/>
          </w:tcPr>
          <w:p w14:paraId="7807AADE">
            <w:pPr>
              <w:spacing w:line="400" w:lineRule="exact"/>
              <w:rPr>
                <w:rFonts w:ascii="宋体" w:hAnsi="宋体"/>
                <w:color w:val="000000"/>
              </w:rPr>
            </w:pPr>
            <w:r>
              <w:rPr>
                <w:rFonts w:hint="eastAsia" w:ascii="宋体" w:hAnsi="宋体"/>
                <w:color w:val="000000"/>
              </w:rPr>
              <w:t>银行账户：</w:t>
            </w:r>
            <w:r>
              <w:rPr>
                <w:rFonts w:hint="eastAsia" w:ascii="宋体" w:hAnsi="宋体"/>
                <w:color w:val="000000"/>
                <w:u w:val="single"/>
              </w:rPr>
              <w:t>【XX[基本账户开户银行账号]】</w:t>
            </w:r>
          </w:p>
        </w:tc>
      </w:tr>
      <w:tr w14:paraId="4D0C717D">
        <w:tblPrEx>
          <w:tblCellMar>
            <w:top w:w="0" w:type="dxa"/>
            <w:left w:w="28" w:type="dxa"/>
            <w:bottom w:w="0" w:type="dxa"/>
            <w:right w:w="28" w:type="dxa"/>
          </w:tblCellMar>
        </w:tblPrEx>
        <w:trPr>
          <w:cantSplit/>
          <w:trHeight w:val="380" w:hRule="atLeast"/>
          <w:jc w:val="center"/>
        </w:trPr>
        <w:tc>
          <w:tcPr>
            <w:tcW w:w="1108" w:type="dxa"/>
            <w:vMerge w:val="continue"/>
            <w:tcBorders>
              <w:left w:val="single" w:color="auto" w:sz="4" w:space="0"/>
              <w:right w:val="single" w:color="auto" w:sz="4" w:space="0"/>
            </w:tcBorders>
            <w:vAlign w:val="center"/>
          </w:tcPr>
          <w:p w14:paraId="6A3FFE97">
            <w:pPr>
              <w:spacing w:line="400" w:lineRule="exact"/>
              <w:rPr>
                <w:rFonts w:ascii="宋体" w:hAnsi="宋体"/>
                <w:color w:val="000000"/>
              </w:rPr>
            </w:pPr>
          </w:p>
        </w:tc>
        <w:tc>
          <w:tcPr>
            <w:tcW w:w="3482" w:type="dxa"/>
            <w:tcBorders>
              <w:top w:val="single" w:color="auto" w:sz="4" w:space="0"/>
              <w:left w:val="single" w:color="auto" w:sz="4" w:space="0"/>
              <w:bottom w:val="single" w:color="auto" w:sz="4" w:space="0"/>
              <w:right w:val="single" w:color="auto" w:sz="4" w:space="0"/>
            </w:tcBorders>
            <w:vAlign w:val="center"/>
          </w:tcPr>
          <w:p w14:paraId="37D95B76">
            <w:pPr>
              <w:spacing w:line="400" w:lineRule="exact"/>
              <w:rPr>
                <w:rFonts w:ascii="宋体" w:hAnsi="宋体"/>
                <w:color w:val="000000"/>
              </w:rPr>
            </w:pPr>
            <w:r>
              <w:rPr>
                <w:rFonts w:hint="eastAsia" w:ascii="宋体" w:hAnsi="宋体"/>
                <w:color w:val="000000"/>
              </w:rPr>
              <w:t>电话：</w:t>
            </w:r>
            <w:r>
              <w:rPr>
                <w:rFonts w:hint="eastAsia" w:ascii="宋体" w:hAnsi="宋体"/>
                <w:color w:val="000000"/>
                <w:u w:val="single"/>
              </w:rPr>
              <w:t>【XX[基本账户开户银行电话]】</w:t>
            </w:r>
          </w:p>
        </w:tc>
        <w:tc>
          <w:tcPr>
            <w:tcW w:w="3795" w:type="dxa"/>
            <w:tcBorders>
              <w:top w:val="single" w:color="auto" w:sz="4" w:space="0"/>
              <w:left w:val="single" w:color="auto" w:sz="4" w:space="0"/>
              <w:bottom w:val="single" w:color="auto" w:sz="4" w:space="0"/>
              <w:right w:val="single" w:color="auto" w:sz="4" w:space="0"/>
            </w:tcBorders>
            <w:vAlign w:val="center"/>
          </w:tcPr>
          <w:p w14:paraId="25E01469">
            <w:pPr>
              <w:spacing w:line="400" w:lineRule="exact"/>
              <w:rPr>
                <w:rFonts w:ascii="宋体" w:hAnsi="宋体"/>
                <w:color w:val="000000"/>
              </w:rPr>
            </w:pPr>
            <w:r>
              <w:rPr>
                <w:rFonts w:hint="eastAsia" w:ascii="宋体" w:hAnsi="宋体"/>
                <w:color w:val="000000"/>
              </w:rPr>
              <w:t>联系人及职务：</w:t>
            </w:r>
            <w:r>
              <w:rPr>
                <w:rFonts w:hint="eastAsia" w:ascii="宋体" w:hAnsi="宋体"/>
                <w:color w:val="000000"/>
                <w:u w:val="single"/>
              </w:rPr>
              <w:t>【XX[姓名]，XX[职务]】</w:t>
            </w:r>
          </w:p>
        </w:tc>
      </w:tr>
      <w:tr w14:paraId="582F6C27">
        <w:tblPrEx>
          <w:tblCellMar>
            <w:top w:w="0" w:type="dxa"/>
            <w:left w:w="28" w:type="dxa"/>
            <w:bottom w:w="0" w:type="dxa"/>
            <w:right w:w="28" w:type="dxa"/>
          </w:tblCellMar>
        </w:tblPrEx>
        <w:trPr>
          <w:cantSplit/>
          <w:trHeight w:val="380" w:hRule="atLeast"/>
          <w:jc w:val="center"/>
        </w:trPr>
        <w:tc>
          <w:tcPr>
            <w:tcW w:w="1108" w:type="dxa"/>
            <w:vMerge w:val="continue"/>
            <w:tcBorders>
              <w:left w:val="single" w:color="auto" w:sz="4" w:space="0"/>
              <w:right w:val="single" w:color="auto" w:sz="4" w:space="0"/>
            </w:tcBorders>
            <w:vAlign w:val="center"/>
          </w:tcPr>
          <w:p w14:paraId="5CDCB848">
            <w:pPr>
              <w:spacing w:line="400" w:lineRule="exact"/>
              <w:rPr>
                <w:rFonts w:ascii="宋体" w:hAnsi="宋体"/>
                <w:color w:val="000000"/>
              </w:rPr>
            </w:pPr>
          </w:p>
        </w:tc>
        <w:tc>
          <w:tcPr>
            <w:tcW w:w="7277" w:type="dxa"/>
            <w:gridSpan w:val="2"/>
            <w:tcBorders>
              <w:top w:val="single" w:color="auto" w:sz="4" w:space="0"/>
              <w:left w:val="single" w:color="auto" w:sz="4" w:space="0"/>
              <w:bottom w:val="single" w:color="auto" w:sz="4" w:space="0"/>
              <w:right w:val="single" w:color="auto" w:sz="4" w:space="0"/>
            </w:tcBorders>
            <w:vAlign w:val="center"/>
          </w:tcPr>
          <w:p w14:paraId="4EC136F0">
            <w:pPr>
              <w:spacing w:line="400" w:lineRule="exact"/>
              <w:rPr>
                <w:rFonts w:ascii="宋体" w:hAnsi="宋体"/>
                <w:color w:val="000000"/>
              </w:rPr>
            </w:pPr>
            <w:r>
              <w:rPr>
                <w:rFonts w:hint="eastAsia" w:ascii="宋体" w:hAnsi="宋体"/>
                <w:color w:val="000000"/>
              </w:rPr>
              <w:t>传真：</w:t>
            </w:r>
            <w:r>
              <w:rPr>
                <w:rFonts w:hint="eastAsia" w:ascii="宋体" w:hAnsi="宋体"/>
                <w:color w:val="000000"/>
                <w:u w:val="single"/>
              </w:rPr>
              <w:t>【XX[基本账户开户银行传真]】</w:t>
            </w:r>
          </w:p>
        </w:tc>
      </w:tr>
      <w:tr w14:paraId="40CC8BAE">
        <w:tblPrEx>
          <w:tblCellMar>
            <w:top w:w="0" w:type="dxa"/>
            <w:left w:w="28" w:type="dxa"/>
            <w:bottom w:w="0" w:type="dxa"/>
            <w:right w:w="28" w:type="dxa"/>
          </w:tblCellMar>
        </w:tblPrEx>
        <w:trPr>
          <w:cantSplit/>
          <w:trHeight w:val="380" w:hRule="atLeast"/>
          <w:jc w:val="center"/>
        </w:trPr>
        <w:tc>
          <w:tcPr>
            <w:tcW w:w="1108" w:type="dxa"/>
            <w:vMerge w:val="continue"/>
            <w:tcBorders>
              <w:left w:val="single" w:color="auto" w:sz="4" w:space="0"/>
              <w:bottom w:val="single" w:color="auto" w:sz="4" w:space="0"/>
              <w:right w:val="single" w:color="auto" w:sz="4" w:space="0"/>
            </w:tcBorders>
            <w:vAlign w:val="center"/>
          </w:tcPr>
          <w:p w14:paraId="5B27F1EB">
            <w:pPr>
              <w:spacing w:line="400" w:lineRule="exact"/>
              <w:rPr>
                <w:rFonts w:ascii="宋体" w:hAnsi="宋体"/>
                <w:color w:val="000000"/>
              </w:rPr>
            </w:pPr>
          </w:p>
        </w:tc>
        <w:tc>
          <w:tcPr>
            <w:tcW w:w="7277" w:type="dxa"/>
            <w:gridSpan w:val="2"/>
            <w:tcBorders>
              <w:top w:val="single" w:color="auto" w:sz="4" w:space="0"/>
              <w:left w:val="single" w:color="auto" w:sz="4" w:space="0"/>
              <w:bottom w:val="single" w:color="auto" w:sz="4" w:space="0"/>
              <w:right w:val="single" w:color="auto" w:sz="4" w:space="0"/>
            </w:tcBorders>
            <w:vAlign w:val="center"/>
          </w:tcPr>
          <w:p w14:paraId="532FF38F">
            <w:pPr>
              <w:spacing w:line="400" w:lineRule="exact"/>
              <w:rPr>
                <w:rFonts w:ascii="宋体" w:hAnsi="宋体"/>
                <w:color w:val="000000"/>
              </w:rPr>
            </w:pPr>
            <w:r>
              <w:rPr>
                <w:rFonts w:hint="eastAsia" w:ascii="宋体" w:hAnsi="宋体"/>
                <w:color w:val="000000"/>
              </w:rPr>
              <w:t>基本账户开户行签发的银行开户证明</w:t>
            </w:r>
            <w:r>
              <w:rPr>
                <w:rFonts w:hint="eastAsia" w:ascii="宋体" w:hAnsi="宋体"/>
                <w:color w:val="000000"/>
                <w:u w:val="single"/>
              </w:rPr>
              <w:t>[基本账户开户银行证明文件]</w:t>
            </w:r>
          </w:p>
        </w:tc>
      </w:tr>
    </w:tbl>
    <w:p w14:paraId="4DDDEE41">
      <w:pPr>
        <w:rPr>
          <w:rFonts w:asciiTheme="minorEastAsia" w:hAnsiTheme="minorEastAsia" w:eastAsiaTheme="minorEastAsia"/>
        </w:rPr>
      </w:pPr>
    </w:p>
    <w:p w14:paraId="14CF1CAB">
      <w:pPr>
        <w:rPr>
          <w:rFonts w:asciiTheme="minorEastAsia" w:hAnsiTheme="minorEastAsia" w:eastAsiaTheme="minorEastAsia"/>
        </w:rPr>
      </w:pPr>
    </w:p>
    <w:p w14:paraId="73185616">
      <w:pPr>
        <w:rPr>
          <w:rFonts w:asciiTheme="minorEastAsia" w:hAnsiTheme="minorEastAsia" w:eastAsiaTheme="minorEastAsia"/>
        </w:rPr>
      </w:pPr>
      <w:r>
        <w:rPr>
          <w:rFonts w:hint="eastAsia"/>
        </w:rPr>
        <w:t>[招标人可根据项目实际情况修改本文件中的条款、增加新的条款。]</w:t>
      </w:r>
    </w:p>
    <w:p w14:paraId="0D9980AB">
      <w:pPr>
        <w:topLinePunct/>
        <w:spacing w:line="440" w:lineRule="exact"/>
        <w:jc w:val="left"/>
        <w:rPr>
          <w:rFonts w:asciiTheme="minorEastAsia" w:hAnsiTheme="minorEastAsia" w:eastAsiaTheme="minorEastAsia"/>
        </w:rPr>
      </w:pPr>
      <w:r>
        <w:rPr>
          <w:rFonts w:hint="eastAsia" w:asciiTheme="minorEastAsia" w:hAnsiTheme="minorEastAsia" w:eastAsiaTheme="minorEastAsia"/>
          <w:b/>
        </w:rPr>
        <w:t>编制要求</w:t>
      </w:r>
      <w:r>
        <w:rPr>
          <w:rFonts w:hint="eastAsia" w:asciiTheme="minorEastAsia" w:hAnsiTheme="minorEastAsia" w:eastAsiaTheme="minorEastAsia"/>
        </w:rPr>
        <w:t>：</w:t>
      </w:r>
    </w:p>
    <w:p w14:paraId="0B17C2B7">
      <w:pPr>
        <w:pStyle w:val="101"/>
        <w:numPr>
          <w:ilvl w:val="6"/>
          <w:numId w:val="98"/>
        </w:numPr>
        <w:tabs>
          <w:tab w:val="clear" w:pos="2940"/>
        </w:tabs>
        <w:topLinePunct/>
        <w:spacing w:line="440" w:lineRule="exact"/>
        <w:ind w:left="0" w:firstLine="0" w:firstLineChars="0"/>
        <w:jc w:val="left"/>
        <w:rPr>
          <w:rFonts w:asciiTheme="minorEastAsia" w:hAnsiTheme="minorEastAsia" w:eastAsiaTheme="minorEastAsia"/>
        </w:rPr>
      </w:pPr>
      <w:r>
        <w:rPr>
          <w:rFonts w:hint="eastAsia" w:asciiTheme="minorEastAsia" w:hAnsiTheme="minorEastAsia" w:eastAsiaTheme="minorEastAsia"/>
        </w:rPr>
        <w:t>投标人应同时提供基本户开户证明文件。</w:t>
      </w:r>
    </w:p>
    <w:p w14:paraId="367CD7D2">
      <w:pPr>
        <w:pStyle w:val="101"/>
        <w:numPr>
          <w:ilvl w:val="6"/>
          <w:numId w:val="98"/>
        </w:numPr>
        <w:tabs>
          <w:tab w:val="clear" w:pos="2940"/>
        </w:tabs>
        <w:topLinePunct/>
        <w:spacing w:line="440" w:lineRule="exact"/>
        <w:ind w:left="0" w:firstLine="0" w:firstLineChars="0"/>
        <w:jc w:val="left"/>
        <w:rPr>
          <w:rFonts w:asciiTheme="minorEastAsia" w:hAnsiTheme="minorEastAsia" w:eastAsiaTheme="minorEastAsia"/>
        </w:rPr>
      </w:pPr>
      <w:r>
        <w:rPr>
          <w:rFonts w:hint="eastAsia"/>
        </w:rPr>
        <w:t>投标人可以根据实际情况对本文件进行调整和修改，但应满足招标文件对本文件的要求。</w:t>
      </w:r>
    </w:p>
    <w:p w14:paraId="678727E8">
      <w:pPr>
        <w:pStyle w:val="101"/>
        <w:numPr>
          <w:ilvl w:val="0"/>
          <w:numId w:val="0"/>
        </w:numPr>
        <w:tabs>
          <w:tab w:val="left" w:pos="426"/>
        </w:tabs>
        <w:topLinePunct/>
        <w:spacing w:line="440" w:lineRule="exact"/>
        <w:ind w:leftChars="0"/>
        <w:jc w:val="left"/>
        <w:rPr>
          <w:rFonts w:asciiTheme="minorEastAsia" w:hAnsiTheme="minorEastAsia" w:eastAsiaTheme="minorEastAsia"/>
          <w:highlight w:val="none"/>
        </w:rPr>
      </w:pPr>
    </w:p>
    <w:p w14:paraId="065DCF1E">
      <w:pPr>
        <w:pStyle w:val="101"/>
        <w:numPr>
          <w:ilvl w:val="5"/>
          <w:numId w:val="99"/>
        </w:numPr>
        <w:tabs>
          <w:tab w:val="left" w:pos="2940"/>
        </w:tabs>
        <w:topLinePunct/>
        <w:spacing w:line="440" w:lineRule="exact"/>
        <w:ind w:firstLineChars="0"/>
        <w:jc w:val="left"/>
        <w:rPr>
          <w:rFonts w:asciiTheme="minorEastAsia" w:hAnsiTheme="minorEastAsia" w:eastAsiaTheme="minorEastAsia"/>
          <w:highlight w:val="none"/>
        </w:rPr>
        <w:sectPr>
          <w:pgSz w:w="11906" w:h="16838"/>
          <w:pgMar w:top="1440" w:right="1800" w:bottom="1440" w:left="1800" w:header="851" w:footer="992" w:gutter="0"/>
          <w:pgNumType w:fmt="decimal"/>
          <w:cols w:space="425" w:num="1"/>
          <w:docGrid w:type="lines" w:linePitch="312" w:charSpace="0"/>
        </w:sectPr>
      </w:pPr>
    </w:p>
    <w:p w14:paraId="08469234">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rPr>
      </w:pPr>
      <w:bookmarkStart w:id="1077" w:name="_Toc475472687"/>
      <w:bookmarkStart w:id="1078" w:name="_Toc23141"/>
      <w:bookmarkStart w:id="1079" w:name="_Toc15401"/>
      <w:bookmarkStart w:id="1080" w:name="_Toc20152"/>
      <w:bookmarkStart w:id="1081" w:name="_Toc29163"/>
      <w:bookmarkStart w:id="1082" w:name="_Toc17263"/>
      <w:bookmarkStart w:id="1083" w:name="_Toc9050"/>
      <w:bookmarkStart w:id="1084" w:name="_Toc2913"/>
      <w:bookmarkStart w:id="1085" w:name="_Toc38008095"/>
      <w:bookmarkStart w:id="1086" w:name="_Toc5756"/>
      <w:bookmarkStart w:id="1087" w:name="_Toc18787"/>
      <w:bookmarkStart w:id="1088" w:name="_Toc15415"/>
      <w:bookmarkStart w:id="1089" w:name="_Toc26243"/>
      <w:bookmarkStart w:id="1090" w:name="_Hlk167300068"/>
      <w:bookmarkStart w:id="1091" w:name="_Toc447265617"/>
      <w:bookmarkStart w:id="1092" w:name="_Toc447265331"/>
      <w:r>
        <w:rPr>
          <w:rFonts w:hint="eastAsia" w:cs="Times New Roman" w:asciiTheme="minorEastAsia" w:hAnsiTheme="minorEastAsia" w:eastAsiaTheme="minorEastAsia"/>
          <w:b/>
          <w:bCs/>
          <w:kern w:val="2"/>
          <w:sz w:val="24"/>
          <w:szCs w:val="24"/>
          <w:lang w:val="en-US" w:eastAsia="zh-CN" w:bidi="ar-SA"/>
        </w:rPr>
        <w:t>24.</w:t>
      </w:r>
      <w:r>
        <w:rPr>
          <w:rFonts w:hint="eastAsia" w:asciiTheme="minorEastAsia" w:hAnsiTheme="minorEastAsia" w:eastAsiaTheme="minorEastAsia"/>
          <w:sz w:val="24"/>
          <w:szCs w:val="24"/>
        </w:rPr>
        <w:t>业绩情况表</w:t>
      </w:r>
      <w:bookmarkEnd w:id="1077"/>
      <w:bookmarkEnd w:id="1078"/>
      <w:bookmarkEnd w:id="1079"/>
      <w:bookmarkEnd w:id="1080"/>
      <w:bookmarkEnd w:id="1081"/>
      <w:bookmarkEnd w:id="1082"/>
      <w:bookmarkEnd w:id="1083"/>
      <w:bookmarkEnd w:id="1084"/>
      <w:bookmarkEnd w:id="1085"/>
      <w:bookmarkEnd w:id="1086"/>
      <w:bookmarkEnd w:id="1087"/>
      <w:bookmarkEnd w:id="1088"/>
      <w:bookmarkEnd w:id="1089"/>
    </w:p>
    <w:bookmarkEnd w:id="1090"/>
    <w:p w14:paraId="647E911D">
      <w:pPr>
        <w:pStyle w:val="101"/>
        <w:ind w:firstLine="0" w:firstLineChars="0"/>
        <w:jc w:val="center"/>
        <w:rPr>
          <w:rFonts w:asciiTheme="minorEastAsia" w:hAnsiTheme="minorEastAsia" w:eastAsiaTheme="minorEastAsia"/>
          <w:b/>
          <w:sz w:val="24"/>
          <w:highlight w:val="none"/>
        </w:rPr>
      </w:pPr>
    </w:p>
    <w:p w14:paraId="798AAFA6">
      <w:pPr>
        <w:pStyle w:val="101"/>
        <w:ind w:firstLine="0" w:firstLineChars="0"/>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近年（年</w:t>
      </w:r>
      <w:r>
        <w:rPr>
          <w:rFonts w:asciiTheme="minorEastAsia" w:hAnsiTheme="minorEastAsia" w:eastAsiaTheme="minorEastAsia"/>
          <w:b/>
          <w:sz w:val="24"/>
          <w:highlight w:val="none"/>
        </w:rPr>
        <w:t>月</w:t>
      </w:r>
      <w:r>
        <w:rPr>
          <w:rFonts w:hint="eastAsia" w:asciiTheme="minorEastAsia" w:hAnsiTheme="minorEastAsia" w:eastAsiaTheme="minorEastAsia"/>
          <w:b/>
          <w:sz w:val="24"/>
          <w:highlight w:val="none"/>
        </w:rPr>
        <w:t>日至年</w:t>
      </w:r>
      <w:r>
        <w:rPr>
          <w:rFonts w:asciiTheme="minorEastAsia" w:hAnsiTheme="minorEastAsia" w:eastAsiaTheme="minorEastAsia"/>
          <w:b/>
          <w:sz w:val="24"/>
          <w:highlight w:val="none"/>
        </w:rPr>
        <w:t>月</w:t>
      </w:r>
      <w:r>
        <w:rPr>
          <w:rFonts w:hint="eastAsia" w:asciiTheme="minorEastAsia" w:hAnsiTheme="minorEastAsia" w:eastAsiaTheme="minorEastAsia"/>
          <w:b/>
          <w:sz w:val="24"/>
          <w:highlight w:val="none"/>
        </w:rPr>
        <w:t>日）业绩情况表</w:t>
      </w:r>
      <w:bookmarkEnd w:id="1091"/>
      <w:bookmarkEnd w:id="1092"/>
    </w:p>
    <w:tbl>
      <w:tblPr>
        <w:tblStyle w:val="85"/>
        <w:tblW w:w="1398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268"/>
        <w:gridCol w:w="1843"/>
        <w:gridCol w:w="1843"/>
        <w:gridCol w:w="1842"/>
        <w:gridCol w:w="1701"/>
        <w:gridCol w:w="1134"/>
        <w:gridCol w:w="1418"/>
        <w:gridCol w:w="1226"/>
      </w:tblGrid>
      <w:tr w14:paraId="3EB6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shd w:val="clear" w:color="auto" w:fill="auto"/>
            <w:vAlign w:val="center"/>
          </w:tcPr>
          <w:p w14:paraId="47F367B2">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序号</w:t>
            </w:r>
          </w:p>
        </w:tc>
        <w:tc>
          <w:tcPr>
            <w:tcW w:w="2268" w:type="dxa"/>
            <w:shd w:val="clear" w:color="auto" w:fill="auto"/>
            <w:vAlign w:val="center"/>
          </w:tcPr>
          <w:p w14:paraId="58853D25">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项目名称</w:t>
            </w:r>
          </w:p>
        </w:tc>
        <w:tc>
          <w:tcPr>
            <w:tcW w:w="1843" w:type="dxa"/>
            <w:shd w:val="clear" w:color="auto" w:fill="auto"/>
            <w:vAlign w:val="center"/>
          </w:tcPr>
          <w:p w14:paraId="35DB99EB">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投标产品</w:t>
            </w:r>
          </w:p>
        </w:tc>
        <w:tc>
          <w:tcPr>
            <w:tcW w:w="1843" w:type="dxa"/>
            <w:shd w:val="clear" w:color="auto" w:fill="auto"/>
            <w:vAlign w:val="center"/>
          </w:tcPr>
          <w:p w14:paraId="314E0E6C">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最终用户</w:t>
            </w:r>
          </w:p>
        </w:tc>
        <w:tc>
          <w:tcPr>
            <w:tcW w:w="1842" w:type="dxa"/>
            <w:shd w:val="clear" w:color="auto" w:fill="auto"/>
            <w:vAlign w:val="center"/>
          </w:tcPr>
          <w:p w14:paraId="0D101117">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最终用户联系人及联系方式</w:t>
            </w:r>
          </w:p>
        </w:tc>
        <w:tc>
          <w:tcPr>
            <w:tcW w:w="1701" w:type="dxa"/>
            <w:shd w:val="clear" w:color="auto" w:fill="auto"/>
            <w:vAlign w:val="center"/>
          </w:tcPr>
          <w:p w14:paraId="09558106">
            <w:pPr>
              <w:snapToGrid w:val="0"/>
              <w:jc w:val="center"/>
              <w:rPr>
                <w:rFonts w:hint="default" w:cs="宋体" w:asciiTheme="minorEastAsia" w:hAnsiTheme="minorEastAsia" w:eastAsiaTheme="minorEastAsia"/>
                <w:szCs w:val="21"/>
                <w:highlight w:val="none"/>
                <w:lang w:val="en-US" w:eastAsia="zh-CN"/>
              </w:rPr>
            </w:pPr>
            <w:r>
              <w:rPr>
                <w:rFonts w:hint="eastAsia" w:cs="Arial" w:asciiTheme="minorEastAsia" w:hAnsiTheme="minorEastAsia" w:eastAsiaTheme="minorEastAsia"/>
                <w:b/>
                <w:bCs/>
                <w:kern w:val="0"/>
                <w:szCs w:val="21"/>
                <w:highlight w:val="none"/>
                <w:lang w:val="en-US" w:eastAsia="zh-CN"/>
              </w:rPr>
              <w:t>服务名称</w:t>
            </w:r>
          </w:p>
        </w:tc>
        <w:tc>
          <w:tcPr>
            <w:tcW w:w="1134" w:type="dxa"/>
            <w:shd w:val="clear" w:color="auto" w:fill="auto"/>
            <w:vAlign w:val="center"/>
          </w:tcPr>
          <w:p w14:paraId="4E16B851">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金额（万元）</w:t>
            </w:r>
          </w:p>
        </w:tc>
        <w:tc>
          <w:tcPr>
            <w:tcW w:w="1418" w:type="dxa"/>
            <w:shd w:val="clear" w:color="auto" w:fill="auto"/>
            <w:vAlign w:val="center"/>
          </w:tcPr>
          <w:p w14:paraId="1F0A216C">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证明文件所在页码</w:t>
            </w:r>
          </w:p>
        </w:tc>
        <w:tc>
          <w:tcPr>
            <w:tcW w:w="1226" w:type="dxa"/>
            <w:shd w:val="clear" w:color="auto" w:fill="auto"/>
            <w:vAlign w:val="center"/>
          </w:tcPr>
          <w:p w14:paraId="31EF8E9C">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备注</w:t>
            </w:r>
          </w:p>
        </w:tc>
      </w:tr>
      <w:tr w14:paraId="6920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shd w:val="clear" w:color="auto" w:fill="auto"/>
          </w:tcPr>
          <w:p w14:paraId="54506EDD">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w:t>
            </w:r>
          </w:p>
        </w:tc>
        <w:tc>
          <w:tcPr>
            <w:tcW w:w="2268" w:type="dxa"/>
            <w:shd w:val="clear" w:color="auto" w:fill="auto"/>
          </w:tcPr>
          <w:p w14:paraId="33DCAD57">
            <w:pPr>
              <w:snapToGrid w:val="0"/>
              <w:jc w:val="center"/>
              <w:rPr>
                <w:rFonts w:cs="宋体" w:asciiTheme="minorEastAsia" w:hAnsiTheme="minorEastAsia" w:eastAsiaTheme="minorEastAsia"/>
                <w:szCs w:val="21"/>
                <w:highlight w:val="none"/>
              </w:rPr>
            </w:pPr>
          </w:p>
        </w:tc>
        <w:tc>
          <w:tcPr>
            <w:tcW w:w="1843" w:type="dxa"/>
            <w:shd w:val="clear" w:color="auto" w:fill="auto"/>
          </w:tcPr>
          <w:p w14:paraId="68B1B325">
            <w:pPr>
              <w:snapToGrid w:val="0"/>
              <w:jc w:val="center"/>
              <w:rPr>
                <w:rFonts w:cs="宋体" w:asciiTheme="minorEastAsia" w:hAnsiTheme="minorEastAsia" w:eastAsiaTheme="minorEastAsia"/>
                <w:szCs w:val="21"/>
                <w:highlight w:val="none"/>
              </w:rPr>
            </w:pPr>
          </w:p>
        </w:tc>
        <w:tc>
          <w:tcPr>
            <w:tcW w:w="1843" w:type="dxa"/>
            <w:shd w:val="clear" w:color="auto" w:fill="auto"/>
          </w:tcPr>
          <w:p w14:paraId="276C6418">
            <w:pPr>
              <w:snapToGrid w:val="0"/>
              <w:jc w:val="center"/>
              <w:rPr>
                <w:rFonts w:cs="宋体" w:asciiTheme="minorEastAsia" w:hAnsiTheme="minorEastAsia" w:eastAsiaTheme="minorEastAsia"/>
                <w:szCs w:val="21"/>
                <w:highlight w:val="none"/>
              </w:rPr>
            </w:pPr>
          </w:p>
        </w:tc>
        <w:tc>
          <w:tcPr>
            <w:tcW w:w="1842" w:type="dxa"/>
            <w:shd w:val="clear" w:color="auto" w:fill="auto"/>
          </w:tcPr>
          <w:p w14:paraId="5265A9CD">
            <w:pPr>
              <w:snapToGrid w:val="0"/>
              <w:jc w:val="center"/>
              <w:rPr>
                <w:rFonts w:cs="宋体" w:asciiTheme="minorEastAsia" w:hAnsiTheme="minorEastAsia" w:eastAsiaTheme="minorEastAsia"/>
                <w:szCs w:val="21"/>
                <w:highlight w:val="none"/>
              </w:rPr>
            </w:pPr>
          </w:p>
        </w:tc>
        <w:tc>
          <w:tcPr>
            <w:tcW w:w="1701" w:type="dxa"/>
            <w:shd w:val="clear" w:color="auto" w:fill="auto"/>
          </w:tcPr>
          <w:p w14:paraId="106F6978">
            <w:pPr>
              <w:snapToGrid w:val="0"/>
              <w:jc w:val="center"/>
              <w:rPr>
                <w:rFonts w:cs="宋体" w:asciiTheme="minorEastAsia" w:hAnsiTheme="minorEastAsia" w:eastAsiaTheme="minorEastAsia"/>
                <w:szCs w:val="21"/>
                <w:highlight w:val="none"/>
              </w:rPr>
            </w:pPr>
          </w:p>
        </w:tc>
        <w:tc>
          <w:tcPr>
            <w:tcW w:w="1134" w:type="dxa"/>
            <w:shd w:val="clear" w:color="auto" w:fill="auto"/>
          </w:tcPr>
          <w:p w14:paraId="772CD033">
            <w:pPr>
              <w:snapToGrid w:val="0"/>
              <w:jc w:val="center"/>
              <w:rPr>
                <w:rFonts w:cs="宋体" w:asciiTheme="minorEastAsia" w:hAnsiTheme="minorEastAsia" w:eastAsiaTheme="minorEastAsia"/>
                <w:szCs w:val="21"/>
                <w:highlight w:val="none"/>
              </w:rPr>
            </w:pPr>
          </w:p>
        </w:tc>
        <w:tc>
          <w:tcPr>
            <w:tcW w:w="1418" w:type="dxa"/>
            <w:shd w:val="clear" w:color="auto" w:fill="auto"/>
          </w:tcPr>
          <w:p w14:paraId="209023C9">
            <w:pPr>
              <w:snapToGrid w:val="0"/>
              <w:jc w:val="center"/>
              <w:rPr>
                <w:rFonts w:cs="宋体" w:asciiTheme="minorEastAsia" w:hAnsiTheme="minorEastAsia" w:eastAsiaTheme="minorEastAsia"/>
                <w:szCs w:val="21"/>
                <w:highlight w:val="none"/>
              </w:rPr>
            </w:pPr>
          </w:p>
        </w:tc>
        <w:tc>
          <w:tcPr>
            <w:tcW w:w="1226" w:type="dxa"/>
            <w:shd w:val="clear" w:color="auto" w:fill="auto"/>
          </w:tcPr>
          <w:p w14:paraId="27BC594A">
            <w:pPr>
              <w:snapToGrid w:val="0"/>
              <w:jc w:val="center"/>
              <w:rPr>
                <w:rFonts w:cs="宋体" w:asciiTheme="minorEastAsia" w:hAnsiTheme="minorEastAsia" w:eastAsiaTheme="minorEastAsia"/>
                <w:szCs w:val="21"/>
                <w:highlight w:val="none"/>
              </w:rPr>
            </w:pPr>
          </w:p>
        </w:tc>
      </w:tr>
      <w:tr w14:paraId="3BC6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shd w:val="clear" w:color="auto" w:fill="auto"/>
          </w:tcPr>
          <w:p w14:paraId="373A3AA0">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w:t>
            </w:r>
          </w:p>
        </w:tc>
        <w:tc>
          <w:tcPr>
            <w:tcW w:w="2268" w:type="dxa"/>
            <w:shd w:val="clear" w:color="auto" w:fill="auto"/>
          </w:tcPr>
          <w:p w14:paraId="5AB5A53C">
            <w:pPr>
              <w:snapToGrid w:val="0"/>
              <w:jc w:val="center"/>
              <w:rPr>
                <w:rFonts w:cs="宋体" w:asciiTheme="minorEastAsia" w:hAnsiTheme="minorEastAsia" w:eastAsiaTheme="minorEastAsia"/>
                <w:szCs w:val="21"/>
                <w:highlight w:val="none"/>
              </w:rPr>
            </w:pPr>
          </w:p>
        </w:tc>
        <w:tc>
          <w:tcPr>
            <w:tcW w:w="1843" w:type="dxa"/>
            <w:shd w:val="clear" w:color="auto" w:fill="auto"/>
          </w:tcPr>
          <w:p w14:paraId="0994EEF4">
            <w:pPr>
              <w:snapToGrid w:val="0"/>
              <w:jc w:val="center"/>
              <w:rPr>
                <w:rFonts w:cs="宋体" w:asciiTheme="minorEastAsia" w:hAnsiTheme="minorEastAsia" w:eastAsiaTheme="minorEastAsia"/>
                <w:szCs w:val="21"/>
                <w:highlight w:val="none"/>
              </w:rPr>
            </w:pPr>
          </w:p>
        </w:tc>
        <w:tc>
          <w:tcPr>
            <w:tcW w:w="1843" w:type="dxa"/>
            <w:shd w:val="clear" w:color="auto" w:fill="auto"/>
          </w:tcPr>
          <w:p w14:paraId="3EFFEB3B">
            <w:pPr>
              <w:snapToGrid w:val="0"/>
              <w:jc w:val="center"/>
              <w:rPr>
                <w:rFonts w:cs="宋体" w:asciiTheme="minorEastAsia" w:hAnsiTheme="minorEastAsia" w:eastAsiaTheme="minorEastAsia"/>
                <w:szCs w:val="21"/>
                <w:highlight w:val="none"/>
              </w:rPr>
            </w:pPr>
          </w:p>
        </w:tc>
        <w:tc>
          <w:tcPr>
            <w:tcW w:w="1842" w:type="dxa"/>
            <w:shd w:val="clear" w:color="auto" w:fill="auto"/>
          </w:tcPr>
          <w:p w14:paraId="21EF5C66">
            <w:pPr>
              <w:snapToGrid w:val="0"/>
              <w:jc w:val="center"/>
              <w:rPr>
                <w:rFonts w:cs="宋体" w:asciiTheme="minorEastAsia" w:hAnsiTheme="minorEastAsia" w:eastAsiaTheme="minorEastAsia"/>
                <w:szCs w:val="21"/>
                <w:highlight w:val="none"/>
              </w:rPr>
            </w:pPr>
          </w:p>
        </w:tc>
        <w:tc>
          <w:tcPr>
            <w:tcW w:w="1701" w:type="dxa"/>
            <w:shd w:val="clear" w:color="auto" w:fill="auto"/>
          </w:tcPr>
          <w:p w14:paraId="685E63F3">
            <w:pPr>
              <w:snapToGrid w:val="0"/>
              <w:jc w:val="center"/>
              <w:rPr>
                <w:rFonts w:cs="宋体" w:asciiTheme="minorEastAsia" w:hAnsiTheme="minorEastAsia" w:eastAsiaTheme="minorEastAsia"/>
                <w:szCs w:val="21"/>
                <w:highlight w:val="none"/>
              </w:rPr>
            </w:pPr>
          </w:p>
        </w:tc>
        <w:tc>
          <w:tcPr>
            <w:tcW w:w="1134" w:type="dxa"/>
            <w:shd w:val="clear" w:color="auto" w:fill="auto"/>
          </w:tcPr>
          <w:p w14:paraId="52E0A5BD">
            <w:pPr>
              <w:snapToGrid w:val="0"/>
              <w:jc w:val="center"/>
              <w:rPr>
                <w:rFonts w:cs="宋体" w:asciiTheme="minorEastAsia" w:hAnsiTheme="minorEastAsia" w:eastAsiaTheme="minorEastAsia"/>
                <w:szCs w:val="21"/>
                <w:highlight w:val="none"/>
              </w:rPr>
            </w:pPr>
          </w:p>
        </w:tc>
        <w:tc>
          <w:tcPr>
            <w:tcW w:w="1418" w:type="dxa"/>
            <w:shd w:val="clear" w:color="auto" w:fill="auto"/>
          </w:tcPr>
          <w:p w14:paraId="4C6218DF">
            <w:pPr>
              <w:snapToGrid w:val="0"/>
              <w:jc w:val="center"/>
              <w:rPr>
                <w:rFonts w:cs="宋体" w:asciiTheme="minorEastAsia" w:hAnsiTheme="minorEastAsia" w:eastAsiaTheme="minorEastAsia"/>
                <w:szCs w:val="21"/>
                <w:highlight w:val="none"/>
              </w:rPr>
            </w:pPr>
          </w:p>
        </w:tc>
        <w:tc>
          <w:tcPr>
            <w:tcW w:w="1226" w:type="dxa"/>
            <w:shd w:val="clear" w:color="auto" w:fill="auto"/>
          </w:tcPr>
          <w:p w14:paraId="12526A8D">
            <w:pPr>
              <w:snapToGrid w:val="0"/>
              <w:jc w:val="center"/>
              <w:rPr>
                <w:rFonts w:cs="宋体" w:asciiTheme="minorEastAsia" w:hAnsiTheme="minorEastAsia" w:eastAsiaTheme="minorEastAsia"/>
                <w:szCs w:val="21"/>
                <w:highlight w:val="none"/>
              </w:rPr>
            </w:pPr>
          </w:p>
        </w:tc>
      </w:tr>
      <w:tr w14:paraId="3871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shd w:val="clear" w:color="auto" w:fill="auto"/>
          </w:tcPr>
          <w:p w14:paraId="3A4611CF">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w:t>
            </w:r>
          </w:p>
        </w:tc>
        <w:tc>
          <w:tcPr>
            <w:tcW w:w="2268" w:type="dxa"/>
            <w:shd w:val="clear" w:color="auto" w:fill="auto"/>
          </w:tcPr>
          <w:p w14:paraId="2E784C6F">
            <w:pPr>
              <w:snapToGrid w:val="0"/>
              <w:jc w:val="center"/>
              <w:rPr>
                <w:rFonts w:cs="宋体" w:asciiTheme="minorEastAsia" w:hAnsiTheme="minorEastAsia" w:eastAsiaTheme="minorEastAsia"/>
                <w:szCs w:val="21"/>
                <w:highlight w:val="none"/>
              </w:rPr>
            </w:pPr>
          </w:p>
        </w:tc>
        <w:tc>
          <w:tcPr>
            <w:tcW w:w="1843" w:type="dxa"/>
            <w:shd w:val="clear" w:color="auto" w:fill="auto"/>
          </w:tcPr>
          <w:p w14:paraId="2FABBD5B">
            <w:pPr>
              <w:snapToGrid w:val="0"/>
              <w:jc w:val="center"/>
              <w:rPr>
                <w:rFonts w:cs="宋体" w:asciiTheme="minorEastAsia" w:hAnsiTheme="minorEastAsia" w:eastAsiaTheme="minorEastAsia"/>
                <w:szCs w:val="21"/>
                <w:highlight w:val="none"/>
              </w:rPr>
            </w:pPr>
          </w:p>
        </w:tc>
        <w:tc>
          <w:tcPr>
            <w:tcW w:w="1843" w:type="dxa"/>
            <w:shd w:val="clear" w:color="auto" w:fill="auto"/>
          </w:tcPr>
          <w:p w14:paraId="0DC31FA7">
            <w:pPr>
              <w:snapToGrid w:val="0"/>
              <w:jc w:val="center"/>
              <w:rPr>
                <w:rFonts w:cs="宋体" w:asciiTheme="minorEastAsia" w:hAnsiTheme="minorEastAsia" w:eastAsiaTheme="minorEastAsia"/>
                <w:szCs w:val="21"/>
                <w:highlight w:val="none"/>
              </w:rPr>
            </w:pPr>
          </w:p>
        </w:tc>
        <w:tc>
          <w:tcPr>
            <w:tcW w:w="1842" w:type="dxa"/>
            <w:shd w:val="clear" w:color="auto" w:fill="auto"/>
          </w:tcPr>
          <w:p w14:paraId="5404EBD7">
            <w:pPr>
              <w:snapToGrid w:val="0"/>
              <w:jc w:val="center"/>
              <w:rPr>
                <w:rFonts w:cs="宋体" w:asciiTheme="minorEastAsia" w:hAnsiTheme="minorEastAsia" w:eastAsiaTheme="minorEastAsia"/>
                <w:szCs w:val="21"/>
                <w:highlight w:val="none"/>
              </w:rPr>
            </w:pPr>
          </w:p>
        </w:tc>
        <w:tc>
          <w:tcPr>
            <w:tcW w:w="1701" w:type="dxa"/>
            <w:shd w:val="clear" w:color="auto" w:fill="auto"/>
          </w:tcPr>
          <w:p w14:paraId="1E2E50BA">
            <w:pPr>
              <w:snapToGrid w:val="0"/>
              <w:jc w:val="center"/>
              <w:rPr>
                <w:rFonts w:cs="宋体" w:asciiTheme="minorEastAsia" w:hAnsiTheme="minorEastAsia" w:eastAsiaTheme="minorEastAsia"/>
                <w:szCs w:val="21"/>
                <w:highlight w:val="none"/>
              </w:rPr>
            </w:pPr>
          </w:p>
        </w:tc>
        <w:tc>
          <w:tcPr>
            <w:tcW w:w="1134" w:type="dxa"/>
            <w:shd w:val="clear" w:color="auto" w:fill="auto"/>
          </w:tcPr>
          <w:p w14:paraId="11BFC2C3">
            <w:pPr>
              <w:snapToGrid w:val="0"/>
              <w:jc w:val="center"/>
              <w:rPr>
                <w:rFonts w:cs="宋体" w:asciiTheme="minorEastAsia" w:hAnsiTheme="minorEastAsia" w:eastAsiaTheme="minorEastAsia"/>
                <w:szCs w:val="21"/>
                <w:highlight w:val="none"/>
              </w:rPr>
            </w:pPr>
          </w:p>
        </w:tc>
        <w:tc>
          <w:tcPr>
            <w:tcW w:w="1418" w:type="dxa"/>
            <w:shd w:val="clear" w:color="auto" w:fill="auto"/>
          </w:tcPr>
          <w:p w14:paraId="7637CA31">
            <w:pPr>
              <w:snapToGrid w:val="0"/>
              <w:jc w:val="center"/>
              <w:rPr>
                <w:rFonts w:cs="宋体" w:asciiTheme="minorEastAsia" w:hAnsiTheme="minorEastAsia" w:eastAsiaTheme="minorEastAsia"/>
                <w:szCs w:val="21"/>
                <w:highlight w:val="none"/>
              </w:rPr>
            </w:pPr>
          </w:p>
        </w:tc>
        <w:tc>
          <w:tcPr>
            <w:tcW w:w="1226" w:type="dxa"/>
            <w:shd w:val="clear" w:color="auto" w:fill="auto"/>
          </w:tcPr>
          <w:p w14:paraId="56A7AF3B">
            <w:pPr>
              <w:snapToGrid w:val="0"/>
              <w:jc w:val="center"/>
              <w:rPr>
                <w:rFonts w:cs="宋体" w:asciiTheme="minorEastAsia" w:hAnsiTheme="minorEastAsia" w:eastAsiaTheme="minorEastAsia"/>
                <w:szCs w:val="21"/>
                <w:highlight w:val="none"/>
              </w:rPr>
            </w:pPr>
          </w:p>
        </w:tc>
      </w:tr>
      <w:tr w14:paraId="1BA2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06" w:type="dxa"/>
            <w:gridSpan w:val="6"/>
            <w:shd w:val="clear" w:color="auto" w:fill="auto"/>
            <w:vAlign w:val="center"/>
          </w:tcPr>
          <w:p w14:paraId="12B2E7EC">
            <w:pPr>
              <w:snapToGrid w:val="0"/>
              <w:jc w:val="lef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总计</w:t>
            </w:r>
          </w:p>
        </w:tc>
        <w:tc>
          <w:tcPr>
            <w:tcW w:w="3778" w:type="dxa"/>
            <w:gridSpan w:val="3"/>
            <w:shd w:val="clear" w:color="auto" w:fill="auto"/>
            <w:vAlign w:val="center"/>
          </w:tcPr>
          <w:p w14:paraId="59E1FED0">
            <w:pPr>
              <w:snapToGrid w:val="0"/>
              <w:jc w:val="center"/>
              <w:rPr>
                <w:rFonts w:cs="宋体" w:asciiTheme="minorEastAsia" w:hAnsiTheme="minorEastAsia" w:eastAsiaTheme="minorEastAsia"/>
                <w:szCs w:val="21"/>
                <w:highlight w:val="none"/>
                <w:u w:val="single"/>
              </w:rPr>
            </w:pPr>
          </w:p>
        </w:tc>
      </w:tr>
    </w:tbl>
    <w:p w14:paraId="1D01A5BE">
      <w:pPr>
        <w:spacing w:line="440" w:lineRule="exact"/>
        <w:ind w:firstLine="1274" w:firstLineChars="607"/>
        <w:rPr>
          <w:rFonts w:asciiTheme="minorEastAsia" w:hAnsiTheme="minorEastAsia" w:eastAsiaTheme="minorEastAsia"/>
          <w:szCs w:val="21"/>
          <w:highlight w:val="none"/>
        </w:rPr>
      </w:pPr>
    </w:p>
    <w:p w14:paraId="1D6C4704">
      <w:pPr>
        <w:spacing w:line="440" w:lineRule="exact"/>
        <w:ind w:firstLine="1274" w:firstLineChars="607"/>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投标人名称：</w:t>
      </w:r>
      <w:r>
        <w:rPr>
          <w:rFonts w:hint="eastAsia" w:asciiTheme="minorEastAsia" w:hAnsiTheme="minorEastAsia" w:eastAsiaTheme="minorEastAsia"/>
          <w:szCs w:val="21"/>
          <w:highlight w:val="none"/>
          <w:u w:val="single"/>
        </w:rPr>
        <w:t xml:space="preserve">　　　　　　　　            </w:t>
      </w:r>
    </w:p>
    <w:p w14:paraId="222A0048">
      <w:pPr>
        <w:spacing w:line="440" w:lineRule="exact"/>
        <w:ind w:firstLine="1274" w:firstLineChars="607"/>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706758BF">
      <w:pPr>
        <w:spacing w:line="440" w:lineRule="exact"/>
        <w:ind w:firstLine="1274" w:firstLineChars="607"/>
        <w:jc w:val="left"/>
        <w:rPr>
          <w:rFonts w:asciiTheme="minorEastAsia" w:hAnsiTheme="minorEastAsia" w:eastAsiaTheme="minorEastAsia"/>
          <w:szCs w:val="21"/>
          <w:highlight w:val="none"/>
        </w:rPr>
      </w:pPr>
    </w:p>
    <w:p w14:paraId="4A12E12D">
      <w:pPr>
        <w:topLinePunct/>
        <w:spacing w:line="440" w:lineRule="exact"/>
        <w:ind w:left="424" w:hanging="424" w:hangingChars="201"/>
        <w:jc w:val="left"/>
        <w:rPr>
          <w:rFonts w:asciiTheme="minorEastAsia" w:hAnsiTheme="minorEastAsia" w:eastAsiaTheme="minorEastAsia"/>
          <w:b/>
          <w:highlight w:val="none"/>
        </w:rPr>
      </w:pPr>
      <w:r>
        <w:rPr>
          <w:rFonts w:hint="eastAsia" w:asciiTheme="minorEastAsia" w:hAnsiTheme="minorEastAsia" w:eastAsiaTheme="minorEastAsia"/>
          <w:b/>
          <w:highlight w:val="none"/>
        </w:rPr>
        <w:t>编制要求：</w:t>
      </w:r>
    </w:p>
    <w:p w14:paraId="15FFF08B">
      <w:pPr>
        <w:numPr>
          <w:ilvl w:val="0"/>
          <w:numId w:val="100"/>
        </w:numPr>
        <w:topLinePunct/>
        <w:spacing w:line="440" w:lineRule="exact"/>
        <w:ind w:left="422" w:hanging="422" w:hangingChars="201"/>
        <w:jc w:val="left"/>
        <w:rPr>
          <w:rFonts w:asciiTheme="minorEastAsia" w:hAnsiTheme="minorEastAsia" w:eastAsiaTheme="minorEastAsia"/>
        </w:rPr>
      </w:pPr>
      <w:r>
        <w:rPr>
          <w:rFonts w:hint="eastAsia" w:asciiTheme="minorEastAsia" w:hAnsiTheme="minorEastAsia" w:eastAsiaTheme="minorEastAsia"/>
          <w:lang w:val="en-US" w:eastAsia="zh-CN"/>
        </w:rPr>
        <w:t>应按集中招标文件要求提供</w:t>
      </w:r>
      <w:r>
        <w:rPr>
          <w:rFonts w:hint="eastAsia" w:asciiTheme="minorEastAsia" w:hAnsiTheme="minorEastAsia" w:eastAsiaTheme="minorEastAsia"/>
        </w:rPr>
        <w:t>销售业绩证明文件，证明文件顺序应与“业绩情况表”一一对应。</w:t>
      </w:r>
    </w:p>
    <w:p w14:paraId="40DD3EC8">
      <w:pPr>
        <w:numPr>
          <w:ilvl w:val="0"/>
          <w:numId w:val="0"/>
        </w:numPr>
        <w:topLinePunct/>
        <w:spacing w:line="440" w:lineRule="exact"/>
        <w:ind w:leftChars="0"/>
        <w:jc w:val="left"/>
        <w:rPr>
          <w:rFonts w:asciiTheme="minorEastAsia" w:hAnsiTheme="minorEastAsia" w:eastAsiaTheme="minorEastAsia"/>
          <w:highlight w:val="none"/>
        </w:rPr>
      </w:pPr>
      <w:r>
        <w:rPr>
          <w:rFonts w:hint="eastAsia" w:asciiTheme="minorEastAsia" w:hAnsiTheme="minorEastAsia" w:eastAsiaTheme="minorEastAsia"/>
          <w:lang w:val="en-US" w:eastAsia="zh-CN"/>
        </w:rPr>
        <w:t>2、</w:t>
      </w:r>
      <w:r>
        <w:rPr>
          <w:rFonts w:hint="eastAsia" w:asciiTheme="minorEastAsia" w:hAnsiTheme="minorEastAsia" w:eastAsiaTheme="minorEastAsia"/>
        </w:rPr>
        <w:t>如【本招标项目</w:t>
      </w:r>
      <w:r>
        <w:rPr>
          <w:rFonts w:asciiTheme="minorEastAsia" w:hAnsiTheme="minorEastAsia" w:eastAsiaTheme="minorEastAsia"/>
        </w:rPr>
        <w:t>/本标包</w:t>
      </w:r>
      <w:r>
        <w:rPr>
          <w:rFonts w:hint="eastAsia" w:asciiTheme="minorEastAsia" w:hAnsiTheme="minorEastAsia" w:eastAsiaTheme="minorEastAsia"/>
        </w:rPr>
        <w:t>】</w:t>
      </w:r>
      <w:r>
        <w:rPr>
          <w:rFonts w:asciiTheme="minorEastAsia" w:hAnsiTheme="minorEastAsia" w:eastAsiaTheme="minorEastAsia"/>
        </w:rPr>
        <w:t>对投标人或者投标货物业绩有要求，投标人应当如实填写本表并根据</w:t>
      </w:r>
      <w:r>
        <w:rPr>
          <w:rFonts w:hint="eastAsia" w:asciiTheme="minorEastAsia" w:hAnsiTheme="minorEastAsia" w:eastAsiaTheme="minorEastAsia"/>
        </w:rPr>
        <w:t>第二章“</w:t>
      </w:r>
      <w:r>
        <w:rPr>
          <w:rFonts w:asciiTheme="minorEastAsia" w:hAnsiTheme="minorEastAsia" w:eastAsiaTheme="minorEastAsia"/>
        </w:rPr>
        <w:t>投标人须知</w:t>
      </w:r>
      <w:r>
        <w:rPr>
          <w:rFonts w:hint="eastAsia" w:asciiTheme="minorEastAsia" w:hAnsiTheme="minorEastAsia" w:eastAsiaTheme="minorEastAsia"/>
        </w:rPr>
        <w:t>”</w:t>
      </w:r>
      <w:r>
        <w:rPr>
          <w:rFonts w:asciiTheme="minorEastAsia" w:hAnsiTheme="minorEastAsia" w:eastAsiaTheme="minorEastAsia"/>
        </w:rPr>
        <w:t>相关要求在本表后附</w:t>
      </w:r>
      <w:r>
        <w:rPr>
          <w:rFonts w:hint="eastAsia" w:asciiTheme="minorEastAsia" w:hAnsiTheme="minorEastAsia" w:eastAsiaTheme="minorEastAsia"/>
        </w:rPr>
        <w:t>相关合同关键页（须包括合同服务内容、实施时间、合同金额、合同签页，如果提供的是框架合同，需提供对应框架合同结算的发票或订单或结算单据)的</w:t>
      </w:r>
      <w:r>
        <w:rPr>
          <w:rFonts w:hint="eastAsia" w:asciiTheme="minorEastAsia" w:hAnsiTheme="minorEastAsia" w:eastAsiaTheme="minorEastAsia"/>
          <w:bCs/>
          <w:kern w:val="2"/>
          <w:sz w:val="21"/>
          <w:szCs w:val="21"/>
          <w:lang w:val="en-US" w:eastAsia="zh-CN"/>
        </w:rPr>
        <w:t>扫描件</w:t>
      </w:r>
      <w:r>
        <w:rPr>
          <w:rFonts w:hint="eastAsia" w:asciiTheme="minorEastAsia" w:hAnsiTheme="minorEastAsia" w:eastAsiaTheme="minorEastAsia"/>
        </w:rPr>
        <w:t>或者其他相关证明材料。</w:t>
      </w:r>
    </w:p>
    <w:p w14:paraId="4E54B603">
      <w:pPr>
        <w:numPr>
          <w:ilvl w:val="0"/>
          <w:numId w:val="0"/>
        </w:numPr>
        <w:topLinePunct/>
        <w:spacing w:line="440" w:lineRule="exact"/>
        <w:ind w:leftChars="0"/>
        <w:jc w:val="left"/>
        <w:rPr>
          <w:rFonts w:asciiTheme="minorEastAsia" w:hAnsiTheme="minorEastAsia" w:eastAsiaTheme="minorEastAsia"/>
          <w:highlight w:val="none"/>
        </w:rPr>
      </w:pPr>
      <w:r>
        <w:rPr>
          <w:rFonts w:hint="eastAsia"/>
          <w:highlight w:val="none"/>
          <w:lang w:val="en-US" w:eastAsia="zh-CN"/>
        </w:rPr>
        <w:t>3、</w:t>
      </w:r>
      <w:r>
        <w:rPr>
          <w:rFonts w:hint="eastAsia"/>
          <w:highlight w:val="none"/>
        </w:rPr>
        <w:t>投标人可以根据实际情况对本文件进行调整和修改，但应满足招标文件对本文件的要求。</w:t>
      </w:r>
    </w:p>
    <w:p w14:paraId="3A8D1EC4">
      <w:pPr>
        <w:topLinePunct/>
        <w:spacing w:line="440" w:lineRule="exact"/>
        <w:ind w:left="422" w:hanging="422"/>
        <w:jc w:val="left"/>
        <w:rPr>
          <w:rFonts w:asciiTheme="minorEastAsia" w:hAnsiTheme="minorEastAsia" w:eastAsiaTheme="minorEastAsia"/>
          <w:highlight w:val="none"/>
        </w:rPr>
        <w:sectPr>
          <w:pgSz w:w="16838" w:h="11906" w:orient="landscape"/>
          <w:pgMar w:top="1797" w:right="1440" w:bottom="1797" w:left="1440" w:header="851" w:footer="992" w:gutter="0"/>
          <w:pgNumType w:fmt="decimal"/>
          <w:cols w:space="425" w:num="1"/>
          <w:docGrid w:type="lines" w:linePitch="312" w:charSpace="0"/>
        </w:sectPr>
      </w:pPr>
    </w:p>
    <w:p w14:paraId="0FEA72D1">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rPr>
      </w:pPr>
      <w:bookmarkStart w:id="1093" w:name="_Toc38008096"/>
      <w:bookmarkStart w:id="1094" w:name="_Toc4071"/>
      <w:bookmarkStart w:id="1095" w:name="_Toc423"/>
      <w:bookmarkStart w:id="1096" w:name="_Toc4419"/>
      <w:bookmarkStart w:id="1097" w:name="_Toc27937"/>
      <w:bookmarkStart w:id="1098" w:name="_Toc30148"/>
      <w:bookmarkStart w:id="1099" w:name="_Toc8416"/>
      <w:bookmarkStart w:id="1100" w:name="_Toc23195"/>
      <w:bookmarkStart w:id="1101" w:name="_Toc12791"/>
      <w:bookmarkStart w:id="1102" w:name="_Toc17707"/>
      <w:bookmarkStart w:id="1103" w:name="_Toc29882"/>
      <w:bookmarkStart w:id="1104" w:name="_Toc13397"/>
      <w:bookmarkStart w:id="1105" w:name="_Hlk167300074"/>
      <w:bookmarkStart w:id="1106" w:name="_Toc475472688"/>
      <w:r>
        <w:rPr>
          <w:rFonts w:hint="eastAsia" w:cs="Times New Roman" w:asciiTheme="minorEastAsia" w:hAnsiTheme="minorEastAsia" w:eastAsiaTheme="minorEastAsia"/>
          <w:b/>
          <w:bCs/>
          <w:kern w:val="2"/>
          <w:sz w:val="24"/>
          <w:szCs w:val="24"/>
          <w:lang w:val="en-US" w:eastAsia="zh-CN" w:bidi="ar-SA"/>
        </w:rPr>
        <w:t>25.</w:t>
      </w:r>
      <w:r>
        <w:rPr>
          <w:rFonts w:hint="eastAsia" w:asciiTheme="minorEastAsia" w:hAnsiTheme="minorEastAsia" w:eastAsiaTheme="minorEastAsia"/>
          <w:sz w:val="24"/>
          <w:szCs w:val="24"/>
        </w:rPr>
        <w:t>社会保险经办机构出具的投标人为职工缴纳社会保险的单位缴费信息记录</w:t>
      </w:r>
      <w:bookmarkEnd w:id="1093"/>
      <w:bookmarkEnd w:id="1094"/>
      <w:bookmarkEnd w:id="1095"/>
      <w:bookmarkEnd w:id="1096"/>
      <w:bookmarkEnd w:id="1097"/>
      <w:bookmarkEnd w:id="1098"/>
      <w:bookmarkEnd w:id="1099"/>
      <w:bookmarkEnd w:id="1100"/>
      <w:bookmarkEnd w:id="1101"/>
      <w:bookmarkEnd w:id="1102"/>
      <w:bookmarkEnd w:id="1103"/>
      <w:bookmarkEnd w:id="1104"/>
    </w:p>
    <w:bookmarkEnd w:id="1105"/>
    <w:p w14:paraId="1A596B2B">
      <w:pPr>
        <w:rPr>
          <w:rFonts w:asciiTheme="minorEastAsia" w:hAnsiTheme="minorEastAsia" w:eastAsiaTheme="minorEastAsia"/>
          <w:highlight w:val="none"/>
        </w:rPr>
      </w:pPr>
    </w:p>
    <w:p w14:paraId="49641A81">
      <w:pPr>
        <w:rPr>
          <w:rFonts w:asciiTheme="minorEastAsia" w:hAnsiTheme="minorEastAsia" w:eastAsiaTheme="minorEastAsia"/>
          <w:highlight w:val="none"/>
        </w:rPr>
      </w:pPr>
    </w:p>
    <w:p w14:paraId="5BF2282A">
      <w:pPr>
        <w:topLinePunct/>
        <w:spacing w:line="440" w:lineRule="exact"/>
        <w:ind w:left="424" w:hanging="424" w:hangingChars="201"/>
        <w:jc w:val="left"/>
        <w:rPr>
          <w:rFonts w:asciiTheme="minorEastAsia" w:hAnsiTheme="minorEastAsia" w:eastAsiaTheme="minorEastAsia"/>
          <w:b/>
          <w:highlight w:val="none"/>
        </w:rPr>
      </w:pPr>
      <w:r>
        <w:rPr>
          <w:rFonts w:hint="eastAsia" w:asciiTheme="minorEastAsia" w:hAnsiTheme="minorEastAsia" w:eastAsiaTheme="minorEastAsia"/>
          <w:b/>
          <w:highlight w:val="none"/>
        </w:rPr>
        <w:t>编制要求：</w:t>
      </w:r>
    </w:p>
    <w:p w14:paraId="5C7F67B9">
      <w:pPr>
        <w:numPr>
          <w:ilvl w:val="0"/>
          <w:numId w:val="101"/>
        </w:numPr>
        <w:topLinePunct/>
        <w:spacing w:line="440" w:lineRule="exact"/>
        <w:ind w:left="0" w:firstLine="0"/>
        <w:jc w:val="left"/>
        <w:rPr>
          <w:rFonts w:asciiTheme="minorEastAsia" w:hAnsiTheme="minorEastAsia" w:eastAsiaTheme="minorEastAsia"/>
          <w:highlight w:val="none"/>
        </w:rPr>
      </w:pPr>
      <w:r>
        <w:rPr>
          <w:rFonts w:hint="eastAsia" w:asciiTheme="minorEastAsia" w:hAnsiTheme="minorEastAsia" w:eastAsiaTheme="minorEastAsia"/>
          <w:highlight w:val="none"/>
        </w:rPr>
        <w:t>提供由社会保险经办机构出具的投标人为职工缴纳社会保险的单位缴费信息记录的</w:t>
      </w:r>
      <w:r>
        <w:rPr>
          <w:rFonts w:hint="eastAsia" w:asciiTheme="minorEastAsia" w:hAnsiTheme="minorEastAsia" w:eastAsiaTheme="minorEastAsia"/>
          <w:lang w:val="en-US" w:eastAsia="zh-CN"/>
        </w:rPr>
        <w:t>明文件</w:t>
      </w:r>
      <w:r>
        <w:rPr>
          <w:rFonts w:hint="eastAsia" w:asciiTheme="minorEastAsia" w:hAnsiTheme="minorEastAsia" w:eastAsiaTheme="minorEastAsia"/>
          <w:highlight w:val="none"/>
        </w:rPr>
        <w:t>。</w:t>
      </w:r>
    </w:p>
    <w:p w14:paraId="2A887649">
      <w:pPr>
        <w:numPr>
          <w:ilvl w:val="0"/>
          <w:numId w:val="101"/>
        </w:numPr>
        <w:topLinePunct/>
        <w:spacing w:line="440" w:lineRule="exact"/>
        <w:ind w:left="422" w:hanging="422"/>
        <w:jc w:val="left"/>
        <w:rPr>
          <w:rFonts w:asciiTheme="minorEastAsia" w:hAnsiTheme="minorEastAsia" w:eastAsiaTheme="minorEastAsia"/>
          <w:highlight w:val="none"/>
        </w:rPr>
      </w:pPr>
      <w:r>
        <w:rPr>
          <w:rFonts w:hint="eastAsia" w:asciiTheme="minorEastAsia" w:hAnsiTheme="minorEastAsia" w:eastAsiaTheme="minorEastAsia"/>
          <w:highlight w:val="none"/>
        </w:rPr>
        <w:t>【提供单位缴费信息记录的时间周期等具体要求】</w:t>
      </w:r>
    </w:p>
    <w:p w14:paraId="730A5208">
      <w:pPr>
        <w:rPr>
          <w:rFonts w:asciiTheme="minorEastAsia" w:hAnsiTheme="minorEastAsia" w:eastAsiaTheme="minorEastAsia"/>
          <w:highlight w:val="none"/>
        </w:rPr>
      </w:pPr>
      <w:r>
        <w:rPr>
          <w:rFonts w:hint="eastAsia" w:asciiTheme="minorEastAsia" w:hAnsiTheme="minorEastAsia" w:eastAsiaTheme="minorEastAsia"/>
          <w:highlight w:val="none"/>
        </w:rPr>
        <w:br w:type="page"/>
      </w:r>
    </w:p>
    <w:p w14:paraId="6B2D4F4B"/>
    <w:p w14:paraId="1BDB9F52">
      <w:pPr>
        <w:pStyle w:val="3"/>
        <w:bidi w:val="0"/>
        <w:rPr>
          <w:rFonts w:hint="eastAsia"/>
          <w:sz w:val="24"/>
          <w:szCs w:val="24"/>
        </w:rPr>
      </w:pPr>
      <w:bookmarkStart w:id="1107" w:name="_Toc26638"/>
      <w:bookmarkStart w:id="1108" w:name="_Toc14416"/>
      <w:bookmarkStart w:id="1109" w:name="_Toc11934"/>
      <w:bookmarkStart w:id="1110" w:name="_Toc16422"/>
      <w:bookmarkStart w:id="1111" w:name="_Toc30417"/>
      <w:bookmarkStart w:id="1112" w:name="_Toc1565"/>
      <w:bookmarkStart w:id="1113" w:name="_Toc25922"/>
      <w:bookmarkStart w:id="1114" w:name="_Toc27523"/>
      <w:bookmarkStart w:id="1115" w:name="_Toc31720"/>
      <w:bookmarkStart w:id="1116" w:name="_Toc7208"/>
      <w:bookmarkStart w:id="1117" w:name="_Toc802"/>
      <w:bookmarkStart w:id="1118" w:name="_Toc7605"/>
      <w:r>
        <w:rPr>
          <w:rFonts w:hint="eastAsia"/>
          <w:sz w:val="24"/>
          <w:szCs w:val="24"/>
          <w:lang w:val="en-US" w:eastAsia="zh-CN"/>
        </w:rPr>
        <w:t>26.</w:t>
      </w:r>
      <w:r>
        <w:rPr>
          <w:rFonts w:hint="eastAsia"/>
          <w:sz w:val="24"/>
          <w:szCs w:val="24"/>
        </w:rPr>
        <w:t>知识产权不侵权承诺函</w:t>
      </w:r>
      <w:bookmarkEnd w:id="1107"/>
      <w:bookmarkEnd w:id="1108"/>
      <w:bookmarkEnd w:id="1109"/>
      <w:bookmarkEnd w:id="1110"/>
      <w:bookmarkEnd w:id="1111"/>
      <w:bookmarkEnd w:id="1112"/>
      <w:bookmarkEnd w:id="1113"/>
      <w:bookmarkEnd w:id="1114"/>
      <w:bookmarkEnd w:id="1115"/>
      <w:bookmarkEnd w:id="1116"/>
      <w:bookmarkEnd w:id="1117"/>
      <w:bookmarkEnd w:id="1118"/>
    </w:p>
    <w:p w14:paraId="01698465">
      <w:pPr>
        <w:keepNext w:val="0"/>
        <w:keepLines w:val="0"/>
        <w:pageBreakBefore w:val="0"/>
        <w:widowControl w:val="0"/>
        <w:kinsoku/>
        <w:wordWrap/>
        <w:overflowPunct/>
        <w:topLinePunct w:val="0"/>
        <w:autoSpaceDE/>
        <w:autoSpaceDN/>
        <w:bidi w:val="0"/>
        <w:adjustRightInd/>
        <w:snapToGrid/>
        <w:spacing w:before="157" w:beforeLines="50" w:after="157" w:afterLines="50"/>
        <w:ind w:firstLine="561"/>
        <w:jc w:val="center"/>
        <w:textAlignment w:val="auto"/>
        <w:rPr>
          <w:rFonts w:asciiTheme="minorEastAsia" w:hAnsiTheme="minorEastAsia" w:eastAsiaTheme="minorEastAsia"/>
          <w:b/>
          <w:sz w:val="24"/>
          <w:szCs w:val="30"/>
        </w:rPr>
      </w:pPr>
      <w:r>
        <w:rPr>
          <w:rFonts w:hint="eastAsia" w:asciiTheme="minorEastAsia" w:hAnsiTheme="minorEastAsia" w:eastAsiaTheme="minorEastAsia"/>
          <w:b/>
          <w:sz w:val="24"/>
          <w:szCs w:val="30"/>
          <w:lang w:val="en-US" w:eastAsia="zh-CN"/>
        </w:rPr>
        <w:t>知识产权不侵权承诺</w:t>
      </w:r>
      <w:r>
        <w:rPr>
          <w:rFonts w:hint="eastAsia" w:asciiTheme="minorEastAsia" w:hAnsiTheme="minorEastAsia" w:eastAsiaTheme="minorEastAsia"/>
          <w:b/>
          <w:sz w:val="24"/>
          <w:szCs w:val="30"/>
        </w:rPr>
        <w:t>函</w:t>
      </w:r>
    </w:p>
    <w:p w14:paraId="44B5B7D3">
      <w:pPr>
        <w:keepNext w:val="0"/>
        <w:keepLines w:val="0"/>
        <w:pageBreakBefore w:val="0"/>
        <w:widowControl/>
        <w:kinsoku/>
        <w:wordWrap/>
        <w:overflowPunct/>
        <w:topLinePunct w:val="0"/>
        <w:bidi w:val="0"/>
        <w:spacing w:line="440" w:lineRule="exact"/>
        <w:ind w:firstLine="420" w:firstLineChars="200"/>
        <w:jc w:val="left"/>
        <w:textAlignment w:val="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致：【中国电信[   ]公司】：</w:t>
      </w:r>
    </w:p>
    <w:p w14:paraId="2C113B59">
      <w:pPr>
        <w:pStyle w:val="35"/>
        <w:keepNext w:val="0"/>
        <w:keepLines w:val="0"/>
        <w:pageBreakBefore w:val="0"/>
        <w:kinsoku/>
        <w:wordWrap/>
        <w:overflowPunct/>
        <w:topLinePunct w:val="0"/>
        <w:bidi w:val="0"/>
        <w:spacing w:after="0" w:line="440" w:lineRule="exact"/>
        <w:ind w:left="0" w:firstLine="420" w:firstLineChars="200"/>
        <w:jc w:val="left"/>
        <w:textAlignment w:val="auto"/>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本单位郑重承诺遵守本知识产权不侵权承诺书，如违反，本单位承担由此带来的一切责任。</w:t>
      </w:r>
    </w:p>
    <w:p w14:paraId="3615D968">
      <w:pPr>
        <w:keepNext w:val="0"/>
        <w:keepLines w:val="0"/>
        <w:pageBreakBefore w:val="0"/>
        <w:numPr>
          <w:ilvl w:val="0"/>
          <w:numId w:val="102"/>
        </w:numPr>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就【（采购项目名称）】（“本项目”），本单位承诺按照</w:t>
      </w:r>
      <w:r>
        <w:rPr>
          <w:rFonts w:asciiTheme="minorEastAsia" w:hAnsiTheme="minorEastAsia" w:eastAsiaTheme="minorEastAsia"/>
          <w:color w:val="000000" w:themeColor="text1"/>
          <w:kern w:val="0"/>
          <w:szCs w:val="21"/>
          <w14:textFill>
            <w14:solidFill>
              <w14:schemeClr w14:val="tx1"/>
            </w14:solidFill>
          </w14:textFill>
        </w:rPr>
        <w:t>招标</w:t>
      </w:r>
      <w:r>
        <w:rPr>
          <w:rFonts w:hint="eastAsia" w:asciiTheme="minorEastAsia" w:hAnsiTheme="minorEastAsia" w:eastAsiaTheme="minorEastAsia"/>
          <w:color w:val="000000" w:themeColor="text1"/>
          <w:kern w:val="0"/>
          <w:szCs w:val="21"/>
          <w14:textFill>
            <w14:solidFill>
              <w14:schemeClr w14:val="tx1"/>
            </w14:solidFill>
          </w14:textFill>
        </w:rPr>
        <w:t>文件及合同</w:t>
      </w:r>
      <w:r>
        <w:rPr>
          <w:rFonts w:asciiTheme="minorEastAsia" w:hAnsiTheme="minorEastAsia" w:eastAsiaTheme="minorEastAsia"/>
          <w:color w:val="000000" w:themeColor="text1"/>
          <w:kern w:val="0"/>
          <w:szCs w:val="21"/>
          <w14:textFill>
            <w14:solidFill>
              <w14:schemeClr w14:val="tx1"/>
            </w14:solidFill>
          </w14:textFill>
        </w:rPr>
        <w:t>/协议</w:t>
      </w:r>
      <w:r>
        <w:rPr>
          <w:rFonts w:hint="eastAsia" w:asciiTheme="minorEastAsia" w:hAnsiTheme="minorEastAsia" w:eastAsiaTheme="minorEastAsia"/>
          <w:color w:val="000000" w:themeColor="text1"/>
          <w:kern w:val="0"/>
          <w:szCs w:val="21"/>
          <w14:textFill>
            <w14:solidFill>
              <w14:schemeClr w14:val="tx1"/>
            </w14:solidFill>
          </w14:textFill>
        </w:rPr>
        <w:t>履行知识产权</w:t>
      </w:r>
      <w:r>
        <w:rPr>
          <w:rFonts w:hint="eastAsia" w:asciiTheme="minorEastAsia" w:hAnsiTheme="minorEastAsia" w:eastAsiaTheme="minorEastAsia"/>
          <w:color w:val="000000" w:themeColor="text1"/>
          <w:szCs w:val="21"/>
          <w14:textFill>
            <w14:solidFill>
              <w14:schemeClr w14:val="tx1"/>
            </w14:solidFill>
          </w14:textFill>
        </w:rPr>
        <w:t>相关义务和责任</w:t>
      </w:r>
      <w:r>
        <w:rPr>
          <w:rFonts w:hint="eastAsia" w:asciiTheme="minorEastAsia" w:hAnsiTheme="minorEastAsia" w:eastAsiaTheme="minorEastAsia"/>
          <w:color w:val="000000" w:themeColor="text1"/>
          <w:kern w:val="0"/>
          <w:szCs w:val="21"/>
          <w14:textFill>
            <w14:solidFill>
              <w14:schemeClr w14:val="tx1"/>
            </w14:solidFill>
          </w14:textFill>
        </w:rPr>
        <w:t>。</w:t>
      </w:r>
    </w:p>
    <w:p w14:paraId="7FAA9D28">
      <w:pPr>
        <w:keepNext w:val="0"/>
        <w:keepLines w:val="0"/>
        <w:pageBreakBefore w:val="0"/>
        <w:numPr>
          <w:ilvl w:val="0"/>
          <w:numId w:val="102"/>
        </w:numPr>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本单位承诺并保证，本项目</w:t>
      </w:r>
      <w:r>
        <w:rPr>
          <w:rFonts w:hint="default" w:asciiTheme="minorEastAsia" w:hAnsiTheme="minorEastAsia" w:eastAsiaTheme="minorEastAsia"/>
          <w:color w:val="000000" w:themeColor="text1"/>
          <w:kern w:val="0"/>
          <w:szCs w:val="21"/>
          <w:lang w:val="en-US"/>
          <w14:textFill>
            <w14:solidFill>
              <w14:schemeClr w14:val="tx1"/>
            </w14:solidFill>
          </w14:textFill>
        </w:rPr>
        <w:t>投标</w:t>
      </w:r>
      <w:r>
        <w:rPr>
          <w:rFonts w:hint="eastAsia" w:asciiTheme="minorEastAsia" w:hAnsiTheme="minorEastAsia" w:eastAsiaTheme="minorEastAsia"/>
          <w:color w:val="000000" w:themeColor="text1"/>
          <w:kern w:val="0"/>
          <w:szCs w:val="21"/>
          <w14:textFill>
            <w14:solidFill>
              <w14:schemeClr w14:val="tx1"/>
            </w14:solidFill>
          </w14:textFill>
        </w:rPr>
        <w:t>产品以及本单位向贵公司交付的所有</w:t>
      </w:r>
      <w:r>
        <w:rPr>
          <w:rFonts w:hint="default" w:asciiTheme="minorEastAsia" w:hAnsiTheme="minorEastAsia" w:eastAsiaTheme="minorEastAsia"/>
          <w:color w:val="000000" w:themeColor="text1"/>
          <w:kern w:val="0"/>
          <w:szCs w:val="21"/>
          <w:lang w:val="en-US"/>
          <w14:textFill>
            <w14:solidFill>
              <w14:schemeClr w14:val="tx1"/>
            </w14:solidFill>
          </w14:textFill>
        </w:rPr>
        <w:t>投标</w:t>
      </w:r>
      <w:r>
        <w:rPr>
          <w:rFonts w:hint="eastAsia" w:asciiTheme="minorEastAsia" w:hAnsiTheme="minorEastAsia" w:eastAsiaTheme="minorEastAsia"/>
          <w:color w:val="000000" w:themeColor="text1"/>
          <w:kern w:val="0"/>
          <w:szCs w:val="21"/>
          <w14:textFill>
            <w14:solidFill>
              <w14:schemeClr w14:val="tx1"/>
            </w14:solidFill>
          </w14:textFill>
        </w:rPr>
        <w:t>产品相关成果（合称“项目标的”），本单位均享有合法的知识产权和所有权，或者已从相关权利人获得合法充分的授权。本单位按照本项目</w:t>
      </w:r>
      <w:r>
        <w:rPr>
          <w:rFonts w:asciiTheme="minorEastAsia" w:hAnsiTheme="minorEastAsia" w:eastAsiaTheme="minorEastAsia"/>
          <w:color w:val="000000" w:themeColor="text1"/>
          <w:kern w:val="0"/>
          <w:szCs w:val="21"/>
          <w14:textFill>
            <w14:solidFill>
              <w14:schemeClr w14:val="tx1"/>
            </w14:solidFill>
          </w14:textFill>
        </w:rPr>
        <w:t>招标</w:t>
      </w:r>
      <w:r>
        <w:rPr>
          <w:rFonts w:hint="eastAsia" w:asciiTheme="minorEastAsia" w:hAnsiTheme="minorEastAsia" w:eastAsiaTheme="minorEastAsia"/>
          <w:color w:val="000000" w:themeColor="text1"/>
          <w:kern w:val="0"/>
          <w:szCs w:val="21"/>
          <w14:textFill>
            <w14:solidFill>
              <w14:schemeClr w14:val="tx1"/>
            </w14:solidFill>
          </w14:textFill>
        </w:rPr>
        <w:t>文件及合同/协议约定将项目标的交付给贵公司以及贵公司采购、占有、使用、收益和处分项目标的不侵犯任何第三方的权利和合法权益，包括但不限于商标、专利、著作权等知识产权、专利申请权和所有权。本单位承诺向贵公司提供真实、有效、合法的权利证明文件。</w:t>
      </w:r>
    </w:p>
    <w:p w14:paraId="5C680E43">
      <w:pPr>
        <w:keepNext w:val="0"/>
        <w:keepLines w:val="0"/>
        <w:pageBreakBefore w:val="0"/>
        <w:numPr>
          <w:ilvl w:val="0"/>
          <w:numId w:val="102"/>
        </w:numPr>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本项目报价已包含了项目标的知识产权及所有权利的一切授权费用。本单位承诺按招标文件及</w:t>
      </w:r>
      <w:r>
        <w:rPr>
          <w:rFonts w:hint="eastAsia" w:asciiTheme="minorEastAsia" w:hAnsiTheme="minorEastAsia" w:eastAsiaTheme="minorEastAsia"/>
          <w:color w:val="000000" w:themeColor="text1"/>
          <w:szCs w:val="21"/>
          <w14:textFill>
            <w14:solidFill>
              <w14:schemeClr w14:val="tx1"/>
            </w14:solidFill>
          </w14:textFill>
        </w:rPr>
        <w:t>合同/协议</w:t>
      </w:r>
      <w:r>
        <w:rPr>
          <w:rFonts w:hint="eastAsia" w:asciiTheme="minorEastAsia" w:hAnsiTheme="minorEastAsia" w:eastAsiaTheme="minorEastAsia"/>
          <w:color w:val="000000" w:themeColor="text1"/>
          <w:kern w:val="0"/>
          <w:szCs w:val="21"/>
          <w14:textFill>
            <w14:solidFill>
              <w14:schemeClr w14:val="tx1"/>
            </w14:solidFill>
          </w14:textFill>
        </w:rPr>
        <w:t>约定向贵公司提供技术文档并提供技术支持。</w:t>
      </w:r>
    </w:p>
    <w:p w14:paraId="5A345C31">
      <w:pPr>
        <w:keepNext w:val="0"/>
        <w:keepLines w:val="0"/>
        <w:pageBreakBefore w:val="0"/>
        <w:numPr>
          <w:ilvl w:val="0"/>
          <w:numId w:val="102"/>
        </w:numPr>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如果有人提出法律或行政程序(合称“侵权指控”)，声称</w:t>
      </w:r>
      <w:r>
        <w:rPr>
          <w:rFonts w:hint="eastAsia" w:asciiTheme="minorEastAsia" w:hAnsiTheme="minorEastAsia" w:eastAsiaTheme="minorEastAsia"/>
          <w:color w:val="000000" w:themeColor="text1"/>
          <w:szCs w:val="21"/>
          <w14:textFill>
            <w14:solidFill>
              <w14:schemeClr w14:val="tx1"/>
            </w14:solidFill>
          </w14:textFill>
        </w:rPr>
        <w:t>贵公司或</w:t>
      </w:r>
      <w:r>
        <w:rPr>
          <w:rFonts w:hint="eastAsia" w:asciiTheme="minorEastAsia" w:hAnsiTheme="minorEastAsia" w:eastAsiaTheme="minorEastAsia"/>
          <w:color w:val="000000" w:themeColor="text1"/>
          <w:szCs w:val="21"/>
          <w:lang w:eastAsia="zh-CN"/>
          <w14:textFill>
            <w14:solidFill>
              <w14:schemeClr w14:val="tx1"/>
            </w14:solidFill>
          </w14:textFill>
        </w:rPr>
        <w:t>贵公司客户</w:t>
      </w:r>
      <w:r>
        <w:rPr>
          <w:rFonts w:hint="eastAsia" w:asciiTheme="minorEastAsia" w:hAnsiTheme="minorEastAsia" w:eastAsiaTheme="minorEastAsia"/>
          <w:color w:val="000000" w:themeColor="text1"/>
          <w:szCs w:val="21"/>
          <w14:textFill>
            <w14:solidFill>
              <w14:schemeClr w14:val="tx1"/>
            </w14:solidFill>
          </w14:textFill>
        </w:rPr>
        <w:t>（含最终客户，下同）采购、占有、使用、收益或处分项目标的</w:t>
      </w:r>
      <w:r>
        <w:rPr>
          <w:rFonts w:hint="eastAsia" w:asciiTheme="minorEastAsia" w:hAnsiTheme="minorEastAsia" w:eastAsiaTheme="minorEastAsia"/>
          <w:color w:val="000000" w:themeColor="text1"/>
          <w:kern w:val="0"/>
          <w:szCs w:val="21"/>
          <w14:textFill>
            <w14:solidFill>
              <w14:schemeClr w14:val="tx1"/>
            </w14:solidFill>
          </w14:textFill>
        </w:rPr>
        <w:t>侵犯了其知识产权等合法权益的，由本单位负责解决，并赔偿</w:t>
      </w:r>
      <w:r>
        <w:rPr>
          <w:rFonts w:hint="eastAsia" w:asciiTheme="minorEastAsia" w:hAnsiTheme="minorEastAsia" w:eastAsiaTheme="minorEastAsia"/>
          <w:color w:val="000000" w:themeColor="text1"/>
          <w:szCs w:val="21"/>
          <w14:textFill>
            <w14:solidFill>
              <w14:schemeClr w14:val="tx1"/>
            </w14:solidFill>
          </w14:textFill>
        </w:rPr>
        <w:t>贵公司或</w:t>
      </w:r>
      <w:r>
        <w:rPr>
          <w:rFonts w:hint="eastAsia" w:asciiTheme="minorEastAsia" w:hAnsiTheme="minorEastAsia" w:eastAsiaTheme="minorEastAsia"/>
          <w:color w:val="000000" w:themeColor="text1"/>
          <w:szCs w:val="21"/>
          <w:lang w:eastAsia="zh-CN"/>
          <w14:textFill>
            <w14:solidFill>
              <w14:schemeClr w14:val="tx1"/>
            </w14:solidFill>
          </w14:textFill>
        </w:rPr>
        <w:t>贵公司客户</w:t>
      </w:r>
      <w:r>
        <w:rPr>
          <w:rFonts w:hint="eastAsia" w:asciiTheme="minorEastAsia" w:hAnsiTheme="minorEastAsia" w:eastAsiaTheme="minorEastAsia"/>
          <w:color w:val="000000" w:themeColor="text1"/>
          <w:kern w:val="0"/>
          <w:szCs w:val="21"/>
          <w14:textFill>
            <w14:solidFill>
              <w14:schemeClr w14:val="tx1"/>
            </w14:solidFill>
          </w14:textFill>
        </w:rPr>
        <w:t>就此所承担的一切损失和费用，包括但不限于上述侵权指控中所产生的诉讼费用、合理的律师费用、调查费用、和解金额或生效法律文书中规定的赔偿金额。</w:t>
      </w:r>
    </w:p>
    <w:p w14:paraId="64F14C6E">
      <w:pPr>
        <w:keepNext w:val="0"/>
        <w:keepLines w:val="0"/>
        <w:pageBreakBefore w:val="0"/>
        <w:numPr>
          <w:ilvl w:val="0"/>
          <w:numId w:val="102"/>
        </w:numPr>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如果在侵权指控的审理过程中有关机关禁止贵公司</w:t>
      </w:r>
      <w:r>
        <w:rPr>
          <w:rFonts w:hint="eastAsia" w:asciiTheme="minorEastAsia" w:hAnsiTheme="minorEastAsia" w:eastAsiaTheme="minorEastAsia"/>
          <w:color w:val="000000" w:themeColor="text1"/>
          <w:szCs w:val="21"/>
          <w14:textFill>
            <w14:solidFill>
              <w14:schemeClr w14:val="tx1"/>
            </w14:solidFill>
          </w14:textFill>
        </w:rPr>
        <w:t>或贵公司客户</w:t>
      </w:r>
      <w:r>
        <w:rPr>
          <w:rFonts w:hint="eastAsia" w:asciiTheme="minorEastAsia" w:hAnsiTheme="minorEastAsia" w:eastAsiaTheme="minorEastAsia"/>
          <w:color w:val="000000" w:themeColor="text1"/>
          <w:kern w:val="0"/>
          <w:szCs w:val="21"/>
          <w14:textFill>
            <w14:solidFill>
              <w14:schemeClr w14:val="tx1"/>
            </w14:solidFill>
          </w14:textFill>
        </w:rPr>
        <w:t>继续使用项目标的的部分或全部的，本单位承诺采取以下措施：</w:t>
      </w:r>
    </w:p>
    <w:p w14:paraId="181B499B">
      <w:pPr>
        <w:keepNext w:val="0"/>
        <w:keepLines w:val="0"/>
        <w:pageBreakBefore w:val="0"/>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（1）贵公司</w:t>
      </w:r>
      <w:r>
        <w:rPr>
          <w:rFonts w:hint="eastAsia" w:asciiTheme="minorEastAsia" w:hAnsiTheme="minorEastAsia" w:eastAsiaTheme="minorEastAsia"/>
          <w:color w:val="000000" w:themeColor="text1"/>
          <w:szCs w:val="21"/>
          <w14:textFill>
            <w14:solidFill>
              <w14:schemeClr w14:val="tx1"/>
            </w14:solidFill>
          </w14:textFill>
        </w:rPr>
        <w:t>或贵公司客户</w:t>
      </w:r>
      <w:r>
        <w:rPr>
          <w:rFonts w:hint="eastAsia" w:asciiTheme="minorEastAsia" w:hAnsiTheme="minorEastAsia" w:eastAsiaTheme="minorEastAsia"/>
          <w:color w:val="000000" w:themeColor="text1"/>
          <w:kern w:val="0"/>
          <w:szCs w:val="21"/>
          <w14:textFill>
            <w14:solidFill>
              <w14:schemeClr w14:val="tx1"/>
            </w14:solidFill>
          </w14:textFill>
        </w:rPr>
        <w:t>免费获得使用项目标的的权利，或</w:t>
      </w:r>
    </w:p>
    <w:p w14:paraId="367B5F69">
      <w:pPr>
        <w:keepNext w:val="0"/>
        <w:keepLines w:val="0"/>
        <w:pageBreakBefore w:val="0"/>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（2）免费更换或改造项目标的，使贵公司</w:t>
      </w:r>
      <w:r>
        <w:rPr>
          <w:rFonts w:hint="eastAsia" w:asciiTheme="minorEastAsia" w:hAnsiTheme="minorEastAsia" w:eastAsiaTheme="minorEastAsia"/>
          <w:color w:val="000000" w:themeColor="text1"/>
          <w:szCs w:val="21"/>
          <w14:textFill>
            <w14:solidFill>
              <w14:schemeClr w14:val="tx1"/>
            </w14:solidFill>
          </w14:textFill>
        </w:rPr>
        <w:t>或贵公司客户</w:t>
      </w:r>
      <w:r>
        <w:rPr>
          <w:rFonts w:hint="eastAsia" w:asciiTheme="minorEastAsia" w:hAnsiTheme="minorEastAsia" w:eastAsiaTheme="minorEastAsia"/>
          <w:color w:val="000000" w:themeColor="text1"/>
          <w:kern w:val="0"/>
          <w:szCs w:val="21"/>
          <w14:textFill>
            <w14:solidFill>
              <w14:schemeClr w14:val="tx1"/>
            </w14:solidFill>
          </w14:textFill>
        </w:rPr>
        <w:t>不受上述禁令限制继续使用项目标的，或</w:t>
      </w:r>
    </w:p>
    <w:p w14:paraId="75F91FC0">
      <w:pPr>
        <w:keepNext w:val="0"/>
        <w:keepLines w:val="0"/>
        <w:pageBreakBefore w:val="0"/>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（3）其他使贵公司</w:t>
      </w:r>
      <w:r>
        <w:rPr>
          <w:rFonts w:hint="eastAsia" w:asciiTheme="minorEastAsia" w:hAnsiTheme="minorEastAsia" w:eastAsiaTheme="minorEastAsia"/>
          <w:color w:val="000000" w:themeColor="text1"/>
          <w:szCs w:val="21"/>
          <w14:textFill>
            <w14:solidFill>
              <w14:schemeClr w14:val="tx1"/>
            </w14:solidFill>
          </w14:textFill>
        </w:rPr>
        <w:t>或贵公司客户</w:t>
      </w:r>
      <w:r>
        <w:rPr>
          <w:rFonts w:hint="eastAsia" w:asciiTheme="minorEastAsia" w:hAnsiTheme="minorEastAsia" w:eastAsiaTheme="minorEastAsia"/>
          <w:color w:val="000000" w:themeColor="text1"/>
          <w:kern w:val="0"/>
          <w:szCs w:val="21"/>
          <w14:textFill>
            <w14:solidFill>
              <w14:schemeClr w14:val="tx1"/>
            </w14:solidFill>
          </w14:textFill>
        </w:rPr>
        <w:t>对项目标的拥有合法使用权，或其他弥补贵公司或贵公司客户受损利益、实现合同目的的合理方式。</w:t>
      </w:r>
    </w:p>
    <w:p w14:paraId="74454D8D">
      <w:pPr>
        <w:pStyle w:val="143"/>
        <w:keepNext w:val="0"/>
        <w:keepLines w:val="0"/>
        <w:pageBreakBefore w:val="0"/>
        <w:kinsoku/>
        <w:wordWrap/>
        <w:overflowPunct/>
        <w:topLinePunct w:val="0"/>
        <w:bidi w:val="0"/>
        <w:snapToGrid w:val="0"/>
        <w:spacing w:line="440" w:lineRule="exact"/>
        <w:ind w:firstLine="411" w:firstLineChars="196"/>
        <w:jc w:val="left"/>
        <w:textAlignment w:val="auto"/>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本单位采取上述措施不能免除本单位就贵公司和/或贵公司客户因此遭受的损失进行赔偿的义务。</w:t>
      </w:r>
    </w:p>
    <w:p w14:paraId="2D3222F7">
      <w:pPr>
        <w:keepNext w:val="0"/>
        <w:keepLines w:val="0"/>
        <w:pageBreakBefore w:val="0"/>
        <w:numPr>
          <w:ilvl w:val="0"/>
          <w:numId w:val="102"/>
        </w:numPr>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本单位承诺本单位及本单位所代表的制造商（如有）、相关权利人（如有，相关权利人包括但不限于软件著作权权利人、商标权权利人、专利权权利人、专利申请权权利人，下同）接受不时修订的《中国电信供应商不良行为管理规则》（发布于“中国电信阳光采购网”[https://caigou.chinatelecom.com.cn]）的约束，贵公司有权按照《中国电信供应商不良行为管理规则》，对本单位和/或上述制造商、权利人进行不良行为管理和处理。</w:t>
      </w:r>
    </w:p>
    <w:p w14:paraId="7C662309">
      <w:pPr>
        <w:keepNext w:val="0"/>
        <w:keepLines w:val="0"/>
        <w:pageBreakBefore w:val="0"/>
        <w:numPr>
          <w:ilvl w:val="0"/>
          <w:numId w:val="102"/>
        </w:numPr>
        <w:kinsoku/>
        <w:wordWrap/>
        <w:overflowPunct/>
        <w:topLinePunct w:val="0"/>
        <w:bidi w:val="0"/>
        <w:spacing w:line="440" w:lineRule="exact"/>
        <w:ind w:firstLine="420"/>
        <w:jc w:val="left"/>
        <w:textAlignment w:val="auto"/>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本单位承诺与本单位所代表的制造商（如有）、相关权利人（如有）参照签订此类《知识产权不侵权承诺函》，并督促上述制造商、权利人履行相应责任。否则，本单位承担连带责任。</w:t>
      </w:r>
    </w:p>
    <w:p w14:paraId="5A6032C9">
      <w:pPr>
        <w:numPr>
          <w:ilvl w:val="0"/>
          <w:numId w:val="0"/>
        </w:numPr>
        <w:spacing w:line="300" w:lineRule="auto"/>
        <w:rPr>
          <w:rFonts w:hint="eastAsia" w:asciiTheme="minorEastAsia" w:hAnsiTheme="minorEastAsia" w:eastAsiaTheme="minorEastAsia"/>
          <w:color w:val="000000" w:themeColor="text1"/>
          <w:kern w:val="0"/>
          <w:szCs w:val="21"/>
          <w14:textFill>
            <w14:solidFill>
              <w14:schemeClr w14:val="tx1"/>
            </w14:solidFill>
          </w14:textFill>
        </w:rPr>
      </w:pPr>
    </w:p>
    <w:p w14:paraId="01EB2029">
      <w:pPr>
        <w:spacing w:line="440" w:lineRule="exact"/>
        <w:ind w:firstLine="424" w:firstLineChars="202"/>
        <w:rPr>
          <w:rFonts w:asciiTheme="minorEastAsia" w:hAnsiTheme="minorEastAsia" w:eastAsiaTheme="minorEastAsia"/>
          <w:szCs w:val="21"/>
          <w:u w:val="single"/>
        </w:rPr>
      </w:pPr>
      <w:r>
        <w:rPr>
          <w:rFonts w:hint="eastAsia" w:asciiTheme="minorEastAsia" w:hAnsiTheme="minorEastAsia" w:eastAsiaTheme="minorEastAsia"/>
          <w:szCs w:val="21"/>
        </w:rPr>
        <w:t>承诺单位：</w:t>
      </w:r>
      <w:r>
        <w:rPr>
          <w:rFonts w:hint="eastAsia" w:asciiTheme="minorEastAsia" w:hAnsiTheme="minorEastAsia" w:eastAsiaTheme="minorEastAsia"/>
          <w:szCs w:val="21"/>
          <w:u w:val="single"/>
        </w:rPr>
        <w:t xml:space="preserve">　　　　　　　　                  </w:t>
      </w:r>
    </w:p>
    <w:p w14:paraId="6BB1402D">
      <w:pPr>
        <w:spacing w:line="44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法定代表人/负责人（签字或盖人名章）</w:t>
      </w:r>
      <w:r>
        <w:rPr>
          <w:rFonts w:asciiTheme="minorEastAsia" w:hAnsiTheme="minorEastAsia" w:eastAsiaTheme="minorEastAsia"/>
          <w:szCs w:val="21"/>
        </w:rPr>
        <w:t>或者其委托代理人</w:t>
      </w:r>
      <w:r>
        <w:rPr>
          <w:rFonts w:hint="eastAsia" w:asciiTheme="minorEastAsia" w:hAnsiTheme="minorEastAsia" w:eastAsiaTheme="minorEastAsia"/>
          <w:szCs w:val="21"/>
        </w:rPr>
        <w:t>（签字）</w:t>
      </w:r>
      <w:r>
        <w:rPr>
          <w:rFonts w:asciiTheme="minorEastAsia" w:hAnsiTheme="minorEastAsia" w:eastAsiaTheme="minorEastAsia"/>
          <w:szCs w:val="21"/>
        </w:rPr>
        <w:t>：</w:t>
      </w:r>
      <w:r>
        <w:rPr>
          <w:rFonts w:hint="eastAsia" w:asciiTheme="minorEastAsia" w:hAnsiTheme="minorEastAsia" w:eastAsiaTheme="minorEastAsia"/>
          <w:szCs w:val="21"/>
          <w:u w:val="single"/>
        </w:rPr>
        <w:t xml:space="preserve">               </w:t>
      </w:r>
    </w:p>
    <w:p w14:paraId="4DAEDD2E">
      <w:pPr>
        <w:spacing w:line="440" w:lineRule="exact"/>
        <w:ind w:firstLine="424" w:firstLineChars="202"/>
        <w:jc w:val="left"/>
        <w:rPr>
          <w:rFonts w:asciiTheme="minorEastAsia" w:hAnsiTheme="minorEastAsia" w:eastAsiaTheme="minorEastAsia"/>
          <w:szCs w:val="21"/>
        </w:rPr>
      </w:pPr>
      <w:r>
        <w:rPr>
          <w:rFonts w:hint="eastAsia" w:cs="宋体" w:asciiTheme="minorEastAsia" w:hAnsiTheme="minorEastAsia" w:eastAsiaTheme="minorEastAsia"/>
        </w:rPr>
        <w:t>日期：</w:t>
      </w:r>
      <w:r>
        <w:rPr>
          <w:rFonts w:cs="宋体" w:asciiTheme="minorEastAsia" w:hAnsiTheme="minorEastAsia" w:eastAsiaTheme="minorEastAsia"/>
          <w:u w:val="single"/>
        </w:rPr>
        <w:t xml:space="preserve">_    </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__ </w:t>
      </w:r>
      <w:r>
        <w:rPr>
          <w:rFonts w:hint="eastAsia" w:cs="宋体" w:asciiTheme="minorEastAsia" w:hAnsiTheme="minorEastAsia" w:eastAsiaTheme="minorEastAsia"/>
        </w:rPr>
        <w:t>年</w:t>
      </w:r>
      <w:r>
        <w:rPr>
          <w:rFonts w:cs="宋体" w:asciiTheme="minorEastAsia" w:hAnsiTheme="minorEastAsia" w:eastAsiaTheme="minorEastAsia"/>
          <w:u w:val="single"/>
        </w:rPr>
        <w:t>_</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    __</w:t>
      </w:r>
      <w:r>
        <w:rPr>
          <w:rFonts w:hint="eastAsia" w:cs="宋体" w:asciiTheme="minorEastAsia" w:hAnsiTheme="minorEastAsia" w:eastAsiaTheme="minorEastAsia"/>
        </w:rPr>
        <w:t>月</w:t>
      </w:r>
      <w:r>
        <w:rPr>
          <w:rFonts w:cs="宋体" w:asciiTheme="minorEastAsia" w:hAnsiTheme="minorEastAsia" w:eastAsiaTheme="minorEastAsia"/>
          <w:u w:val="single"/>
        </w:rPr>
        <w:t>_    _</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_</w:t>
      </w:r>
      <w:r>
        <w:rPr>
          <w:rFonts w:hint="eastAsia" w:cs="宋体" w:asciiTheme="minorEastAsia" w:hAnsiTheme="minorEastAsia" w:eastAsiaTheme="minorEastAsia"/>
        </w:rPr>
        <w:t>日</w:t>
      </w:r>
    </w:p>
    <w:p w14:paraId="40349125">
      <w:pPr>
        <w:widowControl/>
        <w:snapToGrid w:val="0"/>
        <w:spacing w:line="440" w:lineRule="exact"/>
        <w:jc w:val="left"/>
        <w:rPr>
          <w:rFonts w:hint="eastAsia" w:asciiTheme="minorEastAsia" w:hAnsiTheme="minorEastAsia" w:eastAsiaTheme="minorEastAsia"/>
          <w:sz w:val="24"/>
        </w:rPr>
      </w:pPr>
      <w:r>
        <w:rPr>
          <w:rFonts w:hint="eastAsia"/>
        </w:rPr>
        <w:t xml:space="preserve">    [</w:t>
      </w:r>
      <w:r>
        <w:rPr>
          <w:rFonts w:hint="eastAsia" w:asciiTheme="minorEastAsia" w:hAnsiTheme="minorEastAsia" w:eastAsiaTheme="minorEastAsia"/>
        </w:rPr>
        <w:t>招标人不得对本文件中的条款进行修改。</w:t>
      </w:r>
      <w:r>
        <w:rPr>
          <w:rFonts w:hint="eastAsia"/>
        </w:rPr>
        <w:t>如不涉及需第三方提供本文件，可将落款中签字栏“</w:t>
      </w:r>
      <w:r>
        <w:rPr>
          <w:rFonts w:hint="eastAsia" w:ascii="宋体" w:hAnsi="宋体"/>
          <w:szCs w:val="21"/>
        </w:rPr>
        <w:t>法定代表人/负责人（签字或盖人名章）</w:t>
      </w:r>
      <w:r>
        <w:rPr>
          <w:rFonts w:ascii="宋体" w:hAnsi="宋体"/>
          <w:szCs w:val="21"/>
        </w:rPr>
        <w:t>或者其委托代理人</w:t>
      </w:r>
      <w:r>
        <w:rPr>
          <w:rFonts w:hint="eastAsia" w:ascii="宋体" w:hAnsi="宋体"/>
          <w:szCs w:val="21"/>
        </w:rPr>
        <w:t>（签字）</w:t>
      </w:r>
      <w:r>
        <w:rPr>
          <w:rFonts w:ascii="宋体" w:hAnsi="宋体"/>
          <w:szCs w:val="21"/>
        </w:rPr>
        <w:t>：</w:t>
      </w:r>
      <w:r>
        <w:rPr>
          <w:rFonts w:hint="eastAsia"/>
        </w:rPr>
        <w:t>”删除。</w:t>
      </w:r>
      <w:r>
        <w:rPr>
          <w:rFonts w:hint="eastAsia" w:asciiTheme="minorEastAsia" w:hAnsiTheme="minorEastAsia" w:eastAsiaTheme="minorEastAsia"/>
        </w:rPr>
        <w:t>]</w:t>
      </w:r>
    </w:p>
    <w:p w14:paraId="3B645DC1">
      <w:pPr>
        <w:widowControl/>
        <w:jc w:val="left"/>
        <w:rPr>
          <w:rFonts w:hint="eastAsia" w:asciiTheme="minorEastAsia" w:hAnsiTheme="minorEastAsia" w:eastAsiaTheme="minorEastAsia"/>
          <w:sz w:val="24"/>
        </w:rPr>
      </w:pPr>
    </w:p>
    <w:p w14:paraId="3104A4F6">
      <w:pPr>
        <w:widowControl/>
        <w:jc w:val="left"/>
        <w:rPr>
          <w:rFonts w:hint="eastAsia" w:asciiTheme="minorEastAsia" w:hAnsiTheme="minorEastAsia" w:eastAsiaTheme="minorEastAsia"/>
          <w:b/>
          <w:bCs/>
          <w:sz w:val="21"/>
          <w:szCs w:val="21"/>
        </w:rPr>
      </w:pPr>
      <w:r>
        <w:rPr>
          <w:rFonts w:hint="eastAsia" w:asciiTheme="minorEastAsia" w:hAnsiTheme="minorEastAsia" w:eastAsiaTheme="minorEastAsia"/>
          <w:b/>
          <w:bCs/>
          <w:sz w:val="21"/>
          <w:szCs w:val="21"/>
        </w:rPr>
        <w:t>编制要求：</w:t>
      </w:r>
    </w:p>
    <w:p w14:paraId="16AE23C0">
      <w:pPr>
        <w:widowControl/>
        <w:snapToGrid w:val="0"/>
        <w:spacing w:line="440" w:lineRule="exact"/>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1.代理商投标的，制造商和代理商须各自提供一份本承诺函。</w:t>
      </w:r>
    </w:p>
    <w:p w14:paraId="21E361D3">
      <w:pPr>
        <w:widowControl/>
        <w:snapToGrid w:val="0"/>
        <w:spacing w:line="440" w:lineRule="exact"/>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投标产品制造商注册地在中华人民共和国境外（与中华人民共和国有正常贸易与往来的国家或地区）及香港、澳门、台湾地区使用代理商投标和签订销售合同且制造商无法加盖单位公章的，本文件应由有签署权的代表签字确认，并提供委托签署权的相关证明材料。</w:t>
      </w:r>
    </w:p>
    <w:p w14:paraId="71CDB34C">
      <w:pPr>
        <w:snapToGrid w:val="0"/>
        <w:spacing w:line="440" w:lineRule="exact"/>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rPr>
        <w:t>除本文件允许投标人进行填写的内容以外，投标人不得对本文件进行修改</w:t>
      </w:r>
      <w:r>
        <w:rPr>
          <w:rFonts w:hint="eastAsia" w:asciiTheme="minorEastAsia" w:hAnsiTheme="minorEastAsia" w:eastAsiaTheme="minorEastAsia"/>
        </w:rPr>
        <w:t>。</w:t>
      </w:r>
      <w:bookmarkEnd w:id="764"/>
    </w:p>
    <w:p w14:paraId="1B43170C">
      <w:pPr>
        <w:pStyle w:val="81"/>
        <w:numPr>
          <w:ilvl w:val="0"/>
          <w:numId w:val="0"/>
        </w:numPr>
        <w:tabs>
          <w:tab w:val="left" w:pos="588"/>
        </w:tabs>
        <w:snapToGrid w:val="0"/>
        <w:spacing w:before="120" w:after="120" w:line="440" w:lineRule="exact"/>
        <w:ind w:left="635" w:leftChars="0" w:hanging="425" w:firstLineChars="0"/>
        <w:jc w:val="left"/>
        <w:rPr>
          <w:rFonts w:ascii="宋体" w:hAnsi="宋体" w:cs="Times New Roman"/>
          <w:color w:val="000000" w:themeColor="text1"/>
          <w:sz w:val="24"/>
          <w:szCs w:val="24"/>
          <w14:textFill>
            <w14:solidFill>
              <w14:schemeClr w14:val="tx1"/>
            </w14:solidFill>
          </w14:textFill>
        </w:rPr>
      </w:pPr>
      <w:r>
        <w:br w:type="page"/>
      </w:r>
      <w:bookmarkStart w:id="1119" w:name="_Toc3451"/>
      <w:bookmarkStart w:id="1120" w:name="_Toc27826"/>
      <w:bookmarkStart w:id="1121" w:name="_Toc29973"/>
      <w:bookmarkStart w:id="1122" w:name="_Toc21517"/>
      <w:bookmarkStart w:id="1123" w:name="_Toc9725"/>
      <w:r>
        <w:rPr>
          <w:rFonts w:hint="eastAsia" w:ascii="宋体" w:hAnsi="宋体" w:cs="Times New Roman"/>
          <w:b/>
          <w:bCs/>
          <w:color w:val="000000" w:themeColor="text1"/>
          <w:kern w:val="2"/>
          <w:sz w:val="24"/>
          <w:szCs w:val="24"/>
          <w:lang w:val="en-US" w:eastAsia="zh-CN" w:bidi="ar-SA"/>
          <w14:textFill>
            <w14:solidFill>
              <w14:schemeClr w14:val="tx1"/>
            </w14:solidFill>
          </w14:textFill>
        </w:rPr>
        <w:t>27</w:t>
      </w:r>
      <w:r>
        <w:rPr>
          <w:rFonts w:hint="eastAsia" w:ascii="宋体" w:hAnsi="宋体" w:eastAsia="宋体" w:cs="Times New Roman"/>
          <w:b/>
          <w:bCs/>
          <w:color w:val="000000" w:themeColor="text1"/>
          <w:kern w:val="2"/>
          <w:sz w:val="24"/>
          <w:szCs w:val="24"/>
          <w:lang w:val="en-US" w:eastAsia="zh-CN" w:bidi="ar-SA"/>
          <w14:textFill>
            <w14:solidFill>
              <w14:schemeClr w14:val="tx1"/>
            </w14:solidFill>
          </w14:textFill>
        </w:rPr>
        <w:t>.</w:t>
      </w:r>
      <w:r>
        <w:rPr>
          <w:rFonts w:hint="eastAsia" w:ascii="宋体" w:hAnsi="宋体" w:cs="Times New Roman"/>
          <w:color w:val="000000" w:themeColor="text1"/>
          <w:sz w:val="24"/>
          <w:szCs w:val="24"/>
          <w14:textFill>
            <w14:solidFill>
              <w14:schemeClr w14:val="tx1"/>
            </w14:solidFill>
          </w14:textFill>
        </w:rPr>
        <w:t>供应链数字化配合说明</w:t>
      </w:r>
      <w:bookmarkEnd w:id="1119"/>
      <w:bookmarkEnd w:id="1120"/>
      <w:bookmarkEnd w:id="1121"/>
      <w:bookmarkEnd w:id="1122"/>
      <w:bookmarkEnd w:id="1123"/>
    </w:p>
    <w:p w14:paraId="657614AA">
      <w:pPr>
        <w:jc w:val="center"/>
        <w:rPr>
          <w:rFonts w:ascii="Times New Roman" w:hAnsi="Times New Roman" w:cs="Times New Roman"/>
          <w:b/>
          <w:sz w:val="24"/>
        </w:rPr>
      </w:pPr>
    </w:p>
    <w:p w14:paraId="3B1F63B1">
      <w:pPr>
        <w:jc w:val="center"/>
        <w:rPr>
          <w:rFonts w:ascii="Times New Roman" w:hAnsi="Times New Roman" w:cs="Times New Roman"/>
          <w:b/>
          <w:sz w:val="24"/>
        </w:rPr>
      </w:pPr>
      <w:r>
        <w:rPr>
          <w:rFonts w:hint="eastAsia" w:ascii="Times New Roman" w:hAnsi="Times New Roman" w:cs="Times New Roman"/>
          <w:b/>
          <w:sz w:val="24"/>
        </w:rPr>
        <w:t>供应链数字化配合说明</w:t>
      </w:r>
    </w:p>
    <w:p w14:paraId="3F67035F">
      <w:pPr>
        <w:spacing w:line="360" w:lineRule="auto"/>
        <w:rPr>
          <w:rFonts w:ascii="Times New Roman" w:hAnsi="Times New Roman" w:cs="Times New Roman"/>
          <w:szCs w:val="21"/>
        </w:rPr>
      </w:pPr>
    </w:p>
    <w:p w14:paraId="48C11983">
      <w:pPr>
        <w:spacing w:line="360" w:lineRule="auto"/>
        <w:rPr>
          <w:rFonts w:ascii="Times New Roman" w:hAnsi="Times New Roman" w:cs="Times New Roman"/>
          <w:szCs w:val="21"/>
        </w:rPr>
      </w:pPr>
      <w:r>
        <w:rPr>
          <w:rFonts w:hint="eastAsia" w:ascii="Times New Roman" w:hAnsi="Times New Roman" w:cs="Times New Roman"/>
          <w:szCs w:val="21"/>
        </w:rPr>
        <w:t>致：</w:t>
      </w:r>
      <w:r>
        <w:rPr>
          <w:rFonts w:hint="eastAsia" w:ascii="Times New Roman" w:hAnsi="Times New Roman" w:cs="Times New Roman"/>
          <w:szCs w:val="21"/>
          <w:u w:val="single"/>
        </w:rPr>
        <w:t xml:space="preserve">                       </w:t>
      </w:r>
      <w:r>
        <w:rPr>
          <w:rFonts w:hint="eastAsia" w:ascii="Times New Roman" w:hAnsi="Times New Roman" w:cs="Times New Roman"/>
          <w:szCs w:val="21"/>
        </w:rPr>
        <w:t>（采购人）</w:t>
      </w:r>
    </w:p>
    <w:p w14:paraId="23A05D0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为推进供应链数字化转型，现就与采购人开通合同及订单电子印章功能情况说明如下：</w:t>
      </w:r>
    </w:p>
    <w:p w14:paraId="38DF2F1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 xml:space="preserve">本次投标截止日期前我公司符合以下情形中的 </w:t>
      </w:r>
      <w:r>
        <w:rPr>
          <w:rFonts w:hint="eastAsia" w:ascii="Times New Roman" w:hAnsi="Times New Roman" w:cs="Times New Roman"/>
          <w:szCs w:val="21"/>
          <w:u w:val="single"/>
        </w:rPr>
        <w:t xml:space="preserve">           </w:t>
      </w:r>
      <w:r>
        <w:rPr>
          <w:rFonts w:hint="eastAsia" w:ascii="Times New Roman" w:hAnsi="Times New Roman" w:cs="Times New Roman"/>
          <w:szCs w:val="21"/>
        </w:rPr>
        <w:t>。</w:t>
      </w:r>
      <w:r>
        <w:rPr>
          <w:rFonts w:hint="eastAsia" w:cs="Times New Roman" w:asciiTheme="minorEastAsia" w:hAnsiTheme="minorEastAsia"/>
          <w:szCs w:val="21"/>
        </w:rPr>
        <w:t>★</w:t>
      </w:r>
      <w:r>
        <w:rPr>
          <w:rFonts w:hint="eastAsia" w:ascii="Times New Roman" w:hAnsi="Times New Roman" w:cs="Times New Roman"/>
          <w:b/>
          <w:szCs w:val="21"/>
        </w:rPr>
        <w:t>我公司承诺在本说明中如存在虚假情况，将接受被视为弄虚作假行为进行处理</w:t>
      </w:r>
    </w:p>
    <w:p w14:paraId="1E7953B5">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情形1.1：首次承诺或已承诺未中标</w:t>
      </w:r>
    </w:p>
    <w:p w14:paraId="6EB77C2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我公司承诺如中标本项目，在合同签署前开通合同及订单电子印章功能，并在合同、订单签订中开展应用。</w:t>
      </w:r>
    </w:p>
    <w:p w14:paraId="16CCEB76">
      <w:pPr>
        <w:spacing w:line="360" w:lineRule="auto"/>
        <w:ind w:firstLine="422" w:firstLineChars="200"/>
        <w:rPr>
          <w:rFonts w:ascii="Times New Roman" w:hAnsi="Times New Roman" w:cs="Times New Roman"/>
          <w:szCs w:val="21"/>
        </w:rPr>
      </w:pPr>
      <w:r>
        <w:rPr>
          <w:rFonts w:hint="eastAsia" w:ascii="Times New Roman" w:hAnsi="Times New Roman" w:cs="Times New Roman"/>
          <w:b/>
          <w:bCs/>
          <w:szCs w:val="21"/>
        </w:rPr>
        <w:t>情形1.2：已承诺未签订合同</w:t>
      </w:r>
    </w:p>
    <w:p w14:paraId="5399616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我公司在参与采购人其他采购项目中已承诺并中标，但还未签订采购合同。</w:t>
      </w:r>
    </w:p>
    <w:p w14:paraId="1FBDD19A">
      <w:pPr>
        <w:spacing w:line="360" w:lineRule="auto"/>
        <w:ind w:firstLine="560"/>
        <w:rPr>
          <w:rFonts w:ascii="Times New Roman" w:hAnsi="Times New Roman" w:cs="Times New Roman"/>
          <w:b/>
          <w:bCs/>
          <w:szCs w:val="21"/>
        </w:rPr>
      </w:pPr>
      <w:r>
        <w:rPr>
          <w:rFonts w:hint="eastAsia" w:ascii="Times New Roman" w:hAnsi="Times New Roman" w:cs="Times New Roman"/>
          <w:b/>
          <w:bCs/>
          <w:szCs w:val="21"/>
        </w:rPr>
        <w:t>情形2：已承诺并已签订采购合同（</w:t>
      </w:r>
      <w:r>
        <w:rPr>
          <w:rFonts w:hint="eastAsia" w:ascii="Times New Roman" w:hAnsi="Times New Roman" w:cs="Times New Roman"/>
          <w:b/>
          <w:szCs w:val="21"/>
        </w:rPr>
        <w:t>未应用电子印章功能</w:t>
      </w:r>
      <w:r>
        <w:rPr>
          <w:rFonts w:hint="eastAsia" w:ascii="Times New Roman" w:hAnsi="Times New Roman" w:cs="Times New Roman"/>
          <w:b/>
          <w:bCs/>
          <w:szCs w:val="21"/>
        </w:rPr>
        <w:t>）</w:t>
      </w:r>
    </w:p>
    <w:p w14:paraId="406DD30C">
      <w:pPr>
        <w:spacing w:line="360" w:lineRule="auto"/>
        <w:ind w:firstLine="560"/>
        <w:rPr>
          <w:rFonts w:ascii="Times New Roman" w:hAnsi="Times New Roman" w:cs="Times New Roman"/>
          <w:szCs w:val="21"/>
        </w:rPr>
      </w:pPr>
      <w:r>
        <w:rPr>
          <w:rFonts w:hint="eastAsia" w:ascii="Times New Roman" w:hAnsi="Times New Roman" w:cs="Times New Roman"/>
          <w:szCs w:val="21"/>
        </w:rPr>
        <w:t>我公司在参与采购人其他历史采购项目中已承诺开通并应用电子印章功能，且采购合同已生效，但未应用电子印章。</w:t>
      </w:r>
    </w:p>
    <w:p w14:paraId="3808E858">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情形3：已开通电子印章功能并在合同或订单签署中运用（须提供相关证明材料）</w:t>
      </w:r>
    </w:p>
    <w:p w14:paraId="03236FF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合同电子印章证明扫描件：</w:t>
      </w:r>
    </w:p>
    <w:p w14:paraId="2B4881D4">
      <w:pPr>
        <w:spacing w:line="360" w:lineRule="auto"/>
        <w:ind w:firstLine="420" w:firstLineChars="200"/>
        <w:rPr>
          <w:rFonts w:ascii="Times New Roman" w:hAnsi="Times New Roman" w:cs="Times New Roman"/>
          <w:szCs w:val="21"/>
        </w:rPr>
      </w:pPr>
    </w:p>
    <w:p w14:paraId="746C933E">
      <w:pPr>
        <w:spacing w:line="360" w:lineRule="auto"/>
        <w:ind w:firstLine="420" w:firstLineChars="200"/>
        <w:rPr>
          <w:rFonts w:ascii="Times New Roman" w:hAnsi="Times New Roman" w:cs="Times New Roman"/>
          <w:szCs w:val="21"/>
        </w:rPr>
      </w:pPr>
    </w:p>
    <w:p w14:paraId="661872E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 xml:space="preserve">订单电子印章证明扫描件：    </w:t>
      </w:r>
    </w:p>
    <w:p w14:paraId="768DEF50">
      <w:pPr>
        <w:rPr>
          <w:rFonts w:ascii="Times New Roman" w:hAnsi="Times New Roman" w:cs="Times New Roman"/>
          <w:szCs w:val="21"/>
        </w:rPr>
      </w:pPr>
    </w:p>
    <w:p w14:paraId="415546E0">
      <w:pPr>
        <w:rPr>
          <w:rFonts w:ascii="Times New Roman" w:hAnsi="Times New Roman" w:cs="Times New Roman"/>
          <w:szCs w:val="21"/>
        </w:rPr>
      </w:pPr>
    </w:p>
    <w:p w14:paraId="4AE9ECB4">
      <w:pPr>
        <w:rPr>
          <w:rFonts w:ascii="Times New Roman" w:hAnsi="Times New Roman" w:cs="Times New Roman"/>
          <w:szCs w:val="21"/>
        </w:rPr>
      </w:pPr>
    </w:p>
    <w:p w14:paraId="671A9AA4">
      <w:pPr>
        <w:rPr>
          <w:rFonts w:ascii="Times New Roman" w:hAnsi="Times New Roman" w:cs="Times New Roman"/>
          <w:szCs w:val="21"/>
        </w:rPr>
      </w:pPr>
    </w:p>
    <w:p w14:paraId="721FB12D">
      <w:pPr>
        <w:rPr>
          <w:rFonts w:ascii="Times New Roman" w:hAnsi="Times New Roman" w:cs="Times New Roman"/>
          <w:szCs w:val="21"/>
        </w:rPr>
      </w:pPr>
    </w:p>
    <w:p w14:paraId="24104534">
      <w:pPr>
        <w:ind w:right="18"/>
        <w:jc w:val="right"/>
        <w:rPr>
          <w:rFonts w:ascii="宋体" w:hAnsi="宋体" w:cs="宋体"/>
          <w:szCs w:val="21"/>
        </w:rPr>
      </w:pPr>
    </w:p>
    <w:p w14:paraId="0FAF8707">
      <w:pPr>
        <w:ind w:right="18"/>
        <w:jc w:val="right"/>
        <w:rPr>
          <w:rFonts w:ascii="宋体" w:hAnsi="宋体" w:cs="宋体"/>
          <w:szCs w:val="21"/>
        </w:rPr>
      </w:pPr>
      <w:r>
        <w:rPr>
          <w:rFonts w:hint="eastAsia" w:ascii="Times New Roman" w:hAnsi="Times New Roman" w:cs="Times New Roman"/>
          <w:szCs w:val="21"/>
        </w:rPr>
        <w:t>投标人名称：</w:t>
      </w:r>
      <w:r>
        <w:rPr>
          <w:rFonts w:hint="eastAsia" w:ascii="宋体" w:hAnsi="宋体" w:cs="宋体"/>
          <w:szCs w:val="21"/>
          <w:u w:val="single"/>
        </w:rPr>
        <w:t xml:space="preserve">                       </w:t>
      </w:r>
      <w:r>
        <w:rPr>
          <w:rFonts w:hint="eastAsia" w:ascii="宋体" w:hAnsi="宋体" w:cs="宋体"/>
          <w:szCs w:val="21"/>
        </w:rPr>
        <w:t>（盖单位公章）</w:t>
      </w:r>
    </w:p>
    <w:p w14:paraId="0630FCF1">
      <w:pPr>
        <w:jc w:val="right"/>
      </w:pPr>
      <w:r>
        <w:rPr>
          <w:rFonts w:hint="eastAsia" w:ascii="宋体" w:hAnsi="宋体" w:cs="宋体"/>
          <w:szCs w:val="21"/>
        </w:rPr>
        <w:t xml:space="preserve"> 年     月    </w:t>
      </w:r>
      <w:r>
        <w:br w:type="page"/>
      </w:r>
    </w:p>
    <w:p w14:paraId="757BB2F8"/>
    <w:p w14:paraId="51CADED0">
      <w:pPr>
        <w:pStyle w:val="81"/>
        <w:tabs>
          <w:tab w:val="left" w:pos="588"/>
        </w:tabs>
        <w:snapToGrid w:val="0"/>
        <w:spacing w:before="120" w:after="120" w:line="440" w:lineRule="exact"/>
        <w:jc w:val="left"/>
        <w:rPr>
          <w:rFonts w:asciiTheme="minorEastAsia" w:hAnsiTheme="minorEastAsia" w:eastAsiaTheme="minorEastAsia"/>
          <w:sz w:val="24"/>
          <w:szCs w:val="24"/>
          <w:highlight w:val="none"/>
        </w:rPr>
      </w:pPr>
      <w:bookmarkStart w:id="1124" w:name="_Toc4197"/>
      <w:bookmarkStart w:id="1125" w:name="_Toc38008097"/>
      <w:bookmarkStart w:id="1126" w:name="_Toc22773"/>
      <w:bookmarkStart w:id="1127" w:name="_Toc15954"/>
      <w:bookmarkStart w:id="1128" w:name="_Toc32107"/>
      <w:bookmarkStart w:id="1129" w:name="_Toc16159"/>
      <w:bookmarkStart w:id="1130" w:name="_Toc29565"/>
      <w:bookmarkStart w:id="1131" w:name="_Toc8679"/>
      <w:bookmarkStart w:id="1132" w:name="_Toc2805"/>
      <w:bookmarkStart w:id="1133" w:name="_Toc11021"/>
      <w:bookmarkStart w:id="1134" w:name="_Toc25450"/>
      <w:bookmarkStart w:id="1135" w:name="_Toc13861"/>
      <w:bookmarkStart w:id="1136" w:name="_Hlk167300079"/>
      <w:bookmarkStart w:id="1137" w:name="OLE_LINK11"/>
      <w:r>
        <w:rPr>
          <w:rFonts w:hint="eastAsia" w:asciiTheme="minorEastAsia" w:hAnsiTheme="minorEastAsia" w:eastAsiaTheme="minorEastAsia"/>
          <w:sz w:val="24"/>
          <w:szCs w:val="24"/>
          <w:highlight w:val="none"/>
        </w:rPr>
        <w:t>第二分册 技术投标文件</w:t>
      </w:r>
      <w:bookmarkEnd w:id="1124"/>
      <w:bookmarkEnd w:id="1125"/>
      <w:bookmarkEnd w:id="1126"/>
      <w:bookmarkEnd w:id="1127"/>
      <w:bookmarkEnd w:id="1128"/>
      <w:bookmarkEnd w:id="1129"/>
      <w:bookmarkEnd w:id="1130"/>
      <w:bookmarkEnd w:id="1131"/>
      <w:bookmarkEnd w:id="1132"/>
      <w:bookmarkEnd w:id="1133"/>
      <w:bookmarkEnd w:id="1134"/>
      <w:bookmarkEnd w:id="1135"/>
    </w:p>
    <w:p w14:paraId="3701B956">
      <w:pPr>
        <w:pStyle w:val="3"/>
        <w:bidi w:val="0"/>
        <w:rPr>
          <w:rFonts w:hint="eastAsia"/>
          <w:sz w:val="24"/>
          <w:szCs w:val="24"/>
          <w:lang w:val="en-US" w:eastAsia="zh-CN"/>
        </w:rPr>
      </w:pPr>
      <w:bookmarkStart w:id="1138" w:name="_Toc14054"/>
      <w:bookmarkStart w:id="1139" w:name="_Toc38008098"/>
      <w:bookmarkStart w:id="1140" w:name="_Toc18891"/>
      <w:bookmarkStart w:id="1141" w:name="_Toc24985"/>
      <w:bookmarkStart w:id="1142" w:name="_Toc21052"/>
      <w:bookmarkStart w:id="1143" w:name="_Toc4224"/>
      <w:bookmarkStart w:id="1144" w:name="_Toc15286"/>
      <w:bookmarkStart w:id="1145" w:name="_Toc2280"/>
      <w:bookmarkStart w:id="1146" w:name="_Toc21965"/>
      <w:bookmarkStart w:id="1147" w:name="_Toc21471"/>
      <w:r>
        <w:rPr>
          <w:rFonts w:hint="eastAsia"/>
          <w:sz w:val="24"/>
          <w:szCs w:val="24"/>
          <w:lang w:val="en-US" w:eastAsia="zh-CN"/>
        </w:rPr>
        <w:t>28.技术投标文件封面</w:t>
      </w:r>
      <w:bookmarkEnd w:id="1106"/>
      <w:bookmarkEnd w:id="1136"/>
      <w:bookmarkEnd w:id="1138"/>
      <w:bookmarkEnd w:id="1139"/>
      <w:bookmarkEnd w:id="1140"/>
      <w:bookmarkEnd w:id="1141"/>
      <w:bookmarkEnd w:id="1142"/>
      <w:bookmarkEnd w:id="1143"/>
      <w:bookmarkEnd w:id="1144"/>
      <w:bookmarkEnd w:id="1145"/>
      <w:bookmarkEnd w:id="1146"/>
      <w:bookmarkEnd w:id="1147"/>
    </w:p>
    <w:p w14:paraId="26D95FCB">
      <w:pPr>
        <w:spacing w:after="120" w:line="360" w:lineRule="atLeast"/>
        <w:jc w:val="center"/>
        <w:rPr>
          <w:rFonts w:cs="宋体" w:asciiTheme="minorEastAsia" w:hAnsiTheme="minorEastAsia" w:eastAsiaTheme="minorEastAsia"/>
          <w:b/>
          <w:sz w:val="36"/>
          <w:szCs w:val="36"/>
          <w:highlight w:val="none"/>
        </w:rPr>
      </w:pPr>
    </w:p>
    <w:p w14:paraId="19E6E8DF">
      <w:pPr>
        <w:spacing w:after="120" w:line="360" w:lineRule="atLeast"/>
        <w:jc w:val="center"/>
        <w:rPr>
          <w:rFonts w:ascii="宋体" w:hAnsi="宋体" w:cs="宋体"/>
          <w:b/>
          <w:sz w:val="30"/>
          <w:szCs w:val="30"/>
        </w:rPr>
      </w:pPr>
      <w:r>
        <w:rPr>
          <w:rFonts w:hint="eastAsia" w:ascii="宋体" w:hAnsi="宋体"/>
          <w:sz w:val="28"/>
          <w:szCs w:val="28"/>
        </w:rPr>
        <w:t>（项目名称）</w:t>
      </w:r>
    </w:p>
    <w:p w14:paraId="45AF5445">
      <w:pPr>
        <w:jc w:val="center"/>
        <w:rPr>
          <w:rFonts w:cs="宋体" w:asciiTheme="minorEastAsia" w:hAnsiTheme="minorEastAsia" w:eastAsiaTheme="minorEastAsia"/>
          <w:szCs w:val="21"/>
          <w:highlight w:val="none"/>
        </w:rPr>
      </w:pPr>
    </w:p>
    <w:p w14:paraId="3656FE6D">
      <w:pPr>
        <w:spacing w:after="120"/>
        <w:jc w:val="center"/>
        <w:rPr>
          <w:rFonts w:cs="宋体" w:asciiTheme="minorEastAsia" w:hAnsiTheme="minorEastAsia" w:eastAsiaTheme="minorEastAsia"/>
          <w:b/>
          <w:sz w:val="36"/>
          <w:szCs w:val="36"/>
          <w:highlight w:val="none"/>
        </w:rPr>
      </w:pPr>
      <w:r>
        <w:rPr>
          <w:rFonts w:hint="eastAsia" w:cs="宋体" w:asciiTheme="minorEastAsia" w:hAnsiTheme="minorEastAsia" w:eastAsiaTheme="minorEastAsia"/>
          <w:b/>
          <w:sz w:val="36"/>
          <w:szCs w:val="36"/>
          <w:highlight w:val="none"/>
        </w:rPr>
        <w:t>投标文件【技术投标文件】部分</w:t>
      </w:r>
    </w:p>
    <w:p w14:paraId="5D935D7B">
      <w:pPr>
        <w:spacing w:after="120"/>
        <w:jc w:val="center"/>
        <w:rPr>
          <w:rFonts w:cs="宋体" w:asciiTheme="minorEastAsia" w:hAnsiTheme="minorEastAsia" w:eastAsiaTheme="minorEastAsia"/>
          <w:b/>
          <w:sz w:val="32"/>
          <w:szCs w:val="32"/>
          <w:highlight w:val="none"/>
        </w:rPr>
      </w:pPr>
    </w:p>
    <w:p w14:paraId="4710F793">
      <w:pPr>
        <w:spacing w:after="120"/>
        <w:jc w:val="center"/>
        <w:rPr>
          <w:rFonts w:cs="宋体" w:asciiTheme="minorEastAsia" w:hAnsiTheme="minorEastAsia" w:eastAsiaTheme="minorEastAsia"/>
          <w:b/>
          <w:sz w:val="32"/>
          <w:szCs w:val="32"/>
          <w:highlight w:val="none"/>
        </w:rPr>
      </w:pPr>
    </w:p>
    <w:p w14:paraId="2732DE07">
      <w:pPr>
        <w:spacing w:after="120"/>
        <w:jc w:val="center"/>
        <w:rPr>
          <w:rFonts w:cs="宋体" w:asciiTheme="minorEastAsia" w:hAnsiTheme="minorEastAsia" w:eastAsiaTheme="minorEastAsia"/>
          <w:b/>
          <w:sz w:val="32"/>
          <w:szCs w:val="32"/>
          <w:highlight w:val="none"/>
        </w:rPr>
      </w:pPr>
    </w:p>
    <w:p w14:paraId="29FF0D03">
      <w:pPr>
        <w:spacing w:after="120"/>
        <w:jc w:val="center"/>
        <w:rPr>
          <w:rFonts w:cs="宋体" w:asciiTheme="minorEastAsia" w:hAnsiTheme="minorEastAsia" w:eastAsiaTheme="minorEastAsia"/>
          <w:b/>
          <w:sz w:val="32"/>
          <w:szCs w:val="32"/>
          <w:highlight w:val="none"/>
        </w:rPr>
      </w:pPr>
    </w:p>
    <w:p w14:paraId="78033E1D">
      <w:pPr>
        <w:spacing w:after="120"/>
        <w:jc w:val="center"/>
        <w:rPr>
          <w:rFonts w:cs="宋体" w:asciiTheme="minorEastAsia" w:hAnsiTheme="minorEastAsia" w:eastAsiaTheme="minorEastAsia"/>
          <w:b/>
          <w:sz w:val="32"/>
          <w:szCs w:val="32"/>
          <w:highlight w:val="none"/>
        </w:rPr>
      </w:pPr>
    </w:p>
    <w:p w14:paraId="146251BB">
      <w:pPr>
        <w:spacing w:after="120"/>
        <w:jc w:val="center"/>
        <w:rPr>
          <w:rFonts w:cs="宋体" w:asciiTheme="minorEastAsia" w:hAnsiTheme="minorEastAsia" w:eastAsiaTheme="minorEastAsia"/>
          <w:b/>
          <w:sz w:val="32"/>
          <w:szCs w:val="32"/>
          <w:highlight w:val="none"/>
        </w:rPr>
      </w:pPr>
    </w:p>
    <w:p w14:paraId="4782430C">
      <w:pPr>
        <w:spacing w:line="440" w:lineRule="exact"/>
        <w:ind w:firstLine="1456" w:firstLineChars="607"/>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rPr>
        <w:t>投标人名称：</w:t>
      </w:r>
      <w:r>
        <w:rPr>
          <w:rFonts w:hint="eastAsia" w:asciiTheme="minorEastAsia" w:hAnsiTheme="minorEastAsia" w:eastAsiaTheme="minorEastAsia"/>
          <w:sz w:val="24"/>
          <w:szCs w:val="21"/>
          <w:highlight w:val="none"/>
          <w:u w:val="single"/>
        </w:rPr>
        <w:t xml:space="preserve">　　　　　　　　           </w:t>
      </w:r>
    </w:p>
    <w:p w14:paraId="07956861">
      <w:pPr>
        <w:spacing w:line="440" w:lineRule="exact"/>
        <w:ind w:firstLine="1456" w:firstLineChars="607"/>
        <w:jc w:val="left"/>
        <w:rPr>
          <w:rFonts w:asciiTheme="minorEastAsia" w:hAnsiTheme="minorEastAsia" w:eastAsiaTheme="minorEastAsia"/>
          <w:sz w:val="24"/>
          <w:szCs w:val="21"/>
          <w:highlight w:val="none"/>
        </w:rPr>
      </w:pPr>
      <w:r>
        <w:rPr>
          <w:rFonts w:hint="eastAsia" w:cs="宋体" w:asciiTheme="minorEastAsia" w:hAnsiTheme="minorEastAsia" w:eastAsiaTheme="minorEastAsia"/>
          <w:sz w:val="24"/>
          <w:highlight w:val="none"/>
        </w:rPr>
        <w:t>日期：</w:t>
      </w:r>
      <w:r>
        <w:rPr>
          <w:rFonts w:cs="宋体" w:asciiTheme="minorEastAsia" w:hAnsiTheme="minorEastAsia" w:eastAsiaTheme="minorEastAsia"/>
          <w:sz w:val="24"/>
          <w:highlight w:val="none"/>
          <w:u w:val="single"/>
        </w:rPr>
        <w:t xml:space="preserve">_    </w:t>
      </w:r>
      <w:r>
        <w:rPr>
          <w:rFonts w:hint="eastAsia" w:cs="宋体" w:asciiTheme="minorEastAsia" w:hAnsiTheme="minorEastAsia" w:eastAsiaTheme="minorEastAsia"/>
          <w:sz w:val="24"/>
          <w:highlight w:val="none"/>
          <w:u w:val="single"/>
        </w:rPr>
        <w:t xml:space="preserve"> </w:t>
      </w:r>
      <w:r>
        <w:rPr>
          <w:rFonts w:cs="宋体" w:asciiTheme="minorEastAsia" w:hAnsiTheme="minorEastAsia" w:eastAsiaTheme="minorEastAsia"/>
          <w:sz w:val="24"/>
          <w:highlight w:val="none"/>
          <w:u w:val="single"/>
        </w:rPr>
        <w:t xml:space="preserve">__ </w:t>
      </w:r>
      <w:r>
        <w:rPr>
          <w:rFonts w:hint="eastAsia" w:cs="宋体" w:asciiTheme="minorEastAsia" w:hAnsiTheme="minorEastAsia" w:eastAsiaTheme="minorEastAsia"/>
          <w:sz w:val="24"/>
          <w:highlight w:val="none"/>
        </w:rPr>
        <w:t>年</w:t>
      </w:r>
      <w:r>
        <w:rPr>
          <w:rFonts w:cs="宋体" w:asciiTheme="minorEastAsia" w:hAnsiTheme="minorEastAsia" w:eastAsiaTheme="minorEastAsia"/>
          <w:sz w:val="24"/>
          <w:highlight w:val="none"/>
          <w:u w:val="single"/>
        </w:rPr>
        <w:t>_</w:t>
      </w:r>
      <w:r>
        <w:rPr>
          <w:rFonts w:hint="eastAsia" w:cs="宋体" w:asciiTheme="minorEastAsia" w:hAnsiTheme="minorEastAsia" w:eastAsiaTheme="minorEastAsia"/>
          <w:sz w:val="24"/>
          <w:highlight w:val="none"/>
          <w:u w:val="single"/>
        </w:rPr>
        <w:t xml:space="preserve"> </w:t>
      </w:r>
      <w:r>
        <w:rPr>
          <w:rFonts w:cs="宋体" w:asciiTheme="minorEastAsia" w:hAnsiTheme="minorEastAsia" w:eastAsiaTheme="minorEastAsia"/>
          <w:sz w:val="24"/>
          <w:highlight w:val="none"/>
          <w:u w:val="single"/>
        </w:rPr>
        <w:t xml:space="preserve">    __</w:t>
      </w:r>
      <w:r>
        <w:rPr>
          <w:rFonts w:hint="eastAsia" w:cs="宋体" w:asciiTheme="minorEastAsia" w:hAnsiTheme="minorEastAsia" w:eastAsiaTheme="minorEastAsia"/>
          <w:sz w:val="24"/>
          <w:highlight w:val="none"/>
        </w:rPr>
        <w:t>月</w:t>
      </w:r>
      <w:r>
        <w:rPr>
          <w:rFonts w:cs="宋体" w:asciiTheme="minorEastAsia" w:hAnsiTheme="minorEastAsia" w:eastAsiaTheme="minorEastAsia"/>
          <w:sz w:val="24"/>
          <w:highlight w:val="none"/>
          <w:u w:val="single"/>
        </w:rPr>
        <w:t>_    _</w:t>
      </w:r>
      <w:r>
        <w:rPr>
          <w:rFonts w:hint="eastAsia" w:cs="宋体" w:asciiTheme="minorEastAsia" w:hAnsiTheme="minorEastAsia" w:eastAsiaTheme="minorEastAsia"/>
          <w:sz w:val="24"/>
          <w:highlight w:val="none"/>
          <w:u w:val="single"/>
        </w:rPr>
        <w:t xml:space="preserve"> </w:t>
      </w:r>
      <w:r>
        <w:rPr>
          <w:rFonts w:cs="宋体" w:asciiTheme="minorEastAsia" w:hAnsiTheme="minorEastAsia" w:eastAsiaTheme="minorEastAsia"/>
          <w:sz w:val="24"/>
          <w:highlight w:val="none"/>
          <w:u w:val="single"/>
        </w:rPr>
        <w:t>_</w:t>
      </w:r>
      <w:r>
        <w:rPr>
          <w:rFonts w:hint="eastAsia" w:cs="宋体" w:asciiTheme="minorEastAsia" w:hAnsiTheme="minorEastAsia" w:eastAsiaTheme="minorEastAsia"/>
          <w:sz w:val="24"/>
          <w:highlight w:val="none"/>
        </w:rPr>
        <w:t>日</w:t>
      </w:r>
    </w:p>
    <w:p w14:paraId="3A2FFBB1">
      <w:pPr>
        <w:adjustRightInd w:val="0"/>
        <w:snapToGrid w:val="0"/>
        <w:spacing w:line="440" w:lineRule="exact"/>
        <w:jc w:val="center"/>
        <w:rPr>
          <w:rFonts w:cs="宋体" w:asciiTheme="minorEastAsia" w:hAnsiTheme="minorEastAsia" w:eastAsiaTheme="minorEastAsia"/>
          <w:sz w:val="24"/>
          <w:highlight w:val="none"/>
        </w:rPr>
      </w:pPr>
    </w:p>
    <w:p w14:paraId="4E761E4A">
      <w:pPr>
        <w:topLinePunct/>
        <w:spacing w:line="440" w:lineRule="exact"/>
        <w:jc w:val="left"/>
        <w:rPr>
          <w:rFonts w:hint="eastAsia" w:asciiTheme="minorEastAsia" w:hAnsiTheme="minorEastAsia" w:eastAsiaTheme="minorEastAsia"/>
          <w:b/>
          <w:highlight w:val="none"/>
          <w:lang w:eastAsia="zh-CN"/>
        </w:rPr>
      </w:pPr>
      <w:r>
        <w:rPr>
          <w:rFonts w:hint="eastAsia" w:asciiTheme="minorEastAsia" w:hAnsiTheme="minorEastAsia" w:eastAsiaTheme="minorEastAsia"/>
          <w:b/>
          <w:highlight w:val="none"/>
          <w:lang w:eastAsia="zh-CN"/>
        </w:rPr>
        <w:t>编制要求：投标人可以根据实际情况对本文件进行调整和修改，但应满足集中招标文件对本文件的要求。</w:t>
      </w:r>
    </w:p>
    <w:p w14:paraId="4D73D982">
      <w:pPr>
        <w:topLinePunct/>
        <w:spacing w:line="440" w:lineRule="exact"/>
        <w:jc w:val="left"/>
        <w:rPr>
          <w:rFonts w:hint="eastAsia" w:asciiTheme="minorEastAsia" w:hAnsiTheme="minorEastAsia" w:eastAsiaTheme="minorEastAsia"/>
          <w:b/>
          <w:highlight w:val="none"/>
          <w:lang w:eastAsia="zh-CN"/>
        </w:rPr>
        <w:sectPr>
          <w:pgSz w:w="11906" w:h="16838"/>
          <w:pgMar w:top="1440" w:right="1800" w:bottom="1440" w:left="1800" w:header="851" w:footer="992" w:gutter="0"/>
          <w:pgNumType w:fmt="decimal"/>
          <w:cols w:space="425" w:num="1"/>
          <w:docGrid w:type="lines" w:linePitch="312" w:charSpace="0"/>
        </w:sectPr>
      </w:pPr>
    </w:p>
    <w:p w14:paraId="7EFF9F88">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rPr>
      </w:pPr>
      <w:bookmarkStart w:id="1148" w:name="_Toc3024"/>
      <w:bookmarkStart w:id="1149" w:name="_Toc38008099"/>
      <w:bookmarkStart w:id="1150" w:name="_Toc18427"/>
      <w:bookmarkStart w:id="1151" w:name="_Toc19346"/>
      <w:bookmarkStart w:id="1152" w:name="_Toc11261"/>
      <w:bookmarkStart w:id="1153" w:name="_Toc23106"/>
      <w:bookmarkStart w:id="1154" w:name="_Toc475472689"/>
      <w:bookmarkStart w:id="1155" w:name="_Toc7456"/>
      <w:bookmarkStart w:id="1156" w:name="_Toc30600"/>
      <w:bookmarkStart w:id="1157" w:name="_Toc26886"/>
      <w:bookmarkStart w:id="1158" w:name="_Toc29583"/>
      <w:bookmarkStart w:id="1159" w:name="_Toc10064"/>
      <w:bookmarkStart w:id="1160" w:name="_Toc28208"/>
      <w:bookmarkStart w:id="1161" w:name="_Hlk167300087"/>
      <w:r>
        <w:rPr>
          <w:rFonts w:hint="eastAsia" w:cs="Times New Roman" w:asciiTheme="minorEastAsia" w:hAnsiTheme="minorEastAsia" w:eastAsiaTheme="minorEastAsia"/>
          <w:b/>
          <w:bCs/>
          <w:kern w:val="2"/>
          <w:sz w:val="24"/>
          <w:szCs w:val="24"/>
          <w:lang w:val="en-US" w:eastAsia="zh-CN" w:bidi="ar-SA"/>
        </w:rPr>
        <w:t>29.</w:t>
      </w:r>
      <w:r>
        <w:rPr>
          <w:rFonts w:hint="eastAsia" w:asciiTheme="minorEastAsia" w:hAnsiTheme="minorEastAsia" w:eastAsiaTheme="minorEastAsia"/>
          <w:sz w:val="24"/>
          <w:szCs w:val="24"/>
        </w:rPr>
        <w:t>技术服务评审索引表</w:t>
      </w:r>
      <w:bookmarkEnd w:id="1148"/>
      <w:bookmarkEnd w:id="1149"/>
      <w:bookmarkEnd w:id="1150"/>
      <w:bookmarkEnd w:id="1151"/>
      <w:bookmarkEnd w:id="1152"/>
      <w:bookmarkEnd w:id="1153"/>
      <w:bookmarkEnd w:id="1154"/>
      <w:bookmarkEnd w:id="1155"/>
      <w:bookmarkEnd w:id="1156"/>
      <w:bookmarkEnd w:id="1157"/>
      <w:bookmarkEnd w:id="1158"/>
      <w:bookmarkEnd w:id="1159"/>
      <w:bookmarkEnd w:id="1160"/>
    </w:p>
    <w:bookmarkEnd w:id="1161"/>
    <w:p w14:paraId="7196F3D6">
      <w:pPr>
        <w:rPr>
          <w:rFonts w:asciiTheme="minorEastAsia" w:hAnsiTheme="minorEastAsia" w:eastAsiaTheme="minorEastAsia"/>
          <w:highlight w:val="none"/>
        </w:rPr>
      </w:pPr>
    </w:p>
    <w:p w14:paraId="76F20565">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技术服务评审索引表</w:t>
      </w:r>
    </w:p>
    <w:p w14:paraId="441DC221">
      <w:pPr>
        <w:jc w:val="left"/>
        <w:rPr>
          <w:rFonts w:asciiTheme="minorEastAsia" w:hAnsiTheme="minorEastAsia" w:eastAsiaTheme="minorEastAsia"/>
          <w:b/>
          <w:highlight w:val="none"/>
        </w:rPr>
      </w:pPr>
    </w:p>
    <w:tbl>
      <w:tblPr>
        <w:tblStyle w:val="85"/>
        <w:tblW w:w="8334"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976"/>
        <w:gridCol w:w="1843"/>
        <w:gridCol w:w="1984"/>
        <w:gridCol w:w="1544"/>
      </w:tblGrid>
      <w:tr w14:paraId="1653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7E13D144">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条款号</w:t>
            </w:r>
          </w:p>
        </w:tc>
        <w:tc>
          <w:tcPr>
            <w:tcW w:w="1976" w:type="dxa"/>
            <w:vAlign w:val="center"/>
          </w:tcPr>
          <w:p w14:paraId="2113AA59">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评审因素</w:t>
            </w:r>
          </w:p>
        </w:tc>
        <w:tc>
          <w:tcPr>
            <w:tcW w:w="1843" w:type="dxa"/>
            <w:vAlign w:val="center"/>
          </w:tcPr>
          <w:p w14:paraId="1AA0E91A">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投标文件组成</w:t>
            </w:r>
          </w:p>
        </w:tc>
        <w:tc>
          <w:tcPr>
            <w:tcW w:w="1984" w:type="dxa"/>
            <w:vAlign w:val="center"/>
          </w:tcPr>
          <w:p w14:paraId="5104D3D6">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对应页码</w:t>
            </w:r>
          </w:p>
        </w:tc>
        <w:tc>
          <w:tcPr>
            <w:tcW w:w="1544" w:type="dxa"/>
            <w:vAlign w:val="center"/>
          </w:tcPr>
          <w:p w14:paraId="13A9F3C3">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备注或者说明</w:t>
            </w:r>
          </w:p>
        </w:tc>
      </w:tr>
      <w:tr w14:paraId="49E8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6C058CF4">
            <w:pPr>
              <w:tabs>
                <w:tab w:val="left" w:pos="720"/>
              </w:tabs>
              <w:spacing w:line="360" w:lineRule="auto"/>
              <w:ind w:left="-2" w:firstLine="1"/>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w:t>
            </w:r>
          </w:p>
        </w:tc>
        <w:tc>
          <w:tcPr>
            <w:tcW w:w="1976" w:type="dxa"/>
            <w:vAlign w:val="center"/>
          </w:tcPr>
          <w:p w14:paraId="056ECDB5">
            <w:pPr>
              <w:tabs>
                <w:tab w:val="left" w:pos="720"/>
              </w:tabs>
              <w:spacing w:line="360" w:lineRule="auto"/>
              <w:ind w:left="-2" w:firstLine="1"/>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软件产品功能和性能</w:t>
            </w:r>
          </w:p>
        </w:tc>
        <w:tc>
          <w:tcPr>
            <w:tcW w:w="1843" w:type="dxa"/>
          </w:tcPr>
          <w:p w14:paraId="38C2D334">
            <w:pPr>
              <w:tabs>
                <w:tab w:val="left" w:pos="720"/>
              </w:tabs>
              <w:spacing w:line="360" w:lineRule="auto"/>
              <w:jc w:val="center"/>
              <w:rPr>
                <w:rFonts w:asciiTheme="minorEastAsia" w:hAnsiTheme="minorEastAsia" w:eastAsiaTheme="minorEastAsia"/>
                <w:szCs w:val="21"/>
                <w:highlight w:val="none"/>
              </w:rPr>
            </w:pPr>
          </w:p>
        </w:tc>
        <w:tc>
          <w:tcPr>
            <w:tcW w:w="1984" w:type="dxa"/>
            <w:vAlign w:val="center"/>
          </w:tcPr>
          <w:p w14:paraId="7F7ADA2F">
            <w:pPr>
              <w:tabs>
                <w:tab w:val="left" w:pos="720"/>
              </w:tabs>
              <w:spacing w:line="360" w:lineRule="auto"/>
              <w:jc w:val="center"/>
              <w:rPr>
                <w:rFonts w:asciiTheme="minorEastAsia" w:hAnsiTheme="minorEastAsia" w:eastAsiaTheme="minorEastAsia"/>
                <w:szCs w:val="21"/>
                <w:highlight w:val="none"/>
              </w:rPr>
            </w:pPr>
          </w:p>
        </w:tc>
        <w:tc>
          <w:tcPr>
            <w:tcW w:w="1544" w:type="dxa"/>
            <w:vAlign w:val="center"/>
          </w:tcPr>
          <w:p w14:paraId="55214058">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7CBA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5D38E75D">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w:t>
            </w:r>
          </w:p>
        </w:tc>
        <w:tc>
          <w:tcPr>
            <w:tcW w:w="1976" w:type="dxa"/>
            <w:vAlign w:val="center"/>
          </w:tcPr>
          <w:p w14:paraId="253503C8">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产品原型展示</w:t>
            </w:r>
          </w:p>
        </w:tc>
        <w:tc>
          <w:tcPr>
            <w:tcW w:w="1843" w:type="dxa"/>
          </w:tcPr>
          <w:p w14:paraId="1B41BCF8">
            <w:pPr>
              <w:tabs>
                <w:tab w:val="left" w:pos="720"/>
              </w:tabs>
              <w:spacing w:line="360" w:lineRule="auto"/>
              <w:jc w:val="center"/>
              <w:rPr>
                <w:rFonts w:asciiTheme="minorEastAsia" w:hAnsiTheme="minorEastAsia" w:eastAsiaTheme="minorEastAsia"/>
                <w:szCs w:val="21"/>
                <w:highlight w:val="none"/>
              </w:rPr>
            </w:pPr>
          </w:p>
        </w:tc>
        <w:tc>
          <w:tcPr>
            <w:tcW w:w="1984" w:type="dxa"/>
            <w:vAlign w:val="center"/>
          </w:tcPr>
          <w:p w14:paraId="3CA745AF">
            <w:pPr>
              <w:tabs>
                <w:tab w:val="left" w:pos="720"/>
              </w:tabs>
              <w:spacing w:line="360" w:lineRule="auto"/>
              <w:jc w:val="center"/>
              <w:rPr>
                <w:rFonts w:asciiTheme="minorEastAsia" w:hAnsiTheme="minorEastAsia" w:eastAsiaTheme="minorEastAsia"/>
                <w:szCs w:val="21"/>
                <w:highlight w:val="none"/>
              </w:rPr>
            </w:pPr>
          </w:p>
        </w:tc>
        <w:tc>
          <w:tcPr>
            <w:tcW w:w="1544" w:type="dxa"/>
            <w:vAlign w:val="center"/>
          </w:tcPr>
          <w:p w14:paraId="77D5A386">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5D50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4AEFB450">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p>
        </w:tc>
        <w:tc>
          <w:tcPr>
            <w:tcW w:w="1976" w:type="dxa"/>
            <w:vAlign w:val="center"/>
          </w:tcPr>
          <w:p w14:paraId="2F253123">
            <w:pPr>
              <w:keepNext w:val="0"/>
              <w:keepLines w:val="0"/>
              <w:widowControl/>
              <w:suppressLineNumbers w:val="0"/>
              <w:jc w:val="center"/>
              <w:textAlignment w:val="center"/>
              <w:rPr>
                <w:rFonts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交付质量水平</w:t>
            </w:r>
          </w:p>
        </w:tc>
        <w:tc>
          <w:tcPr>
            <w:tcW w:w="1843" w:type="dxa"/>
          </w:tcPr>
          <w:p w14:paraId="2E1E182A">
            <w:pPr>
              <w:tabs>
                <w:tab w:val="left" w:pos="720"/>
              </w:tabs>
              <w:spacing w:line="360" w:lineRule="auto"/>
              <w:jc w:val="center"/>
              <w:rPr>
                <w:rFonts w:asciiTheme="minorEastAsia" w:hAnsiTheme="minorEastAsia" w:eastAsiaTheme="minorEastAsia"/>
                <w:szCs w:val="21"/>
                <w:highlight w:val="none"/>
              </w:rPr>
            </w:pPr>
          </w:p>
        </w:tc>
        <w:tc>
          <w:tcPr>
            <w:tcW w:w="1984" w:type="dxa"/>
            <w:vAlign w:val="center"/>
          </w:tcPr>
          <w:p w14:paraId="1E475B40">
            <w:pPr>
              <w:tabs>
                <w:tab w:val="left" w:pos="720"/>
              </w:tabs>
              <w:spacing w:line="360" w:lineRule="auto"/>
              <w:jc w:val="center"/>
              <w:rPr>
                <w:rFonts w:asciiTheme="minorEastAsia" w:hAnsiTheme="minorEastAsia" w:eastAsiaTheme="minorEastAsia"/>
                <w:szCs w:val="21"/>
                <w:highlight w:val="none"/>
              </w:rPr>
            </w:pPr>
          </w:p>
        </w:tc>
        <w:tc>
          <w:tcPr>
            <w:tcW w:w="1544" w:type="dxa"/>
            <w:vAlign w:val="center"/>
          </w:tcPr>
          <w:p w14:paraId="64F8221D">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320A1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0D066C45">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w:t>
            </w:r>
          </w:p>
        </w:tc>
        <w:tc>
          <w:tcPr>
            <w:tcW w:w="1976" w:type="dxa"/>
            <w:vAlign w:val="center"/>
          </w:tcPr>
          <w:p w14:paraId="611C53F3">
            <w:pPr>
              <w:keepNext w:val="0"/>
              <w:keepLines w:val="0"/>
              <w:widowControl/>
              <w:suppressLineNumbers w:val="0"/>
              <w:jc w:val="center"/>
              <w:textAlignment w:val="center"/>
              <w:rPr>
                <w:rFonts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在网运行质量水平</w:t>
            </w:r>
          </w:p>
        </w:tc>
        <w:tc>
          <w:tcPr>
            <w:tcW w:w="1843" w:type="dxa"/>
          </w:tcPr>
          <w:p w14:paraId="6FEEA4B1">
            <w:pPr>
              <w:tabs>
                <w:tab w:val="left" w:pos="720"/>
              </w:tabs>
              <w:spacing w:line="360" w:lineRule="auto"/>
              <w:jc w:val="center"/>
              <w:rPr>
                <w:rFonts w:asciiTheme="minorEastAsia" w:hAnsiTheme="minorEastAsia" w:eastAsiaTheme="minorEastAsia"/>
                <w:szCs w:val="21"/>
                <w:highlight w:val="none"/>
              </w:rPr>
            </w:pPr>
          </w:p>
        </w:tc>
        <w:tc>
          <w:tcPr>
            <w:tcW w:w="1984" w:type="dxa"/>
            <w:vAlign w:val="center"/>
          </w:tcPr>
          <w:p w14:paraId="0A5EBECB">
            <w:pPr>
              <w:tabs>
                <w:tab w:val="left" w:pos="720"/>
              </w:tabs>
              <w:spacing w:line="360" w:lineRule="auto"/>
              <w:jc w:val="center"/>
              <w:rPr>
                <w:rFonts w:asciiTheme="minorEastAsia" w:hAnsiTheme="minorEastAsia" w:eastAsiaTheme="minorEastAsia"/>
                <w:szCs w:val="21"/>
                <w:highlight w:val="none"/>
              </w:rPr>
            </w:pPr>
          </w:p>
        </w:tc>
        <w:tc>
          <w:tcPr>
            <w:tcW w:w="1544" w:type="dxa"/>
            <w:vAlign w:val="center"/>
          </w:tcPr>
          <w:p w14:paraId="06C856C9">
            <w:pPr>
              <w:tabs>
                <w:tab w:val="left" w:pos="720"/>
              </w:tabs>
              <w:spacing w:line="360" w:lineRule="auto"/>
              <w:jc w:val="center"/>
              <w:rPr>
                <w:rFonts w:asciiTheme="minorEastAsia" w:hAnsiTheme="minorEastAsia" w:eastAsiaTheme="minorEastAsia"/>
                <w:szCs w:val="21"/>
                <w:highlight w:val="none"/>
              </w:rPr>
            </w:pPr>
          </w:p>
        </w:tc>
      </w:tr>
      <w:tr w14:paraId="299C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63F29B09">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5</w:t>
            </w:r>
          </w:p>
        </w:tc>
        <w:tc>
          <w:tcPr>
            <w:tcW w:w="1976" w:type="dxa"/>
            <w:vAlign w:val="center"/>
          </w:tcPr>
          <w:p w14:paraId="7624B66B">
            <w:pPr>
              <w:keepNext w:val="0"/>
              <w:keepLines w:val="0"/>
              <w:widowControl/>
              <w:suppressLineNumbers w:val="0"/>
              <w:jc w:val="center"/>
              <w:textAlignment w:val="center"/>
              <w:rPr>
                <w:rFonts w:hint="eastAsia"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技术方案建议</w:t>
            </w:r>
          </w:p>
        </w:tc>
        <w:tc>
          <w:tcPr>
            <w:tcW w:w="1843" w:type="dxa"/>
          </w:tcPr>
          <w:p w14:paraId="10ECAA19">
            <w:pPr>
              <w:tabs>
                <w:tab w:val="left" w:pos="720"/>
              </w:tabs>
              <w:spacing w:line="360" w:lineRule="auto"/>
              <w:ind w:left="420"/>
              <w:jc w:val="center"/>
              <w:rPr>
                <w:rFonts w:asciiTheme="minorEastAsia" w:hAnsiTheme="minorEastAsia" w:eastAsiaTheme="minorEastAsia"/>
                <w:szCs w:val="21"/>
                <w:highlight w:val="none"/>
              </w:rPr>
            </w:pPr>
          </w:p>
        </w:tc>
        <w:tc>
          <w:tcPr>
            <w:tcW w:w="1984" w:type="dxa"/>
            <w:vAlign w:val="center"/>
          </w:tcPr>
          <w:p w14:paraId="6B093394">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678F80E7">
            <w:pPr>
              <w:tabs>
                <w:tab w:val="left" w:pos="720"/>
              </w:tabs>
              <w:spacing w:line="360" w:lineRule="auto"/>
              <w:ind w:left="420"/>
              <w:jc w:val="center"/>
              <w:rPr>
                <w:rFonts w:asciiTheme="minorEastAsia" w:hAnsiTheme="minorEastAsia" w:eastAsiaTheme="minorEastAsia"/>
                <w:szCs w:val="21"/>
                <w:highlight w:val="none"/>
              </w:rPr>
            </w:pPr>
          </w:p>
        </w:tc>
      </w:tr>
      <w:tr w14:paraId="5C3A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7DBE2997">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6</w:t>
            </w:r>
          </w:p>
        </w:tc>
        <w:tc>
          <w:tcPr>
            <w:tcW w:w="1976" w:type="dxa"/>
            <w:vAlign w:val="center"/>
          </w:tcPr>
          <w:p w14:paraId="46CFB822">
            <w:pPr>
              <w:keepNext w:val="0"/>
              <w:keepLines w:val="0"/>
              <w:widowControl/>
              <w:suppressLineNumbers w:val="0"/>
              <w:jc w:val="center"/>
              <w:textAlignment w:val="center"/>
              <w:rPr>
                <w:rFonts w:hint="eastAsia"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开发过程管理</w:t>
            </w:r>
          </w:p>
        </w:tc>
        <w:tc>
          <w:tcPr>
            <w:tcW w:w="1843" w:type="dxa"/>
          </w:tcPr>
          <w:p w14:paraId="14E57C7A">
            <w:pPr>
              <w:tabs>
                <w:tab w:val="left" w:pos="720"/>
              </w:tabs>
              <w:spacing w:line="360" w:lineRule="auto"/>
              <w:ind w:left="420"/>
              <w:jc w:val="center"/>
              <w:rPr>
                <w:rFonts w:asciiTheme="minorEastAsia" w:hAnsiTheme="minorEastAsia" w:eastAsiaTheme="minorEastAsia"/>
                <w:szCs w:val="21"/>
                <w:highlight w:val="none"/>
              </w:rPr>
            </w:pPr>
          </w:p>
        </w:tc>
        <w:tc>
          <w:tcPr>
            <w:tcW w:w="1984" w:type="dxa"/>
            <w:vAlign w:val="center"/>
          </w:tcPr>
          <w:p w14:paraId="6553E1C3">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2B8DC6B4">
            <w:pPr>
              <w:tabs>
                <w:tab w:val="left" w:pos="720"/>
              </w:tabs>
              <w:spacing w:line="360" w:lineRule="auto"/>
              <w:ind w:left="420"/>
              <w:jc w:val="center"/>
              <w:rPr>
                <w:rFonts w:asciiTheme="minorEastAsia" w:hAnsiTheme="minorEastAsia" w:eastAsiaTheme="minorEastAsia"/>
                <w:szCs w:val="21"/>
                <w:highlight w:val="none"/>
              </w:rPr>
            </w:pPr>
          </w:p>
        </w:tc>
      </w:tr>
      <w:tr w14:paraId="15330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6AAFD6B0">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7</w:t>
            </w:r>
          </w:p>
        </w:tc>
        <w:tc>
          <w:tcPr>
            <w:tcW w:w="1976" w:type="dxa"/>
            <w:vAlign w:val="center"/>
          </w:tcPr>
          <w:p w14:paraId="0A2211EE">
            <w:pPr>
              <w:keepNext w:val="0"/>
              <w:keepLines w:val="0"/>
              <w:widowControl/>
              <w:suppressLineNumbers w:val="0"/>
              <w:jc w:val="center"/>
              <w:textAlignment w:val="center"/>
              <w:rPr>
                <w:rFonts w:hint="eastAsia"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服务保障措施</w:t>
            </w:r>
          </w:p>
        </w:tc>
        <w:tc>
          <w:tcPr>
            <w:tcW w:w="1843" w:type="dxa"/>
          </w:tcPr>
          <w:p w14:paraId="5C41F2BE">
            <w:pPr>
              <w:tabs>
                <w:tab w:val="left" w:pos="720"/>
              </w:tabs>
              <w:spacing w:line="360" w:lineRule="auto"/>
              <w:ind w:left="420"/>
              <w:jc w:val="center"/>
              <w:rPr>
                <w:rFonts w:asciiTheme="minorEastAsia" w:hAnsiTheme="minorEastAsia" w:eastAsiaTheme="minorEastAsia"/>
                <w:szCs w:val="21"/>
                <w:highlight w:val="none"/>
              </w:rPr>
            </w:pPr>
          </w:p>
        </w:tc>
        <w:tc>
          <w:tcPr>
            <w:tcW w:w="1984" w:type="dxa"/>
            <w:vAlign w:val="center"/>
          </w:tcPr>
          <w:p w14:paraId="0AF7A4A9">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64CBE193">
            <w:pPr>
              <w:tabs>
                <w:tab w:val="left" w:pos="720"/>
              </w:tabs>
              <w:spacing w:line="360" w:lineRule="auto"/>
              <w:ind w:left="420"/>
              <w:jc w:val="center"/>
              <w:rPr>
                <w:rFonts w:asciiTheme="minorEastAsia" w:hAnsiTheme="minorEastAsia" w:eastAsiaTheme="minorEastAsia"/>
                <w:szCs w:val="21"/>
                <w:highlight w:val="none"/>
              </w:rPr>
            </w:pPr>
          </w:p>
        </w:tc>
      </w:tr>
      <w:tr w14:paraId="3BBB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75026760">
            <w:pPr>
              <w:tabs>
                <w:tab w:val="left" w:pos="720"/>
              </w:tabs>
              <w:spacing w:line="360" w:lineRule="auto"/>
              <w:jc w:val="center"/>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val="en-US" w:eastAsia="zh-CN"/>
              </w:rPr>
              <w:t>8</w:t>
            </w:r>
          </w:p>
        </w:tc>
        <w:tc>
          <w:tcPr>
            <w:tcW w:w="1976" w:type="dxa"/>
            <w:vAlign w:val="center"/>
          </w:tcPr>
          <w:p w14:paraId="44B37C4B">
            <w:pPr>
              <w:keepNext w:val="0"/>
              <w:keepLines w:val="0"/>
              <w:widowControl/>
              <w:suppressLineNumbers w:val="0"/>
              <w:jc w:val="center"/>
              <w:textAlignment w:val="center"/>
              <w:rPr>
                <w:rFonts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进度安排</w:t>
            </w:r>
          </w:p>
        </w:tc>
        <w:tc>
          <w:tcPr>
            <w:tcW w:w="1843" w:type="dxa"/>
          </w:tcPr>
          <w:p w14:paraId="59740518">
            <w:pPr>
              <w:tabs>
                <w:tab w:val="left" w:pos="720"/>
              </w:tabs>
              <w:spacing w:line="360" w:lineRule="auto"/>
              <w:ind w:left="420"/>
              <w:jc w:val="center"/>
              <w:rPr>
                <w:rFonts w:asciiTheme="minorEastAsia" w:hAnsiTheme="minorEastAsia" w:eastAsiaTheme="minorEastAsia"/>
                <w:szCs w:val="21"/>
                <w:highlight w:val="none"/>
              </w:rPr>
            </w:pPr>
          </w:p>
        </w:tc>
        <w:tc>
          <w:tcPr>
            <w:tcW w:w="1984" w:type="dxa"/>
            <w:vAlign w:val="center"/>
          </w:tcPr>
          <w:p w14:paraId="212FD000">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335D4076">
            <w:pPr>
              <w:tabs>
                <w:tab w:val="left" w:pos="720"/>
              </w:tabs>
              <w:spacing w:line="360" w:lineRule="auto"/>
              <w:ind w:left="420"/>
              <w:jc w:val="center"/>
              <w:rPr>
                <w:rFonts w:asciiTheme="minorEastAsia" w:hAnsiTheme="minorEastAsia" w:eastAsiaTheme="minorEastAsia"/>
                <w:szCs w:val="21"/>
                <w:highlight w:val="none"/>
              </w:rPr>
            </w:pPr>
          </w:p>
        </w:tc>
      </w:tr>
      <w:tr w14:paraId="1FD0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72C8A07E">
            <w:pPr>
              <w:tabs>
                <w:tab w:val="left" w:pos="720"/>
              </w:tabs>
              <w:spacing w:line="360" w:lineRule="auto"/>
              <w:jc w:val="center"/>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val="en-US" w:eastAsia="zh-CN"/>
              </w:rPr>
              <w:t>9</w:t>
            </w:r>
          </w:p>
        </w:tc>
        <w:tc>
          <w:tcPr>
            <w:tcW w:w="1976" w:type="dxa"/>
            <w:vAlign w:val="center"/>
          </w:tcPr>
          <w:p w14:paraId="0F01053C">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软件安全管理</w:t>
            </w:r>
          </w:p>
        </w:tc>
        <w:tc>
          <w:tcPr>
            <w:tcW w:w="1843" w:type="dxa"/>
          </w:tcPr>
          <w:p w14:paraId="72540493">
            <w:pPr>
              <w:tabs>
                <w:tab w:val="left" w:pos="720"/>
              </w:tabs>
              <w:spacing w:line="360" w:lineRule="auto"/>
              <w:ind w:left="420"/>
              <w:jc w:val="center"/>
              <w:rPr>
                <w:rFonts w:asciiTheme="minorEastAsia" w:hAnsiTheme="minorEastAsia" w:eastAsiaTheme="minorEastAsia"/>
                <w:szCs w:val="21"/>
                <w:highlight w:val="none"/>
              </w:rPr>
            </w:pPr>
          </w:p>
        </w:tc>
        <w:tc>
          <w:tcPr>
            <w:tcW w:w="1984" w:type="dxa"/>
            <w:vAlign w:val="center"/>
          </w:tcPr>
          <w:p w14:paraId="78AF906C">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3C4F1B9F">
            <w:pPr>
              <w:tabs>
                <w:tab w:val="left" w:pos="720"/>
              </w:tabs>
              <w:spacing w:line="360" w:lineRule="auto"/>
              <w:ind w:left="420"/>
              <w:jc w:val="center"/>
              <w:rPr>
                <w:rFonts w:asciiTheme="minorEastAsia" w:hAnsiTheme="minorEastAsia" w:eastAsiaTheme="minorEastAsia"/>
                <w:szCs w:val="21"/>
                <w:highlight w:val="none"/>
              </w:rPr>
            </w:pPr>
          </w:p>
        </w:tc>
      </w:tr>
      <w:tr w14:paraId="1030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440741AA">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10</w:t>
            </w:r>
          </w:p>
        </w:tc>
        <w:tc>
          <w:tcPr>
            <w:tcW w:w="1976" w:type="dxa"/>
            <w:vAlign w:val="center"/>
          </w:tcPr>
          <w:p w14:paraId="7E090361">
            <w:pPr>
              <w:keepNext w:val="0"/>
              <w:keepLines w:val="0"/>
              <w:widowControl/>
              <w:suppressLineNumbers w:val="0"/>
              <w:jc w:val="center"/>
              <w:textAlignment w:val="center"/>
              <w:rPr>
                <w:rFonts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网络安全管理能力</w:t>
            </w:r>
          </w:p>
        </w:tc>
        <w:tc>
          <w:tcPr>
            <w:tcW w:w="1843" w:type="dxa"/>
          </w:tcPr>
          <w:p w14:paraId="0A5CF326">
            <w:pPr>
              <w:tabs>
                <w:tab w:val="left" w:pos="720"/>
              </w:tabs>
              <w:spacing w:line="360" w:lineRule="auto"/>
              <w:ind w:left="420"/>
              <w:jc w:val="center"/>
              <w:rPr>
                <w:rFonts w:asciiTheme="minorEastAsia" w:hAnsiTheme="minorEastAsia" w:eastAsiaTheme="minorEastAsia"/>
                <w:szCs w:val="21"/>
                <w:highlight w:val="none"/>
              </w:rPr>
            </w:pPr>
          </w:p>
        </w:tc>
        <w:tc>
          <w:tcPr>
            <w:tcW w:w="1984" w:type="dxa"/>
            <w:vAlign w:val="center"/>
          </w:tcPr>
          <w:p w14:paraId="152A0DA8">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7BB99F2E">
            <w:pPr>
              <w:tabs>
                <w:tab w:val="left" w:pos="720"/>
              </w:tabs>
              <w:spacing w:line="360" w:lineRule="auto"/>
              <w:jc w:val="center"/>
              <w:rPr>
                <w:rFonts w:asciiTheme="minorEastAsia" w:hAnsiTheme="minorEastAsia" w:eastAsiaTheme="minorEastAsia"/>
                <w:szCs w:val="21"/>
                <w:highlight w:val="none"/>
              </w:rPr>
            </w:pPr>
          </w:p>
        </w:tc>
      </w:tr>
      <w:tr w14:paraId="35BAF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49638C91">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11</w:t>
            </w:r>
          </w:p>
        </w:tc>
        <w:tc>
          <w:tcPr>
            <w:tcW w:w="1976" w:type="dxa"/>
            <w:vAlign w:val="center"/>
          </w:tcPr>
          <w:p w14:paraId="560E7A1B">
            <w:pPr>
              <w:keepNext w:val="0"/>
              <w:keepLines w:val="0"/>
              <w:widowControl/>
              <w:suppressLineNumbers w:val="0"/>
              <w:jc w:val="center"/>
              <w:textAlignment w:val="center"/>
              <w:rPr>
                <w:rFonts w:hint="eastAsia"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著作权证书</w:t>
            </w:r>
          </w:p>
        </w:tc>
        <w:tc>
          <w:tcPr>
            <w:tcW w:w="1843" w:type="dxa"/>
          </w:tcPr>
          <w:p w14:paraId="688190BC">
            <w:pPr>
              <w:tabs>
                <w:tab w:val="left" w:pos="720"/>
              </w:tabs>
              <w:spacing w:line="360" w:lineRule="auto"/>
              <w:ind w:left="420"/>
              <w:jc w:val="center"/>
              <w:rPr>
                <w:rFonts w:asciiTheme="minorEastAsia" w:hAnsiTheme="minorEastAsia" w:eastAsiaTheme="minorEastAsia"/>
                <w:szCs w:val="21"/>
                <w:highlight w:val="none"/>
              </w:rPr>
            </w:pPr>
          </w:p>
        </w:tc>
        <w:tc>
          <w:tcPr>
            <w:tcW w:w="1984" w:type="dxa"/>
            <w:vAlign w:val="center"/>
          </w:tcPr>
          <w:p w14:paraId="50DB76CF">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365104E3">
            <w:pPr>
              <w:tabs>
                <w:tab w:val="left" w:pos="720"/>
              </w:tabs>
              <w:spacing w:line="360" w:lineRule="auto"/>
              <w:jc w:val="center"/>
              <w:rPr>
                <w:rFonts w:asciiTheme="minorEastAsia" w:hAnsiTheme="minorEastAsia" w:eastAsiaTheme="minorEastAsia"/>
                <w:szCs w:val="21"/>
                <w:highlight w:val="none"/>
              </w:rPr>
            </w:pPr>
          </w:p>
        </w:tc>
      </w:tr>
      <w:tr w14:paraId="6AAAD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3939DA40">
            <w:pPr>
              <w:tabs>
                <w:tab w:val="left" w:pos="720"/>
              </w:tabs>
              <w:spacing w:line="360" w:lineRule="auto"/>
              <w:jc w:val="center"/>
              <w:rPr>
                <w:rFonts w:hint="eastAsia" w:asciiTheme="minorEastAsia" w:hAnsiTheme="minorEastAsia" w:eastAsiaTheme="minorEastAsia"/>
                <w:szCs w:val="21"/>
                <w:highlight w:val="none"/>
                <w:lang w:val="en-US" w:eastAsia="zh-CN"/>
              </w:rPr>
            </w:pPr>
          </w:p>
        </w:tc>
        <w:tc>
          <w:tcPr>
            <w:tcW w:w="1976" w:type="dxa"/>
            <w:vAlign w:val="center"/>
          </w:tcPr>
          <w:p w14:paraId="4C32B4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3" w:type="dxa"/>
          </w:tcPr>
          <w:p w14:paraId="02981B75">
            <w:pPr>
              <w:tabs>
                <w:tab w:val="left" w:pos="720"/>
              </w:tabs>
              <w:spacing w:line="360" w:lineRule="auto"/>
              <w:ind w:left="420"/>
              <w:jc w:val="center"/>
              <w:rPr>
                <w:rFonts w:asciiTheme="minorEastAsia" w:hAnsiTheme="minorEastAsia" w:eastAsiaTheme="minorEastAsia"/>
                <w:szCs w:val="21"/>
                <w:highlight w:val="none"/>
              </w:rPr>
            </w:pPr>
          </w:p>
        </w:tc>
        <w:tc>
          <w:tcPr>
            <w:tcW w:w="1984" w:type="dxa"/>
            <w:vAlign w:val="center"/>
          </w:tcPr>
          <w:p w14:paraId="5D6FEF6F">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66E72770">
            <w:pPr>
              <w:tabs>
                <w:tab w:val="left" w:pos="720"/>
              </w:tabs>
              <w:spacing w:line="360" w:lineRule="auto"/>
              <w:jc w:val="center"/>
              <w:rPr>
                <w:rFonts w:asciiTheme="minorEastAsia" w:hAnsiTheme="minorEastAsia" w:eastAsiaTheme="minorEastAsia"/>
                <w:szCs w:val="21"/>
                <w:highlight w:val="none"/>
              </w:rPr>
            </w:pPr>
          </w:p>
        </w:tc>
      </w:tr>
      <w:tr w14:paraId="3A06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22923926">
            <w:pPr>
              <w:tabs>
                <w:tab w:val="left" w:pos="720"/>
              </w:tabs>
              <w:spacing w:line="360" w:lineRule="auto"/>
              <w:jc w:val="center"/>
              <w:rPr>
                <w:rFonts w:hint="eastAsia" w:asciiTheme="minorEastAsia" w:hAnsiTheme="minorEastAsia" w:eastAsiaTheme="minorEastAsia"/>
                <w:szCs w:val="21"/>
                <w:highlight w:val="none"/>
                <w:lang w:val="en-US" w:eastAsia="zh-CN"/>
              </w:rPr>
            </w:pPr>
          </w:p>
        </w:tc>
        <w:tc>
          <w:tcPr>
            <w:tcW w:w="1976" w:type="dxa"/>
            <w:vAlign w:val="center"/>
          </w:tcPr>
          <w:p w14:paraId="75793C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3" w:type="dxa"/>
          </w:tcPr>
          <w:p w14:paraId="6E440941">
            <w:pPr>
              <w:tabs>
                <w:tab w:val="left" w:pos="720"/>
              </w:tabs>
              <w:spacing w:line="360" w:lineRule="auto"/>
              <w:ind w:left="420"/>
              <w:jc w:val="center"/>
              <w:rPr>
                <w:rFonts w:asciiTheme="minorEastAsia" w:hAnsiTheme="minorEastAsia" w:eastAsiaTheme="minorEastAsia"/>
                <w:szCs w:val="21"/>
                <w:highlight w:val="none"/>
              </w:rPr>
            </w:pPr>
          </w:p>
        </w:tc>
        <w:tc>
          <w:tcPr>
            <w:tcW w:w="1984" w:type="dxa"/>
            <w:vAlign w:val="center"/>
          </w:tcPr>
          <w:p w14:paraId="65FD3DD7">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28B0DD74">
            <w:pPr>
              <w:tabs>
                <w:tab w:val="left" w:pos="720"/>
              </w:tabs>
              <w:spacing w:line="360" w:lineRule="auto"/>
              <w:jc w:val="center"/>
              <w:rPr>
                <w:rFonts w:asciiTheme="minorEastAsia" w:hAnsiTheme="minorEastAsia" w:eastAsiaTheme="minorEastAsia"/>
                <w:szCs w:val="21"/>
                <w:highlight w:val="none"/>
              </w:rPr>
            </w:pPr>
          </w:p>
        </w:tc>
      </w:tr>
      <w:tr w14:paraId="1411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47D2B56A">
            <w:pPr>
              <w:tabs>
                <w:tab w:val="left" w:pos="720"/>
              </w:tabs>
              <w:spacing w:line="360" w:lineRule="auto"/>
              <w:jc w:val="center"/>
              <w:rPr>
                <w:rFonts w:hint="eastAsia" w:asciiTheme="minorEastAsia" w:hAnsiTheme="minorEastAsia" w:eastAsiaTheme="minorEastAsia"/>
                <w:szCs w:val="21"/>
                <w:highlight w:val="none"/>
                <w:lang w:val="en-US" w:eastAsia="zh-CN"/>
              </w:rPr>
            </w:pPr>
          </w:p>
        </w:tc>
        <w:tc>
          <w:tcPr>
            <w:tcW w:w="1976" w:type="dxa"/>
            <w:vAlign w:val="center"/>
          </w:tcPr>
          <w:p w14:paraId="2E759C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3" w:type="dxa"/>
          </w:tcPr>
          <w:p w14:paraId="6684D7FF">
            <w:pPr>
              <w:tabs>
                <w:tab w:val="left" w:pos="720"/>
              </w:tabs>
              <w:spacing w:line="360" w:lineRule="auto"/>
              <w:ind w:left="420"/>
              <w:jc w:val="center"/>
              <w:rPr>
                <w:rFonts w:asciiTheme="minorEastAsia" w:hAnsiTheme="minorEastAsia" w:eastAsiaTheme="minorEastAsia"/>
                <w:szCs w:val="21"/>
                <w:highlight w:val="none"/>
              </w:rPr>
            </w:pPr>
          </w:p>
        </w:tc>
        <w:tc>
          <w:tcPr>
            <w:tcW w:w="1984" w:type="dxa"/>
            <w:vAlign w:val="center"/>
          </w:tcPr>
          <w:p w14:paraId="6311DA79">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02A30E00">
            <w:pPr>
              <w:tabs>
                <w:tab w:val="left" w:pos="720"/>
              </w:tabs>
              <w:spacing w:line="360" w:lineRule="auto"/>
              <w:jc w:val="center"/>
              <w:rPr>
                <w:rFonts w:asciiTheme="minorEastAsia" w:hAnsiTheme="minorEastAsia" w:eastAsiaTheme="minorEastAsia"/>
                <w:szCs w:val="21"/>
                <w:highlight w:val="none"/>
              </w:rPr>
            </w:pPr>
          </w:p>
        </w:tc>
      </w:tr>
    </w:tbl>
    <w:p w14:paraId="0F0B6AEB">
      <w:pPr>
        <w:topLinePunct/>
        <w:spacing w:line="440" w:lineRule="exact"/>
        <w:ind w:left="360"/>
        <w:jc w:val="left"/>
        <w:rPr>
          <w:rFonts w:asciiTheme="minorEastAsia" w:hAnsiTheme="minorEastAsia" w:eastAsiaTheme="minorEastAsia"/>
          <w:b/>
          <w:highlight w:val="none"/>
        </w:rPr>
      </w:pPr>
    </w:p>
    <w:p w14:paraId="125EE485">
      <w:pPr>
        <w:topLinePunct/>
        <w:spacing w:line="440" w:lineRule="exact"/>
        <w:ind w:left="360"/>
        <w:jc w:val="left"/>
        <w:rPr>
          <w:rFonts w:asciiTheme="minorEastAsia" w:hAnsiTheme="minorEastAsia" w:eastAsiaTheme="minorEastAsia"/>
          <w:b/>
          <w:highlight w:val="none"/>
        </w:rPr>
      </w:pPr>
    </w:p>
    <w:p w14:paraId="1A9050D0">
      <w:pPr>
        <w:topLinePunct/>
        <w:spacing w:line="440" w:lineRule="exact"/>
        <w:jc w:val="left"/>
        <w:rPr>
          <w:rFonts w:hint="eastAsia"/>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highlight w:val="none"/>
        </w:rPr>
        <w:t>投标人可以根据实际情况对本文件进行调整和修改，但应满足招标文件对本文件</w:t>
      </w:r>
    </w:p>
    <w:p w14:paraId="535FBD21">
      <w:pPr>
        <w:topLinePunct/>
        <w:spacing w:line="440" w:lineRule="exact"/>
        <w:jc w:val="left"/>
        <w:rPr>
          <w:rFonts w:hint="eastAsia"/>
          <w:highlight w:val="none"/>
        </w:rPr>
      </w:pPr>
      <w:r>
        <w:rPr>
          <w:rFonts w:hint="eastAsia"/>
          <w:highlight w:val="none"/>
        </w:rPr>
        <w:t>的要求。</w:t>
      </w:r>
    </w:p>
    <w:p w14:paraId="189ED2C6">
      <w:pPr>
        <w:rPr>
          <w:rFonts w:hint="eastAsia"/>
          <w:highlight w:val="none"/>
        </w:rPr>
      </w:pPr>
    </w:p>
    <w:p w14:paraId="6EECFA76">
      <w:pPr>
        <w:rPr>
          <w:rFonts w:hint="eastAsia"/>
          <w:highlight w:val="none"/>
        </w:rPr>
      </w:pPr>
      <w:r>
        <w:rPr>
          <w:rFonts w:hint="eastAsia"/>
          <w:highlight w:val="none"/>
        </w:rPr>
        <w:br w:type="page"/>
      </w:r>
    </w:p>
    <w:p w14:paraId="0A923036">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rPr>
      </w:pPr>
      <w:bookmarkStart w:id="1162" w:name="_Toc31307"/>
      <w:bookmarkStart w:id="1163" w:name="_Toc29439"/>
      <w:bookmarkStart w:id="1164" w:name="_Toc32116"/>
      <w:bookmarkStart w:id="1165" w:name="_Toc28669"/>
      <w:bookmarkStart w:id="1166" w:name="_Toc12626"/>
      <w:bookmarkStart w:id="1167" w:name="_Toc7322"/>
      <w:bookmarkStart w:id="1168" w:name="_Toc14657"/>
      <w:bookmarkStart w:id="1169" w:name="_Toc23084"/>
      <w:bookmarkStart w:id="1170" w:name="_Toc3765"/>
      <w:bookmarkStart w:id="1171" w:name="_Toc11759"/>
      <w:r>
        <w:rPr>
          <w:rFonts w:hint="eastAsia" w:cs="Times New Roman" w:asciiTheme="minorEastAsia" w:hAnsiTheme="minorEastAsia" w:eastAsiaTheme="minorEastAsia"/>
          <w:b/>
          <w:bCs/>
          <w:kern w:val="2"/>
          <w:sz w:val="24"/>
          <w:szCs w:val="24"/>
          <w:lang w:val="en-US" w:eastAsia="zh-CN" w:bidi="ar-SA"/>
        </w:rPr>
        <w:t>30.</w:t>
      </w:r>
      <w:r>
        <w:rPr>
          <w:rFonts w:hint="eastAsia" w:asciiTheme="minorEastAsia" w:hAnsiTheme="minorEastAsia" w:eastAsiaTheme="minorEastAsia"/>
          <w:sz w:val="24"/>
          <w:szCs w:val="24"/>
        </w:rPr>
        <w:t>技术规范书偏离表</w:t>
      </w:r>
      <w:bookmarkEnd w:id="1162"/>
      <w:bookmarkEnd w:id="1163"/>
      <w:bookmarkEnd w:id="1164"/>
      <w:bookmarkEnd w:id="1165"/>
      <w:bookmarkEnd w:id="1166"/>
      <w:bookmarkEnd w:id="1167"/>
      <w:bookmarkEnd w:id="1168"/>
      <w:bookmarkEnd w:id="1169"/>
      <w:bookmarkEnd w:id="1170"/>
      <w:bookmarkEnd w:id="1171"/>
    </w:p>
    <w:p w14:paraId="2EDD2B43">
      <w:pPr>
        <w:pStyle w:val="101"/>
        <w:ind w:firstLine="0" w:firstLineChars="0"/>
        <w:jc w:val="center"/>
        <w:rPr>
          <w:rFonts w:asciiTheme="minorEastAsia" w:hAnsiTheme="minorEastAsia" w:eastAsiaTheme="minorEastAsia"/>
          <w:b/>
          <w:sz w:val="24"/>
        </w:rPr>
      </w:pPr>
      <w:r>
        <w:rPr>
          <w:rFonts w:hint="eastAsia" w:asciiTheme="minorEastAsia" w:hAnsiTheme="minorEastAsia" w:eastAsiaTheme="minorEastAsia"/>
          <w:b/>
          <w:sz w:val="24"/>
        </w:rPr>
        <w:t>技术规范书偏离表</w:t>
      </w:r>
    </w:p>
    <w:p w14:paraId="062CD39C">
      <w:pPr>
        <w:jc w:val="center"/>
        <w:rPr>
          <w:rFonts w:cs="宋体" w:asciiTheme="minorEastAsia" w:hAnsiTheme="minorEastAsia" w:eastAsiaTheme="minorEastAsia"/>
          <w:sz w:val="24"/>
        </w:rPr>
      </w:pPr>
    </w:p>
    <w:p w14:paraId="11B462C1">
      <w:pPr>
        <w:adjustRightInd w:val="0"/>
        <w:snapToGrid w:val="0"/>
        <w:spacing w:after="120" w:line="440" w:lineRule="exact"/>
        <w:rPr>
          <w:rFonts w:cs="宋体" w:asciiTheme="minorEastAsia" w:hAnsiTheme="minorEastAsia" w:eastAsiaTheme="minorEastAsia"/>
          <w:szCs w:val="21"/>
        </w:rPr>
      </w:pPr>
      <w:r>
        <w:rPr>
          <w:rFonts w:hint="eastAsia" w:cs="宋体" w:asciiTheme="minorEastAsia" w:hAnsiTheme="minorEastAsia" w:eastAsiaTheme="minorEastAsia"/>
          <w:szCs w:val="21"/>
        </w:rPr>
        <w:t>项目</w:t>
      </w:r>
      <w:r>
        <w:rPr>
          <w:rFonts w:cs="宋体" w:asciiTheme="minorEastAsia" w:hAnsiTheme="minorEastAsia" w:eastAsiaTheme="minorEastAsia"/>
          <w:szCs w:val="21"/>
        </w:rPr>
        <w:t>名称：</w:t>
      </w:r>
      <w:r>
        <w:rPr>
          <w:rFonts w:cs="宋体" w:asciiTheme="minorEastAsia" w:hAnsiTheme="minorEastAsia" w:eastAsiaTheme="minorEastAsia"/>
          <w:szCs w:val="21"/>
          <w:u w:val="single"/>
        </w:rPr>
        <w:t xml:space="preserve">                            </w:t>
      </w:r>
      <w:r>
        <w:rPr>
          <w:rFonts w:cs="宋体" w:asciiTheme="minorEastAsia" w:hAnsiTheme="minorEastAsia" w:eastAsiaTheme="minorEastAsia"/>
          <w:szCs w:val="21"/>
        </w:rPr>
        <w:t>招标编号：</w:t>
      </w:r>
      <w:r>
        <w:rPr>
          <w:rFonts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标包</w:t>
      </w:r>
      <w:r>
        <w:rPr>
          <w:rFonts w:cs="宋体" w:asciiTheme="minorEastAsia" w:hAnsiTheme="minorEastAsia" w:eastAsiaTheme="minorEastAsia"/>
          <w:szCs w:val="21"/>
        </w:rPr>
        <w:t>：</w:t>
      </w:r>
      <w:r>
        <w:rPr>
          <w:rFonts w:cs="宋体" w:asciiTheme="minorEastAsia" w:hAnsiTheme="minorEastAsia" w:eastAsiaTheme="minorEastAsia"/>
          <w:szCs w:val="21"/>
          <w:u w:val="single"/>
        </w:rPr>
        <w:t xml:space="preserve">       </w:t>
      </w:r>
    </w:p>
    <w:tbl>
      <w:tblPr>
        <w:tblStyle w:val="85"/>
        <w:tblW w:w="8438" w:type="dxa"/>
        <w:tblInd w:w="4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5"/>
        <w:gridCol w:w="1746"/>
        <w:gridCol w:w="2208"/>
        <w:gridCol w:w="2435"/>
        <w:gridCol w:w="1364"/>
      </w:tblGrid>
      <w:tr w14:paraId="6E3EC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3" w:hRule="atLeast"/>
        </w:trPr>
        <w:tc>
          <w:tcPr>
            <w:tcW w:w="685" w:type="dxa"/>
            <w:vAlign w:val="center"/>
          </w:tcPr>
          <w:p w14:paraId="0D4415BF">
            <w:pPr>
              <w:keepNext w:val="0"/>
              <w:keepLines w:val="0"/>
              <w:suppressLineNumbers w:val="0"/>
              <w:adjustRightInd w:val="0"/>
              <w:snapToGrid w:val="0"/>
              <w:spacing w:before="0" w:beforeAutospacing="0" w:after="0" w:afterAutospacing="0" w:line="440" w:lineRule="exact"/>
              <w:ind w:left="0" w:right="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序号</w:t>
            </w:r>
          </w:p>
        </w:tc>
        <w:tc>
          <w:tcPr>
            <w:tcW w:w="1746" w:type="dxa"/>
            <w:vAlign w:val="center"/>
          </w:tcPr>
          <w:p w14:paraId="3C86D319">
            <w:pPr>
              <w:keepNext w:val="0"/>
              <w:keepLines w:val="0"/>
              <w:suppressLineNumbers w:val="0"/>
              <w:adjustRightInd w:val="0"/>
              <w:snapToGrid w:val="0"/>
              <w:spacing w:before="0" w:beforeAutospacing="0" w:after="0" w:afterAutospacing="0" w:line="440" w:lineRule="exact"/>
              <w:ind w:left="0" w:right="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招标文件条目号</w:t>
            </w:r>
          </w:p>
        </w:tc>
        <w:tc>
          <w:tcPr>
            <w:tcW w:w="2208" w:type="dxa"/>
            <w:vAlign w:val="center"/>
          </w:tcPr>
          <w:p w14:paraId="7E66342E">
            <w:pPr>
              <w:keepNext w:val="0"/>
              <w:keepLines w:val="0"/>
              <w:suppressLineNumbers w:val="0"/>
              <w:adjustRightInd w:val="0"/>
              <w:snapToGrid w:val="0"/>
              <w:spacing w:before="0" w:beforeAutospacing="0" w:after="0" w:afterAutospacing="0" w:line="440" w:lineRule="exact"/>
              <w:ind w:left="0" w:right="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招标文件的技术条款</w:t>
            </w:r>
          </w:p>
        </w:tc>
        <w:tc>
          <w:tcPr>
            <w:tcW w:w="2435" w:type="dxa"/>
            <w:vAlign w:val="center"/>
          </w:tcPr>
          <w:p w14:paraId="7E838868">
            <w:pPr>
              <w:keepNext w:val="0"/>
              <w:keepLines w:val="0"/>
              <w:suppressLineNumbers w:val="0"/>
              <w:adjustRightInd w:val="0"/>
              <w:snapToGrid w:val="0"/>
              <w:spacing w:before="0" w:beforeAutospacing="0" w:after="0" w:afterAutospacing="0" w:line="440" w:lineRule="exact"/>
              <w:ind w:left="0" w:right="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投标文件偏离情况</w:t>
            </w:r>
          </w:p>
        </w:tc>
        <w:tc>
          <w:tcPr>
            <w:tcW w:w="1364" w:type="dxa"/>
            <w:vAlign w:val="center"/>
          </w:tcPr>
          <w:p w14:paraId="2B738620">
            <w:pPr>
              <w:keepNext w:val="0"/>
              <w:keepLines w:val="0"/>
              <w:suppressLineNumbers w:val="0"/>
              <w:adjustRightInd w:val="0"/>
              <w:snapToGrid w:val="0"/>
              <w:spacing w:before="0" w:beforeAutospacing="0" w:after="0" w:afterAutospacing="0" w:line="440" w:lineRule="exact"/>
              <w:ind w:left="0" w:right="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说明</w:t>
            </w:r>
          </w:p>
        </w:tc>
      </w:tr>
      <w:tr w14:paraId="5976E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08EC5E07">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1746" w:type="dxa"/>
            <w:vAlign w:val="center"/>
          </w:tcPr>
          <w:p w14:paraId="4B2E80BE">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2208" w:type="dxa"/>
            <w:vAlign w:val="center"/>
          </w:tcPr>
          <w:p w14:paraId="06A914A7">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2435" w:type="dxa"/>
            <w:vAlign w:val="center"/>
          </w:tcPr>
          <w:p w14:paraId="331070A2">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1364" w:type="dxa"/>
            <w:vAlign w:val="center"/>
          </w:tcPr>
          <w:p w14:paraId="487E9A86">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r>
      <w:tr w14:paraId="5F966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1CABBE12">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1746" w:type="dxa"/>
            <w:vAlign w:val="center"/>
          </w:tcPr>
          <w:p w14:paraId="65A9EA9C">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2208" w:type="dxa"/>
            <w:vAlign w:val="center"/>
          </w:tcPr>
          <w:p w14:paraId="4135EDF4">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2435" w:type="dxa"/>
            <w:vAlign w:val="center"/>
          </w:tcPr>
          <w:p w14:paraId="020F601F">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1364" w:type="dxa"/>
            <w:vAlign w:val="center"/>
          </w:tcPr>
          <w:p w14:paraId="2BFF3719">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r>
      <w:tr w14:paraId="33E510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29BA14F6">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1746" w:type="dxa"/>
            <w:vAlign w:val="center"/>
          </w:tcPr>
          <w:p w14:paraId="2B07DAD9">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2208" w:type="dxa"/>
            <w:vAlign w:val="center"/>
          </w:tcPr>
          <w:p w14:paraId="42F4D885">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2435" w:type="dxa"/>
            <w:vAlign w:val="center"/>
          </w:tcPr>
          <w:p w14:paraId="13164511">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1364" w:type="dxa"/>
            <w:vAlign w:val="center"/>
          </w:tcPr>
          <w:p w14:paraId="54A83564">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r>
      <w:tr w14:paraId="509DA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6" w:hRule="atLeast"/>
        </w:trPr>
        <w:tc>
          <w:tcPr>
            <w:tcW w:w="685" w:type="dxa"/>
            <w:vAlign w:val="center"/>
          </w:tcPr>
          <w:p w14:paraId="0B6AA7A7">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1746" w:type="dxa"/>
            <w:vAlign w:val="center"/>
          </w:tcPr>
          <w:p w14:paraId="617538A7">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2208" w:type="dxa"/>
            <w:vAlign w:val="center"/>
          </w:tcPr>
          <w:p w14:paraId="076549B9">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2435" w:type="dxa"/>
            <w:vAlign w:val="center"/>
          </w:tcPr>
          <w:p w14:paraId="12DBEF52">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1364" w:type="dxa"/>
            <w:vAlign w:val="center"/>
          </w:tcPr>
          <w:p w14:paraId="5289B6E6">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r>
      <w:tr w14:paraId="14D7A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3618C382">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1746" w:type="dxa"/>
            <w:vAlign w:val="center"/>
          </w:tcPr>
          <w:p w14:paraId="5506D51A">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2208" w:type="dxa"/>
            <w:vAlign w:val="center"/>
          </w:tcPr>
          <w:p w14:paraId="1C7C255F">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2435" w:type="dxa"/>
            <w:vAlign w:val="center"/>
          </w:tcPr>
          <w:p w14:paraId="51F763DC">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1364" w:type="dxa"/>
            <w:vAlign w:val="center"/>
          </w:tcPr>
          <w:p w14:paraId="5DC8EB28">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r>
    </w:tbl>
    <w:p w14:paraId="1C874FF3">
      <w:pPr>
        <w:adjustRightInd w:val="0"/>
        <w:snapToGrid w:val="0"/>
        <w:spacing w:after="120" w:line="440" w:lineRule="exact"/>
        <w:ind w:left="693" w:hanging="693" w:hangingChars="330"/>
        <w:rPr>
          <w:rFonts w:cs="宋体" w:asciiTheme="minorEastAsia" w:hAnsiTheme="minorEastAsia" w:eastAsiaTheme="minorEastAsia"/>
          <w:szCs w:val="21"/>
        </w:rPr>
      </w:pPr>
    </w:p>
    <w:p w14:paraId="0B1C630C">
      <w:pPr>
        <w:spacing w:line="440" w:lineRule="exact"/>
        <w:ind w:firstLine="1134" w:firstLineChars="540"/>
        <w:rPr>
          <w:rFonts w:cs="Arial" w:asciiTheme="minorEastAsia" w:hAnsiTheme="minorEastAsia" w:eastAsiaTheme="minorEastAsia"/>
          <w:bCs/>
          <w:szCs w:val="21"/>
        </w:rPr>
      </w:pPr>
      <w:r>
        <w:rPr>
          <w:rFonts w:hint="eastAsia" w:asciiTheme="minorEastAsia" w:hAnsiTheme="minorEastAsia" w:eastAsiaTheme="minorEastAsia"/>
          <w:szCs w:val="21"/>
        </w:rPr>
        <w:t>投标人名称：</w:t>
      </w:r>
      <w:r>
        <w:rPr>
          <w:rFonts w:hint="eastAsia" w:asciiTheme="minorEastAsia" w:hAnsiTheme="minorEastAsia" w:eastAsiaTheme="minorEastAsia"/>
          <w:szCs w:val="21"/>
          <w:u w:val="single"/>
        </w:rPr>
        <w:t>　　　　　　　　</w:t>
      </w:r>
    </w:p>
    <w:p w14:paraId="3EA2D929">
      <w:pPr>
        <w:widowControl/>
        <w:tabs>
          <w:tab w:val="left" w:pos="3018"/>
          <w:tab w:val="left" w:pos="6260"/>
        </w:tabs>
        <w:ind w:firstLine="1134" w:firstLineChars="540"/>
        <w:jc w:val="left"/>
        <w:rPr>
          <w:rFonts w:cs="Arial" w:asciiTheme="minorEastAsia" w:hAnsiTheme="minorEastAsia" w:eastAsiaTheme="minorEastAsia"/>
          <w:bCs/>
          <w:szCs w:val="21"/>
        </w:rPr>
      </w:pPr>
      <w:r>
        <w:rPr>
          <w:rFonts w:hint="eastAsia" w:cs="Arial" w:asciiTheme="minorEastAsia" w:hAnsiTheme="minorEastAsia" w:eastAsiaTheme="minorEastAsia"/>
          <w:bCs/>
          <w:szCs w:val="21"/>
        </w:rPr>
        <w:t>日期：_     __ 年_     __月_    _ _日</w:t>
      </w:r>
    </w:p>
    <w:p w14:paraId="0A04A19E">
      <w:pPr>
        <w:adjustRightInd w:val="0"/>
        <w:snapToGrid w:val="0"/>
        <w:spacing w:line="440" w:lineRule="exact"/>
        <w:rPr>
          <w:rFonts w:cs="宋体" w:asciiTheme="minorEastAsia" w:hAnsiTheme="minorEastAsia" w:eastAsiaTheme="minorEastAsia"/>
          <w:szCs w:val="21"/>
        </w:rPr>
      </w:pPr>
      <w:r>
        <w:rPr>
          <w:rFonts w:hint="eastAsia" w:asciiTheme="minorEastAsia" w:hAnsiTheme="minorEastAsia" w:eastAsiaTheme="minorEastAsia"/>
          <w:b/>
        </w:rPr>
        <w:t>编制要求：</w:t>
      </w:r>
    </w:p>
    <w:p w14:paraId="0CF846CC">
      <w:pPr>
        <w:pStyle w:val="101"/>
        <w:numPr>
          <w:ilvl w:val="0"/>
          <w:numId w:val="103"/>
        </w:numPr>
        <w:adjustRightInd w:val="0"/>
        <w:snapToGrid w:val="0"/>
        <w:spacing w:line="440" w:lineRule="exact"/>
        <w:ind w:left="0" w:firstLine="0" w:firstLineChars="0"/>
        <w:rPr>
          <w:rFonts w:asciiTheme="minorEastAsia" w:hAnsiTheme="minorEastAsia" w:eastAsiaTheme="minorEastAsia"/>
        </w:rPr>
      </w:pPr>
      <w:r>
        <w:rPr>
          <w:rFonts w:hint="eastAsia" w:asciiTheme="minorEastAsia" w:hAnsiTheme="minorEastAsia" w:eastAsiaTheme="minorEastAsia"/>
        </w:rPr>
        <w:t>如对技术条款无任何偏离，投标人仅需在本偏离表中填写“无偏离”即可。当本表为空时，视为投标文件对技术条款全部满足，无偏离；</w:t>
      </w:r>
    </w:p>
    <w:p w14:paraId="1F5A277C">
      <w:pPr>
        <w:rPr>
          <w:rFonts w:hint="eastAsia" w:asciiTheme="minorEastAsia" w:hAnsiTheme="minorEastAsia" w:eastAsiaTheme="minorEastAsia"/>
        </w:rPr>
      </w:pPr>
      <w:r>
        <w:rPr>
          <w:rFonts w:hint="eastAsia" w:asciiTheme="minorEastAsia" w:hAnsiTheme="minorEastAsia" w:eastAsiaTheme="minorEastAsia"/>
        </w:rPr>
        <w:t>如对技术条款存在偏离，投标人需对技术条款存在的偏离逐条做出说明。</w:t>
      </w:r>
    </w:p>
    <w:p w14:paraId="4FB3DCBC">
      <w:pPr>
        <w:rPr>
          <w:rFonts w:hint="eastAsia" w:asciiTheme="minorEastAsia" w:hAnsiTheme="minorEastAsia" w:eastAsiaTheme="minorEastAsia"/>
        </w:rPr>
      </w:pPr>
      <w:r>
        <w:rPr>
          <w:rFonts w:hint="eastAsia" w:asciiTheme="minorEastAsia" w:hAnsiTheme="minorEastAsia" w:eastAsiaTheme="minorEastAsia"/>
        </w:rPr>
        <w:br w:type="page"/>
      </w:r>
    </w:p>
    <w:p w14:paraId="2E37913E">
      <w:pPr>
        <w:pStyle w:val="81"/>
        <w:numPr>
          <w:ilvl w:val="0"/>
          <w:numId w:val="0"/>
        </w:numPr>
        <w:tabs>
          <w:tab w:val="left" w:pos="588"/>
        </w:tabs>
        <w:snapToGrid w:val="0"/>
        <w:spacing w:before="120" w:after="120" w:line="440" w:lineRule="exact"/>
        <w:ind w:left="635" w:leftChars="0" w:hanging="425" w:firstLineChars="0"/>
        <w:jc w:val="left"/>
        <w:rPr>
          <w:rFonts w:hint="eastAsia" w:cs="Times New Roman" w:asciiTheme="minorEastAsia" w:hAnsiTheme="minorEastAsia" w:eastAsiaTheme="minorEastAsia"/>
          <w:sz w:val="24"/>
          <w:szCs w:val="24"/>
        </w:rPr>
      </w:pPr>
      <w:bookmarkStart w:id="1172" w:name="_Toc155873912"/>
      <w:bookmarkStart w:id="1173" w:name="_Toc395"/>
      <w:bookmarkStart w:id="1174" w:name="_Toc10321"/>
      <w:bookmarkStart w:id="1175" w:name="_Toc144494093"/>
      <w:bookmarkStart w:id="1176" w:name="_Toc11392"/>
      <w:bookmarkStart w:id="1177" w:name="_Toc14144"/>
      <w:bookmarkStart w:id="1178" w:name="_Toc23456"/>
      <w:bookmarkStart w:id="1179" w:name="_Toc7976"/>
      <w:bookmarkStart w:id="1180" w:name="_Toc8619"/>
      <w:bookmarkStart w:id="1181" w:name="_Toc4674"/>
      <w:bookmarkStart w:id="1182" w:name="_Toc118620245"/>
      <w:bookmarkStart w:id="1183" w:name="_Toc12005"/>
      <w:bookmarkStart w:id="1184" w:name="_Toc20301"/>
      <w:bookmarkStart w:id="1185" w:name="_Toc31623"/>
      <w:r>
        <w:rPr>
          <w:rFonts w:hint="eastAsia" w:cs="Times New Roman" w:asciiTheme="minorEastAsia" w:hAnsiTheme="minorEastAsia" w:eastAsiaTheme="minorEastAsia"/>
          <w:b/>
          <w:bCs/>
          <w:kern w:val="2"/>
          <w:sz w:val="24"/>
          <w:szCs w:val="24"/>
          <w:lang w:val="en-US" w:eastAsia="zh-CN" w:bidi="ar-SA"/>
        </w:rPr>
        <w:t>31.</w:t>
      </w:r>
      <w:r>
        <w:rPr>
          <w:rFonts w:hint="eastAsia" w:cs="Times New Roman" w:asciiTheme="minorEastAsia" w:hAnsiTheme="minorEastAsia" w:eastAsiaTheme="minorEastAsia"/>
          <w:sz w:val="24"/>
          <w:szCs w:val="24"/>
        </w:rPr>
        <w:t>技术规范书点对点应答</w:t>
      </w:r>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p>
    <w:p w14:paraId="7A363A3C">
      <w:pPr>
        <w:rPr>
          <w:rFonts w:ascii="宋体" w:hAnsi="宋体"/>
          <w:color w:val="000000" w:themeColor="text1"/>
          <w14:textFill>
            <w14:solidFill>
              <w14:schemeClr w14:val="tx1"/>
            </w14:solidFill>
          </w14:textFill>
        </w:rPr>
      </w:pPr>
    </w:p>
    <w:p w14:paraId="3519B503">
      <w:pPr>
        <w:rPr>
          <w:rFonts w:ascii="宋体" w:hAnsi="宋体"/>
          <w:color w:val="000000" w:themeColor="text1"/>
          <w14:textFill>
            <w14:solidFill>
              <w14:schemeClr w14:val="tx1"/>
            </w14:solidFill>
          </w14:textFill>
        </w:rPr>
      </w:pPr>
    </w:p>
    <w:p w14:paraId="358BA2EA">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格式自拟</w:t>
      </w:r>
    </w:p>
    <w:p w14:paraId="68B021A6">
      <w:pPr>
        <w:pStyle w:val="58"/>
      </w:pPr>
    </w:p>
    <w:p w14:paraId="716201E0">
      <w:pPr>
        <w:rPr>
          <w:rFonts w:asciiTheme="minorEastAsia" w:hAnsiTheme="minorEastAsia" w:eastAsiaTheme="minorEastAsia"/>
        </w:rPr>
      </w:pPr>
    </w:p>
    <w:p w14:paraId="2D926D64">
      <w:pPr>
        <w:numPr>
          <w:ilvl w:val="0"/>
          <w:numId w:val="104"/>
        </w:numPr>
        <w:topLinePunct/>
        <w:spacing w:line="440" w:lineRule="exact"/>
        <w:ind w:left="422" w:hanging="422" w:hangingChars="201"/>
        <w:jc w:val="left"/>
        <w:rPr>
          <w:rFonts w:asciiTheme="minorEastAsia" w:hAnsiTheme="minorEastAsia" w:eastAsiaTheme="minorEastAsia"/>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26A8788">
      <w:pPr>
        <w:pStyle w:val="81"/>
        <w:numPr>
          <w:ilvl w:val="0"/>
          <w:numId w:val="0"/>
        </w:numPr>
        <w:tabs>
          <w:tab w:val="left" w:pos="588"/>
        </w:tabs>
        <w:snapToGrid w:val="0"/>
        <w:spacing w:before="120" w:after="120" w:line="440" w:lineRule="exact"/>
        <w:ind w:left="635" w:leftChars="0" w:hanging="425" w:firstLineChars="0"/>
        <w:jc w:val="left"/>
        <w:rPr>
          <w:rFonts w:hint="eastAsia" w:cs="Times New Roman" w:asciiTheme="minorEastAsia" w:hAnsiTheme="minorEastAsia" w:eastAsiaTheme="minorEastAsia"/>
          <w:sz w:val="24"/>
          <w:szCs w:val="24"/>
        </w:rPr>
      </w:pPr>
      <w:bookmarkStart w:id="1186" w:name="_Toc8478"/>
      <w:bookmarkStart w:id="1187" w:name="_Toc23237"/>
      <w:bookmarkStart w:id="1188" w:name="_Toc6660"/>
      <w:bookmarkStart w:id="1189" w:name="_Toc15798"/>
      <w:bookmarkStart w:id="1190" w:name="_Toc25151"/>
      <w:bookmarkStart w:id="1191" w:name="_Toc4239"/>
      <w:bookmarkStart w:id="1192" w:name="_Toc17470"/>
      <w:bookmarkStart w:id="1193" w:name="_Toc38008101"/>
      <w:bookmarkStart w:id="1194" w:name="_Toc9440"/>
      <w:bookmarkStart w:id="1195" w:name="_Toc16554"/>
      <w:bookmarkStart w:id="1196" w:name="_Toc475472691"/>
      <w:bookmarkStart w:id="1197" w:name="_Toc15560"/>
      <w:bookmarkStart w:id="1198" w:name="_Toc10908"/>
      <w:bookmarkStart w:id="1199" w:name="_Hlk167300092"/>
      <w:r>
        <w:rPr>
          <w:rFonts w:hint="eastAsia" w:cs="Times New Roman" w:asciiTheme="minorEastAsia" w:hAnsiTheme="minorEastAsia" w:eastAsiaTheme="minorEastAsia"/>
          <w:b/>
          <w:bCs/>
          <w:kern w:val="2"/>
          <w:sz w:val="24"/>
          <w:szCs w:val="24"/>
          <w:lang w:val="en-US" w:eastAsia="zh-CN" w:bidi="ar-SA"/>
        </w:rPr>
        <w:t>32.</w:t>
      </w:r>
      <w:r>
        <w:rPr>
          <w:rFonts w:hint="eastAsia" w:cs="Times New Roman" w:asciiTheme="minorEastAsia" w:hAnsiTheme="minorEastAsia" w:eastAsiaTheme="minorEastAsia"/>
          <w:sz w:val="24"/>
          <w:szCs w:val="24"/>
        </w:rPr>
        <w:t>技术建议书</w:t>
      </w:r>
      <w:bookmarkEnd w:id="1186"/>
      <w:bookmarkEnd w:id="1187"/>
      <w:bookmarkEnd w:id="1188"/>
      <w:bookmarkEnd w:id="1189"/>
      <w:bookmarkEnd w:id="1190"/>
      <w:bookmarkEnd w:id="1191"/>
      <w:bookmarkEnd w:id="1192"/>
      <w:bookmarkEnd w:id="1193"/>
      <w:bookmarkEnd w:id="1194"/>
      <w:bookmarkEnd w:id="1195"/>
      <w:bookmarkEnd w:id="1196"/>
      <w:bookmarkEnd w:id="1197"/>
      <w:bookmarkEnd w:id="1198"/>
    </w:p>
    <w:bookmarkEnd w:id="1199"/>
    <w:p w14:paraId="62D11677">
      <w:pPr>
        <w:rPr>
          <w:rFonts w:hint="eastAsia" w:ascii="宋体" w:hAnsi="宋体" w:eastAsia="宋体" w:cs="宋体"/>
        </w:rPr>
      </w:pPr>
      <w:r>
        <w:rPr>
          <w:rFonts w:hint="eastAsia" w:ascii="宋体" w:hAnsi="宋体" w:eastAsia="宋体" w:cs="宋体"/>
          <w:lang w:val="en-US" w:eastAsia="zh-CN"/>
        </w:rPr>
        <w:t>1.供应商</w:t>
      </w:r>
      <w:r>
        <w:rPr>
          <w:rFonts w:hint="eastAsia" w:ascii="宋体" w:hAnsi="宋体" w:eastAsia="宋体" w:cs="宋体"/>
        </w:rPr>
        <w:t>应根据</w:t>
      </w:r>
      <w:r>
        <w:rPr>
          <w:rFonts w:hint="eastAsia" w:ascii="宋体" w:hAnsi="宋体" w:eastAsia="宋体" w:cs="宋体"/>
          <w:lang w:val="en-US" w:eastAsia="zh-CN"/>
        </w:rPr>
        <w:t>招标</w:t>
      </w:r>
      <w:r>
        <w:rPr>
          <w:rFonts w:hint="eastAsia" w:ascii="宋体" w:hAnsi="宋体" w:eastAsia="宋体" w:cs="宋体"/>
        </w:rPr>
        <w:t>文件第三章详细评分标准要求提供相关信息和资料，按要求填写以下附表1，其余内容格式自拟。</w:t>
      </w:r>
    </w:p>
    <w:p w14:paraId="541EA18E">
      <w:pPr>
        <w:spacing w:line="360" w:lineRule="exact"/>
        <w:ind w:firstLine="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团队</w:t>
      </w:r>
      <w:r>
        <w:rPr>
          <w:rFonts w:hint="eastAsia" w:ascii="宋体" w:hAnsi="宋体" w:eastAsia="宋体" w:cs="宋体"/>
          <w:lang w:val="en-US" w:eastAsia="zh-CN"/>
        </w:rPr>
        <w:t>负责人、团队成员及服务支撑人员</w:t>
      </w:r>
      <w:r>
        <w:rPr>
          <w:rFonts w:hint="eastAsia" w:ascii="宋体" w:hAnsi="宋体" w:eastAsia="宋体" w:cs="宋体"/>
        </w:rPr>
        <w:t>信息以供应商</w:t>
      </w:r>
      <w:r>
        <w:rPr>
          <w:rFonts w:hint="eastAsia" w:ascii="宋体" w:hAnsi="宋体" w:cs="宋体"/>
          <w:lang w:val="en-US" w:eastAsia="zh-CN"/>
        </w:rPr>
        <w:t>投标</w:t>
      </w:r>
      <w:r>
        <w:rPr>
          <w:rFonts w:hint="eastAsia" w:ascii="宋体" w:hAnsi="宋体" w:eastAsia="宋体" w:cs="宋体"/>
        </w:rPr>
        <w:t>文件中提供的为准，人员名单需作为合同附件，名单内人员变更需经甲方书面同意。</w:t>
      </w:r>
    </w:p>
    <w:p w14:paraId="3A3F4F2A">
      <w:pPr>
        <w:pStyle w:val="98"/>
        <w:rPr>
          <w:rFonts w:hint="default" w:eastAsia="宋体"/>
          <w:lang w:val="en-US" w:eastAsia="zh-CN"/>
        </w:rPr>
      </w:pPr>
      <w:r>
        <w:rPr>
          <w:rFonts w:hint="eastAsia" w:ascii="宋体" w:hAnsi="宋体" w:cs="宋体"/>
          <w:lang w:val="en-US" w:eastAsia="zh-CN"/>
        </w:rPr>
        <w:t>附件1：</w:t>
      </w:r>
    </w:p>
    <w:tbl>
      <w:tblPr>
        <w:tblStyle w:val="85"/>
        <w:tblW w:w="5000" w:type="pct"/>
        <w:tblInd w:w="0" w:type="dxa"/>
        <w:tblLayout w:type="fixed"/>
        <w:tblCellMar>
          <w:top w:w="0" w:type="dxa"/>
          <w:left w:w="108" w:type="dxa"/>
          <w:bottom w:w="0" w:type="dxa"/>
          <w:right w:w="108" w:type="dxa"/>
        </w:tblCellMar>
      </w:tblPr>
      <w:tblGrid>
        <w:gridCol w:w="597"/>
        <w:gridCol w:w="1559"/>
        <w:gridCol w:w="1758"/>
        <w:gridCol w:w="755"/>
        <w:gridCol w:w="440"/>
        <w:gridCol w:w="1576"/>
        <w:gridCol w:w="1244"/>
        <w:gridCol w:w="599"/>
      </w:tblGrid>
      <w:tr w14:paraId="3CF9BDFA">
        <w:tblPrEx>
          <w:tblCellMar>
            <w:top w:w="0" w:type="dxa"/>
            <w:left w:w="108" w:type="dxa"/>
            <w:bottom w:w="0" w:type="dxa"/>
            <w:right w:w="108" w:type="dxa"/>
          </w:tblCellMar>
        </w:tblPrEx>
        <w:trPr>
          <w:trHeight w:val="440" w:hRule="atLeast"/>
        </w:trPr>
        <w:tc>
          <w:tcPr>
            <w:tcW w:w="350" w:type="pct"/>
            <w:vMerge w:val="restart"/>
            <w:tcBorders>
              <w:top w:val="single" w:color="000000" w:sz="4" w:space="0"/>
              <w:left w:val="single" w:color="000000" w:sz="4" w:space="0"/>
              <w:right w:val="single" w:color="000000" w:sz="4" w:space="0"/>
            </w:tcBorders>
            <w:noWrap/>
            <w:vAlign w:val="center"/>
          </w:tcPr>
          <w:p w14:paraId="51A2DB32">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序号</w:t>
            </w:r>
          </w:p>
        </w:tc>
        <w:tc>
          <w:tcPr>
            <w:tcW w:w="914" w:type="pct"/>
            <w:vMerge w:val="restart"/>
            <w:tcBorders>
              <w:top w:val="single" w:color="000000" w:sz="4" w:space="0"/>
              <w:left w:val="single" w:color="000000" w:sz="4" w:space="0"/>
              <w:right w:val="single" w:color="000000" w:sz="4" w:space="0"/>
            </w:tcBorders>
            <w:noWrap/>
            <w:vAlign w:val="center"/>
          </w:tcPr>
          <w:p w14:paraId="0974F85E">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类别</w:t>
            </w:r>
          </w:p>
        </w:tc>
        <w:tc>
          <w:tcPr>
            <w:tcW w:w="1030" w:type="pct"/>
            <w:vMerge w:val="restart"/>
            <w:tcBorders>
              <w:top w:val="single" w:color="000000" w:sz="4" w:space="0"/>
              <w:left w:val="single" w:color="000000" w:sz="4" w:space="0"/>
              <w:right w:val="single" w:color="000000" w:sz="4" w:space="0"/>
            </w:tcBorders>
            <w:noWrap/>
            <w:vAlign w:val="center"/>
          </w:tcPr>
          <w:p w14:paraId="1EC142DF">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姓名</w:t>
            </w:r>
          </w:p>
        </w:tc>
        <w:tc>
          <w:tcPr>
            <w:tcW w:w="442" w:type="pct"/>
            <w:vMerge w:val="restart"/>
            <w:tcBorders>
              <w:top w:val="single" w:color="000000" w:sz="4" w:space="0"/>
              <w:left w:val="single" w:color="000000" w:sz="4" w:space="0"/>
              <w:right w:val="single" w:color="000000" w:sz="4" w:space="0"/>
            </w:tcBorders>
            <w:noWrap/>
            <w:vAlign w:val="center"/>
          </w:tcPr>
          <w:p w14:paraId="15D24D70">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角色/职位</w:t>
            </w:r>
          </w:p>
        </w:tc>
        <w:tc>
          <w:tcPr>
            <w:tcW w:w="257" w:type="pct"/>
            <w:vMerge w:val="restart"/>
            <w:tcBorders>
              <w:top w:val="single" w:color="000000" w:sz="4" w:space="0"/>
              <w:left w:val="single" w:color="000000" w:sz="4" w:space="0"/>
              <w:right w:val="single" w:color="000000" w:sz="4" w:space="0"/>
            </w:tcBorders>
            <w:noWrap/>
            <w:vAlign w:val="center"/>
          </w:tcPr>
          <w:p w14:paraId="757FF5AA">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学历</w:t>
            </w: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352936DB">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证书名称</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E20E373">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证书编号</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51704A51">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备注</w:t>
            </w:r>
          </w:p>
        </w:tc>
      </w:tr>
      <w:tr w14:paraId="607AB1AC">
        <w:tblPrEx>
          <w:tblCellMar>
            <w:top w:w="0" w:type="dxa"/>
            <w:left w:w="108" w:type="dxa"/>
            <w:bottom w:w="0" w:type="dxa"/>
            <w:right w:w="108" w:type="dxa"/>
          </w:tblCellMar>
        </w:tblPrEx>
        <w:trPr>
          <w:trHeight w:val="440" w:hRule="atLeast"/>
        </w:trPr>
        <w:tc>
          <w:tcPr>
            <w:tcW w:w="350" w:type="pct"/>
            <w:vMerge w:val="continue"/>
            <w:tcBorders>
              <w:left w:val="single" w:color="000000" w:sz="4" w:space="0"/>
              <w:bottom w:val="single" w:color="000000" w:sz="4" w:space="0"/>
              <w:right w:val="single" w:color="000000" w:sz="4" w:space="0"/>
            </w:tcBorders>
            <w:noWrap/>
            <w:vAlign w:val="center"/>
          </w:tcPr>
          <w:p w14:paraId="628B5E08">
            <w:pPr>
              <w:spacing w:line="360" w:lineRule="exact"/>
              <w:ind w:firstLine="0"/>
              <w:rPr>
                <w:rFonts w:hint="eastAsia" w:ascii="宋体" w:hAnsi="宋体" w:eastAsia="宋体" w:cs="宋体"/>
                <w:lang w:val="en-US" w:eastAsia="zh-CN"/>
              </w:rPr>
            </w:pPr>
          </w:p>
        </w:tc>
        <w:tc>
          <w:tcPr>
            <w:tcW w:w="914" w:type="pct"/>
            <w:vMerge w:val="continue"/>
            <w:tcBorders>
              <w:left w:val="single" w:color="000000" w:sz="4" w:space="0"/>
              <w:bottom w:val="single" w:color="000000" w:sz="4" w:space="0"/>
              <w:right w:val="single" w:color="000000" w:sz="4" w:space="0"/>
            </w:tcBorders>
            <w:noWrap/>
            <w:vAlign w:val="center"/>
          </w:tcPr>
          <w:p w14:paraId="31FDB433">
            <w:pPr>
              <w:spacing w:line="360" w:lineRule="exact"/>
              <w:ind w:firstLine="0"/>
              <w:rPr>
                <w:rFonts w:hint="eastAsia" w:ascii="宋体" w:hAnsi="宋体" w:eastAsia="宋体" w:cs="宋体"/>
                <w:lang w:val="en-US" w:eastAsia="zh-CN"/>
              </w:rPr>
            </w:pPr>
          </w:p>
        </w:tc>
        <w:tc>
          <w:tcPr>
            <w:tcW w:w="1030" w:type="pct"/>
            <w:vMerge w:val="continue"/>
            <w:tcBorders>
              <w:left w:val="single" w:color="000000" w:sz="4" w:space="0"/>
              <w:bottom w:val="single" w:color="000000" w:sz="4" w:space="0"/>
              <w:right w:val="single" w:color="000000" w:sz="4" w:space="0"/>
            </w:tcBorders>
            <w:noWrap/>
            <w:vAlign w:val="center"/>
          </w:tcPr>
          <w:p w14:paraId="5EE34269">
            <w:pPr>
              <w:spacing w:line="360" w:lineRule="exact"/>
              <w:ind w:firstLine="0"/>
              <w:rPr>
                <w:rFonts w:hint="eastAsia" w:ascii="宋体" w:hAnsi="宋体" w:eastAsia="宋体" w:cs="宋体"/>
                <w:lang w:val="en-US" w:eastAsia="zh-CN"/>
              </w:rPr>
            </w:pPr>
          </w:p>
        </w:tc>
        <w:tc>
          <w:tcPr>
            <w:tcW w:w="442" w:type="pct"/>
            <w:vMerge w:val="continue"/>
            <w:tcBorders>
              <w:left w:val="single" w:color="000000" w:sz="4" w:space="0"/>
              <w:bottom w:val="single" w:color="000000" w:sz="4" w:space="0"/>
              <w:right w:val="single" w:color="000000" w:sz="4" w:space="0"/>
            </w:tcBorders>
            <w:noWrap/>
            <w:vAlign w:val="center"/>
          </w:tcPr>
          <w:p w14:paraId="3D84AF59">
            <w:pPr>
              <w:spacing w:line="360" w:lineRule="exact"/>
              <w:ind w:firstLine="0"/>
              <w:rPr>
                <w:rFonts w:hint="eastAsia" w:ascii="宋体" w:hAnsi="宋体" w:eastAsia="宋体" w:cs="宋体"/>
                <w:lang w:val="en-US" w:eastAsia="zh-CN"/>
              </w:rPr>
            </w:pPr>
          </w:p>
        </w:tc>
        <w:tc>
          <w:tcPr>
            <w:tcW w:w="257" w:type="pct"/>
            <w:vMerge w:val="continue"/>
            <w:tcBorders>
              <w:left w:val="single" w:color="000000" w:sz="4" w:space="0"/>
              <w:bottom w:val="single" w:color="000000" w:sz="4" w:space="0"/>
              <w:right w:val="single" w:color="000000" w:sz="4" w:space="0"/>
            </w:tcBorders>
            <w:noWrap/>
            <w:vAlign w:val="center"/>
          </w:tcPr>
          <w:p w14:paraId="351A1D51">
            <w:pPr>
              <w:spacing w:line="360" w:lineRule="exact"/>
              <w:ind w:firstLine="0"/>
              <w:rPr>
                <w:rFonts w:hint="eastAsia" w:ascii="宋体" w:hAnsi="宋体" w:eastAsia="宋体" w:cs="宋体"/>
                <w:lang w:val="en-US" w:eastAsia="zh-CN"/>
              </w:rPr>
            </w:pPr>
          </w:p>
        </w:tc>
        <w:tc>
          <w:tcPr>
            <w:tcW w:w="1653" w:type="pct"/>
            <w:gridSpan w:val="2"/>
            <w:tcBorders>
              <w:top w:val="single" w:color="000000" w:sz="4" w:space="0"/>
              <w:left w:val="single" w:color="000000" w:sz="4" w:space="0"/>
              <w:bottom w:val="single" w:color="000000" w:sz="4" w:space="0"/>
              <w:right w:val="single" w:color="000000" w:sz="4" w:space="0"/>
            </w:tcBorders>
            <w:noWrap/>
            <w:vAlign w:val="center"/>
          </w:tcPr>
          <w:p w14:paraId="21D7916D">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（如有）</w:t>
            </w:r>
          </w:p>
        </w:tc>
        <w:tc>
          <w:tcPr>
            <w:tcW w:w="351" w:type="pct"/>
            <w:tcBorders>
              <w:top w:val="single" w:color="000000" w:sz="4" w:space="0"/>
              <w:left w:val="single" w:color="000000" w:sz="4" w:space="0"/>
              <w:bottom w:val="single" w:color="000000" w:sz="4" w:space="0"/>
              <w:right w:val="single" w:color="000000" w:sz="4" w:space="0"/>
            </w:tcBorders>
            <w:vAlign w:val="center"/>
          </w:tcPr>
          <w:p w14:paraId="7EF2C48D">
            <w:pPr>
              <w:spacing w:line="360" w:lineRule="exact"/>
              <w:ind w:firstLine="0"/>
              <w:rPr>
                <w:rFonts w:hint="eastAsia" w:ascii="宋体" w:hAnsi="宋体" w:eastAsia="宋体" w:cs="宋体"/>
                <w:lang w:val="en-US" w:eastAsia="zh-CN"/>
              </w:rPr>
            </w:pPr>
          </w:p>
        </w:tc>
      </w:tr>
      <w:tr w14:paraId="4F246037">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26755515">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1</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462065D9">
            <w:pPr>
              <w:spacing w:line="360" w:lineRule="exact"/>
              <w:ind w:firstLine="0"/>
              <w:rPr>
                <w:rFonts w:hint="default" w:ascii="宋体" w:hAnsi="宋体" w:eastAsia="宋体" w:cs="宋体"/>
                <w:lang w:val="en-US" w:eastAsia="zh-CN"/>
              </w:rPr>
            </w:pPr>
            <w:r>
              <w:rPr>
                <w:rFonts w:hint="eastAsia" w:ascii="宋体" w:hAnsi="宋体" w:eastAsia="宋体" w:cs="宋体"/>
                <w:lang w:val="en-US" w:eastAsia="zh-CN"/>
              </w:rPr>
              <w:t>团队负责人</w:t>
            </w: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18F14954">
            <w:pPr>
              <w:spacing w:line="360" w:lineRule="exact"/>
              <w:ind w:firstLine="0"/>
              <w:rPr>
                <w:rFonts w:hint="eastAsia" w:ascii="宋体" w:hAnsi="宋体" w:eastAsia="宋体" w:cs="宋体"/>
                <w:lang w:val="en-US" w:eastAsia="zh-CN"/>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4B353D08">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4C4C93B5">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145B62A">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vAlign w:val="center"/>
          </w:tcPr>
          <w:p w14:paraId="546D9573">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1B3A7E13">
            <w:pPr>
              <w:spacing w:line="360" w:lineRule="exact"/>
              <w:ind w:firstLine="0"/>
              <w:rPr>
                <w:rFonts w:hint="eastAsia" w:ascii="宋体" w:hAnsi="宋体" w:eastAsia="宋体" w:cs="宋体"/>
                <w:lang w:val="en-US" w:eastAsia="zh-CN"/>
              </w:rPr>
            </w:pPr>
          </w:p>
        </w:tc>
      </w:tr>
      <w:tr w14:paraId="242528A1">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0B4F04C4">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2</w:t>
            </w:r>
          </w:p>
        </w:tc>
        <w:tc>
          <w:tcPr>
            <w:tcW w:w="914" w:type="pct"/>
            <w:vMerge w:val="restart"/>
            <w:tcBorders>
              <w:top w:val="single" w:color="000000" w:sz="4" w:space="0"/>
              <w:left w:val="single" w:color="000000" w:sz="4" w:space="0"/>
              <w:bottom w:val="single" w:color="000000" w:sz="4" w:space="0"/>
              <w:right w:val="single" w:color="000000" w:sz="4" w:space="0"/>
            </w:tcBorders>
            <w:noWrap/>
            <w:vAlign w:val="center"/>
          </w:tcPr>
          <w:p w14:paraId="35A6D7A0">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团队成员</w:t>
            </w: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3A9ED173">
            <w:pPr>
              <w:spacing w:line="360" w:lineRule="exact"/>
              <w:ind w:firstLine="0"/>
              <w:rPr>
                <w:rFonts w:hint="eastAsia" w:ascii="宋体" w:hAnsi="宋体" w:eastAsia="宋体" w:cs="宋体"/>
                <w:lang w:val="en-US" w:eastAsia="zh-CN"/>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4655963A">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261E3C67">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73B701E2">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vAlign w:val="center"/>
          </w:tcPr>
          <w:p w14:paraId="497B914E">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263FDD04">
            <w:pPr>
              <w:spacing w:line="360" w:lineRule="exact"/>
              <w:ind w:firstLine="0"/>
              <w:rPr>
                <w:rFonts w:hint="eastAsia" w:ascii="宋体" w:hAnsi="宋体" w:eastAsia="宋体" w:cs="宋体"/>
                <w:lang w:val="en-US" w:eastAsia="zh-CN"/>
              </w:rPr>
            </w:pPr>
          </w:p>
        </w:tc>
      </w:tr>
      <w:tr w14:paraId="31270BD8">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3FF068A4">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3</w:t>
            </w:r>
          </w:p>
        </w:tc>
        <w:tc>
          <w:tcPr>
            <w:tcW w:w="914" w:type="pct"/>
            <w:vMerge w:val="continue"/>
            <w:tcBorders>
              <w:top w:val="single" w:color="000000" w:sz="4" w:space="0"/>
              <w:left w:val="single" w:color="000000" w:sz="4" w:space="0"/>
              <w:bottom w:val="single" w:color="000000" w:sz="4" w:space="0"/>
              <w:right w:val="single" w:color="000000" w:sz="4" w:space="0"/>
            </w:tcBorders>
            <w:noWrap/>
            <w:vAlign w:val="center"/>
          </w:tcPr>
          <w:p w14:paraId="5F013E16">
            <w:pPr>
              <w:spacing w:line="360" w:lineRule="exact"/>
              <w:ind w:firstLine="0"/>
              <w:rPr>
                <w:rFonts w:hint="eastAsia"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221BAFF4">
            <w:pPr>
              <w:spacing w:line="360" w:lineRule="exact"/>
              <w:ind w:firstLine="0"/>
              <w:rPr>
                <w:rFonts w:hint="eastAsia" w:ascii="宋体" w:hAnsi="宋体" w:eastAsia="宋体" w:cs="宋体"/>
                <w:lang w:val="en-US" w:eastAsia="zh-CN"/>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7CFA11FF">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244C9109">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4614DB65">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vAlign w:val="center"/>
          </w:tcPr>
          <w:p w14:paraId="0BC50C6C">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0489D109">
            <w:pPr>
              <w:spacing w:line="360" w:lineRule="exact"/>
              <w:ind w:firstLine="0"/>
              <w:rPr>
                <w:rFonts w:hint="eastAsia" w:ascii="宋体" w:hAnsi="宋体" w:eastAsia="宋体" w:cs="宋体"/>
                <w:lang w:val="en-US" w:eastAsia="zh-CN"/>
              </w:rPr>
            </w:pPr>
          </w:p>
        </w:tc>
      </w:tr>
      <w:tr w14:paraId="1856ED51">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077A7C6B">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4</w:t>
            </w:r>
          </w:p>
        </w:tc>
        <w:tc>
          <w:tcPr>
            <w:tcW w:w="914" w:type="pct"/>
            <w:vMerge w:val="continue"/>
            <w:tcBorders>
              <w:top w:val="single" w:color="000000" w:sz="4" w:space="0"/>
              <w:left w:val="single" w:color="000000" w:sz="4" w:space="0"/>
              <w:bottom w:val="single" w:color="000000" w:sz="4" w:space="0"/>
              <w:right w:val="single" w:color="000000" w:sz="4" w:space="0"/>
            </w:tcBorders>
            <w:noWrap/>
            <w:vAlign w:val="center"/>
          </w:tcPr>
          <w:p w14:paraId="3F82FE94">
            <w:pPr>
              <w:spacing w:line="360" w:lineRule="exact"/>
              <w:ind w:firstLine="0"/>
              <w:rPr>
                <w:rFonts w:hint="eastAsia"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22379571">
            <w:pPr>
              <w:spacing w:line="360" w:lineRule="exact"/>
              <w:ind w:firstLine="0"/>
              <w:rPr>
                <w:rFonts w:hint="eastAsia" w:ascii="宋体" w:hAnsi="宋体" w:eastAsia="宋体" w:cs="宋体"/>
                <w:lang w:val="en-US" w:eastAsia="zh-CN"/>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0DD078CC">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1A3C8505">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152DA36">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04D684D">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34396368">
            <w:pPr>
              <w:spacing w:line="360" w:lineRule="exact"/>
              <w:ind w:firstLine="0"/>
              <w:rPr>
                <w:rFonts w:hint="eastAsia" w:ascii="宋体" w:hAnsi="宋体" w:eastAsia="宋体" w:cs="宋体"/>
                <w:lang w:val="en-US" w:eastAsia="zh-CN"/>
              </w:rPr>
            </w:pPr>
          </w:p>
        </w:tc>
      </w:tr>
      <w:tr w14:paraId="5393DFEA">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1CEDAF1A">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5</w:t>
            </w:r>
          </w:p>
        </w:tc>
        <w:tc>
          <w:tcPr>
            <w:tcW w:w="914" w:type="pct"/>
            <w:vMerge w:val="continue"/>
            <w:tcBorders>
              <w:top w:val="single" w:color="000000" w:sz="4" w:space="0"/>
              <w:left w:val="single" w:color="000000" w:sz="4" w:space="0"/>
              <w:bottom w:val="single" w:color="000000" w:sz="4" w:space="0"/>
              <w:right w:val="single" w:color="000000" w:sz="4" w:space="0"/>
            </w:tcBorders>
            <w:noWrap/>
            <w:vAlign w:val="center"/>
          </w:tcPr>
          <w:p w14:paraId="39A5673C">
            <w:pPr>
              <w:spacing w:line="360" w:lineRule="exact"/>
              <w:ind w:firstLine="0"/>
              <w:rPr>
                <w:rFonts w:hint="eastAsia"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4F170AC6">
            <w:pPr>
              <w:spacing w:line="360" w:lineRule="exact"/>
              <w:ind w:firstLine="0"/>
              <w:rPr>
                <w:rFonts w:hint="eastAsia" w:ascii="宋体" w:hAnsi="宋体" w:eastAsia="宋体" w:cs="宋体"/>
                <w:lang w:val="en-US" w:eastAsia="zh-CN"/>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77ADDF1B">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6505ABFB">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8118F93">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DB27BF1">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0ABA2419">
            <w:pPr>
              <w:spacing w:line="360" w:lineRule="exact"/>
              <w:ind w:firstLine="0"/>
              <w:rPr>
                <w:rFonts w:hint="eastAsia" w:ascii="宋体" w:hAnsi="宋体" w:eastAsia="宋体" w:cs="宋体"/>
                <w:lang w:val="en-US" w:eastAsia="zh-CN"/>
              </w:rPr>
            </w:pPr>
          </w:p>
        </w:tc>
      </w:tr>
      <w:tr w14:paraId="5E4550DA">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69A1B29F">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6</w:t>
            </w:r>
          </w:p>
        </w:tc>
        <w:tc>
          <w:tcPr>
            <w:tcW w:w="914" w:type="pct"/>
            <w:vMerge w:val="continue"/>
            <w:tcBorders>
              <w:top w:val="single" w:color="000000" w:sz="4" w:space="0"/>
              <w:left w:val="single" w:color="000000" w:sz="4" w:space="0"/>
              <w:bottom w:val="single" w:color="000000" w:sz="4" w:space="0"/>
              <w:right w:val="single" w:color="000000" w:sz="4" w:space="0"/>
            </w:tcBorders>
            <w:noWrap/>
            <w:vAlign w:val="center"/>
          </w:tcPr>
          <w:p w14:paraId="1E5BF967">
            <w:pPr>
              <w:spacing w:line="360" w:lineRule="exact"/>
              <w:ind w:firstLine="0"/>
              <w:rPr>
                <w:rFonts w:hint="eastAsia"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6BCA5D95">
            <w:pPr>
              <w:spacing w:line="360" w:lineRule="exact"/>
              <w:ind w:firstLine="0"/>
              <w:rPr>
                <w:rFonts w:hint="eastAsia" w:ascii="宋体" w:hAnsi="宋体" w:eastAsia="宋体" w:cs="宋体"/>
                <w:lang w:val="en-US" w:eastAsia="zh-CN"/>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1D172092">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41D99E3F">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F1596B2">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49937A6">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7E1CA494">
            <w:pPr>
              <w:spacing w:line="360" w:lineRule="exact"/>
              <w:ind w:firstLine="0"/>
              <w:rPr>
                <w:rFonts w:hint="eastAsia" w:ascii="宋体" w:hAnsi="宋体" w:eastAsia="宋体" w:cs="宋体"/>
                <w:lang w:val="en-US" w:eastAsia="zh-CN"/>
              </w:rPr>
            </w:pPr>
          </w:p>
        </w:tc>
      </w:tr>
      <w:tr w14:paraId="7F5F7546">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4E8A8390">
            <w:pPr>
              <w:spacing w:line="360" w:lineRule="exact"/>
              <w:ind w:firstLine="0"/>
              <w:rPr>
                <w:rFonts w:hint="default" w:ascii="宋体" w:hAnsi="宋体" w:eastAsia="宋体" w:cs="宋体"/>
                <w:lang w:val="en-US" w:eastAsia="zh-CN"/>
              </w:rPr>
            </w:pPr>
            <w:r>
              <w:rPr>
                <w:rFonts w:hint="eastAsia" w:ascii="宋体" w:hAnsi="宋体" w:eastAsia="宋体" w:cs="宋体"/>
                <w:lang w:val="en-US" w:eastAsia="zh-CN"/>
              </w:rPr>
              <w:t>7</w:t>
            </w:r>
          </w:p>
        </w:tc>
        <w:tc>
          <w:tcPr>
            <w:tcW w:w="914" w:type="pct"/>
            <w:vMerge w:val="continue"/>
            <w:tcBorders>
              <w:top w:val="single" w:color="000000" w:sz="4" w:space="0"/>
              <w:left w:val="single" w:color="000000" w:sz="4" w:space="0"/>
              <w:bottom w:val="single" w:color="000000" w:sz="4" w:space="0"/>
              <w:right w:val="single" w:color="000000" w:sz="4" w:space="0"/>
            </w:tcBorders>
            <w:noWrap/>
            <w:vAlign w:val="center"/>
          </w:tcPr>
          <w:p w14:paraId="0C39D660">
            <w:pPr>
              <w:spacing w:line="360" w:lineRule="exact"/>
              <w:ind w:firstLine="0"/>
              <w:rPr>
                <w:rFonts w:hint="eastAsia"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6530A0B6">
            <w:pPr>
              <w:spacing w:line="360" w:lineRule="exact"/>
              <w:ind w:firstLine="0"/>
              <w:rPr>
                <w:rFonts w:hint="eastAsia" w:ascii="宋体" w:hAnsi="宋体" w:eastAsia="宋体" w:cs="宋体"/>
                <w:lang w:val="en-US" w:eastAsia="zh-CN"/>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79E3CAD8">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0CA4A47B">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5F341C63">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1B3F40D">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71D1770E">
            <w:pPr>
              <w:spacing w:line="360" w:lineRule="exact"/>
              <w:ind w:firstLine="0"/>
              <w:rPr>
                <w:rFonts w:hint="eastAsia" w:ascii="宋体" w:hAnsi="宋体" w:eastAsia="宋体" w:cs="宋体"/>
                <w:lang w:val="en-US" w:eastAsia="zh-CN"/>
              </w:rPr>
            </w:pPr>
          </w:p>
        </w:tc>
      </w:tr>
      <w:tr w14:paraId="7F6BBBF9">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2C4FD703">
            <w:pPr>
              <w:spacing w:line="360" w:lineRule="exact"/>
              <w:ind w:firstLine="0"/>
              <w:rPr>
                <w:rFonts w:hint="default" w:ascii="宋体" w:hAnsi="宋体" w:eastAsia="宋体" w:cs="宋体"/>
                <w:lang w:val="en-US" w:eastAsia="zh-CN"/>
              </w:rPr>
            </w:pPr>
            <w:r>
              <w:rPr>
                <w:rFonts w:hint="eastAsia" w:ascii="宋体" w:hAnsi="宋体" w:eastAsia="宋体" w:cs="宋体"/>
                <w:lang w:val="en-US" w:eastAsia="zh-CN"/>
              </w:rPr>
              <w:t>8</w:t>
            </w:r>
          </w:p>
        </w:tc>
        <w:tc>
          <w:tcPr>
            <w:tcW w:w="914" w:type="pct"/>
            <w:vMerge w:val="continue"/>
            <w:tcBorders>
              <w:top w:val="single" w:color="000000" w:sz="4" w:space="0"/>
              <w:left w:val="single" w:color="000000" w:sz="4" w:space="0"/>
              <w:bottom w:val="single" w:color="000000" w:sz="4" w:space="0"/>
              <w:right w:val="single" w:color="000000" w:sz="4" w:space="0"/>
            </w:tcBorders>
            <w:noWrap/>
            <w:vAlign w:val="center"/>
          </w:tcPr>
          <w:p w14:paraId="4107A775">
            <w:pPr>
              <w:spacing w:line="360" w:lineRule="exact"/>
              <w:ind w:firstLine="0"/>
              <w:rPr>
                <w:rFonts w:hint="eastAsia"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2990C48D">
            <w:pPr>
              <w:spacing w:line="360" w:lineRule="exact"/>
              <w:ind w:firstLine="0"/>
              <w:rPr>
                <w:rFonts w:hint="eastAsia" w:ascii="宋体" w:hAnsi="宋体" w:eastAsia="宋体" w:cs="宋体"/>
                <w:lang w:val="en-US" w:eastAsia="zh-CN"/>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3A8D8CC2">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5D287282">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BEEB212">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6EBF75A">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30A2CA44">
            <w:pPr>
              <w:spacing w:line="360" w:lineRule="exact"/>
              <w:ind w:firstLine="0"/>
              <w:rPr>
                <w:rFonts w:hint="eastAsia" w:ascii="宋体" w:hAnsi="宋体" w:eastAsia="宋体" w:cs="宋体"/>
                <w:lang w:val="en-US" w:eastAsia="zh-CN"/>
              </w:rPr>
            </w:pPr>
          </w:p>
        </w:tc>
      </w:tr>
      <w:tr w14:paraId="1CBD1EE4">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67C0884F">
            <w:pPr>
              <w:spacing w:line="360" w:lineRule="exact"/>
              <w:ind w:firstLine="0"/>
              <w:rPr>
                <w:rFonts w:hint="default" w:ascii="宋体" w:hAnsi="宋体" w:eastAsia="宋体" w:cs="宋体"/>
                <w:lang w:val="en-US" w:eastAsia="zh-CN"/>
              </w:rPr>
            </w:pPr>
            <w:r>
              <w:rPr>
                <w:rFonts w:hint="eastAsia" w:ascii="宋体" w:hAnsi="宋体" w:eastAsia="宋体" w:cs="宋体"/>
                <w:lang w:val="en-US" w:eastAsia="zh-CN"/>
              </w:rPr>
              <w:t>9</w:t>
            </w:r>
          </w:p>
        </w:tc>
        <w:tc>
          <w:tcPr>
            <w:tcW w:w="914" w:type="pct"/>
            <w:vMerge w:val="continue"/>
            <w:tcBorders>
              <w:top w:val="single" w:color="000000" w:sz="4" w:space="0"/>
              <w:left w:val="single" w:color="000000" w:sz="4" w:space="0"/>
              <w:bottom w:val="single" w:color="000000" w:sz="4" w:space="0"/>
              <w:right w:val="single" w:color="000000" w:sz="4" w:space="0"/>
            </w:tcBorders>
            <w:noWrap/>
            <w:vAlign w:val="center"/>
          </w:tcPr>
          <w:p w14:paraId="02EC6682">
            <w:pPr>
              <w:spacing w:line="360" w:lineRule="exact"/>
              <w:ind w:firstLine="0"/>
              <w:rPr>
                <w:rFonts w:hint="eastAsia"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7B41D300">
            <w:pPr>
              <w:spacing w:line="360" w:lineRule="exact"/>
              <w:ind w:firstLine="0"/>
              <w:rPr>
                <w:rFonts w:hint="eastAsia" w:ascii="宋体" w:hAnsi="宋体" w:eastAsia="宋体" w:cs="宋体"/>
                <w:lang w:val="en-US" w:eastAsia="zh-CN"/>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49D561D4">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0A490DC2">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885A5D8">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FBC43E4">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0F780440">
            <w:pPr>
              <w:spacing w:line="360" w:lineRule="exact"/>
              <w:ind w:firstLine="0"/>
              <w:rPr>
                <w:rFonts w:hint="eastAsia" w:ascii="宋体" w:hAnsi="宋体" w:eastAsia="宋体" w:cs="宋体"/>
                <w:lang w:val="en-US" w:eastAsia="zh-CN"/>
              </w:rPr>
            </w:pPr>
          </w:p>
        </w:tc>
      </w:tr>
      <w:tr w14:paraId="1003757B">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3FD7BF07">
            <w:pPr>
              <w:spacing w:line="360" w:lineRule="exact"/>
              <w:ind w:firstLine="0"/>
              <w:rPr>
                <w:rFonts w:hint="default" w:ascii="宋体" w:hAnsi="宋体" w:eastAsia="宋体" w:cs="宋体"/>
                <w:lang w:val="en-US" w:eastAsia="zh-CN"/>
              </w:rPr>
            </w:pPr>
            <w:r>
              <w:rPr>
                <w:rFonts w:hint="eastAsia" w:ascii="宋体" w:hAnsi="宋体" w:eastAsia="宋体" w:cs="宋体"/>
                <w:lang w:val="en-US" w:eastAsia="zh-CN"/>
              </w:rPr>
              <w:t>10</w:t>
            </w:r>
          </w:p>
        </w:tc>
        <w:tc>
          <w:tcPr>
            <w:tcW w:w="914" w:type="pct"/>
            <w:vMerge w:val="continue"/>
            <w:tcBorders>
              <w:top w:val="single" w:color="000000" w:sz="4" w:space="0"/>
              <w:left w:val="single" w:color="000000" w:sz="4" w:space="0"/>
              <w:bottom w:val="single" w:color="000000" w:sz="4" w:space="0"/>
              <w:right w:val="single" w:color="000000" w:sz="4" w:space="0"/>
            </w:tcBorders>
            <w:noWrap/>
            <w:vAlign w:val="center"/>
          </w:tcPr>
          <w:p w14:paraId="531B6CFB">
            <w:pPr>
              <w:spacing w:line="360" w:lineRule="exact"/>
              <w:ind w:firstLine="0"/>
              <w:rPr>
                <w:rFonts w:hint="eastAsia"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5B52AA5D">
            <w:pPr>
              <w:spacing w:line="360" w:lineRule="exact"/>
              <w:ind w:firstLine="0"/>
              <w:rPr>
                <w:rFonts w:hint="eastAsia" w:ascii="宋体" w:hAnsi="宋体" w:eastAsia="宋体" w:cs="宋体"/>
                <w:lang w:val="en-US" w:eastAsia="zh-CN"/>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4F25FBCB">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153214E4">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66551E4">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D12A386">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6B3172E9">
            <w:pPr>
              <w:spacing w:line="360" w:lineRule="exact"/>
              <w:ind w:firstLine="0"/>
              <w:rPr>
                <w:rFonts w:hint="eastAsia" w:ascii="宋体" w:hAnsi="宋体" w:eastAsia="宋体" w:cs="宋体"/>
                <w:lang w:val="en-US" w:eastAsia="zh-CN"/>
              </w:rPr>
            </w:pPr>
          </w:p>
        </w:tc>
      </w:tr>
      <w:tr w14:paraId="0AD1B8F6">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2C97D905">
            <w:pPr>
              <w:spacing w:line="360" w:lineRule="exact"/>
              <w:ind w:firstLine="0"/>
              <w:rPr>
                <w:rFonts w:hint="default" w:ascii="宋体" w:hAnsi="宋体" w:eastAsia="宋体" w:cs="宋体"/>
                <w:lang w:val="en-US" w:eastAsia="zh-CN"/>
              </w:rPr>
            </w:pPr>
            <w:r>
              <w:rPr>
                <w:rFonts w:hint="eastAsia" w:ascii="宋体" w:hAnsi="宋体" w:eastAsia="宋体" w:cs="宋体"/>
                <w:lang w:val="en-US" w:eastAsia="zh-CN"/>
              </w:rPr>
              <w:t>11</w:t>
            </w:r>
          </w:p>
        </w:tc>
        <w:tc>
          <w:tcPr>
            <w:tcW w:w="914" w:type="pct"/>
            <w:vMerge w:val="restart"/>
            <w:tcBorders>
              <w:top w:val="single" w:color="000000" w:sz="4" w:space="0"/>
              <w:left w:val="single" w:color="000000" w:sz="4" w:space="0"/>
              <w:right w:val="single" w:color="000000" w:sz="4" w:space="0"/>
            </w:tcBorders>
            <w:noWrap/>
            <w:vAlign w:val="center"/>
          </w:tcPr>
          <w:p w14:paraId="2BF027C0">
            <w:pPr>
              <w:spacing w:line="360" w:lineRule="exact"/>
              <w:ind w:firstLine="0"/>
              <w:rPr>
                <w:rFonts w:hint="default" w:ascii="宋体" w:hAnsi="宋体" w:eastAsia="宋体" w:cs="宋体"/>
                <w:lang w:val="en-US" w:eastAsia="zh-CN"/>
              </w:rPr>
            </w:pPr>
            <w:r>
              <w:rPr>
                <w:rFonts w:hint="eastAsia" w:ascii="宋体" w:hAnsi="宋体" w:eastAsia="宋体" w:cs="宋体"/>
                <w:lang w:val="en-US" w:eastAsia="zh-CN"/>
              </w:rPr>
              <w:t>服务支撑人员（非团队成员）</w:t>
            </w: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5004242B">
            <w:pPr>
              <w:tabs>
                <w:tab w:val="left" w:pos="7980"/>
              </w:tabs>
              <w:spacing w:line="360" w:lineRule="exact"/>
              <w:jc w:val="left"/>
              <w:rPr>
                <w:rFonts w:hint="eastAsia" w:ascii="宋体" w:hAnsi="宋体" w:eastAsia="宋体" w:cs="宋体"/>
                <w:lang w:val="en-US" w:eastAsia="zh-CN"/>
              </w:rPr>
            </w:pPr>
            <w:r>
              <w:rPr>
                <w:rFonts w:hint="eastAsia" w:ascii="仿宋" w:hAnsi="仿宋" w:eastAsia="仿宋" w:cs="Times New Roman"/>
                <w:kern w:val="0"/>
                <w:sz w:val="24"/>
              </w:rPr>
              <w:t>项目联系人</w:t>
            </w:r>
            <w:r>
              <w:rPr>
                <w:rFonts w:hint="eastAsia" w:ascii="仿宋" w:hAnsi="仿宋" w:eastAsia="仿宋" w:cs="Times New Roman"/>
                <w:kern w:val="0"/>
                <w:sz w:val="24"/>
                <w:lang w:val="en-US" w:eastAsia="zh-CN"/>
              </w:rPr>
              <w:t>/项目</w:t>
            </w:r>
            <w:r>
              <w:rPr>
                <w:rFonts w:hint="eastAsia" w:ascii="仿宋" w:hAnsi="仿宋" w:eastAsia="仿宋" w:cs="Calibri"/>
                <w:kern w:val="1"/>
                <w:sz w:val="24"/>
                <w:lang w:eastAsia="ar-SA"/>
              </w:rPr>
              <w:t>现场代表</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4FFE9AED">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3941D699">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FE5FC7F">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7CA18EF">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20610A35">
            <w:pPr>
              <w:spacing w:line="360" w:lineRule="exact"/>
              <w:ind w:firstLine="0"/>
              <w:rPr>
                <w:rFonts w:hint="eastAsia" w:ascii="宋体" w:hAnsi="宋体" w:eastAsia="宋体" w:cs="宋体"/>
                <w:lang w:val="en-US" w:eastAsia="zh-CN"/>
              </w:rPr>
            </w:pPr>
          </w:p>
        </w:tc>
      </w:tr>
      <w:tr w14:paraId="37E2C4D5">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9186757">
            <w:pPr>
              <w:spacing w:line="360" w:lineRule="exact"/>
              <w:ind w:firstLine="0"/>
              <w:rPr>
                <w:rFonts w:hint="default" w:ascii="宋体" w:hAnsi="宋体" w:eastAsia="宋体" w:cs="宋体"/>
                <w:lang w:val="en-US" w:eastAsia="zh-CN"/>
              </w:rPr>
            </w:pPr>
            <w:r>
              <w:rPr>
                <w:rFonts w:hint="eastAsia" w:ascii="宋体" w:hAnsi="宋体" w:eastAsia="宋体" w:cs="宋体"/>
                <w:lang w:val="en-US" w:eastAsia="zh-CN"/>
              </w:rPr>
              <w:t>12</w:t>
            </w:r>
          </w:p>
        </w:tc>
        <w:tc>
          <w:tcPr>
            <w:tcW w:w="914" w:type="pct"/>
            <w:vMerge w:val="continue"/>
            <w:tcBorders>
              <w:left w:val="single" w:color="000000" w:sz="4" w:space="0"/>
              <w:bottom w:val="single" w:color="000000" w:sz="4" w:space="0"/>
              <w:right w:val="single" w:color="000000" w:sz="4" w:space="0"/>
            </w:tcBorders>
            <w:noWrap/>
            <w:vAlign w:val="center"/>
          </w:tcPr>
          <w:p w14:paraId="50344CF5">
            <w:pPr>
              <w:spacing w:line="360" w:lineRule="exact"/>
              <w:ind w:firstLine="0"/>
              <w:rPr>
                <w:rFonts w:hint="default"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3CF5C48F">
            <w:pPr>
              <w:tabs>
                <w:tab w:val="left" w:pos="7980"/>
              </w:tabs>
              <w:spacing w:line="360" w:lineRule="exact"/>
              <w:jc w:val="left"/>
              <w:rPr>
                <w:rFonts w:hint="eastAsia" w:ascii="宋体" w:hAnsi="宋体" w:eastAsia="宋体" w:cs="宋体"/>
                <w:lang w:val="en-US" w:eastAsia="zh-CN"/>
              </w:rPr>
            </w:pPr>
            <w:r>
              <w:rPr>
                <w:rFonts w:hint="eastAsia" w:ascii="仿宋" w:hAnsi="仿宋" w:eastAsia="仿宋" w:cs="Times New Roman"/>
                <w:kern w:val="0"/>
                <w:sz w:val="24"/>
              </w:rPr>
              <w:t>专职安全生产管理人员</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75C0A1CC">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1602EFB6">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5D172B2F">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6D8B6C6">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765D1C75">
            <w:pPr>
              <w:spacing w:line="360" w:lineRule="exact"/>
              <w:ind w:firstLine="0"/>
              <w:rPr>
                <w:rFonts w:hint="eastAsia" w:ascii="宋体" w:hAnsi="宋体" w:eastAsia="宋体" w:cs="宋体"/>
                <w:lang w:val="en-US" w:eastAsia="zh-CN"/>
              </w:rPr>
            </w:pPr>
          </w:p>
        </w:tc>
      </w:tr>
      <w:tr w14:paraId="24E55AAB">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0EA006E7">
            <w:pPr>
              <w:spacing w:line="360" w:lineRule="exact"/>
              <w:ind w:firstLine="0"/>
              <w:rPr>
                <w:rFonts w:hint="default" w:ascii="宋体" w:hAnsi="宋体" w:eastAsia="宋体" w:cs="宋体"/>
                <w:lang w:val="en-US" w:eastAsia="zh-CN"/>
              </w:rPr>
            </w:pPr>
            <w:r>
              <w:rPr>
                <w:rFonts w:hint="eastAsia" w:ascii="宋体" w:hAnsi="宋体" w:eastAsia="宋体" w:cs="宋体"/>
                <w:lang w:val="en-US" w:eastAsia="zh-CN"/>
              </w:rPr>
              <w:t>13</w:t>
            </w:r>
          </w:p>
        </w:tc>
        <w:tc>
          <w:tcPr>
            <w:tcW w:w="914" w:type="pct"/>
            <w:vMerge w:val="continue"/>
            <w:tcBorders>
              <w:left w:val="single" w:color="000000" w:sz="4" w:space="0"/>
              <w:bottom w:val="single" w:color="000000" w:sz="4" w:space="0"/>
              <w:right w:val="single" w:color="000000" w:sz="4" w:space="0"/>
            </w:tcBorders>
            <w:noWrap/>
            <w:vAlign w:val="center"/>
          </w:tcPr>
          <w:p w14:paraId="74125724">
            <w:pPr>
              <w:spacing w:line="360" w:lineRule="exact"/>
              <w:ind w:firstLine="0"/>
              <w:rPr>
                <w:rFonts w:hint="default"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432154D7">
            <w:pPr>
              <w:tabs>
                <w:tab w:val="left" w:pos="7980"/>
              </w:tabs>
              <w:spacing w:line="360" w:lineRule="exact"/>
              <w:jc w:val="left"/>
              <w:rPr>
                <w:rFonts w:hint="eastAsia" w:ascii="宋体" w:hAnsi="宋体" w:eastAsia="宋体" w:cs="宋体"/>
                <w:lang w:val="en-US" w:eastAsia="zh-CN"/>
              </w:rPr>
            </w:pPr>
            <w:r>
              <w:rPr>
                <w:rFonts w:hint="eastAsia" w:ascii="仿宋" w:hAnsi="仿宋" w:eastAsia="仿宋" w:cs="Times New Roman"/>
                <w:kern w:val="0"/>
                <w:sz w:val="24"/>
              </w:rPr>
              <w:t>信息安全责任人</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3F641DC4">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33C5FE86">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B53F5D9">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5314593">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54D55BDF">
            <w:pPr>
              <w:spacing w:line="360" w:lineRule="exact"/>
              <w:ind w:firstLine="0"/>
              <w:rPr>
                <w:rFonts w:hint="eastAsia" w:ascii="宋体" w:hAnsi="宋体" w:eastAsia="宋体" w:cs="宋体"/>
                <w:lang w:val="en-US" w:eastAsia="zh-CN"/>
              </w:rPr>
            </w:pPr>
          </w:p>
        </w:tc>
      </w:tr>
      <w:tr w14:paraId="13FDF6B6">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580F973">
            <w:pPr>
              <w:spacing w:line="360" w:lineRule="exact"/>
              <w:ind w:firstLine="0"/>
              <w:rPr>
                <w:rFonts w:hint="default" w:ascii="宋体" w:hAnsi="宋体" w:eastAsia="宋体" w:cs="宋体"/>
                <w:lang w:val="en-US" w:eastAsia="zh-CN"/>
              </w:rPr>
            </w:pPr>
            <w:r>
              <w:rPr>
                <w:rFonts w:hint="eastAsia" w:ascii="宋体" w:hAnsi="宋体" w:eastAsia="宋体" w:cs="宋体"/>
                <w:lang w:val="en-US" w:eastAsia="zh-CN"/>
              </w:rPr>
              <w:t>14</w:t>
            </w:r>
          </w:p>
        </w:tc>
        <w:tc>
          <w:tcPr>
            <w:tcW w:w="914" w:type="pct"/>
            <w:vMerge w:val="continue"/>
            <w:tcBorders>
              <w:left w:val="single" w:color="000000" w:sz="4" w:space="0"/>
              <w:bottom w:val="single" w:color="000000" w:sz="4" w:space="0"/>
              <w:right w:val="single" w:color="000000" w:sz="4" w:space="0"/>
            </w:tcBorders>
            <w:noWrap/>
            <w:vAlign w:val="center"/>
          </w:tcPr>
          <w:p w14:paraId="3FD2A496">
            <w:pPr>
              <w:spacing w:line="360" w:lineRule="exact"/>
              <w:ind w:firstLine="0"/>
              <w:rPr>
                <w:rFonts w:hint="default"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72CD5D67">
            <w:pPr>
              <w:spacing w:line="360" w:lineRule="exact"/>
              <w:ind w:firstLine="0"/>
              <w:rPr>
                <w:rFonts w:hint="eastAsia" w:ascii="宋体" w:hAnsi="宋体" w:eastAsia="宋体" w:cs="宋体"/>
                <w:lang w:val="en-US" w:eastAsia="zh-CN"/>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234A56B5">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412053EF">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76325A0C">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BD8B992">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0CE40953">
            <w:pPr>
              <w:spacing w:line="360" w:lineRule="exact"/>
              <w:ind w:firstLine="0"/>
              <w:rPr>
                <w:rFonts w:hint="eastAsia" w:ascii="宋体" w:hAnsi="宋体" w:eastAsia="宋体" w:cs="宋体"/>
                <w:lang w:val="en-US" w:eastAsia="zh-CN"/>
              </w:rPr>
            </w:pPr>
          </w:p>
        </w:tc>
      </w:tr>
      <w:tr w14:paraId="742DF533">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6083F752">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5AB5030B">
            <w:pPr>
              <w:spacing w:line="360" w:lineRule="exact"/>
              <w:ind w:firstLine="0"/>
              <w:rPr>
                <w:rFonts w:hint="eastAsia"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75A67F31">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5F25791F">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1EF2B851">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82B96D4">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3291DADB">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2444B92F">
            <w:pPr>
              <w:spacing w:line="360" w:lineRule="exact"/>
              <w:ind w:firstLine="0"/>
              <w:rPr>
                <w:rFonts w:hint="eastAsia" w:ascii="宋体" w:hAnsi="宋体" w:eastAsia="宋体" w:cs="宋体"/>
                <w:lang w:val="en-US" w:eastAsia="zh-CN"/>
              </w:rPr>
            </w:pPr>
          </w:p>
        </w:tc>
      </w:tr>
      <w:tr w14:paraId="12F0B5FE">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573E10AF">
            <w:pPr>
              <w:spacing w:line="360" w:lineRule="exact"/>
              <w:ind w:firstLine="0"/>
              <w:rPr>
                <w:rFonts w:hint="eastAsia" w:ascii="宋体" w:hAnsi="宋体" w:eastAsia="宋体" w:cs="宋体"/>
                <w:lang w:val="en-US" w:eastAsia="zh-CN"/>
              </w:rPr>
            </w:pP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6EEE2656">
            <w:pPr>
              <w:spacing w:line="360" w:lineRule="exact"/>
              <w:ind w:firstLine="0"/>
              <w:rPr>
                <w:rFonts w:hint="eastAsia"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552EA9A0">
            <w:pPr>
              <w:spacing w:line="360" w:lineRule="exact"/>
              <w:ind w:firstLine="0"/>
              <w:rPr>
                <w:rFonts w:hint="eastAsia" w:ascii="宋体" w:hAnsi="宋体" w:eastAsia="宋体" w:cs="宋体"/>
                <w:lang w:val="en-US" w:eastAsia="zh-CN"/>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0501E18D">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303709DC">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03FBB96">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3777DF1F">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094DE4B3">
            <w:pPr>
              <w:spacing w:line="360" w:lineRule="exact"/>
              <w:ind w:firstLine="0"/>
              <w:rPr>
                <w:rFonts w:hint="eastAsia" w:ascii="宋体" w:hAnsi="宋体" w:eastAsia="宋体" w:cs="宋体"/>
                <w:lang w:val="en-US" w:eastAsia="zh-CN"/>
              </w:rPr>
            </w:pPr>
          </w:p>
        </w:tc>
      </w:tr>
      <w:tr w14:paraId="39FD8C3D">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7F5392C">
            <w:pPr>
              <w:spacing w:line="360" w:lineRule="exact"/>
              <w:ind w:firstLine="0"/>
              <w:rPr>
                <w:rFonts w:hint="eastAsia" w:ascii="宋体" w:hAnsi="宋体" w:eastAsia="宋体" w:cs="宋体"/>
                <w:lang w:val="en-US" w:eastAsia="zh-CN"/>
              </w:rPr>
            </w:pP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0C725631">
            <w:pPr>
              <w:spacing w:line="360" w:lineRule="exact"/>
              <w:ind w:firstLine="0"/>
              <w:rPr>
                <w:rFonts w:hint="eastAsia"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2C03D7B7">
            <w:pPr>
              <w:spacing w:line="360" w:lineRule="exact"/>
              <w:ind w:firstLine="0"/>
              <w:rPr>
                <w:rFonts w:hint="eastAsia" w:ascii="宋体" w:hAnsi="宋体" w:eastAsia="宋体" w:cs="宋体"/>
                <w:lang w:val="en-US" w:eastAsia="zh-CN"/>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36E5210B">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72B091CD">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54040A8">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8EB09E7">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65E8ABCD">
            <w:pPr>
              <w:spacing w:line="360" w:lineRule="exact"/>
              <w:ind w:firstLine="0"/>
              <w:rPr>
                <w:rFonts w:hint="eastAsia" w:ascii="宋体" w:hAnsi="宋体" w:eastAsia="宋体" w:cs="宋体"/>
                <w:lang w:val="en-US" w:eastAsia="zh-CN"/>
              </w:rPr>
            </w:pPr>
          </w:p>
        </w:tc>
      </w:tr>
      <w:tr w14:paraId="41B1AD05">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06648B69">
            <w:pPr>
              <w:spacing w:line="360" w:lineRule="exact"/>
              <w:ind w:firstLine="0"/>
              <w:rPr>
                <w:rFonts w:hint="eastAsia" w:ascii="宋体" w:hAnsi="宋体" w:eastAsia="宋体" w:cs="宋体"/>
                <w:lang w:val="en-US" w:eastAsia="zh-CN"/>
              </w:rPr>
            </w:pP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240774A4">
            <w:pPr>
              <w:spacing w:line="360" w:lineRule="exact"/>
              <w:ind w:firstLine="0"/>
              <w:rPr>
                <w:rFonts w:hint="eastAsia"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702EA7EA">
            <w:pPr>
              <w:spacing w:line="360" w:lineRule="exact"/>
              <w:ind w:firstLine="0"/>
              <w:rPr>
                <w:rFonts w:hint="eastAsia" w:ascii="宋体" w:hAnsi="宋体" w:eastAsia="宋体" w:cs="宋体"/>
                <w:lang w:val="en-US" w:eastAsia="zh-CN"/>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3E0B4345">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35BA5FEC">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07A1BEF9">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7295890">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7B767890">
            <w:pPr>
              <w:spacing w:line="360" w:lineRule="exact"/>
              <w:ind w:firstLine="0"/>
              <w:rPr>
                <w:rFonts w:hint="eastAsia" w:ascii="宋体" w:hAnsi="宋体" w:eastAsia="宋体" w:cs="宋体"/>
                <w:lang w:val="en-US" w:eastAsia="zh-CN"/>
              </w:rPr>
            </w:pPr>
          </w:p>
        </w:tc>
      </w:tr>
    </w:tbl>
    <w:p w14:paraId="0A9EE5A1">
      <w:pPr>
        <w:rPr>
          <w:rFonts w:cs="Times New Roman" w:asciiTheme="minorEastAsia" w:hAnsiTheme="minorEastAsia" w:eastAsiaTheme="minorEastAsia"/>
          <w:highlight w:val="none"/>
        </w:rPr>
      </w:pPr>
    </w:p>
    <w:p w14:paraId="0CE777CC">
      <w:pPr>
        <w:topLinePunct/>
        <w:spacing w:line="440" w:lineRule="exact"/>
        <w:jc w:val="left"/>
        <w:rPr>
          <w:rFonts w:cs="Times New Roman" w:asciiTheme="minorEastAsia" w:hAnsiTheme="minorEastAsia" w:eastAsiaTheme="minorEastAsia"/>
          <w:b/>
          <w:highlight w:val="none"/>
        </w:rPr>
      </w:pPr>
      <w:r>
        <w:rPr>
          <w:rFonts w:hint="eastAsia" w:cs="Times New Roman" w:asciiTheme="minorEastAsia" w:hAnsiTheme="minorEastAsia" w:eastAsiaTheme="minorEastAsia"/>
          <w:b/>
          <w:highlight w:val="none"/>
        </w:rPr>
        <w:t>编制要求：</w:t>
      </w:r>
      <w:r>
        <w:rPr>
          <w:rFonts w:hint="eastAsia" w:cs="Times New Roman" w:asciiTheme="minorEastAsia" w:hAnsiTheme="minorEastAsia" w:eastAsiaTheme="minorEastAsia"/>
          <w:highlight w:val="none"/>
        </w:rPr>
        <w:t>要求提供原件的，需提供文件原件；</w:t>
      </w:r>
      <w:r>
        <w:rPr>
          <w:rFonts w:hint="eastAsia" w:cs="Times New Roman" w:asciiTheme="minorEastAsia" w:hAnsiTheme="minorEastAsia" w:eastAsiaTheme="minorEastAsia"/>
          <w:highlight w:val="none"/>
          <w:lang w:val="en-US" w:eastAsia="zh-CN"/>
        </w:rPr>
        <w:t>其他</w:t>
      </w:r>
      <w:r>
        <w:rPr>
          <w:rFonts w:hint="eastAsia" w:cs="Times New Roman" w:asciiTheme="minorEastAsia" w:hAnsiTheme="minorEastAsia" w:eastAsiaTheme="minorEastAsia"/>
          <w:highlight w:val="none"/>
        </w:rPr>
        <w:t>证明文件可为</w:t>
      </w:r>
      <w:r>
        <w:rPr>
          <w:rFonts w:hint="eastAsia" w:cs="Times New Roman" w:asciiTheme="minorEastAsia" w:hAnsiTheme="minorEastAsia" w:eastAsiaTheme="minorEastAsia"/>
          <w:highlight w:val="none"/>
          <w:lang w:val="en-US" w:eastAsia="zh-CN"/>
        </w:rPr>
        <w:t>扫描件</w:t>
      </w:r>
      <w:r>
        <w:rPr>
          <w:rFonts w:hint="eastAsia" w:cs="Times New Roman" w:asciiTheme="minorEastAsia" w:hAnsiTheme="minorEastAsia" w:eastAsiaTheme="minorEastAsia"/>
          <w:highlight w:val="none"/>
        </w:rPr>
        <w:t>。</w:t>
      </w:r>
    </w:p>
    <w:p w14:paraId="4EB99F57">
      <w:pPr>
        <w:topLinePunct/>
        <w:ind w:firstLine="247" w:firstLineChars="118"/>
        <w:rPr>
          <w:rFonts w:hint="eastAsia" w:ascii="宋体" w:hAnsi="宋体" w:eastAsia="宋体" w:cs="宋体"/>
        </w:rPr>
      </w:pPr>
    </w:p>
    <w:p w14:paraId="410DC0AF">
      <w:pPr>
        <w:topLinePunct/>
        <w:ind w:firstLine="247" w:firstLineChars="118"/>
        <w:rPr>
          <w:rFonts w:hint="eastAsia" w:ascii="宋体" w:hAnsi="宋体" w:eastAsia="宋体" w:cs="宋体"/>
          <w:u w:val="single"/>
        </w:rPr>
      </w:pPr>
      <w:r>
        <w:rPr>
          <w:rFonts w:hint="eastAsia" w:ascii="宋体" w:hAnsi="宋体" w:eastAsia="宋体" w:cs="宋体"/>
          <w:lang w:val="en-US" w:eastAsia="zh-CN"/>
        </w:rPr>
        <w:t>供应商</w:t>
      </w:r>
      <w:r>
        <w:rPr>
          <w:rFonts w:hint="eastAsia" w:ascii="宋体" w:hAnsi="宋体" w:eastAsia="宋体" w:cs="宋体"/>
        </w:rPr>
        <w:t>名称：</w:t>
      </w:r>
      <w:r>
        <w:rPr>
          <w:rFonts w:hint="eastAsia" w:ascii="宋体" w:hAnsi="宋体" w:eastAsia="宋体" w:cs="宋体"/>
          <w:u w:val="single"/>
        </w:rPr>
        <w:t xml:space="preserve">                  </w:t>
      </w:r>
    </w:p>
    <w:p w14:paraId="60EF4D93">
      <w:pPr>
        <w:topLinePunct/>
        <w:ind w:firstLine="247" w:firstLineChars="118"/>
        <w:rPr>
          <w:rFonts w:hint="eastAsia" w:ascii="宋体" w:hAnsi="宋体" w:eastAsia="宋体" w:cs="宋体"/>
        </w:rPr>
      </w:pPr>
      <w:r>
        <w:rPr>
          <w:rFonts w:hint="eastAsia" w:ascii="宋体" w:hAnsi="宋体" w:eastAsia="宋体" w:cs="宋体"/>
        </w:rPr>
        <w:t>日期：      年     月    日</w:t>
      </w:r>
    </w:p>
    <w:p w14:paraId="5221D5A9">
      <w:pPr>
        <w:topLinePunct/>
        <w:ind w:firstLine="247" w:firstLineChars="118"/>
        <w:rPr>
          <w:rFonts w:hint="eastAsia" w:ascii="宋体" w:hAnsi="宋体" w:eastAsia="宋体" w:cs="宋体"/>
        </w:rPr>
      </w:pPr>
    </w:p>
    <w:p w14:paraId="23325FF7">
      <w:pPr>
        <w:rPr>
          <w:rFonts w:cs="Times New Roman" w:asciiTheme="minorEastAsia" w:hAnsiTheme="minorEastAsia" w:eastAsiaTheme="minorEastAsia"/>
          <w:highlight w:val="none"/>
        </w:rPr>
      </w:pPr>
      <w:r>
        <w:rPr>
          <w:rFonts w:hint="eastAsia" w:ascii="宋体" w:hAnsi="宋体" w:eastAsia="宋体" w:cs="宋体"/>
        </w:rPr>
        <w:t>注：1、项目负责人须按</w:t>
      </w:r>
      <w:r>
        <w:rPr>
          <w:rFonts w:hint="eastAsia" w:ascii="宋体" w:hAnsi="宋体" w:eastAsia="宋体" w:cs="宋体"/>
          <w:lang w:val="en-US" w:eastAsia="zh-CN"/>
        </w:rPr>
        <w:t>询比</w:t>
      </w:r>
      <w:r>
        <w:rPr>
          <w:rFonts w:hint="eastAsia" w:ascii="宋体" w:hAnsi="宋体" w:eastAsia="宋体" w:cs="宋体"/>
        </w:rPr>
        <w:t>文件要求附相应证明材料等</w:t>
      </w:r>
    </w:p>
    <w:p w14:paraId="5EDCBA81">
      <w:pPr>
        <w:topLinePunct/>
        <w:ind w:firstLine="247" w:firstLineChars="118"/>
        <w:jc w:val="right"/>
        <w:rPr>
          <w:rFonts w:ascii="宋体" w:hAnsi="宋体"/>
          <w:highlight w:val="none"/>
        </w:rPr>
      </w:pPr>
    </w:p>
    <w:p w14:paraId="0EA9377A">
      <w:pPr>
        <w:rPr>
          <w:rFonts w:ascii="宋体" w:hAnsi="宋体"/>
          <w:highlight w:val="none"/>
        </w:rPr>
      </w:pPr>
      <w:r>
        <w:rPr>
          <w:rFonts w:ascii="宋体" w:hAnsi="宋体"/>
          <w:highlight w:val="none"/>
        </w:rPr>
        <w:br w:type="page"/>
      </w:r>
    </w:p>
    <w:p w14:paraId="475E5C6A">
      <w:pPr>
        <w:rPr>
          <w:rFonts w:ascii="宋体" w:hAnsi="宋体"/>
          <w:highlight w:val="none"/>
        </w:rPr>
      </w:pPr>
    </w:p>
    <w:p w14:paraId="4A599496">
      <w:pPr>
        <w:pStyle w:val="81"/>
        <w:numPr>
          <w:ilvl w:val="0"/>
          <w:numId w:val="0"/>
        </w:numPr>
        <w:tabs>
          <w:tab w:val="left" w:pos="588"/>
        </w:tabs>
        <w:snapToGrid w:val="0"/>
        <w:spacing w:before="120" w:after="120" w:line="440" w:lineRule="exact"/>
        <w:ind w:left="635" w:leftChars="0" w:hanging="425" w:firstLineChars="0"/>
        <w:jc w:val="left"/>
        <w:rPr>
          <w:rFonts w:hint="eastAsia" w:cs="Times New Roman" w:asciiTheme="minorEastAsia" w:hAnsiTheme="minorEastAsia" w:eastAsiaTheme="minorEastAsia"/>
          <w:sz w:val="24"/>
          <w:szCs w:val="24"/>
        </w:rPr>
      </w:pPr>
      <w:bookmarkStart w:id="1200" w:name="_Toc2123"/>
      <w:bookmarkStart w:id="1201" w:name="_Toc31174"/>
      <w:bookmarkStart w:id="1202" w:name="_Toc25224"/>
      <w:bookmarkStart w:id="1203" w:name="_Toc24106"/>
      <w:bookmarkStart w:id="1204" w:name="_Toc27344"/>
      <w:bookmarkStart w:id="1205" w:name="_Toc38008102"/>
      <w:bookmarkStart w:id="1206" w:name="_Toc14516"/>
      <w:bookmarkStart w:id="1207" w:name="_Toc475472692"/>
      <w:bookmarkStart w:id="1208" w:name="_Toc32077"/>
      <w:bookmarkStart w:id="1209" w:name="_Toc5019"/>
      <w:bookmarkStart w:id="1210" w:name="_Toc26300"/>
      <w:bookmarkStart w:id="1211" w:name="_Toc14942"/>
      <w:bookmarkStart w:id="1212" w:name="_Toc21507"/>
      <w:bookmarkStart w:id="1213" w:name="_Hlk167300100"/>
      <w:r>
        <w:rPr>
          <w:rFonts w:hint="eastAsia" w:cs="Times New Roman" w:asciiTheme="minorEastAsia" w:hAnsiTheme="minorEastAsia" w:eastAsiaTheme="minorEastAsia"/>
          <w:b/>
          <w:bCs/>
          <w:kern w:val="2"/>
          <w:sz w:val="24"/>
          <w:szCs w:val="24"/>
          <w:lang w:val="en-US" w:eastAsia="zh-CN" w:bidi="ar-SA"/>
        </w:rPr>
        <w:t>33.</w:t>
      </w:r>
      <w:r>
        <w:rPr>
          <w:rFonts w:hint="eastAsia" w:cs="Times New Roman" w:asciiTheme="minorEastAsia" w:hAnsiTheme="minorEastAsia" w:eastAsiaTheme="minorEastAsia"/>
          <w:sz w:val="24"/>
          <w:szCs w:val="24"/>
        </w:rPr>
        <w:t>技术规范书中明确要求投标人提供的其他相关文件</w:t>
      </w:r>
      <w:bookmarkEnd w:id="1200"/>
      <w:bookmarkEnd w:id="1201"/>
      <w:bookmarkEnd w:id="1202"/>
      <w:bookmarkEnd w:id="1203"/>
      <w:bookmarkEnd w:id="1204"/>
      <w:bookmarkEnd w:id="1205"/>
      <w:bookmarkEnd w:id="1206"/>
      <w:bookmarkEnd w:id="1207"/>
      <w:bookmarkEnd w:id="1208"/>
      <w:bookmarkEnd w:id="1209"/>
      <w:bookmarkEnd w:id="1210"/>
      <w:bookmarkEnd w:id="1211"/>
      <w:bookmarkEnd w:id="1212"/>
    </w:p>
    <w:bookmarkEnd w:id="1213"/>
    <w:p w14:paraId="228D3E89">
      <w:pPr>
        <w:rPr>
          <w:rFonts w:asciiTheme="minorEastAsia" w:hAnsiTheme="minorEastAsia" w:eastAsiaTheme="minorEastAsia"/>
          <w:highlight w:val="none"/>
        </w:rPr>
      </w:pPr>
    </w:p>
    <w:p w14:paraId="41AF66E7">
      <w:pPr>
        <w:rPr>
          <w:rFonts w:asciiTheme="minorEastAsia" w:hAnsiTheme="minorEastAsia" w:eastAsiaTheme="minorEastAsia"/>
          <w:highlight w:val="none"/>
        </w:rPr>
      </w:pPr>
    </w:p>
    <w:p w14:paraId="51AA4C94">
      <w:pPr>
        <w:rPr>
          <w:rFonts w:asciiTheme="minorEastAsia" w:hAnsiTheme="minorEastAsia" w:eastAsiaTheme="minorEastAsia"/>
          <w:highlight w:val="none"/>
        </w:rPr>
      </w:pPr>
    </w:p>
    <w:p w14:paraId="5F6958D5">
      <w:pPr>
        <w:rPr>
          <w:rFonts w:asciiTheme="minorEastAsia" w:hAnsiTheme="minorEastAsia" w:eastAsiaTheme="minorEastAsia"/>
          <w:szCs w:val="21"/>
          <w:highlight w:val="none"/>
        </w:rPr>
      </w:pPr>
    </w:p>
    <w:p w14:paraId="0BA6FEAB">
      <w:pPr>
        <w:topLinePunct/>
        <w:spacing w:line="440" w:lineRule="exact"/>
        <w:jc w:val="left"/>
        <w:rPr>
          <w:rFonts w:asciiTheme="minorEastAsia" w:hAnsiTheme="minorEastAsia" w:eastAsiaTheme="minorEastAsia"/>
          <w:b/>
          <w:highlight w:val="none"/>
        </w:rPr>
      </w:pPr>
      <w:r>
        <w:rPr>
          <w:rFonts w:hint="eastAsia" w:asciiTheme="minorEastAsia" w:hAnsiTheme="minorEastAsia" w:eastAsiaTheme="minorEastAsia"/>
          <w:b/>
          <w:highlight w:val="none"/>
        </w:rPr>
        <w:t>编制要求：</w:t>
      </w:r>
    </w:p>
    <w:p w14:paraId="1AC1CEFC">
      <w:pPr>
        <w:numPr>
          <w:ilvl w:val="0"/>
          <w:numId w:val="105"/>
        </w:numPr>
        <w:topLinePunct/>
        <w:spacing w:line="440" w:lineRule="exact"/>
        <w:ind w:left="424" w:hanging="424" w:hangingChars="202"/>
        <w:jc w:val="left"/>
        <w:rPr>
          <w:rFonts w:asciiTheme="minorEastAsia" w:hAnsiTheme="minorEastAsia" w:eastAsiaTheme="minorEastAsia"/>
          <w:highlight w:val="none"/>
        </w:rPr>
      </w:pPr>
      <w:r>
        <w:rPr>
          <w:rFonts w:hint="eastAsia" w:asciiTheme="minorEastAsia" w:hAnsiTheme="minorEastAsia" w:eastAsiaTheme="minorEastAsia"/>
          <w:highlight w:val="none"/>
        </w:rPr>
        <w:t>应按照技术规范书规定的先后顺序提供。</w:t>
      </w:r>
    </w:p>
    <w:p w14:paraId="1D4F7D9C">
      <w:pPr>
        <w:numPr>
          <w:ilvl w:val="0"/>
          <w:numId w:val="105"/>
        </w:numPr>
        <w:topLinePunct/>
        <w:spacing w:line="440" w:lineRule="exact"/>
        <w:ind w:left="424" w:hanging="424" w:hangingChars="202"/>
        <w:jc w:val="left"/>
        <w:rPr>
          <w:rFonts w:asciiTheme="minorEastAsia" w:hAnsiTheme="minorEastAsia" w:eastAsiaTheme="minorEastAsia"/>
          <w:highlight w:val="none"/>
        </w:rPr>
      </w:pPr>
      <w:r>
        <w:rPr>
          <w:rFonts w:hint="eastAsia" w:asciiTheme="minorEastAsia" w:hAnsiTheme="minorEastAsia" w:eastAsiaTheme="minorEastAsia"/>
          <w:highlight w:val="none"/>
        </w:rPr>
        <w:t>要求提供原件的，需提供文件原件；需要提供证明文件的，可为相关证明文件复印件。</w:t>
      </w:r>
    </w:p>
    <w:p w14:paraId="449214F8">
      <w:pPr>
        <w:rPr>
          <w:rFonts w:asciiTheme="minorEastAsia" w:hAnsiTheme="minorEastAsia" w:eastAsiaTheme="minorEastAsia"/>
          <w:highlight w:val="none"/>
        </w:rPr>
      </w:pPr>
      <w:r>
        <w:rPr>
          <w:rFonts w:asciiTheme="minorEastAsia" w:hAnsiTheme="minorEastAsia" w:eastAsiaTheme="minorEastAsia"/>
          <w:highlight w:val="none"/>
        </w:rPr>
        <w:br w:type="page"/>
      </w:r>
    </w:p>
    <w:p w14:paraId="4C5B7C12">
      <w:pPr>
        <w:pStyle w:val="81"/>
        <w:numPr>
          <w:ilvl w:val="0"/>
          <w:numId w:val="0"/>
        </w:numPr>
        <w:tabs>
          <w:tab w:val="left" w:pos="588"/>
        </w:tabs>
        <w:snapToGrid w:val="0"/>
        <w:spacing w:before="120" w:after="120" w:line="440" w:lineRule="exact"/>
        <w:ind w:left="635" w:leftChars="0" w:hanging="425" w:firstLineChars="0"/>
        <w:jc w:val="left"/>
        <w:rPr>
          <w:rFonts w:hint="eastAsia" w:cs="Times New Roman" w:asciiTheme="minorEastAsia" w:hAnsiTheme="minorEastAsia" w:eastAsiaTheme="minorEastAsia"/>
          <w:b/>
          <w:bCs/>
          <w:kern w:val="2"/>
          <w:sz w:val="24"/>
          <w:szCs w:val="24"/>
          <w:lang w:val="en-US" w:eastAsia="zh-CN" w:bidi="ar-SA"/>
        </w:rPr>
      </w:pPr>
      <w:bookmarkStart w:id="1214" w:name="_Toc4123"/>
      <w:bookmarkStart w:id="1215" w:name="_Toc9550"/>
      <w:bookmarkStart w:id="1216" w:name="_Toc28609"/>
      <w:bookmarkStart w:id="1217" w:name="_Toc26672"/>
      <w:bookmarkStart w:id="1218" w:name="_Toc31810"/>
      <w:bookmarkStart w:id="1219" w:name="_Toc15432"/>
      <w:r>
        <w:rPr>
          <w:rFonts w:hint="eastAsia" w:cs="Times New Roman" w:asciiTheme="minorEastAsia" w:hAnsiTheme="minorEastAsia" w:eastAsiaTheme="minorEastAsia"/>
          <w:b/>
          <w:bCs/>
          <w:kern w:val="2"/>
          <w:sz w:val="24"/>
          <w:szCs w:val="24"/>
          <w:lang w:val="en-US" w:eastAsia="zh-CN" w:bidi="ar-SA"/>
        </w:rPr>
        <w:t>34.外部组件软件成分信息清单模版</w:t>
      </w:r>
      <w:bookmarkEnd w:id="1214"/>
      <w:bookmarkEnd w:id="1215"/>
      <w:bookmarkEnd w:id="1216"/>
      <w:bookmarkEnd w:id="1217"/>
      <w:bookmarkEnd w:id="1218"/>
      <w:bookmarkEnd w:id="1219"/>
    </w:p>
    <w:p w14:paraId="5A118E8A">
      <w:pPr>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填写说明：</w:t>
      </w:r>
    </w:p>
    <w:p w14:paraId="31CCAD88">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1、应用</w:t>
      </w:r>
      <w:r>
        <w:rPr>
          <w:rFonts w:hint="eastAsia" w:ascii="微软雅黑" w:hAnsi="微软雅黑" w:eastAsia="微软雅黑" w:cs="Times New Roman"/>
          <w:i/>
          <w:color w:val="5B9BD5"/>
          <w:sz w:val="20"/>
          <w:szCs w:val="22"/>
        </w:rPr>
        <w:t>开发</w:t>
      </w:r>
      <w:r>
        <w:rPr>
          <w:rFonts w:ascii="微软雅黑" w:hAnsi="微软雅黑" w:eastAsia="微软雅黑" w:cs="Times New Roman"/>
          <w:i/>
          <w:color w:val="5B9BD5"/>
          <w:sz w:val="20"/>
          <w:szCs w:val="22"/>
        </w:rPr>
        <w:t>软件：</w:t>
      </w:r>
      <w:r>
        <w:rPr>
          <w:rFonts w:hint="eastAsia" w:ascii="微软雅黑" w:hAnsi="微软雅黑" w:eastAsia="微软雅黑" w:cs="Times New Roman"/>
          <w:i/>
          <w:color w:val="5B9BD5"/>
          <w:sz w:val="20"/>
          <w:szCs w:val="22"/>
        </w:rPr>
        <w:t>交付上线、</w:t>
      </w:r>
      <w:r>
        <w:rPr>
          <w:rFonts w:ascii="微软雅黑" w:hAnsi="微软雅黑" w:eastAsia="微软雅黑" w:cs="Times New Roman"/>
          <w:i/>
          <w:color w:val="5B9BD5"/>
          <w:sz w:val="20"/>
          <w:szCs w:val="22"/>
        </w:rPr>
        <w:t>初验、终验阶段必须按照格式提供</w:t>
      </w:r>
      <w:r>
        <w:rPr>
          <w:rFonts w:hint="eastAsia" w:ascii="微软雅黑" w:hAnsi="微软雅黑" w:eastAsia="微软雅黑" w:cs="Times New Roman"/>
          <w:i/>
          <w:color w:val="5B9BD5"/>
          <w:sz w:val="20"/>
          <w:szCs w:val="22"/>
        </w:rPr>
        <w:t>最新</w:t>
      </w:r>
      <w:r>
        <w:rPr>
          <w:rFonts w:ascii="微软雅黑" w:hAnsi="微软雅黑" w:eastAsia="微软雅黑" w:cs="Times New Roman"/>
          <w:i/>
          <w:color w:val="5B9BD5"/>
          <w:sz w:val="20"/>
          <w:szCs w:val="22"/>
        </w:rPr>
        <w:t>完整的软件成分信息</w:t>
      </w:r>
      <w:r>
        <w:rPr>
          <w:rFonts w:hint="eastAsia" w:ascii="微软雅黑" w:hAnsi="微软雅黑" w:eastAsia="微软雅黑" w:cs="Times New Roman"/>
          <w:i/>
          <w:color w:val="5B9BD5"/>
          <w:sz w:val="20"/>
          <w:szCs w:val="22"/>
        </w:rPr>
        <w:t>。</w:t>
      </w:r>
    </w:p>
    <w:p w14:paraId="00BFF89A">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2、</w:t>
      </w:r>
      <w:r>
        <w:rPr>
          <w:rFonts w:hint="eastAsia" w:ascii="微软雅黑" w:hAnsi="微软雅黑" w:eastAsia="微软雅黑" w:cs="Times New Roman"/>
          <w:i/>
          <w:color w:val="5B9BD5"/>
          <w:sz w:val="20"/>
          <w:szCs w:val="22"/>
        </w:rPr>
        <w:t>成熟商业软件</w:t>
      </w:r>
      <w:r>
        <w:rPr>
          <w:rFonts w:ascii="微软雅黑" w:hAnsi="微软雅黑" w:eastAsia="微软雅黑" w:cs="Times New Roman"/>
          <w:i/>
          <w:color w:val="5B9BD5"/>
          <w:sz w:val="20"/>
          <w:szCs w:val="22"/>
        </w:rPr>
        <w:t>：</w:t>
      </w:r>
      <w:r>
        <w:rPr>
          <w:rFonts w:hint="eastAsia" w:ascii="微软雅黑" w:hAnsi="微软雅黑" w:eastAsia="微软雅黑" w:cs="Times New Roman"/>
          <w:i/>
          <w:color w:val="5B9BD5"/>
          <w:sz w:val="20"/>
          <w:szCs w:val="22"/>
        </w:rPr>
        <w:t>投标文件/参选文件/应答文件</w:t>
      </w:r>
      <w:r>
        <w:rPr>
          <w:rFonts w:ascii="微软雅黑" w:hAnsi="微软雅黑" w:eastAsia="微软雅黑" w:cs="Times New Roman"/>
          <w:i/>
          <w:color w:val="5B9BD5"/>
          <w:sz w:val="20"/>
          <w:szCs w:val="22"/>
        </w:rPr>
        <w:t>、</w:t>
      </w:r>
      <w:r>
        <w:rPr>
          <w:rFonts w:hint="eastAsia" w:ascii="微软雅黑" w:hAnsi="微软雅黑" w:eastAsia="微软雅黑" w:cs="Times New Roman"/>
          <w:i/>
          <w:color w:val="5B9BD5"/>
          <w:sz w:val="20"/>
          <w:szCs w:val="22"/>
        </w:rPr>
        <w:t>合同附件</w:t>
      </w:r>
      <w:r>
        <w:rPr>
          <w:rFonts w:ascii="微软雅黑" w:hAnsi="微软雅黑" w:eastAsia="微软雅黑" w:cs="Times New Roman"/>
          <w:i/>
          <w:color w:val="5B9BD5"/>
          <w:sz w:val="20"/>
          <w:szCs w:val="22"/>
        </w:rPr>
        <w:t>中均必须按照格式提供完整的软件成分信息</w:t>
      </w:r>
    </w:p>
    <w:p w14:paraId="26224527">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3、如不提供，供应商须提供承诺软件代码均为100%</w:t>
      </w:r>
      <w:r>
        <w:rPr>
          <w:rFonts w:hint="eastAsia" w:ascii="微软雅黑" w:hAnsi="微软雅黑" w:eastAsia="微软雅黑" w:cs="Times New Roman"/>
          <w:i/>
          <w:color w:val="5B9BD5"/>
          <w:sz w:val="20"/>
          <w:szCs w:val="22"/>
        </w:rPr>
        <w:t>自主编写代码。</w:t>
      </w:r>
    </w:p>
    <w:p w14:paraId="29A311B3">
      <w:pPr>
        <w:spacing w:line="0" w:lineRule="atLeast"/>
        <w:jc w:val="left"/>
        <w:rPr>
          <w:rFonts w:ascii="微软雅黑" w:hAnsi="微软雅黑" w:eastAsia="微软雅黑" w:cs="Times New Roman"/>
          <w:sz w:val="20"/>
          <w:szCs w:val="22"/>
        </w:rPr>
      </w:pPr>
    </w:p>
    <w:p w14:paraId="0A5E5D5B">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1220" w:name="_Toc11963"/>
      <w:bookmarkStart w:id="1221" w:name="_Toc28754"/>
      <w:bookmarkStart w:id="1222" w:name="_Toc25792"/>
      <w:bookmarkStart w:id="1223" w:name="_Toc21382"/>
      <w:bookmarkStart w:id="1224" w:name="_Toc20111"/>
      <w:bookmarkStart w:id="1225" w:name="_Toc28372"/>
      <w:r>
        <w:rPr>
          <w:rFonts w:hint="eastAsia" w:ascii="等线" w:hAnsi="等线" w:eastAsia="等线" w:cs="Times New Roman"/>
          <w:b/>
          <w:kern w:val="2"/>
          <w:sz w:val="24"/>
          <w:szCs w:val="24"/>
          <w:lang w:val="en-US" w:eastAsia="zh-CN" w:bidi="ar-SA"/>
        </w:rPr>
        <w:t>一、软件基本信息</w:t>
      </w:r>
      <w:bookmarkEnd w:id="1220"/>
      <w:bookmarkEnd w:id="1221"/>
      <w:bookmarkEnd w:id="1222"/>
      <w:bookmarkEnd w:id="1223"/>
      <w:bookmarkEnd w:id="1224"/>
      <w:bookmarkEnd w:id="1225"/>
    </w:p>
    <w:tbl>
      <w:tblPr>
        <w:tblStyle w:val="85"/>
        <w:tblW w:w="5000" w:type="pct"/>
        <w:tblInd w:w="0" w:type="dxa"/>
        <w:tblLayout w:type="autofit"/>
        <w:tblCellMar>
          <w:top w:w="0" w:type="dxa"/>
          <w:left w:w="108" w:type="dxa"/>
          <w:bottom w:w="0" w:type="dxa"/>
          <w:right w:w="108" w:type="dxa"/>
        </w:tblCellMar>
      </w:tblPr>
      <w:tblGrid>
        <w:gridCol w:w="1576"/>
        <w:gridCol w:w="2062"/>
        <w:gridCol w:w="2698"/>
        <w:gridCol w:w="2192"/>
      </w:tblGrid>
      <w:tr w14:paraId="3E51FB8C">
        <w:tblPrEx>
          <w:tblCellMar>
            <w:top w:w="0" w:type="dxa"/>
            <w:left w:w="108" w:type="dxa"/>
            <w:bottom w:w="0" w:type="dxa"/>
            <w:right w:w="108" w:type="dxa"/>
          </w:tblCellMar>
        </w:tblPrEx>
        <w:trPr>
          <w:trHeight w:val="330" w:hRule="atLeast"/>
        </w:trPr>
        <w:tc>
          <w:tcPr>
            <w:tcW w:w="924" w:type="pct"/>
            <w:tcBorders>
              <w:top w:val="single" w:color="auto" w:sz="4" w:space="0"/>
              <w:left w:val="single" w:color="auto" w:sz="4" w:space="0"/>
              <w:bottom w:val="single" w:color="auto" w:sz="4" w:space="0"/>
              <w:right w:val="single" w:color="auto" w:sz="4" w:space="0"/>
            </w:tcBorders>
            <w:shd w:val="clear" w:color="000000" w:fill="auto"/>
            <w:vAlign w:val="center"/>
          </w:tcPr>
          <w:p w14:paraId="663C09C5">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类型</w:t>
            </w:r>
          </w:p>
        </w:tc>
        <w:tc>
          <w:tcPr>
            <w:tcW w:w="1209" w:type="pct"/>
            <w:tcBorders>
              <w:top w:val="single" w:color="auto" w:sz="4" w:space="0"/>
              <w:left w:val="nil"/>
              <w:bottom w:val="single" w:color="auto" w:sz="4" w:space="0"/>
              <w:right w:val="single" w:color="auto" w:sz="4" w:space="0"/>
            </w:tcBorders>
            <w:shd w:val="clear" w:color="000000" w:fill="auto"/>
            <w:vAlign w:val="center"/>
          </w:tcPr>
          <w:p w14:paraId="7EDAD3B4">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组成项</w:t>
            </w:r>
          </w:p>
        </w:tc>
        <w:tc>
          <w:tcPr>
            <w:tcW w:w="1582" w:type="pct"/>
            <w:tcBorders>
              <w:top w:val="single" w:color="auto" w:sz="4" w:space="0"/>
              <w:left w:val="nil"/>
              <w:bottom w:val="single" w:color="auto" w:sz="4" w:space="0"/>
              <w:right w:val="single" w:color="auto" w:sz="4" w:space="0"/>
            </w:tcBorders>
            <w:shd w:val="clear" w:color="000000" w:fill="auto"/>
            <w:vAlign w:val="center"/>
          </w:tcPr>
          <w:p w14:paraId="4E04A24F">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描述</w:t>
            </w:r>
          </w:p>
        </w:tc>
        <w:tc>
          <w:tcPr>
            <w:tcW w:w="1285" w:type="pct"/>
            <w:tcBorders>
              <w:top w:val="single" w:color="auto" w:sz="4" w:space="0"/>
              <w:left w:val="nil"/>
              <w:bottom w:val="single" w:color="auto" w:sz="4" w:space="0"/>
              <w:right w:val="single" w:color="auto" w:sz="4" w:space="0"/>
            </w:tcBorders>
            <w:shd w:val="clear" w:color="000000" w:fill="auto"/>
            <w:vAlign w:val="center"/>
          </w:tcPr>
          <w:p w14:paraId="41C3538D">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内容（填写此列）</w:t>
            </w:r>
          </w:p>
        </w:tc>
      </w:tr>
      <w:tr w14:paraId="4C98A4A0">
        <w:tblPrEx>
          <w:tblCellMar>
            <w:top w:w="0" w:type="dxa"/>
            <w:left w:w="108" w:type="dxa"/>
            <w:bottom w:w="0" w:type="dxa"/>
            <w:right w:w="108" w:type="dxa"/>
          </w:tblCellMar>
        </w:tblPrEx>
        <w:trPr>
          <w:trHeight w:val="330" w:hRule="atLeast"/>
        </w:trPr>
        <w:tc>
          <w:tcPr>
            <w:tcW w:w="924" w:type="pct"/>
            <w:vMerge w:val="restart"/>
            <w:tcBorders>
              <w:top w:val="nil"/>
              <w:left w:val="single" w:color="auto" w:sz="4" w:space="0"/>
              <w:bottom w:val="single" w:color="auto" w:sz="4" w:space="0"/>
              <w:right w:val="single" w:color="auto" w:sz="4" w:space="0"/>
            </w:tcBorders>
            <w:shd w:val="clear" w:color="auto" w:fill="auto"/>
            <w:vAlign w:val="center"/>
          </w:tcPr>
          <w:p w14:paraId="2B387DAE">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软件基本信息</w:t>
            </w:r>
          </w:p>
        </w:tc>
        <w:tc>
          <w:tcPr>
            <w:tcW w:w="1209" w:type="pct"/>
            <w:tcBorders>
              <w:top w:val="nil"/>
              <w:left w:val="nil"/>
              <w:bottom w:val="single" w:color="auto" w:sz="4" w:space="0"/>
              <w:right w:val="single" w:color="auto" w:sz="4" w:space="0"/>
            </w:tcBorders>
            <w:shd w:val="clear" w:color="auto" w:fill="auto"/>
            <w:vAlign w:val="center"/>
          </w:tcPr>
          <w:p w14:paraId="1AA66DC4">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软件名称</w:t>
            </w:r>
          </w:p>
        </w:tc>
        <w:tc>
          <w:tcPr>
            <w:tcW w:w="1582" w:type="pct"/>
            <w:tcBorders>
              <w:top w:val="nil"/>
              <w:left w:val="nil"/>
              <w:bottom w:val="single" w:color="auto" w:sz="4" w:space="0"/>
              <w:right w:val="single" w:color="auto" w:sz="4" w:space="0"/>
            </w:tcBorders>
            <w:shd w:val="clear" w:color="auto" w:fill="auto"/>
            <w:vAlign w:val="center"/>
          </w:tcPr>
          <w:p w14:paraId="1858E4E5">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标识软件的实体名称</w:t>
            </w:r>
          </w:p>
        </w:tc>
        <w:tc>
          <w:tcPr>
            <w:tcW w:w="1285" w:type="pct"/>
            <w:tcBorders>
              <w:top w:val="nil"/>
              <w:left w:val="nil"/>
              <w:bottom w:val="single" w:color="auto" w:sz="4" w:space="0"/>
              <w:right w:val="single" w:color="auto" w:sz="4" w:space="0"/>
            </w:tcBorders>
            <w:shd w:val="clear" w:color="auto" w:fill="auto"/>
            <w:noWrap/>
            <w:vAlign w:val="bottom"/>
          </w:tcPr>
          <w:p w14:paraId="754A98A4">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73CA0FC3">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vAlign w:val="center"/>
          </w:tcPr>
          <w:p w14:paraId="6EDF446B">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shd w:val="clear" w:color="auto" w:fill="auto"/>
            <w:vAlign w:val="center"/>
          </w:tcPr>
          <w:p w14:paraId="08E9D9DD">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软件责任主体名称</w:t>
            </w:r>
          </w:p>
        </w:tc>
        <w:tc>
          <w:tcPr>
            <w:tcW w:w="1582" w:type="pct"/>
            <w:tcBorders>
              <w:top w:val="nil"/>
              <w:left w:val="nil"/>
              <w:bottom w:val="single" w:color="auto" w:sz="4" w:space="0"/>
              <w:right w:val="single" w:color="auto" w:sz="4" w:space="0"/>
            </w:tcBorders>
            <w:shd w:val="clear" w:color="auto" w:fill="auto"/>
            <w:vAlign w:val="center"/>
          </w:tcPr>
          <w:p w14:paraId="2B343E3A">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软件责任人或团体名称</w:t>
            </w:r>
          </w:p>
        </w:tc>
        <w:tc>
          <w:tcPr>
            <w:tcW w:w="1285" w:type="pct"/>
            <w:tcBorders>
              <w:top w:val="nil"/>
              <w:left w:val="nil"/>
              <w:bottom w:val="single" w:color="auto" w:sz="4" w:space="0"/>
              <w:right w:val="single" w:color="auto" w:sz="4" w:space="0"/>
            </w:tcBorders>
            <w:shd w:val="clear" w:color="auto" w:fill="auto"/>
            <w:noWrap/>
            <w:vAlign w:val="bottom"/>
          </w:tcPr>
          <w:p w14:paraId="6A8C5074">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27879847">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vAlign w:val="center"/>
          </w:tcPr>
          <w:p w14:paraId="7E442C4B">
            <w:pPr>
              <w:spacing w:line="360" w:lineRule="auto"/>
              <w:jc w:val="center"/>
              <w:rPr>
                <w:rFonts w:ascii="微软雅黑" w:hAnsi="微软雅黑" w:eastAsia="微软雅黑" w:cs="Times New Roman"/>
                <w:sz w:val="20"/>
                <w:szCs w:val="22"/>
                <w:highlight w:val="yellow"/>
              </w:rPr>
            </w:pPr>
          </w:p>
        </w:tc>
        <w:tc>
          <w:tcPr>
            <w:tcW w:w="1209" w:type="pct"/>
            <w:tcBorders>
              <w:top w:val="nil"/>
              <w:left w:val="nil"/>
              <w:bottom w:val="single" w:color="auto" w:sz="4" w:space="0"/>
              <w:right w:val="single" w:color="auto" w:sz="4" w:space="0"/>
            </w:tcBorders>
            <w:shd w:val="clear" w:color="auto" w:fill="auto"/>
            <w:vAlign w:val="center"/>
          </w:tcPr>
          <w:p w14:paraId="6D0B8830">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软件供应商</w:t>
            </w:r>
          </w:p>
        </w:tc>
        <w:tc>
          <w:tcPr>
            <w:tcW w:w="1582" w:type="pct"/>
            <w:tcBorders>
              <w:top w:val="nil"/>
              <w:left w:val="nil"/>
              <w:bottom w:val="single" w:color="auto" w:sz="4" w:space="0"/>
              <w:right w:val="single" w:color="auto" w:sz="4" w:space="0"/>
            </w:tcBorders>
            <w:shd w:val="clear" w:color="auto" w:fill="auto"/>
            <w:vAlign w:val="center"/>
          </w:tcPr>
          <w:p w14:paraId="6253B84B">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原始供应商</w:t>
            </w:r>
          </w:p>
        </w:tc>
        <w:tc>
          <w:tcPr>
            <w:tcW w:w="1285" w:type="pct"/>
            <w:tcBorders>
              <w:top w:val="nil"/>
              <w:left w:val="nil"/>
              <w:bottom w:val="single" w:color="auto" w:sz="4" w:space="0"/>
              <w:right w:val="single" w:color="auto" w:sz="4" w:space="0"/>
            </w:tcBorders>
            <w:shd w:val="clear" w:color="auto" w:fill="auto"/>
            <w:noWrap/>
            <w:vAlign w:val="bottom"/>
          </w:tcPr>
          <w:p w14:paraId="7971B1A3">
            <w:pPr>
              <w:spacing w:line="360" w:lineRule="auto"/>
              <w:jc w:val="center"/>
              <w:rPr>
                <w:rFonts w:ascii="微软雅黑" w:hAnsi="微软雅黑" w:eastAsia="微软雅黑" w:cs="Times New Roman"/>
                <w:sz w:val="20"/>
                <w:szCs w:val="22"/>
                <w:highlight w:val="yellow"/>
              </w:rPr>
            </w:pPr>
          </w:p>
        </w:tc>
      </w:tr>
      <w:tr w14:paraId="1A511F74">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vAlign w:val="center"/>
          </w:tcPr>
          <w:p w14:paraId="4C623EDE">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shd w:val="clear" w:color="auto" w:fill="auto"/>
            <w:vAlign w:val="center"/>
          </w:tcPr>
          <w:p w14:paraId="7850F4A6">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软件版本</w:t>
            </w:r>
          </w:p>
        </w:tc>
        <w:tc>
          <w:tcPr>
            <w:tcW w:w="1582" w:type="pct"/>
            <w:tcBorders>
              <w:top w:val="nil"/>
              <w:left w:val="nil"/>
              <w:bottom w:val="single" w:color="auto" w:sz="4" w:space="0"/>
              <w:right w:val="single" w:color="auto" w:sz="4" w:space="0"/>
            </w:tcBorders>
            <w:shd w:val="clear" w:color="auto" w:fill="auto"/>
            <w:vAlign w:val="center"/>
          </w:tcPr>
          <w:p w14:paraId="461A66BB">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供应商用于标识软件修改的版本标识符</w:t>
            </w:r>
          </w:p>
        </w:tc>
        <w:tc>
          <w:tcPr>
            <w:tcW w:w="1285" w:type="pct"/>
            <w:tcBorders>
              <w:top w:val="nil"/>
              <w:left w:val="nil"/>
              <w:bottom w:val="single" w:color="auto" w:sz="4" w:space="0"/>
              <w:right w:val="single" w:color="auto" w:sz="4" w:space="0"/>
            </w:tcBorders>
            <w:shd w:val="clear" w:color="auto" w:fill="auto"/>
            <w:noWrap/>
            <w:vAlign w:val="bottom"/>
          </w:tcPr>
          <w:p w14:paraId="20950EF7">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240F86C3">
        <w:tblPrEx>
          <w:tblCellMar>
            <w:top w:w="0" w:type="dxa"/>
            <w:left w:w="108" w:type="dxa"/>
            <w:bottom w:w="0" w:type="dxa"/>
            <w:right w:w="108" w:type="dxa"/>
          </w:tblCellMar>
        </w:tblPrEx>
        <w:trPr>
          <w:trHeight w:val="660" w:hRule="atLeast"/>
        </w:trPr>
        <w:tc>
          <w:tcPr>
            <w:tcW w:w="924" w:type="pct"/>
            <w:vMerge w:val="continue"/>
            <w:tcBorders>
              <w:top w:val="nil"/>
              <w:left w:val="single" w:color="auto" w:sz="4" w:space="0"/>
              <w:bottom w:val="single" w:color="auto" w:sz="4" w:space="0"/>
              <w:right w:val="single" w:color="auto" w:sz="4" w:space="0"/>
            </w:tcBorders>
            <w:vAlign w:val="center"/>
          </w:tcPr>
          <w:p w14:paraId="59C5AEFD">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shd w:val="clear" w:color="auto" w:fill="auto"/>
            <w:vAlign w:val="center"/>
          </w:tcPr>
          <w:p w14:paraId="66AC9534">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软件成分明细</w:t>
            </w:r>
          </w:p>
        </w:tc>
        <w:tc>
          <w:tcPr>
            <w:tcW w:w="1582" w:type="pct"/>
            <w:tcBorders>
              <w:top w:val="nil"/>
              <w:left w:val="nil"/>
              <w:bottom w:val="single" w:color="auto" w:sz="4" w:space="0"/>
              <w:right w:val="single" w:color="auto" w:sz="4" w:space="0"/>
            </w:tcBorders>
            <w:shd w:val="clear" w:color="auto" w:fill="auto"/>
            <w:vAlign w:val="center"/>
          </w:tcPr>
          <w:p w14:paraId="6ED6A42B">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包含开发工具、第三方软件、开源软件，详细在《软件成分明细》中列出</w:t>
            </w:r>
          </w:p>
        </w:tc>
        <w:tc>
          <w:tcPr>
            <w:tcW w:w="1285" w:type="pct"/>
            <w:tcBorders>
              <w:top w:val="nil"/>
              <w:left w:val="nil"/>
              <w:bottom w:val="single" w:color="auto" w:sz="4" w:space="0"/>
              <w:right w:val="single" w:color="auto" w:sz="4" w:space="0"/>
            </w:tcBorders>
            <w:shd w:val="clear" w:color="auto" w:fill="auto"/>
            <w:noWrap/>
            <w:vAlign w:val="bottom"/>
          </w:tcPr>
          <w:p w14:paraId="7D786E9E">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2DAF0A11">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vAlign w:val="center"/>
          </w:tcPr>
          <w:p w14:paraId="72B89AB1">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shd w:val="clear" w:color="auto" w:fill="auto"/>
            <w:vAlign w:val="center"/>
          </w:tcPr>
          <w:p w14:paraId="0C4AE200">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时间戳</w:t>
            </w:r>
          </w:p>
        </w:tc>
        <w:tc>
          <w:tcPr>
            <w:tcW w:w="1582" w:type="pct"/>
            <w:tcBorders>
              <w:top w:val="nil"/>
              <w:left w:val="nil"/>
              <w:bottom w:val="single" w:color="auto" w:sz="4" w:space="0"/>
              <w:right w:val="single" w:color="auto" w:sz="4" w:space="0"/>
            </w:tcBorders>
            <w:shd w:val="clear" w:color="auto" w:fill="auto"/>
            <w:vAlign w:val="center"/>
          </w:tcPr>
          <w:p w14:paraId="4DDB1E02">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记录软件基本信息生成的日期和时间</w:t>
            </w:r>
          </w:p>
        </w:tc>
        <w:tc>
          <w:tcPr>
            <w:tcW w:w="1285" w:type="pct"/>
            <w:tcBorders>
              <w:top w:val="nil"/>
              <w:left w:val="nil"/>
              <w:bottom w:val="single" w:color="auto" w:sz="4" w:space="0"/>
              <w:right w:val="single" w:color="auto" w:sz="4" w:space="0"/>
            </w:tcBorders>
            <w:shd w:val="clear" w:color="auto" w:fill="auto"/>
            <w:noWrap/>
            <w:vAlign w:val="bottom"/>
          </w:tcPr>
          <w:p w14:paraId="437BB537">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4E35DEB3">
        <w:tblPrEx>
          <w:tblCellMar>
            <w:top w:w="0" w:type="dxa"/>
            <w:left w:w="108" w:type="dxa"/>
            <w:bottom w:w="0" w:type="dxa"/>
            <w:right w:w="108" w:type="dxa"/>
          </w:tblCellMar>
        </w:tblPrEx>
        <w:trPr>
          <w:trHeight w:val="753" w:hRule="atLeast"/>
        </w:trPr>
        <w:tc>
          <w:tcPr>
            <w:tcW w:w="924" w:type="pct"/>
            <w:vMerge w:val="continue"/>
            <w:tcBorders>
              <w:top w:val="nil"/>
              <w:left w:val="single" w:color="auto" w:sz="4" w:space="0"/>
              <w:bottom w:val="single" w:color="auto" w:sz="4" w:space="0"/>
              <w:right w:val="single" w:color="auto" w:sz="4" w:space="0"/>
            </w:tcBorders>
            <w:vAlign w:val="center"/>
          </w:tcPr>
          <w:p w14:paraId="268838D7">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shd w:val="clear" w:color="auto" w:fill="auto"/>
            <w:vAlign w:val="center"/>
          </w:tcPr>
          <w:p w14:paraId="6A625DC9">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软件信息签名（如校验哈希值）</w:t>
            </w:r>
          </w:p>
        </w:tc>
        <w:tc>
          <w:tcPr>
            <w:tcW w:w="1582" w:type="pct"/>
            <w:tcBorders>
              <w:top w:val="nil"/>
              <w:left w:val="nil"/>
              <w:bottom w:val="single" w:color="auto" w:sz="4" w:space="0"/>
              <w:right w:val="single" w:color="auto" w:sz="4" w:space="0"/>
            </w:tcBorders>
            <w:shd w:val="clear" w:color="auto" w:fill="auto"/>
            <w:vAlign w:val="center"/>
          </w:tcPr>
          <w:p w14:paraId="77A39AA0">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保证软件信息真实性、完整性</w:t>
            </w:r>
          </w:p>
        </w:tc>
        <w:tc>
          <w:tcPr>
            <w:tcW w:w="1285" w:type="pct"/>
            <w:tcBorders>
              <w:top w:val="nil"/>
              <w:left w:val="nil"/>
              <w:bottom w:val="single" w:color="auto" w:sz="4" w:space="0"/>
              <w:right w:val="single" w:color="auto" w:sz="4" w:space="0"/>
            </w:tcBorders>
            <w:shd w:val="clear" w:color="auto" w:fill="auto"/>
            <w:noWrap/>
            <w:vAlign w:val="bottom"/>
          </w:tcPr>
          <w:p w14:paraId="0C034939">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318C0787">
        <w:tblPrEx>
          <w:tblCellMar>
            <w:top w:w="0" w:type="dxa"/>
            <w:left w:w="108" w:type="dxa"/>
            <w:bottom w:w="0" w:type="dxa"/>
            <w:right w:w="108" w:type="dxa"/>
          </w:tblCellMar>
        </w:tblPrEx>
        <w:trPr>
          <w:trHeight w:val="660" w:hRule="atLeast"/>
        </w:trPr>
        <w:tc>
          <w:tcPr>
            <w:tcW w:w="924" w:type="pct"/>
            <w:tcBorders>
              <w:top w:val="nil"/>
              <w:left w:val="single" w:color="auto" w:sz="4" w:space="0"/>
              <w:bottom w:val="single" w:color="auto" w:sz="4" w:space="0"/>
              <w:right w:val="single" w:color="auto" w:sz="4" w:space="0"/>
            </w:tcBorders>
            <w:shd w:val="clear" w:color="auto" w:fill="auto"/>
            <w:vAlign w:val="center"/>
          </w:tcPr>
          <w:p w14:paraId="2CC8EEE4">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软件扩展信息</w:t>
            </w:r>
          </w:p>
        </w:tc>
        <w:tc>
          <w:tcPr>
            <w:tcW w:w="1209" w:type="pct"/>
            <w:tcBorders>
              <w:top w:val="nil"/>
              <w:left w:val="nil"/>
              <w:bottom w:val="single" w:color="auto" w:sz="4" w:space="0"/>
              <w:right w:val="single" w:color="auto" w:sz="4" w:space="0"/>
            </w:tcBorders>
            <w:shd w:val="clear" w:color="auto" w:fill="auto"/>
            <w:vAlign w:val="center"/>
          </w:tcPr>
          <w:p w14:paraId="39E350C8">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软件知识产权信息</w:t>
            </w:r>
          </w:p>
        </w:tc>
        <w:tc>
          <w:tcPr>
            <w:tcW w:w="1582" w:type="pct"/>
            <w:tcBorders>
              <w:top w:val="nil"/>
              <w:left w:val="nil"/>
              <w:bottom w:val="single" w:color="auto" w:sz="4" w:space="0"/>
              <w:right w:val="single" w:color="auto" w:sz="4" w:space="0"/>
            </w:tcBorders>
            <w:shd w:val="clear" w:color="auto" w:fill="auto"/>
            <w:vAlign w:val="center"/>
          </w:tcPr>
          <w:p w14:paraId="62BF3CBB">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包含开源许可证版权与开放标准、第三方授权信息等</w:t>
            </w:r>
          </w:p>
        </w:tc>
        <w:tc>
          <w:tcPr>
            <w:tcW w:w="1285" w:type="pct"/>
            <w:tcBorders>
              <w:top w:val="nil"/>
              <w:left w:val="nil"/>
              <w:bottom w:val="single" w:color="auto" w:sz="4" w:space="0"/>
              <w:right w:val="single" w:color="auto" w:sz="4" w:space="0"/>
            </w:tcBorders>
            <w:shd w:val="clear" w:color="auto" w:fill="auto"/>
            <w:noWrap/>
            <w:vAlign w:val="bottom"/>
          </w:tcPr>
          <w:p w14:paraId="7B1ADD52">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bl>
    <w:p w14:paraId="18F07943">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1226" w:name="_Toc17273"/>
      <w:bookmarkStart w:id="1227" w:name="_Toc10885"/>
      <w:bookmarkStart w:id="1228" w:name="_Toc2252"/>
      <w:bookmarkStart w:id="1229" w:name="_Toc29308"/>
      <w:bookmarkStart w:id="1230" w:name="_Toc26995"/>
      <w:bookmarkStart w:id="1231" w:name="_Toc6943"/>
      <w:r>
        <w:rPr>
          <w:rFonts w:hint="eastAsia" w:ascii="等线" w:hAnsi="等线" w:eastAsia="等线" w:cs="Times New Roman"/>
          <w:b/>
          <w:kern w:val="2"/>
          <w:sz w:val="24"/>
          <w:szCs w:val="24"/>
          <w:lang w:val="en-US" w:eastAsia="zh-CN" w:bidi="ar-SA"/>
        </w:rPr>
        <w:t>二、软件成分明细</w:t>
      </w:r>
      <w:bookmarkEnd w:id="1226"/>
      <w:bookmarkEnd w:id="1227"/>
      <w:bookmarkEnd w:id="1228"/>
      <w:bookmarkEnd w:id="1229"/>
      <w:bookmarkEnd w:id="1230"/>
      <w:bookmarkEnd w:id="1231"/>
    </w:p>
    <w:p w14:paraId="4346E5B2">
      <w:pPr>
        <w:spacing w:line="360" w:lineRule="auto"/>
        <w:jc w:val="left"/>
        <w:rPr>
          <w:rFonts w:ascii="微软雅黑" w:hAnsi="微软雅黑" w:eastAsia="微软雅黑" w:cs="Times New Roman"/>
          <w:i/>
          <w:iCs/>
          <w:color w:val="5B9BD5"/>
          <w:sz w:val="20"/>
          <w:szCs w:val="22"/>
        </w:rPr>
      </w:pPr>
      <w:r>
        <w:rPr>
          <w:rFonts w:hint="eastAsia" w:ascii="微软雅黑" w:hAnsi="微软雅黑" w:eastAsia="微软雅黑" w:cs="Times New Roman"/>
          <w:i/>
          <w:iCs/>
          <w:color w:val="5B9BD5"/>
          <w:sz w:val="20"/>
          <w:szCs w:val="22"/>
        </w:rPr>
        <w:t>填写说明：</w:t>
      </w:r>
    </w:p>
    <w:p w14:paraId="74B60458">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仅针对应用</w:t>
      </w:r>
      <w:r>
        <w:rPr>
          <w:rFonts w:hint="eastAsia" w:ascii="微软雅黑" w:hAnsi="微软雅黑" w:eastAsia="微软雅黑" w:cs="Times New Roman"/>
          <w:i/>
          <w:color w:val="5B9BD5"/>
          <w:sz w:val="20"/>
          <w:szCs w:val="22"/>
        </w:rPr>
        <w:t>开发软件在合同附件中单独提供，列出软件开发设计阶段，计划用到的各类软件成分，否则同《软件基本信息》表同步提供，</w:t>
      </w:r>
      <w:r>
        <w:rPr>
          <w:rFonts w:ascii="微软雅黑" w:hAnsi="微软雅黑" w:eastAsia="微软雅黑" w:cs="Times New Roman"/>
          <w:i/>
          <w:color w:val="5B9BD5"/>
          <w:sz w:val="20"/>
          <w:szCs w:val="22"/>
        </w:rPr>
        <w:t>软件成分</w:t>
      </w:r>
      <w:r>
        <w:rPr>
          <w:rFonts w:hint="eastAsia" w:ascii="微软雅黑" w:hAnsi="微软雅黑" w:eastAsia="微软雅黑" w:cs="Times New Roman"/>
          <w:i/>
          <w:color w:val="5B9BD5"/>
          <w:sz w:val="20"/>
          <w:szCs w:val="22"/>
        </w:rPr>
        <w:t>信息</w:t>
      </w:r>
      <w:r>
        <w:rPr>
          <w:rFonts w:ascii="微软雅黑" w:hAnsi="微软雅黑" w:eastAsia="微软雅黑" w:cs="Times New Roman"/>
          <w:i/>
          <w:color w:val="5B9BD5"/>
          <w:sz w:val="20"/>
          <w:szCs w:val="22"/>
        </w:rPr>
        <w:t>内容需要经过甲方建设单位审核同意</w:t>
      </w:r>
      <w:r>
        <w:rPr>
          <w:rFonts w:hint="eastAsia" w:ascii="微软雅黑" w:hAnsi="微软雅黑" w:eastAsia="微软雅黑" w:cs="Times New Roman"/>
          <w:i/>
          <w:color w:val="5B9BD5"/>
          <w:sz w:val="20"/>
          <w:szCs w:val="22"/>
        </w:rPr>
        <w:t>后使用</w:t>
      </w:r>
      <w:r>
        <w:rPr>
          <w:rFonts w:ascii="微软雅黑" w:hAnsi="微软雅黑" w:eastAsia="微软雅黑" w:cs="Times New Roman"/>
          <w:i/>
          <w:color w:val="5B9BD5"/>
          <w:sz w:val="20"/>
          <w:szCs w:val="22"/>
        </w:rPr>
        <w:t>，后续在软件开发实施过程中，如有更新，须经过审批后同步调整</w:t>
      </w:r>
      <w:r>
        <w:rPr>
          <w:rFonts w:hint="eastAsia" w:ascii="微软雅黑" w:hAnsi="微软雅黑" w:eastAsia="微软雅黑" w:cs="Times New Roman"/>
          <w:i/>
          <w:color w:val="5B9BD5"/>
          <w:sz w:val="20"/>
          <w:szCs w:val="22"/>
        </w:rPr>
        <w:t>。</w:t>
      </w:r>
    </w:p>
    <w:p w14:paraId="1669AD36">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1232" w:name="_Toc31716"/>
      <w:bookmarkStart w:id="1233" w:name="_Toc32002"/>
      <w:bookmarkStart w:id="1234" w:name="_Toc2204"/>
      <w:bookmarkStart w:id="1235" w:name="_Toc1819"/>
      <w:bookmarkStart w:id="1236" w:name="_Toc10668"/>
      <w:bookmarkStart w:id="1237" w:name="_Toc2236"/>
      <w:r>
        <w:rPr>
          <w:rFonts w:hint="eastAsia" w:ascii="等线" w:hAnsi="等线" w:eastAsia="等线" w:cs="Times New Roman"/>
          <w:b/>
          <w:kern w:val="2"/>
          <w:sz w:val="24"/>
          <w:szCs w:val="24"/>
          <w:lang w:val="en-US" w:eastAsia="zh-CN" w:bidi="ar-SA"/>
        </w:rPr>
        <w:t>2.1 开发工具类</w:t>
      </w:r>
      <w:bookmarkEnd w:id="1232"/>
      <w:bookmarkEnd w:id="1233"/>
      <w:bookmarkEnd w:id="1234"/>
      <w:bookmarkEnd w:id="1235"/>
      <w:bookmarkEnd w:id="1236"/>
      <w:bookmarkEnd w:id="1237"/>
    </w:p>
    <w:p w14:paraId="76031ED4">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开发工具类是指涉及软件开发管理过程中使用到的工具，含编程语言工具、编译工具、管理工具、代码安全审核/ 审计工具、安全测试工具等。</w:t>
      </w:r>
    </w:p>
    <w:p w14:paraId="770FC70A">
      <w:pPr>
        <w:spacing w:line="0" w:lineRule="atLeast"/>
        <w:jc w:val="left"/>
        <w:rPr>
          <w:rFonts w:ascii="微软雅黑" w:hAnsi="微软雅黑" w:eastAsia="微软雅黑" w:cs="Times New Roman"/>
          <w:sz w:val="20"/>
          <w:szCs w:val="22"/>
        </w:rPr>
      </w:pPr>
    </w:p>
    <w:tbl>
      <w:tblPr>
        <w:tblStyle w:val="85"/>
        <w:tblW w:w="5000" w:type="pct"/>
        <w:tblInd w:w="0" w:type="dxa"/>
        <w:tblLayout w:type="fixed"/>
        <w:tblCellMar>
          <w:top w:w="0" w:type="dxa"/>
          <w:left w:w="108" w:type="dxa"/>
          <w:bottom w:w="0" w:type="dxa"/>
          <w:right w:w="108" w:type="dxa"/>
        </w:tblCellMar>
      </w:tblPr>
      <w:tblGrid>
        <w:gridCol w:w="544"/>
        <w:gridCol w:w="1054"/>
        <w:gridCol w:w="701"/>
        <w:gridCol w:w="1010"/>
        <w:gridCol w:w="2321"/>
        <w:gridCol w:w="2029"/>
        <w:gridCol w:w="869"/>
      </w:tblGrid>
      <w:tr w14:paraId="2F69B8EB">
        <w:tblPrEx>
          <w:tblCellMar>
            <w:top w:w="0" w:type="dxa"/>
            <w:left w:w="108" w:type="dxa"/>
            <w:bottom w:w="0" w:type="dxa"/>
            <w:right w:w="108" w:type="dxa"/>
          </w:tblCellMar>
        </w:tblPrEx>
        <w:trPr>
          <w:trHeight w:val="1408" w:hRule="atLeast"/>
        </w:trPr>
        <w:tc>
          <w:tcPr>
            <w:tcW w:w="3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6E9385">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序号</w:t>
            </w:r>
          </w:p>
        </w:tc>
        <w:tc>
          <w:tcPr>
            <w:tcW w:w="617" w:type="pct"/>
            <w:tcBorders>
              <w:top w:val="single" w:color="auto" w:sz="4" w:space="0"/>
              <w:left w:val="nil"/>
              <w:bottom w:val="single" w:color="auto" w:sz="4" w:space="0"/>
              <w:right w:val="single" w:color="auto" w:sz="4" w:space="0"/>
            </w:tcBorders>
            <w:shd w:val="clear" w:color="auto" w:fill="auto"/>
            <w:noWrap/>
            <w:vAlign w:val="center"/>
          </w:tcPr>
          <w:p w14:paraId="6C1BDFD0">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软件类别</w:t>
            </w:r>
          </w:p>
        </w:tc>
        <w:tc>
          <w:tcPr>
            <w:tcW w:w="410" w:type="pct"/>
            <w:tcBorders>
              <w:top w:val="single" w:color="auto" w:sz="4" w:space="0"/>
              <w:left w:val="nil"/>
              <w:bottom w:val="single" w:color="auto" w:sz="4" w:space="0"/>
              <w:right w:val="single" w:color="auto" w:sz="4" w:space="0"/>
            </w:tcBorders>
            <w:shd w:val="clear" w:color="auto" w:fill="auto"/>
            <w:noWrap/>
            <w:vAlign w:val="center"/>
          </w:tcPr>
          <w:p w14:paraId="2AA0BD74">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名称</w:t>
            </w:r>
          </w:p>
        </w:tc>
        <w:tc>
          <w:tcPr>
            <w:tcW w:w="592" w:type="pct"/>
            <w:tcBorders>
              <w:top w:val="single" w:color="auto" w:sz="4" w:space="0"/>
              <w:left w:val="nil"/>
              <w:bottom w:val="single" w:color="auto" w:sz="4" w:space="0"/>
              <w:right w:val="single" w:color="auto" w:sz="4" w:space="0"/>
            </w:tcBorders>
            <w:shd w:val="clear" w:color="auto" w:fill="auto"/>
            <w:noWrap/>
            <w:vAlign w:val="center"/>
          </w:tcPr>
          <w:p w14:paraId="56A9FA06">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版本</w:t>
            </w:r>
          </w:p>
        </w:tc>
        <w:tc>
          <w:tcPr>
            <w:tcW w:w="1360" w:type="pct"/>
            <w:tcBorders>
              <w:top w:val="single" w:color="auto" w:sz="4" w:space="0"/>
              <w:left w:val="nil"/>
              <w:bottom w:val="single" w:color="auto" w:sz="4" w:space="0"/>
              <w:right w:val="single" w:color="auto" w:sz="4" w:space="0"/>
            </w:tcBorders>
            <w:shd w:val="clear" w:color="auto" w:fill="auto"/>
            <w:noWrap/>
            <w:vAlign w:val="center"/>
          </w:tcPr>
          <w:p w14:paraId="126A870C">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来源</w:t>
            </w:r>
          </w:p>
        </w:tc>
        <w:tc>
          <w:tcPr>
            <w:tcW w:w="1189" w:type="pct"/>
            <w:tcBorders>
              <w:top w:val="single" w:color="auto" w:sz="4" w:space="0"/>
              <w:left w:val="nil"/>
              <w:bottom w:val="single" w:color="auto" w:sz="4" w:space="0"/>
              <w:right w:val="single" w:color="auto" w:sz="4" w:space="0"/>
            </w:tcBorders>
            <w:shd w:val="clear" w:color="auto" w:fill="auto"/>
            <w:noWrap/>
            <w:vAlign w:val="center"/>
          </w:tcPr>
          <w:p w14:paraId="0A89F201">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授权信息（开源工具-</w:t>
            </w:r>
            <w:r>
              <w:rPr>
                <w:rFonts w:hint="eastAsia" w:ascii="微软雅黑" w:hAnsi="微软雅黑" w:eastAsia="微软雅黑" w:cs="Times New Roman"/>
                <w:b/>
                <w:sz w:val="20"/>
                <w:szCs w:val="22"/>
              </w:rPr>
              <w:t>所使用的开源许可证类型</w:t>
            </w:r>
            <w:r>
              <w:rPr>
                <w:rFonts w:hint="eastAsia" w:ascii="微软雅黑" w:hAnsi="微软雅黑" w:eastAsia="微软雅黑" w:cs="Times New Roman"/>
                <w:sz w:val="20"/>
                <w:szCs w:val="22"/>
              </w:rPr>
              <w:t>、 采购工具-</w:t>
            </w:r>
            <w:r>
              <w:rPr>
                <w:rFonts w:hint="eastAsia" w:ascii="微软雅黑" w:hAnsi="微软雅黑" w:eastAsia="微软雅黑" w:cs="Times New Roman"/>
                <w:b/>
                <w:sz w:val="20"/>
                <w:szCs w:val="22"/>
              </w:rPr>
              <w:t>授权证明截图</w:t>
            </w:r>
            <w:r>
              <w:rPr>
                <w:rFonts w:hint="eastAsia" w:ascii="微软雅黑" w:hAnsi="微软雅黑" w:eastAsia="微软雅黑" w:cs="Times New Roman"/>
                <w:sz w:val="20"/>
                <w:szCs w:val="22"/>
              </w:rPr>
              <w:t>）</w:t>
            </w:r>
          </w:p>
        </w:tc>
        <w:tc>
          <w:tcPr>
            <w:tcW w:w="509" w:type="pct"/>
            <w:tcBorders>
              <w:top w:val="single" w:color="auto" w:sz="4" w:space="0"/>
              <w:left w:val="nil"/>
              <w:bottom w:val="single" w:color="auto" w:sz="4" w:space="0"/>
              <w:right w:val="single" w:color="auto" w:sz="4" w:space="0"/>
            </w:tcBorders>
            <w:shd w:val="clear" w:color="auto" w:fill="auto"/>
            <w:noWrap/>
            <w:vAlign w:val="center"/>
          </w:tcPr>
          <w:p w14:paraId="504DDBCB">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其他</w:t>
            </w:r>
          </w:p>
        </w:tc>
      </w:tr>
      <w:tr w14:paraId="799A4C7E">
        <w:tblPrEx>
          <w:tblCellMar>
            <w:top w:w="0" w:type="dxa"/>
            <w:left w:w="108" w:type="dxa"/>
            <w:bottom w:w="0" w:type="dxa"/>
            <w:right w:w="108" w:type="dxa"/>
          </w:tblCellMar>
        </w:tblPrEx>
        <w:trPr>
          <w:trHeight w:val="281" w:hRule="atLeast"/>
        </w:trPr>
        <w:tc>
          <w:tcPr>
            <w:tcW w:w="318" w:type="pct"/>
            <w:tcBorders>
              <w:top w:val="nil"/>
              <w:left w:val="single" w:color="auto" w:sz="4" w:space="0"/>
              <w:bottom w:val="single" w:color="auto" w:sz="4" w:space="0"/>
              <w:right w:val="single" w:color="auto" w:sz="4" w:space="0"/>
            </w:tcBorders>
            <w:shd w:val="clear" w:color="auto" w:fill="auto"/>
            <w:noWrap/>
            <w:vAlign w:val="center"/>
          </w:tcPr>
          <w:p w14:paraId="55A77590">
            <w:pPr>
              <w:widowControl/>
              <w:spacing w:line="360" w:lineRule="auto"/>
              <w:jc w:val="center"/>
              <w:rPr>
                <w:rFonts w:ascii="等线" w:hAnsi="等线" w:eastAsia="等线" w:cs="宋体"/>
                <w:i/>
                <w:color w:val="5B9BD5"/>
                <w:kern w:val="0"/>
                <w:sz w:val="22"/>
                <w:szCs w:val="22"/>
              </w:rPr>
            </w:pPr>
            <w:r>
              <w:rPr>
                <w:rFonts w:hint="eastAsia" w:ascii="等线" w:hAnsi="等线" w:eastAsia="等线" w:cs="宋体"/>
                <w:i/>
                <w:iCs/>
                <w:color w:val="5B9BD5"/>
                <w:kern w:val="0"/>
                <w:sz w:val="22"/>
                <w:szCs w:val="22"/>
              </w:rPr>
              <w:t>示例</w:t>
            </w:r>
          </w:p>
        </w:tc>
        <w:tc>
          <w:tcPr>
            <w:tcW w:w="617" w:type="pct"/>
            <w:tcBorders>
              <w:top w:val="nil"/>
              <w:left w:val="nil"/>
              <w:bottom w:val="single" w:color="auto" w:sz="4" w:space="0"/>
              <w:right w:val="single" w:color="auto" w:sz="4" w:space="0"/>
            </w:tcBorders>
            <w:shd w:val="clear" w:color="auto" w:fill="auto"/>
            <w:noWrap/>
            <w:vAlign w:val="center"/>
          </w:tcPr>
          <w:p w14:paraId="122A758D">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代码编辑工具</w:t>
            </w:r>
          </w:p>
        </w:tc>
        <w:tc>
          <w:tcPr>
            <w:tcW w:w="410" w:type="pct"/>
            <w:tcBorders>
              <w:top w:val="nil"/>
              <w:left w:val="nil"/>
              <w:bottom w:val="single" w:color="auto" w:sz="4" w:space="0"/>
              <w:right w:val="single" w:color="auto" w:sz="4" w:space="0"/>
            </w:tcBorders>
            <w:shd w:val="clear" w:color="auto" w:fill="auto"/>
            <w:noWrap/>
            <w:vAlign w:val="center"/>
          </w:tcPr>
          <w:p w14:paraId="3BB2C325">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IntelliJ IDEA</w:t>
            </w:r>
          </w:p>
        </w:tc>
        <w:tc>
          <w:tcPr>
            <w:tcW w:w="592" w:type="pct"/>
            <w:tcBorders>
              <w:top w:val="nil"/>
              <w:left w:val="nil"/>
              <w:bottom w:val="single" w:color="auto" w:sz="4" w:space="0"/>
              <w:right w:val="single" w:color="auto" w:sz="4" w:space="0"/>
            </w:tcBorders>
            <w:shd w:val="clear" w:color="auto" w:fill="auto"/>
            <w:noWrap/>
            <w:vAlign w:val="center"/>
          </w:tcPr>
          <w:p w14:paraId="2CBE426B">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2024.1</w:t>
            </w:r>
          </w:p>
        </w:tc>
        <w:tc>
          <w:tcPr>
            <w:tcW w:w="1360" w:type="pct"/>
            <w:tcBorders>
              <w:top w:val="nil"/>
              <w:left w:val="nil"/>
              <w:bottom w:val="single" w:color="auto" w:sz="4" w:space="0"/>
              <w:right w:val="single" w:color="auto" w:sz="4" w:space="0"/>
            </w:tcBorders>
            <w:shd w:val="clear" w:color="auto" w:fill="auto"/>
            <w:noWrap/>
            <w:vAlign w:val="center"/>
          </w:tcPr>
          <w:p w14:paraId="78015B08">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官网下载，下载链接：https://www.jetbrains.com/zh-cn/idea/download/?section=windows</w:t>
            </w:r>
          </w:p>
        </w:tc>
        <w:tc>
          <w:tcPr>
            <w:tcW w:w="1189" w:type="pct"/>
            <w:tcBorders>
              <w:top w:val="nil"/>
              <w:left w:val="nil"/>
              <w:bottom w:val="single" w:color="auto" w:sz="4" w:space="0"/>
              <w:right w:val="single" w:color="auto" w:sz="4" w:space="0"/>
            </w:tcBorders>
            <w:shd w:val="clear" w:color="auto" w:fill="auto"/>
            <w:noWrap/>
            <w:vAlign w:val="center"/>
          </w:tcPr>
          <w:p w14:paraId="37A8206C">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开源，j2ee_license、CDDLv1.0许可</w:t>
            </w:r>
          </w:p>
        </w:tc>
        <w:tc>
          <w:tcPr>
            <w:tcW w:w="509" w:type="pct"/>
            <w:tcBorders>
              <w:top w:val="nil"/>
              <w:left w:val="nil"/>
              <w:bottom w:val="single" w:color="auto" w:sz="4" w:space="0"/>
              <w:right w:val="single" w:color="auto" w:sz="4" w:space="0"/>
            </w:tcBorders>
            <w:shd w:val="clear" w:color="auto" w:fill="auto"/>
            <w:noWrap/>
            <w:vAlign w:val="bottom"/>
          </w:tcPr>
          <w:p w14:paraId="6D3770B0">
            <w:pPr>
              <w:widowControl/>
              <w:spacing w:line="360" w:lineRule="auto"/>
              <w:jc w:val="left"/>
              <w:rPr>
                <w:rFonts w:ascii="等线" w:hAnsi="等线" w:eastAsia="等线" w:cs="宋体"/>
                <w:color w:val="5B9BD5"/>
                <w:kern w:val="0"/>
                <w:sz w:val="22"/>
                <w:szCs w:val="22"/>
              </w:rPr>
            </w:pPr>
          </w:p>
        </w:tc>
      </w:tr>
      <w:tr w14:paraId="58C5FB99">
        <w:tblPrEx>
          <w:tblCellMar>
            <w:top w:w="0" w:type="dxa"/>
            <w:left w:w="108" w:type="dxa"/>
            <w:bottom w:w="0" w:type="dxa"/>
            <w:right w:w="108" w:type="dxa"/>
          </w:tblCellMar>
        </w:tblPrEx>
        <w:trPr>
          <w:trHeight w:val="281" w:hRule="atLeast"/>
        </w:trPr>
        <w:tc>
          <w:tcPr>
            <w:tcW w:w="318" w:type="pct"/>
            <w:tcBorders>
              <w:top w:val="nil"/>
              <w:left w:val="single" w:color="auto" w:sz="4" w:space="0"/>
              <w:bottom w:val="single" w:color="auto" w:sz="4" w:space="0"/>
              <w:right w:val="single" w:color="auto" w:sz="4" w:space="0"/>
            </w:tcBorders>
            <w:shd w:val="clear" w:color="auto" w:fill="auto"/>
            <w:noWrap/>
            <w:vAlign w:val="bottom"/>
          </w:tcPr>
          <w:p w14:paraId="37CDD3D3">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617" w:type="pct"/>
            <w:tcBorders>
              <w:top w:val="nil"/>
              <w:left w:val="nil"/>
              <w:bottom w:val="single" w:color="auto" w:sz="4" w:space="0"/>
              <w:right w:val="single" w:color="auto" w:sz="4" w:space="0"/>
            </w:tcBorders>
            <w:shd w:val="clear" w:color="auto" w:fill="auto"/>
            <w:noWrap/>
            <w:vAlign w:val="center"/>
          </w:tcPr>
          <w:p w14:paraId="04967DFC">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编程语言工具</w:t>
            </w:r>
          </w:p>
        </w:tc>
        <w:tc>
          <w:tcPr>
            <w:tcW w:w="410" w:type="pct"/>
            <w:tcBorders>
              <w:top w:val="nil"/>
              <w:left w:val="nil"/>
              <w:bottom w:val="single" w:color="auto" w:sz="4" w:space="0"/>
              <w:right w:val="single" w:color="auto" w:sz="4" w:space="0"/>
            </w:tcBorders>
            <w:shd w:val="clear" w:color="auto" w:fill="auto"/>
            <w:noWrap/>
            <w:vAlign w:val="bottom"/>
          </w:tcPr>
          <w:p w14:paraId="0F093E57">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92" w:type="pct"/>
            <w:tcBorders>
              <w:top w:val="nil"/>
              <w:left w:val="nil"/>
              <w:bottom w:val="single" w:color="auto" w:sz="4" w:space="0"/>
              <w:right w:val="single" w:color="auto" w:sz="4" w:space="0"/>
            </w:tcBorders>
            <w:shd w:val="clear" w:color="auto" w:fill="auto"/>
            <w:noWrap/>
            <w:vAlign w:val="bottom"/>
          </w:tcPr>
          <w:p w14:paraId="1A3EAD14">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360" w:type="pct"/>
            <w:tcBorders>
              <w:top w:val="nil"/>
              <w:left w:val="nil"/>
              <w:bottom w:val="single" w:color="auto" w:sz="4" w:space="0"/>
              <w:right w:val="single" w:color="auto" w:sz="4" w:space="0"/>
            </w:tcBorders>
            <w:shd w:val="clear" w:color="auto" w:fill="auto"/>
            <w:noWrap/>
            <w:vAlign w:val="bottom"/>
          </w:tcPr>
          <w:p w14:paraId="51611280">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89" w:type="pct"/>
            <w:tcBorders>
              <w:top w:val="nil"/>
              <w:left w:val="nil"/>
              <w:bottom w:val="single" w:color="auto" w:sz="4" w:space="0"/>
              <w:right w:val="single" w:color="auto" w:sz="4" w:space="0"/>
            </w:tcBorders>
            <w:shd w:val="clear" w:color="auto" w:fill="auto"/>
            <w:noWrap/>
            <w:vAlign w:val="bottom"/>
          </w:tcPr>
          <w:p w14:paraId="03A0EBC0">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9" w:type="pct"/>
            <w:tcBorders>
              <w:top w:val="nil"/>
              <w:left w:val="nil"/>
              <w:bottom w:val="single" w:color="auto" w:sz="4" w:space="0"/>
              <w:right w:val="single" w:color="auto" w:sz="4" w:space="0"/>
            </w:tcBorders>
            <w:shd w:val="clear" w:color="auto" w:fill="auto"/>
            <w:noWrap/>
            <w:vAlign w:val="bottom"/>
          </w:tcPr>
          <w:p w14:paraId="0EA7BC9D">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29A93A6">
        <w:tblPrEx>
          <w:tblCellMar>
            <w:top w:w="0" w:type="dxa"/>
            <w:left w:w="108" w:type="dxa"/>
            <w:bottom w:w="0" w:type="dxa"/>
            <w:right w:w="108" w:type="dxa"/>
          </w:tblCellMar>
        </w:tblPrEx>
        <w:trPr>
          <w:trHeight w:val="280" w:hRule="atLeast"/>
        </w:trPr>
        <w:tc>
          <w:tcPr>
            <w:tcW w:w="318" w:type="pct"/>
            <w:tcBorders>
              <w:top w:val="nil"/>
              <w:left w:val="single" w:color="auto" w:sz="4" w:space="0"/>
              <w:bottom w:val="single" w:color="auto" w:sz="4" w:space="0"/>
              <w:right w:val="single" w:color="auto" w:sz="4" w:space="0"/>
            </w:tcBorders>
            <w:shd w:val="clear" w:color="auto" w:fill="auto"/>
            <w:noWrap/>
            <w:vAlign w:val="bottom"/>
          </w:tcPr>
          <w:p w14:paraId="319A0028">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617" w:type="pct"/>
            <w:tcBorders>
              <w:top w:val="nil"/>
              <w:left w:val="nil"/>
              <w:bottom w:val="single" w:color="auto" w:sz="4" w:space="0"/>
              <w:right w:val="single" w:color="auto" w:sz="4" w:space="0"/>
            </w:tcBorders>
            <w:shd w:val="clear" w:color="auto" w:fill="auto"/>
            <w:noWrap/>
            <w:vAlign w:val="center"/>
          </w:tcPr>
          <w:p w14:paraId="7A078C27">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编译工具</w:t>
            </w:r>
          </w:p>
        </w:tc>
        <w:tc>
          <w:tcPr>
            <w:tcW w:w="410" w:type="pct"/>
            <w:tcBorders>
              <w:top w:val="nil"/>
              <w:left w:val="nil"/>
              <w:bottom w:val="single" w:color="auto" w:sz="4" w:space="0"/>
              <w:right w:val="single" w:color="auto" w:sz="4" w:space="0"/>
            </w:tcBorders>
            <w:shd w:val="clear" w:color="auto" w:fill="auto"/>
            <w:noWrap/>
            <w:vAlign w:val="bottom"/>
          </w:tcPr>
          <w:p w14:paraId="76D53376">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92" w:type="pct"/>
            <w:tcBorders>
              <w:top w:val="nil"/>
              <w:left w:val="nil"/>
              <w:bottom w:val="single" w:color="auto" w:sz="4" w:space="0"/>
              <w:right w:val="single" w:color="auto" w:sz="4" w:space="0"/>
            </w:tcBorders>
            <w:shd w:val="clear" w:color="auto" w:fill="auto"/>
            <w:noWrap/>
            <w:vAlign w:val="bottom"/>
          </w:tcPr>
          <w:p w14:paraId="42CAF4A4">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360" w:type="pct"/>
            <w:tcBorders>
              <w:top w:val="nil"/>
              <w:left w:val="nil"/>
              <w:bottom w:val="single" w:color="auto" w:sz="4" w:space="0"/>
              <w:right w:val="single" w:color="auto" w:sz="4" w:space="0"/>
            </w:tcBorders>
            <w:shd w:val="clear" w:color="auto" w:fill="auto"/>
            <w:noWrap/>
            <w:vAlign w:val="bottom"/>
          </w:tcPr>
          <w:p w14:paraId="1B4EBF37">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89" w:type="pct"/>
            <w:tcBorders>
              <w:top w:val="nil"/>
              <w:left w:val="nil"/>
              <w:bottom w:val="single" w:color="auto" w:sz="4" w:space="0"/>
              <w:right w:val="single" w:color="auto" w:sz="4" w:space="0"/>
            </w:tcBorders>
            <w:shd w:val="clear" w:color="auto" w:fill="auto"/>
            <w:noWrap/>
            <w:vAlign w:val="bottom"/>
          </w:tcPr>
          <w:p w14:paraId="682E8737">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9" w:type="pct"/>
            <w:tcBorders>
              <w:top w:val="nil"/>
              <w:left w:val="nil"/>
              <w:bottom w:val="single" w:color="auto" w:sz="4" w:space="0"/>
              <w:right w:val="single" w:color="auto" w:sz="4" w:space="0"/>
            </w:tcBorders>
            <w:shd w:val="clear" w:color="auto" w:fill="auto"/>
            <w:noWrap/>
            <w:vAlign w:val="bottom"/>
          </w:tcPr>
          <w:p w14:paraId="6584DD1D">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E5A80C6">
        <w:tblPrEx>
          <w:tblCellMar>
            <w:top w:w="0" w:type="dxa"/>
            <w:left w:w="108" w:type="dxa"/>
            <w:bottom w:w="0" w:type="dxa"/>
            <w:right w:w="108" w:type="dxa"/>
          </w:tblCellMar>
        </w:tblPrEx>
        <w:trPr>
          <w:trHeight w:val="644" w:hRule="atLeast"/>
        </w:trPr>
        <w:tc>
          <w:tcPr>
            <w:tcW w:w="318" w:type="pct"/>
            <w:tcBorders>
              <w:top w:val="nil"/>
              <w:left w:val="single" w:color="auto" w:sz="4" w:space="0"/>
              <w:bottom w:val="nil"/>
              <w:right w:val="single" w:color="auto" w:sz="4" w:space="0"/>
            </w:tcBorders>
            <w:shd w:val="clear" w:color="auto" w:fill="auto"/>
            <w:noWrap/>
            <w:vAlign w:val="bottom"/>
          </w:tcPr>
          <w:p w14:paraId="5320DE3F">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617" w:type="pct"/>
            <w:tcBorders>
              <w:top w:val="nil"/>
              <w:left w:val="nil"/>
              <w:bottom w:val="nil"/>
              <w:right w:val="single" w:color="auto" w:sz="4" w:space="0"/>
            </w:tcBorders>
            <w:shd w:val="clear" w:color="auto" w:fill="auto"/>
            <w:noWrap/>
            <w:vAlign w:val="center"/>
          </w:tcPr>
          <w:p w14:paraId="1CA18968">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代码安全审核工具</w:t>
            </w:r>
          </w:p>
        </w:tc>
        <w:tc>
          <w:tcPr>
            <w:tcW w:w="410" w:type="pct"/>
            <w:tcBorders>
              <w:top w:val="nil"/>
              <w:left w:val="nil"/>
              <w:bottom w:val="nil"/>
              <w:right w:val="single" w:color="auto" w:sz="4" w:space="0"/>
            </w:tcBorders>
            <w:shd w:val="clear" w:color="auto" w:fill="auto"/>
            <w:noWrap/>
            <w:vAlign w:val="bottom"/>
          </w:tcPr>
          <w:p w14:paraId="3BC0C748">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92" w:type="pct"/>
            <w:tcBorders>
              <w:top w:val="nil"/>
              <w:left w:val="nil"/>
              <w:bottom w:val="nil"/>
              <w:right w:val="single" w:color="auto" w:sz="4" w:space="0"/>
            </w:tcBorders>
            <w:shd w:val="clear" w:color="auto" w:fill="auto"/>
            <w:noWrap/>
            <w:vAlign w:val="bottom"/>
          </w:tcPr>
          <w:p w14:paraId="272FC120">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360" w:type="pct"/>
            <w:tcBorders>
              <w:top w:val="nil"/>
              <w:left w:val="nil"/>
              <w:bottom w:val="nil"/>
              <w:right w:val="single" w:color="auto" w:sz="4" w:space="0"/>
            </w:tcBorders>
            <w:shd w:val="clear" w:color="auto" w:fill="auto"/>
            <w:noWrap/>
            <w:vAlign w:val="bottom"/>
          </w:tcPr>
          <w:p w14:paraId="242ACADC">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89" w:type="pct"/>
            <w:tcBorders>
              <w:top w:val="nil"/>
              <w:left w:val="nil"/>
              <w:bottom w:val="nil"/>
              <w:right w:val="single" w:color="auto" w:sz="4" w:space="0"/>
            </w:tcBorders>
            <w:shd w:val="clear" w:color="auto" w:fill="auto"/>
            <w:noWrap/>
            <w:vAlign w:val="bottom"/>
          </w:tcPr>
          <w:p w14:paraId="0662234A">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9" w:type="pct"/>
            <w:tcBorders>
              <w:top w:val="nil"/>
              <w:left w:val="nil"/>
              <w:bottom w:val="nil"/>
              <w:right w:val="single" w:color="auto" w:sz="4" w:space="0"/>
            </w:tcBorders>
            <w:shd w:val="clear" w:color="auto" w:fill="auto"/>
            <w:noWrap/>
            <w:vAlign w:val="bottom"/>
          </w:tcPr>
          <w:p w14:paraId="3E0CB59F">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533C388">
        <w:tblPrEx>
          <w:tblCellMar>
            <w:top w:w="0" w:type="dxa"/>
            <w:left w:w="108" w:type="dxa"/>
            <w:bottom w:w="0" w:type="dxa"/>
            <w:right w:w="108" w:type="dxa"/>
          </w:tblCellMar>
        </w:tblPrEx>
        <w:trPr>
          <w:trHeight w:val="280" w:hRule="atLeast"/>
        </w:trPr>
        <w:tc>
          <w:tcPr>
            <w:tcW w:w="318" w:type="pct"/>
            <w:tcBorders>
              <w:top w:val="nil"/>
              <w:left w:val="single" w:color="auto" w:sz="4" w:space="0"/>
              <w:bottom w:val="nil"/>
              <w:right w:val="single" w:color="auto" w:sz="4" w:space="0"/>
            </w:tcBorders>
            <w:shd w:val="clear" w:color="auto" w:fill="auto"/>
            <w:noWrap/>
            <w:vAlign w:val="bottom"/>
          </w:tcPr>
          <w:p w14:paraId="7A0B5575">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617" w:type="pct"/>
            <w:tcBorders>
              <w:top w:val="nil"/>
              <w:left w:val="nil"/>
              <w:bottom w:val="nil"/>
              <w:right w:val="single" w:color="auto" w:sz="4" w:space="0"/>
            </w:tcBorders>
            <w:shd w:val="clear" w:color="auto" w:fill="auto"/>
            <w:noWrap/>
            <w:vAlign w:val="center"/>
          </w:tcPr>
          <w:p w14:paraId="404CF86E">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管理工具</w:t>
            </w:r>
          </w:p>
        </w:tc>
        <w:tc>
          <w:tcPr>
            <w:tcW w:w="410" w:type="pct"/>
            <w:tcBorders>
              <w:top w:val="nil"/>
              <w:left w:val="nil"/>
              <w:bottom w:val="nil"/>
              <w:right w:val="single" w:color="auto" w:sz="4" w:space="0"/>
            </w:tcBorders>
            <w:shd w:val="clear" w:color="auto" w:fill="auto"/>
            <w:noWrap/>
            <w:vAlign w:val="bottom"/>
          </w:tcPr>
          <w:p w14:paraId="0A34BC68">
            <w:pPr>
              <w:widowControl/>
              <w:spacing w:line="360" w:lineRule="auto"/>
              <w:jc w:val="left"/>
              <w:rPr>
                <w:rFonts w:ascii="等线" w:hAnsi="等线" w:eastAsia="等线" w:cs="宋体"/>
                <w:color w:val="000000"/>
                <w:kern w:val="0"/>
                <w:sz w:val="22"/>
                <w:szCs w:val="22"/>
              </w:rPr>
            </w:pPr>
          </w:p>
        </w:tc>
        <w:tc>
          <w:tcPr>
            <w:tcW w:w="592" w:type="pct"/>
            <w:tcBorders>
              <w:top w:val="nil"/>
              <w:left w:val="nil"/>
              <w:bottom w:val="nil"/>
              <w:right w:val="single" w:color="auto" w:sz="4" w:space="0"/>
            </w:tcBorders>
            <w:shd w:val="clear" w:color="auto" w:fill="auto"/>
            <w:noWrap/>
            <w:vAlign w:val="bottom"/>
          </w:tcPr>
          <w:p w14:paraId="0561C1FC">
            <w:pPr>
              <w:widowControl/>
              <w:spacing w:line="360" w:lineRule="auto"/>
              <w:jc w:val="left"/>
              <w:rPr>
                <w:rFonts w:ascii="等线" w:hAnsi="等线" w:eastAsia="等线" w:cs="宋体"/>
                <w:color w:val="000000"/>
                <w:kern w:val="0"/>
                <w:sz w:val="22"/>
                <w:szCs w:val="22"/>
              </w:rPr>
            </w:pPr>
          </w:p>
        </w:tc>
        <w:tc>
          <w:tcPr>
            <w:tcW w:w="1360" w:type="pct"/>
            <w:tcBorders>
              <w:top w:val="nil"/>
              <w:left w:val="nil"/>
              <w:bottom w:val="nil"/>
              <w:right w:val="single" w:color="auto" w:sz="4" w:space="0"/>
            </w:tcBorders>
            <w:shd w:val="clear" w:color="auto" w:fill="auto"/>
            <w:noWrap/>
            <w:vAlign w:val="bottom"/>
          </w:tcPr>
          <w:p w14:paraId="6A471C34">
            <w:pPr>
              <w:widowControl/>
              <w:spacing w:line="360" w:lineRule="auto"/>
              <w:jc w:val="left"/>
              <w:rPr>
                <w:rFonts w:ascii="等线" w:hAnsi="等线" w:eastAsia="等线" w:cs="宋体"/>
                <w:color w:val="000000"/>
                <w:kern w:val="0"/>
                <w:sz w:val="22"/>
                <w:szCs w:val="22"/>
              </w:rPr>
            </w:pPr>
          </w:p>
        </w:tc>
        <w:tc>
          <w:tcPr>
            <w:tcW w:w="1189" w:type="pct"/>
            <w:tcBorders>
              <w:top w:val="nil"/>
              <w:left w:val="nil"/>
              <w:bottom w:val="nil"/>
              <w:right w:val="single" w:color="auto" w:sz="4" w:space="0"/>
            </w:tcBorders>
            <w:shd w:val="clear" w:color="auto" w:fill="auto"/>
            <w:noWrap/>
            <w:vAlign w:val="bottom"/>
          </w:tcPr>
          <w:p w14:paraId="0CE82939">
            <w:pPr>
              <w:widowControl/>
              <w:spacing w:line="360" w:lineRule="auto"/>
              <w:jc w:val="left"/>
              <w:rPr>
                <w:rFonts w:ascii="等线" w:hAnsi="等线" w:eastAsia="等线" w:cs="宋体"/>
                <w:color w:val="000000"/>
                <w:kern w:val="0"/>
                <w:sz w:val="22"/>
                <w:szCs w:val="22"/>
              </w:rPr>
            </w:pPr>
          </w:p>
        </w:tc>
        <w:tc>
          <w:tcPr>
            <w:tcW w:w="509" w:type="pct"/>
            <w:tcBorders>
              <w:top w:val="nil"/>
              <w:left w:val="nil"/>
              <w:bottom w:val="nil"/>
              <w:right w:val="single" w:color="auto" w:sz="4" w:space="0"/>
            </w:tcBorders>
            <w:shd w:val="clear" w:color="auto" w:fill="auto"/>
            <w:noWrap/>
            <w:vAlign w:val="bottom"/>
          </w:tcPr>
          <w:p w14:paraId="411B5C00">
            <w:pPr>
              <w:widowControl/>
              <w:spacing w:line="360" w:lineRule="auto"/>
              <w:jc w:val="left"/>
              <w:rPr>
                <w:rFonts w:ascii="等线" w:hAnsi="等线" w:eastAsia="等线" w:cs="宋体"/>
                <w:color w:val="000000"/>
                <w:kern w:val="0"/>
                <w:sz w:val="22"/>
                <w:szCs w:val="22"/>
              </w:rPr>
            </w:pPr>
          </w:p>
        </w:tc>
      </w:tr>
      <w:tr w14:paraId="654D04DE">
        <w:tblPrEx>
          <w:tblCellMar>
            <w:top w:w="0" w:type="dxa"/>
            <w:left w:w="108" w:type="dxa"/>
            <w:bottom w:w="0" w:type="dxa"/>
            <w:right w:w="108" w:type="dxa"/>
          </w:tblCellMar>
        </w:tblPrEx>
        <w:trPr>
          <w:trHeight w:val="280" w:hRule="atLeast"/>
        </w:trPr>
        <w:tc>
          <w:tcPr>
            <w:tcW w:w="318" w:type="pct"/>
            <w:tcBorders>
              <w:top w:val="nil"/>
              <w:left w:val="single" w:color="auto" w:sz="4" w:space="0"/>
              <w:bottom w:val="nil"/>
              <w:right w:val="single" w:color="auto" w:sz="4" w:space="0"/>
            </w:tcBorders>
            <w:shd w:val="clear" w:color="auto" w:fill="auto"/>
            <w:noWrap/>
            <w:vAlign w:val="bottom"/>
          </w:tcPr>
          <w:p w14:paraId="18722B67">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617" w:type="pct"/>
            <w:tcBorders>
              <w:top w:val="nil"/>
              <w:left w:val="nil"/>
              <w:bottom w:val="nil"/>
              <w:right w:val="single" w:color="auto" w:sz="4" w:space="0"/>
            </w:tcBorders>
            <w:shd w:val="clear" w:color="auto" w:fill="auto"/>
            <w:noWrap/>
            <w:vAlign w:val="center"/>
          </w:tcPr>
          <w:p w14:paraId="0840F14D">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其他…</w:t>
            </w:r>
          </w:p>
        </w:tc>
        <w:tc>
          <w:tcPr>
            <w:tcW w:w="410" w:type="pct"/>
            <w:tcBorders>
              <w:top w:val="nil"/>
              <w:left w:val="nil"/>
              <w:bottom w:val="nil"/>
              <w:right w:val="single" w:color="auto" w:sz="4" w:space="0"/>
            </w:tcBorders>
            <w:shd w:val="clear" w:color="auto" w:fill="auto"/>
            <w:noWrap/>
            <w:vAlign w:val="bottom"/>
          </w:tcPr>
          <w:p w14:paraId="6B95AE52">
            <w:pPr>
              <w:widowControl/>
              <w:spacing w:line="360" w:lineRule="auto"/>
              <w:jc w:val="left"/>
              <w:rPr>
                <w:rFonts w:ascii="等线" w:hAnsi="等线" w:eastAsia="等线" w:cs="宋体"/>
                <w:color w:val="000000"/>
                <w:kern w:val="0"/>
                <w:sz w:val="22"/>
                <w:szCs w:val="22"/>
              </w:rPr>
            </w:pPr>
          </w:p>
        </w:tc>
        <w:tc>
          <w:tcPr>
            <w:tcW w:w="592" w:type="pct"/>
            <w:tcBorders>
              <w:top w:val="nil"/>
              <w:left w:val="nil"/>
              <w:bottom w:val="nil"/>
              <w:right w:val="single" w:color="auto" w:sz="4" w:space="0"/>
            </w:tcBorders>
            <w:shd w:val="clear" w:color="auto" w:fill="auto"/>
            <w:noWrap/>
            <w:vAlign w:val="bottom"/>
          </w:tcPr>
          <w:p w14:paraId="087EF13A">
            <w:pPr>
              <w:widowControl/>
              <w:spacing w:line="360" w:lineRule="auto"/>
              <w:jc w:val="left"/>
              <w:rPr>
                <w:rFonts w:ascii="等线" w:hAnsi="等线" w:eastAsia="等线" w:cs="宋体"/>
                <w:color w:val="000000"/>
                <w:kern w:val="0"/>
                <w:sz w:val="22"/>
                <w:szCs w:val="22"/>
              </w:rPr>
            </w:pPr>
          </w:p>
        </w:tc>
        <w:tc>
          <w:tcPr>
            <w:tcW w:w="1360" w:type="pct"/>
            <w:tcBorders>
              <w:top w:val="nil"/>
              <w:left w:val="nil"/>
              <w:bottom w:val="nil"/>
              <w:right w:val="single" w:color="auto" w:sz="4" w:space="0"/>
            </w:tcBorders>
            <w:shd w:val="clear" w:color="auto" w:fill="auto"/>
            <w:noWrap/>
            <w:vAlign w:val="bottom"/>
          </w:tcPr>
          <w:p w14:paraId="68D28249">
            <w:pPr>
              <w:widowControl/>
              <w:spacing w:line="360" w:lineRule="auto"/>
              <w:jc w:val="left"/>
              <w:rPr>
                <w:rFonts w:ascii="等线" w:hAnsi="等线" w:eastAsia="等线" w:cs="宋体"/>
                <w:color w:val="000000"/>
                <w:kern w:val="0"/>
                <w:sz w:val="22"/>
                <w:szCs w:val="22"/>
              </w:rPr>
            </w:pPr>
          </w:p>
        </w:tc>
        <w:tc>
          <w:tcPr>
            <w:tcW w:w="1189" w:type="pct"/>
            <w:tcBorders>
              <w:top w:val="nil"/>
              <w:left w:val="nil"/>
              <w:bottom w:val="nil"/>
              <w:right w:val="single" w:color="auto" w:sz="4" w:space="0"/>
            </w:tcBorders>
            <w:shd w:val="clear" w:color="auto" w:fill="auto"/>
            <w:noWrap/>
            <w:vAlign w:val="bottom"/>
          </w:tcPr>
          <w:p w14:paraId="6BD5FDAB">
            <w:pPr>
              <w:widowControl/>
              <w:spacing w:line="360" w:lineRule="auto"/>
              <w:jc w:val="left"/>
              <w:rPr>
                <w:rFonts w:ascii="等线" w:hAnsi="等线" w:eastAsia="等线" w:cs="宋体"/>
                <w:color w:val="000000"/>
                <w:kern w:val="0"/>
                <w:sz w:val="22"/>
                <w:szCs w:val="22"/>
              </w:rPr>
            </w:pPr>
          </w:p>
        </w:tc>
        <w:tc>
          <w:tcPr>
            <w:tcW w:w="509" w:type="pct"/>
            <w:tcBorders>
              <w:top w:val="nil"/>
              <w:left w:val="nil"/>
              <w:bottom w:val="nil"/>
              <w:right w:val="single" w:color="auto" w:sz="4" w:space="0"/>
            </w:tcBorders>
            <w:shd w:val="clear" w:color="auto" w:fill="auto"/>
            <w:noWrap/>
            <w:vAlign w:val="bottom"/>
          </w:tcPr>
          <w:p w14:paraId="3D3D4BC9">
            <w:pPr>
              <w:widowControl/>
              <w:spacing w:line="360" w:lineRule="auto"/>
              <w:jc w:val="left"/>
              <w:rPr>
                <w:rFonts w:ascii="等线" w:hAnsi="等线" w:eastAsia="等线" w:cs="宋体"/>
                <w:color w:val="000000"/>
                <w:kern w:val="0"/>
                <w:sz w:val="22"/>
                <w:szCs w:val="22"/>
              </w:rPr>
            </w:pPr>
          </w:p>
        </w:tc>
      </w:tr>
      <w:tr w14:paraId="74F41A4E">
        <w:tblPrEx>
          <w:tblCellMar>
            <w:top w:w="0" w:type="dxa"/>
            <w:left w:w="108" w:type="dxa"/>
            <w:bottom w:w="0" w:type="dxa"/>
            <w:right w:w="108" w:type="dxa"/>
          </w:tblCellMar>
        </w:tblPrEx>
        <w:trPr>
          <w:trHeight w:val="280" w:hRule="atLeast"/>
        </w:trPr>
        <w:tc>
          <w:tcPr>
            <w:tcW w:w="318" w:type="pct"/>
            <w:tcBorders>
              <w:top w:val="nil"/>
              <w:left w:val="single" w:color="auto" w:sz="4" w:space="0"/>
              <w:bottom w:val="single" w:color="auto" w:sz="4" w:space="0"/>
              <w:right w:val="single" w:color="auto" w:sz="4" w:space="0"/>
            </w:tcBorders>
            <w:shd w:val="clear" w:color="auto" w:fill="auto"/>
            <w:noWrap/>
            <w:vAlign w:val="bottom"/>
          </w:tcPr>
          <w:p w14:paraId="2C2D6823">
            <w:pPr>
              <w:widowControl/>
              <w:spacing w:line="360" w:lineRule="auto"/>
              <w:jc w:val="center"/>
              <w:rPr>
                <w:rFonts w:ascii="等线" w:hAnsi="等线" w:eastAsia="等线" w:cs="宋体"/>
                <w:color w:val="000000"/>
                <w:kern w:val="0"/>
                <w:sz w:val="22"/>
                <w:szCs w:val="22"/>
              </w:rPr>
            </w:pPr>
            <w:r>
              <w:rPr>
                <w:rFonts w:ascii="等线" w:hAnsi="等线" w:eastAsia="等线" w:cs="宋体"/>
                <w:color w:val="000000"/>
                <w:kern w:val="0"/>
                <w:sz w:val="22"/>
                <w:szCs w:val="22"/>
              </w:rPr>
              <w:t>…</w:t>
            </w:r>
          </w:p>
        </w:tc>
        <w:tc>
          <w:tcPr>
            <w:tcW w:w="617" w:type="pct"/>
            <w:tcBorders>
              <w:top w:val="nil"/>
              <w:left w:val="nil"/>
              <w:bottom w:val="single" w:color="auto" w:sz="4" w:space="0"/>
              <w:right w:val="single" w:color="auto" w:sz="4" w:space="0"/>
            </w:tcBorders>
            <w:shd w:val="clear" w:color="auto" w:fill="auto"/>
            <w:noWrap/>
            <w:vAlign w:val="center"/>
          </w:tcPr>
          <w:p w14:paraId="7FC232D3">
            <w:pPr>
              <w:widowControl/>
              <w:spacing w:line="360" w:lineRule="auto"/>
              <w:jc w:val="left"/>
              <w:rPr>
                <w:rFonts w:ascii="等线" w:hAnsi="等线" w:eastAsia="等线" w:cs="宋体"/>
                <w:color w:val="000000"/>
                <w:kern w:val="0"/>
                <w:sz w:val="22"/>
                <w:szCs w:val="22"/>
              </w:rPr>
            </w:pPr>
          </w:p>
        </w:tc>
        <w:tc>
          <w:tcPr>
            <w:tcW w:w="410" w:type="pct"/>
            <w:tcBorders>
              <w:top w:val="nil"/>
              <w:left w:val="nil"/>
              <w:bottom w:val="single" w:color="auto" w:sz="4" w:space="0"/>
              <w:right w:val="single" w:color="auto" w:sz="4" w:space="0"/>
            </w:tcBorders>
            <w:shd w:val="clear" w:color="auto" w:fill="auto"/>
            <w:noWrap/>
            <w:vAlign w:val="bottom"/>
          </w:tcPr>
          <w:p w14:paraId="6F3AEA39">
            <w:pPr>
              <w:widowControl/>
              <w:spacing w:line="360" w:lineRule="auto"/>
              <w:jc w:val="left"/>
              <w:rPr>
                <w:rFonts w:ascii="等线" w:hAnsi="等线" w:eastAsia="等线" w:cs="宋体"/>
                <w:color w:val="000000"/>
                <w:kern w:val="0"/>
                <w:sz w:val="22"/>
                <w:szCs w:val="22"/>
              </w:rPr>
            </w:pPr>
          </w:p>
        </w:tc>
        <w:tc>
          <w:tcPr>
            <w:tcW w:w="592" w:type="pct"/>
            <w:tcBorders>
              <w:top w:val="nil"/>
              <w:left w:val="nil"/>
              <w:bottom w:val="single" w:color="auto" w:sz="4" w:space="0"/>
              <w:right w:val="single" w:color="auto" w:sz="4" w:space="0"/>
            </w:tcBorders>
            <w:shd w:val="clear" w:color="auto" w:fill="auto"/>
            <w:noWrap/>
            <w:vAlign w:val="bottom"/>
          </w:tcPr>
          <w:p w14:paraId="14FC7ABF">
            <w:pPr>
              <w:widowControl/>
              <w:spacing w:line="360" w:lineRule="auto"/>
              <w:jc w:val="left"/>
              <w:rPr>
                <w:rFonts w:ascii="等线" w:hAnsi="等线" w:eastAsia="等线" w:cs="宋体"/>
                <w:color w:val="000000"/>
                <w:kern w:val="0"/>
                <w:sz w:val="22"/>
                <w:szCs w:val="22"/>
              </w:rPr>
            </w:pPr>
          </w:p>
        </w:tc>
        <w:tc>
          <w:tcPr>
            <w:tcW w:w="1360" w:type="pct"/>
            <w:tcBorders>
              <w:top w:val="nil"/>
              <w:left w:val="nil"/>
              <w:bottom w:val="single" w:color="auto" w:sz="4" w:space="0"/>
              <w:right w:val="single" w:color="auto" w:sz="4" w:space="0"/>
            </w:tcBorders>
            <w:shd w:val="clear" w:color="auto" w:fill="auto"/>
            <w:noWrap/>
            <w:vAlign w:val="bottom"/>
          </w:tcPr>
          <w:p w14:paraId="68943693">
            <w:pPr>
              <w:widowControl/>
              <w:spacing w:line="360" w:lineRule="auto"/>
              <w:jc w:val="left"/>
              <w:rPr>
                <w:rFonts w:ascii="等线" w:hAnsi="等线" w:eastAsia="等线" w:cs="宋体"/>
                <w:color w:val="000000"/>
                <w:kern w:val="0"/>
                <w:sz w:val="22"/>
                <w:szCs w:val="22"/>
              </w:rPr>
            </w:pPr>
          </w:p>
        </w:tc>
        <w:tc>
          <w:tcPr>
            <w:tcW w:w="1189" w:type="pct"/>
            <w:tcBorders>
              <w:top w:val="nil"/>
              <w:left w:val="nil"/>
              <w:bottom w:val="single" w:color="auto" w:sz="4" w:space="0"/>
              <w:right w:val="single" w:color="auto" w:sz="4" w:space="0"/>
            </w:tcBorders>
            <w:shd w:val="clear" w:color="auto" w:fill="auto"/>
            <w:noWrap/>
            <w:vAlign w:val="bottom"/>
          </w:tcPr>
          <w:p w14:paraId="301116C8">
            <w:pPr>
              <w:widowControl/>
              <w:spacing w:line="360" w:lineRule="auto"/>
              <w:jc w:val="left"/>
              <w:rPr>
                <w:rFonts w:ascii="等线" w:hAnsi="等线" w:eastAsia="等线" w:cs="宋体"/>
                <w:color w:val="000000"/>
                <w:kern w:val="0"/>
                <w:sz w:val="22"/>
                <w:szCs w:val="22"/>
              </w:rPr>
            </w:pPr>
          </w:p>
        </w:tc>
        <w:tc>
          <w:tcPr>
            <w:tcW w:w="509" w:type="pct"/>
            <w:tcBorders>
              <w:top w:val="nil"/>
              <w:left w:val="nil"/>
              <w:bottom w:val="single" w:color="auto" w:sz="4" w:space="0"/>
              <w:right w:val="single" w:color="auto" w:sz="4" w:space="0"/>
            </w:tcBorders>
            <w:shd w:val="clear" w:color="auto" w:fill="auto"/>
            <w:noWrap/>
            <w:vAlign w:val="bottom"/>
          </w:tcPr>
          <w:p w14:paraId="519B9DBE">
            <w:pPr>
              <w:widowControl/>
              <w:spacing w:line="360" w:lineRule="auto"/>
              <w:jc w:val="left"/>
              <w:rPr>
                <w:rFonts w:ascii="等线" w:hAnsi="等线" w:eastAsia="等线" w:cs="宋体"/>
                <w:color w:val="000000"/>
                <w:kern w:val="0"/>
                <w:sz w:val="22"/>
                <w:szCs w:val="22"/>
              </w:rPr>
            </w:pPr>
          </w:p>
        </w:tc>
      </w:tr>
    </w:tbl>
    <w:p w14:paraId="169FCC4D">
      <w:pPr>
        <w:spacing w:line="360" w:lineRule="auto"/>
        <w:jc w:val="left"/>
        <w:rPr>
          <w:rFonts w:ascii="微软雅黑" w:hAnsi="微软雅黑" w:eastAsia="微软雅黑" w:cs="Times New Roman"/>
          <w:i/>
          <w:sz w:val="20"/>
          <w:szCs w:val="22"/>
        </w:rPr>
      </w:pPr>
    </w:p>
    <w:p w14:paraId="12F44344">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1238" w:name="_Toc23623"/>
      <w:bookmarkStart w:id="1239" w:name="_Toc20841"/>
      <w:bookmarkStart w:id="1240" w:name="_Toc15531"/>
      <w:bookmarkStart w:id="1241" w:name="_Toc28432"/>
      <w:bookmarkStart w:id="1242" w:name="_Toc18802"/>
      <w:bookmarkStart w:id="1243" w:name="_Toc10963"/>
      <w:r>
        <w:rPr>
          <w:rFonts w:hint="eastAsia" w:ascii="等线" w:hAnsi="等线" w:eastAsia="等线" w:cs="Times New Roman"/>
          <w:b/>
          <w:kern w:val="2"/>
          <w:sz w:val="24"/>
          <w:szCs w:val="24"/>
          <w:lang w:val="en-US" w:eastAsia="zh-CN" w:bidi="ar-SA"/>
        </w:rPr>
        <w:t>2.2 第三方软件类</w:t>
      </w:r>
      <w:bookmarkEnd w:id="1238"/>
      <w:bookmarkEnd w:id="1239"/>
      <w:bookmarkEnd w:id="1240"/>
      <w:bookmarkEnd w:id="1241"/>
      <w:bookmarkEnd w:id="1242"/>
      <w:bookmarkEnd w:id="1243"/>
    </w:p>
    <w:p w14:paraId="736C1014">
      <w:pPr>
        <w:spacing w:line="360" w:lineRule="auto"/>
        <w:jc w:val="left"/>
        <w:rPr>
          <w:rFonts w:ascii="微软雅黑" w:hAnsi="微软雅黑" w:eastAsia="微软雅黑" w:cs="Times New Roman"/>
          <w:iCs/>
          <w:sz w:val="24"/>
          <w:szCs w:val="22"/>
        </w:rPr>
      </w:pPr>
      <w:r>
        <w:rPr>
          <w:rFonts w:hint="eastAsia" w:ascii="微软雅黑" w:hAnsi="微软雅黑" w:eastAsia="微软雅黑" w:cs="Times New Roman"/>
          <w:iCs/>
          <w:sz w:val="20"/>
          <w:szCs w:val="22"/>
        </w:rPr>
        <w:t>第三方软件类是指软件中应用的第三方软件，包括数据库、中间件等。</w:t>
      </w:r>
    </w:p>
    <w:tbl>
      <w:tblPr>
        <w:tblStyle w:val="85"/>
        <w:tblW w:w="8522" w:type="dxa"/>
        <w:tblInd w:w="0" w:type="dxa"/>
        <w:tblLayout w:type="fixed"/>
        <w:tblCellMar>
          <w:top w:w="0" w:type="dxa"/>
          <w:left w:w="108" w:type="dxa"/>
          <w:bottom w:w="0" w:type="dxa"/>
          <w:right w:w="108" w:type="dxa"/>
        </w:tblCellMar>
      </w:tblPr>
      <w:tblGrid>
        <w:gridCol w:w="665"/>
        <w:gridCol w:w="1173"/>
        <w:gridCol w:w="1183"/>
        <w:gridCol w:w="770"/>
        <w:gridCol w:w="2362"/>
        <w:gridCol w:w="1639"/>
        <w:gridCol w:w="730"/>
      </w:tblGrid>
      <w:tr w14:paraId="68CFBA09">
        <w:tblPrEx>
          <w:tblCellMar>
            <w:top w:w="0" w:type="dxa"/>
            <w:left w:w="108" w:type="dxa"/>
            <w:bottom w:w="0" w:type="dxa"/>
            <w:right w:w="108" w:type="dxa"/>
          </w:tblCellMar>
        </w:tblPrEx>
        <w:trPr>
          <w:trHeight w:val="330" w:hRule="atLeast"/>
        </w:trPr>
        <w:tc>
          <w:tcPr>
            <w:tcW w:w="6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BFDCEE7">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序号</w:t>
            </w:r>
          </w:p>
        </w:tc>
        <w:tc>
          <w:tcPr>
            <w:tcW w:w="1173" w:type="dxa"/>
            <w:tcBorders>
              <w:top w:val="single" w:color="auto" w:sz="4" w:space="0"/>
              <w:left w:val="nil"/>
              <w:bottom w:val="single" w:color="auto" w:sz="4" w:space="0"/>
              <w:right w:val="single" w:color="auto" w:sz="4" w:space="0"/>
            </w:tcBorders>
            <w:shd w:val="clear" w:color="auto" w:fill="auto"/>
            <w:noWrap/>
            <w:vAlign w:val="bottom"/>
          </w:tcPr>
          <w:p w14:paraId="183284E5">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软件类别</w:t>
            </w:r>
          </w:p>
        </w:tc>
        <w:tc>
          <w:tcPr>
            <w:tcW w:w="1183" w:type="dxa"/>
            <w:tcBorders>
              <w:top w:val="single" w:color="auto" w:sz="4" w:space="0"/>
              <w:left w:val="nil"/>
              <w:bottom w:val="single" w:color="auto" w:sz="4" w:space="0"/>
              <w:right w:val="single" w:color="auto" w:sz="4" w:space="0"/>
            </w:tcBorders>
            <w:shd w:val="clear" w:color="auto" w:fill="auto"/>
            <w:noWrap/>
            <w:vAlign w:val="bottom"/>
          </w:tcPr>
          <w:p w14:paraId="7D32D9C2">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名称</w:t>
            </w:r>
          </w:p>
        </w:tc>
        <w:tc>
          <w:tcPr>
            <w:tcW w:w="770" w:type="dxa"/>
            <w:tcBorders>
              <w:top w:val="single" w:color="auto" w:sz="4" w:space="0"/>
              <w:left w:val="nil"/>
              <w:bottom w:val="single" w:color="auto" w:sz="4" w:space="0"/>
              <w:right w:val="single" w:color="auto" w:sz="4" w:space="0"/>
            </w:tcBorders>
            <w:shd w:val="clear" w:color="auto" w:fill="auto"/>
            <w:noWrap/>
            <w:vAlign w:val="bottom"/>
          </w:tcPr>
          <w:p w14:paraId="7C25E701">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版本</w:t>
            </w:r>
          </w:p>
        </w:tc>
        <w:tc>
          <w:tcPr>
            <w:tcW w:w="2362" w:type="dxa"/>
            <w:tcBorders>
              <w:top w:val="single" w:color="auto" w:sz="4" w:space="0"/>
              <w:left w:val="nil"/>
              <w:bottom w:val="single" w:color="auto" w:sz="4" w:space="0"/>
              <w:right w:val="single" w:color="auto" w:sz="4" w:space="0"/>
            </w:tcBorders>
            <w:shd w:val="clear" w:color="auto" w:fill="auto"/>
            <w:noWrap/>
            <w:vAlign w:val="bottom"/>
          </w:tcPr>
          <w:p w14:paraId="18B85D78">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来源</w:t>
            </w:r>
          </w:p>
        </w:tc>
        <w:tc>
          <w:tcPr>
            <w:tcW w:w="1639" w:type="dxa"/>
            <w:tcBorders>
              <w:top w:val="single" w:color="auto" w:sz="4" w:space="0"/>
              <w:left w:val="nil"/>
              <w:bottom w:val="single" w:color="auto" w:sz="4" w:space="0"/>
              <w:right w:val="single" w:color="auto" w:sz="4" w:space="0"/>
            </w:tcBorders>
            <w:shd w:val="clear" w:color="auto" w:fill="auto"/>
            <w:noWrap/>
            <w:vAlign w:val="bottom"/>
          </w:tcPr>
          <w:p w14:paraId="3495CC6C">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授权信息</w:t>
            </w:r>
          </w:p>
        </w:tc>
        <w:tc>
          <w:tcPr>
            <w:tcW w:w="730" w:type="dxa"/>
            <w:tcBorders>
              <w:top w:val="single" w:color="auto" w:sz="4" w:space="0"/>
              <w:left w:val="nil"/>
              <w:bottom w:val="single" w:color="auto" w:sz="4" w:space="0"/>
              <w:right w:val="single" w:color="auto" w:sz="4" w:space="0"/>
            </w:tcBorders>
            <w:shd w:val="clear" w:color="auto" w:fill="auto"/>
            <w:noWrap/>
            <w:vAlign w:val="bottom"/>
          </w:tcPr>
          <w:p w14:paraId="2E32255F">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其他</w:t>
            </w:r>
          </w:p>
        </w:tc>
      </w:tr>
      <w:tr w14:paraId="372A455D">
        <w:tblPrEx>
          <w:tblCellMar>
            <w:top w:w="0" w:type="dxa"/>
            <w:left w:w="108" w:type="dxa"/>
            <w:bottom w:w="0" w:type="dxa"/>
            <w:right w:w="108" w:type="dxa"/>
          </w:tblCellMar>
        </w:tblPrEx>
        <w:trPr>
          <w:trHeight w:val="281" w:hRule="atLeast"/>
        </w:trPr>
        <w:tc>
          <w:tcPr>
            <w:tcW w:w="665" w:type="dxa"/>
            <w:tcBorders>
              <w:top w:val="nil"/>
              <w:left w:val="single" w:color="auto" w:sz="4" w:space="0"/>
              <w:bottom w:val="single" w:color="auto" w:sz="4" w:space="0"/>
              <w:right w:val="single" w:color="auto" w:sz="4" w:space="0"/>
            </w:tcBorders>
            <w:shd w:val="clear" w:color="auto" w:fill="auto"/>
            <w:noWrap/>
            <w:vAlign w:val="center"/>
          </w:tcPr>
          <w:p w14:paraId="0C54CA41">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示例</w:t>
            </w:r>
            <w:r>
              <w:rPr>
                <w:rFonts w:ascii="微软雅黑" w:hAnsi="微软雅黑" w:eastAsia="微软雅黑" w:cs="Times New Roman"/>
                <w:i/>
                <w:color w:val="5B9BD5"/>
                <w:sz w:val="20"/>
                <w:szCs w:val="22"/>
              </w:rPr>
              <w:t>1</w:t>
            </w:r>
          </w:p>
        </w:tc>
        <w:tc>
          <w:tcPr>
            <w:tcW w:w="1173" w:type="dxa"/>
            <w:tcBorders>
              <w:top w:val="nil"/>
              <w:left w:val="nil"/>
              <w:bottom w:val="single" w:color="auto" w:sz="4" w:space="0"/>
              <w:right w:val="single" w:color="auto" w:sz="4" w:space="0"/>
            </w:tcBorders>
            <w:shd w:val="clear" w:color="auto" w:fill="auto"/>
            <w:noWrap/>
            <w:vAlign w:val="center"/>
          </w:tcPr>
          <w:p w14:paraId="26A029EA">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中间件</w:t>
            </w:r>
          </w:p>
        </w:tc>
        <w:tc>
          <w:tcPr>
            <w:tcW w:w="1183" w:type="dxa"/>
            <w:tcBorders>
              <w:top w:val="nil"/>
              <w:left w:val="nil"/>
              <w:bottom w:val="single" w:color="auto" w:sz="4" w:space="0"/>
              <w:right w:val="single" w:color="auto" w:sz="4" w:space="0"/>
            </w:tcBorders>
            <w:shd w:val="clear" w:color="auto" w:fill="auto"/>
            <w:noWrap/>
            <w:vAlign w:val="center"/>
          </w:tcPr>
          <w:p w14:paraId="5B317A49">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Apache kafka</w:t>
            </w:r>
          </w:p>
        </w:tc>
        <w:tc>
          <w:tcPr>
            <w:tcW w:w="770" w:type="dxa"/>
            <w:tcBorders>
              <w:top w:val="nil"/>
              <w:left w:val="nil"/>
              <w:bottom w:val="single" w:color="auto" w:sz="4" w:space="0"/>
              <w:right w:val="single" w:color="auto" w:sz="4" w:space="0"/>
            </w:tcBorders>
            <w:shd w:val="clear" w:color="auto" w:fill="auto"/>
            <w:noWrap/>
            <w:vAlign w:val="center"/>
          </w:tcPr>
          <w:p w14:paraId="58AA3DA3">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3.7.0</w:t>
            </w:r>
          </w:p>
        </w:tc>
        <w:tc>
          <w:tcPr>
            <w:tcW w:w="2362" w:type="dxa"/>
            <w:tcBorders>
              <w:top w:val="nil"/>
              <w:left w:val="nil"/>
              <w:bottom w:val="single" w:color="auto" w:sz="4" w:space="0"/>
              <w:right w:val="single" w:color="auto" w:sz="4" w:space="0"/>
            </w:tcBorders>
            <w:shd w:val="clear" w:color="auto" w:fill="auto"/>
            <w:noWrap/>
            <w:vAlign w:val="center"/>
          </w:tcPr>
          <w:p w14:paraId="12B6B8B0">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官网下载，下载链接：</w:t>
            </w:r>
            <w:r>
              <w:rPr>
                <w:rFonts w:ascii="微软雅黑" w:hAnsi="微软雅黑" w:eastAsia="微软雅黑" w:cs="Times New Roman"/>
                <w:i/>
                <w:color w:val="5B9BD5"/>
                <w:sz w:val="20"/>
                <w:szCs w:val="22"/>
              </w:rPr>
              <w:t>https://kafka.apache.org/downloads</w:t>
            </w:r>
          </w:p>
        </w:tc>
        <w:tc>
          <w:tcPr>
            <w:tcW w:w="1639" w:type="dxa"/>
            <w:tcBorders>
              <w:top w:val="nil"/>
              <w:left w:val="nil"/>
              <w:bottom w:val="single" w:color="auto" w:sz="4" w:space="0"/>
              <w:right w:val="single" w:color="auto" w:sz="4" w:space="0"/>
            </w:tcBorders>
            <w:shd w:val="clear" w:color="auto" w:fill="auto"/>
            <w:noWrap/>
            <w:vAlign w:val="center"/>
          </w:tcPr>
          <w:p w14:paraId="2DF2C7EA">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开源，</w:t>
            </w:r>
            <w:r>
              <w:rPr>
                <w:rFonts w:ascii="微软雅黑" w:hAnsi="微软雅黑" w:eastAsia="微软雅黑" w:cs="Times New Roman"/>
                <w:i/>
                <w:color w:val="5B9BD5"/>
                <w:sz w:val="20"/>
                <w:szCs w:val="22"/>
              </w:rPr>
              <w:t>Apache License, Version 2.0</w:t>
            </w:r>
            <w:r>
              <w:rPr>
                <w:rFonts w:hint="eastAsia" w:ascii="微软雅黑" w:hAnsi="微软雅黑" w:eastAsia="微软雅黑" w:cs="Times New Roman"/>
                <w:i/>
                <w:color w:val="5B9BD5"/>
                <w:sz w:val="20"/>
                <w:szCs w:val="22"/>
              </w:rPr>
              <w:t>许可证授权</w:t>
            </w:r>
          </w:p>
        </w:tc>
        <w:tc>
          <w:tcPr>
            <w:tcW w:w="730" w:type="dxa"/>
            <w:tcBorders>
              <w:top w:val="nil"/>
              <w:left w:val="nil"/>
              <w:bottom w:val="single" w:color="auto" w:sz="4" w:space="0"/>
              <w:right w:val="single" w:color="auto" w:sz="4" w:space="0"/>
            </w:tcBorders>
            <w:shd w:val="clear" w:color="auto" w:fill="auto"/>
            <w:noWrap/>
            <w:vAlign w:val="bottom"/>
          </w:tcPr>
          <w:p w14:paraId="233E4557">
            <w:pPr>
              <w:widowControl/>
              <w:spacing w:line="360" w:lineRule="auto"/>
              <w:jc w:val="left"/>
              <w:rPr>
                <w:rFonts w:ascii="等线" w:hAnsi="等线" w:eastAsia="等线" w:cs="宋体"/>
                <w:color w:val="000000"/>
                <w:kern w:val="0"/>
                <w:sz w:val="22"/>
                <w:szCs w:val="22"/>
              </w:rPr>
            </w:pPr>
          </w:p>
        </w:tc>
      </w:tr>
      <w:tr w14:paraId="0AFA3AF7">
        <w:tblPrEx>
          <w:tblCellMar>
            <w:top w:w="0" w:type="dxa"/>
            <w:left w:w="108" w:type="dxa"/>
            <w:bottom w:w="0" w:type="dxa"/>
            <w:right w:w="108" w:type="dxa"/>
          </w:tblCellMar>
        </w:tblPrEx>
        <w:trPr>
          <w:trHeight w:val="281" w:hRule="atLeast"/>
        </w:trPr>
        <w:tc>
          <w:tcPr>
            <w:tcW w:w="665" w:type="dxa"/>
            <w:tcBorders>
              <w:top w:val="nil"/>
              <w:left w:val="single" w:color="auto" w:sz="4" w:space="0"/>
              <w:bottom w:val="single" w:color="auto" w:sz="4" w:space="0"/>
              <w:right w:val="single" w:color="auto" w:sz="4" w:space="0"/>
            </w:tcBorders>
            <w:shd w:val="clear" w:color="auto" w:fill="auto"/>
            <w:noWrap/>
            <w:vAlign w:val="center"/>
          </w:tcPr>
          <w:p w14:paraId="68492541">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示例2</w:t>
            </w:r>
          </w:p>
        </w:tc>
        <w:tc>
          <w:tcPr>
            <w:tcW w:w="1173" w:type="dxa"/>
            <w:tcBorders>
              <w:top w:val="nil"/>
              <w:left w:val="nil"/>
              <w:bottom w:val="single" w:color="auto" w:sz="4" w:space="0"/>
              <w:right w:val="single" w:color="auto" w:sz="4" w:space="0"/>
            </w:tcBorders>
            <w:shd w:val="clear" w:color="auto" w:fill="auto"/>
            <w:noWrap/>
            <w:vAlign w:val="center"/>
          </w:tcPr>
          <w:p w14:paraId="4230BC43">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数据库</w:t>
            </w:r>
          </w:p>
        </w:tc>
        <w:tc>
          <w:tcPr>
            <w:tcW w:w="1183" w:type="dxa"/>
            <w:tcBorders>
              <w:top w:val="nil"/>
              <w:left w:val="nil"/>
              <w:bottom w:val="single" w:color="auto" w:sz="4" w:space="0"/>
              <w:right w:val="single" w:color="auto" w:sz="4" w:space="0"/>
            </w:tcBorders>
            <w:shd w:val="clear" w:color="auto" w:fill="auto"/>
            <w:noWrap/>
            <w:vAlign w:val="center"/>
          </w:tcPr>
          <w:p w14:paraId="11E7CD74">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SQLite</w:t>
            </w:r>
          </w:p>
        </w:tc>
        <w:tc>
          <w:tcPr>
            <w:tcW w:w="770" w:type="dxa"/>
            <w:tcBorders>
              <w:top w:val="nil"/>
              <w:left w:val="nil"/>
              <w:bottom w:val="single" w:color="auto" w:sz="4" w:space="0"/>
              <w:right w:val="single" w:color="auto" w:sz="4" w:space="0"/>
            </w:tcBorders>
            <w:shd w:val="clear" w:color="auto" w:fill="auto"/>
            <w:noWrap/>
            <w:vAlign w:val="center"/>
          </w:tcPr>
          <w:p w14:paraId="5CF41B8C">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3.38</w:t>
            </w:r>
          </w:p>
        </w:tc>
        <w:tc>
          <w:tcPr>
            <w:tcW w:w="2362" w:type="dxa"/>
            <w:tcBorders>
              <w:top w:val="nil"/>
              <w:left w:val="nil"/>
              <w:bottom w:val="single" w:color="auto" w:sz="4" w:space="0"/>
              <w:right w:val="single" w:color="auto" w:sz="4" w:space="0"/>
            </w:tcBorders>
            <w:shd w:val="clear" w:color="auto" w:fill="auto"/>
            <w:noWrap/>
            <w:vAlign w:val="center"/>
          </w:tcPr>
          <w:p w14:paraId="0A10F810">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开源</w:t>
            </w:r>
            <w:r>
              <w:rPr>
                <w:rFonts w:ascii="微软雅黑" w:hAnsi="微软雅黑" w:eastAsia="微软雅黑" w:cs="Times New Roman"/>
                <w:i/>
                <w:color w:val="5B9BD5"/>
                <w:sz w:val="20"/>
                <w:szCs w:val="22"/>
              </w:rPr>
              <w:t>-</w:t>
            </w:r>
            <w:r>
              <w:rPr>
                <w:rFonts w:ascii="等线" w:hAnsi="等线" w:eastAsia="等线" w:cs="Times New Roman"/>
                <w:szCs w:val="22"/>
              </w:rPr>
              <w:fldChar w:fldCharType="begin"/>
            </w:r>
            <w:r>
              <w:rPr>
                <w:rFonts w:ascii="等线" w:hAnsi="等线" w:eastAsia="等线" w:cs="Times New Roman"/>
                <w:szCs w:val="22"/>
              </w:rPr>
              <w:instrText xml:space="preserve"> HYPERLINK "https://www.sqlite.org/download.html" \t "_blank" </w:instrText>
            </w:r>
            <w:r>
              <w:rPr>
                <w:rFonts w:ascii="等线" w:hAnsi="等线" w:eastAsia="等线" w:cs="Times New Roman"/>
                <w:szCs w:val="22"/>
              </w:rPr>
              <w:fldChar w:fldCharType="separate"/>
            </w:r>
            <w:r>
              <w:rPr>
                <w:rFonts w:ascii="微软雅黑" w:hAnsi="微软雅黑" w:eastAsia="微软雅黑" w:cs="Times New Roman"/>
                <w:i/>
                <w:color w:val="5B9BD5"/>
                <w:sz w:val="20"/>
                <w:szCs w:val="22"/>
              </w:rPr>
              <w:t>https://www.sqlite.org/download.html</w:t>
            </w:r>
            <w:r>
              <w:rPr>
                <w:rFonts w:ascii="微软雅黑" w:hAnsi="微软雅黑" w:eastAsia="微软雅黑" w:cs="Times New Roman"/>
                <w:i/>
                <w:color w:val="5B9BD5"/>
                <w:sz w:val="20"/>
                <w:szCs w:val="22"/>
              </w:rPr>
              <w:fldChar w:fldCharType="end"/>
            </w:r>
          </w:p>
        </w:tc>
        <w:tc>
          <w:tcPr>
            <w:tcW w:w="1639" w:type="dxa"/>
            <w:tcBorders>
              <w:top w:val="nil"/>
              <w:left w:val="nil"/>
              <w:bottom w:val="single" w:color="auto" w:sz="4" w:space="0"/>
              <w:right w:val="single" w:color="auto" w:sz="4" w:space="0"/>
            </w:tcBorders>
            <w:shd w:val="clear" w:color="auto" w:fill="auto"/>
            <w:noWrap/>
            <w:vAlign w:val="center"/>
          </w:tcPr>
          <w:p w14:paraId="019F85E8">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BSD</w:t>
            </w:r>
            <w:r>
              <w:rPr>
                <w:rFonts w:hint="eastAsia" w:ascii="微软雅黑" w:hAnsi="微软雅黑" w:eastAsia="微软雅黑" w:cs="Times New Roman"/>
                <w:i/>
                <w:color w:val="5B9BD5"/>
                <w:sz w:val="20"/>
                <w:szCs w:val="22"/>
              </w:rPr>
              <w:t>（</w:t>
            </w:r>
            <w:r>
              <w:rPr>
                <w:rFonts w:ascii="微软雅黑" w:hAnsi="微软雅黑" w:eastAsia="微软雅黑" w:cs="Times New Roman"/>
                <w:i/>
                <w:color w:val="5B9BD5"/>
                <w:sz w:val="20"/>
                <w:szCs w:val="22"/>
              </w:rPr>
              <w:t>SQLite 所采用的开源许可证类型</w:t>
            </w:r>
            <w:r>
              <w:rPr>
                <w:rFonts w:hint="eastAsia" w:ascii="微软雅黑" w:hAnsi="微软雅黑" w:eastAsia="微软雅黑" w:cs="Times New Roman"/>
                <w:i/>
                <w:color w:val="5B9BD5"/>
                <w:sz w:val="20"/>
                <w:szCs w:val="22"/>
              </w:rPr>
              <w:t>）</w:t>
            </w:r>
          </w:p>
        </w:tc>
        <w:tc>
          <w:tcPr>
            <w:tcW w:w="730" w:type="dxa"/>
            <w:tcBorders>
              <w:top w:val="nil"/>
              <w:left w:val="nil"/>
              <w:bottom w:val="single" w:color="auto" w:sz="4" w:space="0"/>
              <w:right w:val="single" w:color="auto" w:sz="4" w:space="0"/>
            </w:tcBorders>
            <w:shd w:val="clear" w:color="auto" w:fill="auto"/>
            <w:noWrap/>
            <w:vAlign w:val="bottom"/>
          </w:tcPr>
          <w:p w14:paraId="07768707">
            <w:pPr>
              <w:widowControl/>
              <w:spacing w:line="360" w:lineRule="auto"/>
              <w:jc w:val="left"/>
              <w:rPr>
                <w:rFonts w:ascii="等线" w:hAnsi="等线" w:eastAsia="等线" w:cs="宋体"/>
                <w:color w:val="000000"/>
                <w:kern w:val="0"/>
                <w:sz w:val="22"/>
                <w:szCs w:val="22"/>
              </w:rPr>
            </w:pPr>
          </w:p>
        </w:tc>
      </w:tr>
      <w:tr w14:paraId="5D55098D">
        <w:tblPrEx>
          <w:tblCellMar>
            <w:top w:w="0" w:type="dxa"/>
            <w:left w:w="108" w:type="dxa"/>
            <w:bottom w:w="0" w:type="dxa"/>
            <w:right w:w="108" w:type="dxa"/>
          </w:tblCellMar>
        </w:tblPrEx>
        <w:trPr>
          <w:trHeight w:val="281" w:hRule="atLeast"/>
        </w:trPr>
        <w:tc>
          <w:tcPr>
            <w:tcW w:w="665" w:type="dxa"/>
            <w:tcBorders>
              <w:top w:val="nil"/>
              <w:left w:val="single" w:color="auto" w:sz="4" w:space="0"/>
              <w:bottom w:val="single" w:color="auto" w:sz="4" w:space="0"/>
              <w:right w:val="single" w:color="auto" w:sz="4" w:space="0"/>
            </w:tcBorders>
            <w:shd w:val="clear" w:color="auto" w:fill="auto"/>
            <w:noWrap/>
            <w:vAlign w:val="bottom"/>
          </w:tcPr>
          <w:p w14:paraId="6D2B8EA8">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1</w:t>
            </w:r>
          </w:p>
        </w:tc>
        <w:tc>
          <w:tcPr>
            <w:tcW w:w="1173" w:type="dxa"/>
            <w:tcBorders>
              <w:top w:val="nil"/>
              <w:left w:val="nil"/>
              <w:bottom w:val="single" w:color="auto" w:sz="4" w:space="0"/>
              <w:right w:val="single" w:color="auto" w:sz="4" w:space="0"/>
            </w:tcBorders>
            <w:shd w:val="clear" w:color="auto" w:fill="auto"/>
            <w:noWrap/>
            <w:vAlign w:val="bottom"/>
          </w:tcPr>
          <w:p w14:paraId="718DB13D">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数据库</w:t>
            </w:r>
          </w:p>
        </w:tc>
        <w:tc>
          <w:tcPr>
            <w:tcW w:w="1183" w:type="dxa"/>
            <w:tcBorders>
              <w:top w:val="nil"/>
              <w:left w:val="nil"/>
              <w:bottom w:val="single" w:color="auto" w:sz="4" w:space="0"/>
              <w:right w:val="single" w:color="auto" w:sz="4" w:space="0"/>
            </w:tcBorders>
            <w:shd w:val="clear" w:color="auto" w:fill="auto"/>
            <w:noWrap/>
            <w:vAlign w:val="bottom"/>
          </w:tcPr>
          <w:p w14:paraId="78E23978">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70" w:type="dxa"/>
            <w:tcBorders>
              <w:top w:val="nil"/>
              <w:left w:val="nil"/>
              <w:bottom w:val="single" w:color="auto" w:sz="4" w:space="0"/>
              <w:right w:val="single" w:color="auto" w:sz="4" w:space="0"/>
            </w:tcBorders>
            <w:shd w:val="clear" w:color="auto" w:fill="auto"/>
            <w:noWrap/>
            <w:vAlign w:val="bottom"/>
          </w:tcPr>
          <w:p w14:paraId="01841D4A">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2362" w:type="dxa"/>
            <w:tcBorders>
              <w:top w:val="nil"/>
              <w:left w:val="nil"/>
              <w:bottom w:val="single" w:color="auto" w:sz="4" w:space="0"/>
              <w:right w:val="single" w:color="auto" w:sz="4" w:space="0"/>
            </w:tcBorders>
            <w:shd w:val="clear" w:color="auto" w:fill="auto"/>
            <w:noWrap/>
            <w:vAlign w:val="bottom"/>
          </w:tcPr>
          <w:p w14:paraId="76B6176A">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1639" w:type="dxa"/>
            <w:tcBorders>
              <w:top w:val="nil"/>
              <w:left w:val="nil"/>
              <w:bottom w:val="single" w:color="auto" w:sz="4" w:space="0"/>
              <w:right w:val="single" w:color="auto" w:sz="4" w:space="0"/>
            </w:tcBorders>
            <w:shd w:val="clear" w:color="auto" w:fill="auto"/>
            <w:noWrap/>
            <w:vAlign w:val="bottom"/>
          </w:tcPr>
          <w:p w14:paraId="630B2C4D">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30" w:type="dxa"/>
            <w:tcBorders>
              <w:top w:val="nil"/>
              <w:left w:val="nil"/>
              <w:bottom w:val="single" w:color="auto" w:sz="4" w:space="0"/>
              <w:right w:val="single" w:color="auto" w:sz="4" w:space="0"/>
            </w:tcBorders>
            <w:shd w:val="clear" w:color="auto" w:fill="auto"/>
            <w:noWrap/>
            <w:vAlign w:val="bottom"/>
          </w:tcPr>
          <w:p w14:paraId="41CD1A4B">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r>
      <w:tr w14:paraId="7867D7F5">
        <w:tblPrEx>
          <w:tblCellMar>
            <w:top w:w="0" w:type="dxa"/>
            <w:left w:w="108" w:type="dxa"/>
            <w:bottom w:w="0" w:type="dxa"/>
            <w:right w:w="108" w:type="dxa"/>
          </w:tblCellMar>
        </w:tblPrEx>
        <w:trPr>
          <w:trHeight w:val="280" w:hRule="atLeast"/>
        </w:trPr>
        <w:tc>
          <w:tcPr>
            <w:tcW w:w="665" w:type="dxa"/>
            <w:tcBorders>
              <w:top w:val="nil"/>
              <w:left w:val="single" w:color="auto" w:sz="4" w:space="0"/>
              <w:bottom w:val="single" w:color="auto" w:sz="4" w:space="0"/>
              <w:right w:val="single" w:color="auto" w:sz="4" w:space="0"/>
            </w:tcBorders>
            <w:shd w:val="clear" w:color="auto" w:fill="auto"/>
            <w:noWrap/>
            <w:vAlign w:val="bottom"/>
          </w:tcPr>
          <w:p w14:paraId="03A7D508">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2</w:t>
            </w:r>
          </w:p>
        </w:tc>
        <w:tc>
          <w:tcPr>
            <w:tcW w:w="1173" w:type="dxa"/>
            <w:tcBorders>
              <w:top w:val="nil"/>
              <w:left w:val="nil"/>
              <w:bottom w:val="single" w:color="auto" w:sz="4" w:space="0"/>
              <w:right w:val="single" w:color="auto" w:sz="4" w:space="0"/>
            </w:tcBorders>
            <w:shd w:val="clear" w:color="auto" w:fill="auto"/>
            <w:noWrap/>
            <w:vAlign w:val="bottom"/>
          </w:tcPr>
          <w:p w14:paraId="0E0C8E53">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中间件</w:t>
            </w:r>
          </w:p>
        </w:tc>
        <w:tc>
          <w:tcPr>
            <w:tcW w:w="1183" w:type="dxa"/>
            <w:tcBorders>
              <w:top w:val="nil"/>
              <w:left w:val="nil"/>
              <w:bottom w:val="single" w:color="auto" w:sz="4" w:space="0"/>
              <w:right w:val="single" w:color="auto" w:sz="4" w:space="0"/>
            </w:tcBorders>
            <w:shd w:val="clear" w:color="auto" w:fill="auto"/>
            <w:noWrap/>
            <w:vAlign w:val="bottom"/>
          </w:tcPr>
          <w:p w14:paraId="6FF02AE1">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70" w:type="dxa"/>
            <w:tcBorders>
              <w:top w:val="nil"/>
              <w:left w:val="nil"/>
              <w:bottom w:val="single" w:color="auto" w:sz="4" w:space="0"/>
              <w:right w:val="single" w:color="auto" w:sz="4" w:space="0"/>
            </w:tcBorders>
            <w:shd w:val="clear" w:color="auto" w:fill="auto"/>
            <w:noWrap/>
            <w:vAlign w:val="bottom"/>
          </w:tcPr>
          <w:p w14:paraId="2C93D020">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2362" w:type="dxa"/>
            <w:tcBorders>
              <w:top w:val="nil"/>
              <w:left w:val="nil"/>
              <w:bottom w:val="single" w:color="auto" w:sz="4" w:space="0"/>
              <w:right w:val="single" w:color="auto" w:sz="4" w:space="0"/>
            </w:tcBorders>
            <w:shd w:val="clear" w:color="auto" w:fill="auto"/>
            <w:noWrap/>
            <w:vAlign w:val="bottom"/>
          </w:tcPr>
          <w:p w14:paraId="32462E9B">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1639" w:type="dxa"/>
            <w:tcBorders>
              <w:top w:val="nil"/>
              <w:left w:val="nil"/>
              <w:bottom w:val="single" w:color="auto" w:sz="4" w:space="0"/>
              <w:right w:val="single" w:color="auto" w:sz="4" w:space="0"/>
            </w:tcBorders>
            <w:shd w:val="clear" w:color="auto" w:fill="auto"/>
            <w:noWrap/>
            <w:vAlign w:val="bottom"/>
          </w:tcPr>
          <w:p w14:paraId="72B877E0">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30" w:type="dxa"/>
            <w:tcBorders>
              <w:top w:val="nil"/>
              <w:left w:val="nil"/>
              <w:bottom w:val="single" w:color="auto" w:sz="4" w:space="0"/>
              <w:right w:val="single" w:color="auto" w:sz="4" w:space="0"/>
            </w:tcBorders>
            <w:shd w:val="clear" w:color="auto" w:fill="auto"/>
            <w:noWrap/>
            <w:vAlign w:val="bottom"/>
          </w:tcPr>
          <w:p w14:paraId="445C44CB">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r>
      <w:tr w14:paraId="5BF7A7C3">
        <w:tblPrEx>
          <w:tblCellMar>
            <w:top w:w="0" w:type="dxa"/>
            <w:left w:w="108" w:type="dxa"/>
            <w:bottom w:w="0" w:type="dxa"/>
            <w:right w:w="108" w:type="dxa"/>
          </w:tblCellMar>
        </w:tblPrEx>
        <w:trPr>
          <w:trHeight w:val="280" w:hRule="atLeast"/>
        </w:trPr>
        <w:tc>
          <w:tcPr>
            <w:tcW w:w="665" w:type="dxa"/>
            <w:tcBorders>
              <w:top w:val="nil"/>
              <w:left w:val="single" w:color="auto" w:sz="4" w:space="0"/>
              <w:bottom w:val="nil"/>
              <w:right w:val="single" w:color="auto" w:sz="4" w:space="0"/>
            </w:tcBorders>
            <w:shd w:val="clear" w:color="auto" w:fill="auto"/>
            <w:noWrap/>
            <w:vAlign w:val="bottom"/>
          </w:tcPr>
          <w:p w14:paraId="5DDAF1C7">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3</w:t>
            </w:r>
          </w:p>
        </w:tc>
        <w:tc>
          <w:tcPr>
            <w:tcW w:w="1173" w:type="dxa"/>
            <w:tcBorders>
              <w:top w:val="nil"/>
              <w:left w:val="nil"/>
              <w:bottom w:val="nil"/>
              <w:right w:val="single" w:color="auto" w:sz="4" w:space="0"/>
            </w:tcBorders>
            <w:shd w:val="clear" w:color="auto" w:fill="auto"/>
            <w:noWrap/>
            <w:vAlign w:val="bottom"/>
          </w:tcPr>
          <w:p w14:paraId="1EC5E327">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其他</w:t>
            </w:r>
          </w:p>
        </w:tc>
        <w:tc>
          <w:tcPr>
            <w:tcW w:w="1183" w:type="dxa"/>
            <w:tcBorders>
              <w:top w:val="nil"/>
              <w:left w:val="nil"/>
              <w:bottom w:val="nil"/>
              <w:right w:val="single" w:color="auto" w:sz="4" w:space="0"/>
            </w:tcBorders>
            <w:shd w:val="clear" w:color="auto" w:fill="auto"/>
            <w:noWrap/>
            <w:vAlign w:val="bottom"/>
          </w:tcPr>
          <w:p w14:paraId="7D1F18EF">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70" w:type="dxa"/>
            <w:tcBorders>
              <w:top w:val="nil"/>
              <w:left w:val="nil"/>
              <w:bottom w:val="nil"/>
              <w:right w:val="single" w:color="auto" w:sz="4" w:space="0"/>
            </w:tcBorders>
            <w:shd w:val="clear" w:color="auto" w:fill="auto"/>
            <w:noWrap/>
            <w:vAlign w:val="bottom"/>
          </w:tcPr>
          <w:p w14:paraId="65AD6532">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2362" w:type="dxa"/>
            <w:tcBorders>
              <w:top w:val="nil"/>
              <w:left w:val="nil"/>
              <w:bottom w:val="nil"/>
              <w:right w:val="single" w:color="auto" w:sz="4" w:space="0"/>
            </w:tcBorders>
            <w:shd w:val="clear" w:color="auto" w:fill="auto"/>
            <w:noWrap/>
            <w:vAlign w:val="bottom"/>
          </w:tcPr>
          <w:p w14:paraId="511A4BF4">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1639" w:type="dxa"/>
            <w:tcBorders>
              <w:top w:val="nil"/>
              <w:left w:val="nil"/>
              <w:bottom w:val="nil"/>
              <w:right w:val="single" w:color="auto" w:sz="4" w:space="0"/>
            </w:tcBorders>
            <w:shd w:val="clear" w:color="auto" w:fill="auto"/>
            <w:noWrap/>
            <w:vAlign w:val="bottom"/>
          </w:tcPr>
          <w:p w14:paraId="55E9D0C7">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30" w:type="dxa"/>
            <w:tcBorders>
              <w:top w:val="nil"/>
              <w:left w:val="nil"/>
              <w:bottom w:val="nil"/>
              <w:right w:val="single" w:color="auto" w:sz="4" w:space="0"/>
            </w:tcBorders>
            <w:shd w:val="clear" w:color="auto" w:fill="auto"/>
            <w:noWrap/>
            <w:vAlign w:val="bottom"/>
          </w:tcPr>
          <w:p w14:paraId="5121F5C4">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r>
      <w:tr w14:paraId="528C3A0B">
        <w:tblPrEx>
          <w:tblCellMar>
            <w:top w:w="0" w:type="dxa"/>
            <w:left w:w="108" w:type="dxa"/>
            <w:bottom w:w="0" w:type="dxa"/>
            <w:right w:w="108" w:type="dxa"/>
          </w:tblCellMar>
        </w:tblPrEx>
        <w:trPr>
          <w:trHeight w:val="280" w:hRule="atLeast"/>
        </w:trPr>
        <w:tc>
          <w:tcPr>
            <w:tcW w:w="665" w:type="dxa"/>
            <w:tcBorders>
              <w:top w:val="nil"/>
              <w:left w:val="single" w:color="auto" w:sz="4" w:space="0"/>
              <w:bottom w:val="single" w:color="auto" w:sz="4" w:space="0"/>
              <w:right w:val="single" w:color="auto" w:sz="4" w:space="0"/>
            </w:tcBorders>
            <w:shd w:val="clear" w:color="auto" w:fill="auto"/>
            <w:noWrap/>
            <w:vAlign w:val="bottom"/>
          </w:tcPr>
          <w:p w14:paraId="2BB3D838">
            <w:pPr>
              <w:widowControl/>
              <w:spacing w:line="360" w:lineRule="auto"/>
              <w:jc w:val="left"/>
              <w:rPr>
                <w:rFonts w:ascii="等线" w:hAnsi="等线" w:eastAsia="等线" w:cs="宋体"/>
                <w:color w:val="000000"/>
                <w:kern w:val="0"/>
                <w:sz w:val="22"/>
                <w:szCs w:val="22"/>
              </w:rPr>
            </w:pPr>
            <w:r>
              <w:rPr>
                <w:rFonts w:ascii="等线" w:hAnsi="等线" w:eastAsia="等线" w:cs="宋体"/>
                <w:color w:val="000000"/>
                <w:kern w:val="0"/>
                <w:sz w:val="22"/>
                <w:szCs w:val="22"/>
              </w:rPr>
              <w:t>…</w:t>
            </w:r>
          </w:p>
        </w:tc>
        <w:tc>
          <w:tcPr>
            <w:tcW w:w="1173" w:type="dxa"/>
            <w:tcBorders>
              <w:top w:val="nil"/>
              <w:left w:val="nil"/>
              <w:bottom w:val="single" w:color="auto" w:sz="4" w:space="0"/>
              <w:right w:val="single" w:color="auto" w:sz="4" w:space="0"/>
            </w:tcBorders>
            <w:shd w:val="clear" w:color="auto" w:fill="auto"/>
            <w:noWrap/>
            <w:vAlign w:val="bottom"/>
          </w:tcPr>
          <w:p w14:paraId="27659642">
            <w:pPr>
              <w:widowControl/>
              <w:spacing w:line="360" w:lineRule="auto"/>
              <w:jc w:val="left"/>
              <w:rPr>
                <w:rFonts w:ascii="等线" w:hAnsi="等线" w:eastAsia="等线" w:cs="宋体"/>
                <w:color w:val="000000"/>
                <w:kern w:val="0"/>
                <w:sz w:val="22"/>
                <w:szCs w:val="22"/>
              </w:rPr>
            </w:pPr>
          </w:p>
        </w:tc>
        <w:tc>
          <w:tcPr>
            <w:tcW w:w="1183" w:type="dxa"/>
            <w:tcBorders>
              <w:top w:val="nil"/>
              <w:left w:val="nil"/>
              <w:bottom w:val="single" w:color="auto" w:sz="4" w:space="0"/>
              <w:right w:val="single" w:color="auto" w:sz="4" w:space="0"/>
            </w:tcBorders>
            <w:shd w:val="clear" w:color="auto" w:fill="auto"/>
            <w:noWrap/>
            <w:vAlign w:val="bottom"/>
          </w:tcPr>
          <w:p w14:paraId="3E655B0A">
            <w:pPr>
              <w:widowControl/>
              <w:spacing w:line="360" w:lineRule="auto"/>
              <w:jc w:val="left"/>
              <w:rPr>
                <w:rFonts w:ascii="等线" w:hAnsi="等线" w:eastAsia="等线" w:cs="宋体"/>
                <w:color w:val="000000"/>
                <w:kern w:val="0"/>
                <w:sz w:val="22"/>
                <w:szCs w:val="22"/>
              </w:rPr>
            </w:pPr>
          </w:p>
        </w:tc>
        <w:tc>
          <w:tcPr>
            <w:tcW w:w="770" w:type="dxa"/>
            <w:tcBorders>
              <w:top w:val="nil"/>
              <w:left w:val="nil"/>
              <w:bottom w:val="single" w:color="auto" w:sz="4" w:space="0"/>
              <w:right w:val="single" w:color="auto" w:sz="4" w:space="0"/>
            </w:tcBorders>
            <w:shd w:val="clear" w:color="auto" w:fill="auto"/>
            <w:noWrap/>
            <w:vAlign w:val="bottom"/>
          </w:tcPr>
          <w:p w14:paraId="01923C32">
            <w:pPr>
              <w:widowControl/>
              <w:spacing w:line="360" w:lineRule="auto"/>
              <w:jc w:val="left"/>
              <w:rPr>
                <w:rFonts w:ascii="等线" w:hAnsi="等线" w:eastAsia="等线" w:cs="宋体"/>
                <w:color w:val="000000"/>
                <w:kern w:val="0"/>
                <w:sz w:val="22"/>
                <w:szCs w:val="22"/>
              </w:rPr>
            </w:pPr>
          </w:p>
        </w:tc>
        <w:tc>
          <w:tcPr>
            <w:tcW w:w="2362" w:type="dxa"/>
            <w:tcBorders>
              <w:top w:val="nil"/>
              <w:left w:val="nil"/>
              <w:bottom w:val="single" w:color="auto" w:sz="4" w:space="0"/>
              <w:right w:val="single" w:color="auto" w:sz="4" w:space="0"/>
            </w:tcBorders>
            <w:shd w:val="clear" w:color="auto" w:fill="auto"/>
            <w:noWrap/>
            <w:vAlign w:val="bottom"/>
          </w:tcPr>
          <w:p w14:paraId="7599C9B1">
            <w:pPr>
              <w:widowControl/>
              <w:spacing w:line="360" w:lineRule="auto"/>
              <w:jc w:val="left"/>
              <w:rPr>
                <w:rFonts w:ascii="等线" w:hAnsi="等线" w:eastAsia="等线" w:cs="宋体"/>
                <w:color w:val="000000"/>
                <w:kern w:val="0"/>
                <w:sz w:val="22"/>
                <w:szCs w:val="22"/>
              </w:rPr>
            </w:pPr>
          </w:p>
        </w:tc>
        <w:tc>
          <w:tcPr>
            <w:tcW w:w="1639" w:type="dxa"/>
            <w:tcBorders>
              <w:top w:val="nil"/>
              <w:left w:val="nil"/>
              <w:bottom w:val="single" w:color="auto" w:sz="4" w:space="0"/>
              <w:right w:val="single" w:color="auto" w:sz="4" w:space="0"/>
            </w:tcBorders>
            <w:shd w:val="clear" w:color="auto" w:fill="auto"/>
            <w:noWrap/>
            <w:vAlign w:val="bottom"/>
          </w:tcPr>
          <w:p w14:paraId="1B616CD3">
            <w:pPr>
              <w:widowControl/>
              <w:spacing w:line="360" w:lineRule="auto"/>
              <w:jc w:val="left"/>
              <w:rPr>
                <w:rFonts w:ascii="等线" w:hAnsi="等线" w:eastAsia="等线" w:cs="宋体"/>
                <w:color w:val="000000"/>
                <w:kern w:val="0"/>
                <w:sz w:val="22"/>
                <w:szCs w:val="22"/>
              </w:rPr>
            </w:pPr>
          </w:p>
        </w:tc>
        <w:tc>
          <w:tcPr>
            <w:tcW w:w="730" w:type="dxa"/>
            <w:tcBorders>
              <w:top w:val="nil"/>
              <w:left w:val="nil"/>
              <w:bottom w:val="single" w:color="auto" w:sz="4" w:space="0"/>
              <w:right w:val="single" w:color="auto" w:sz="4" w:space="0"/>
            </w:tcBorders>
            <w:shd w:val="clear" w:color="auto" w:fill="auto"/>
            <w:noWrap/>
            <w:vAlign w:val="bottom"/>
          </w:tcPr>
          <w:p w14:paraId="4E6D74B7">
            <w:pPr>
              <w:widowControl/>
              <w:spacing w:line="360" w:lineRule="auto"/>
              <w:jc w:val="left"/>
              <w:rPr>
                <w:rFonts w:ascii="等线" w:hAnsi="等线" w:eastAsia="等线" w:cs="宋体"/>
                <w:color w:val="000000"/>
                <w:kern w:val="0"/>
                <w:sz w:val="22"/>
                <w:szCs w:val="22"/>
              </w:rPr>
            </w:pPr>
          </w:p>
        </w:tc>
      </w:tr>
    </w:tbl>
    <w:p w14:paraId="04132479">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1244" w:name="_Toc18551"/>
      <w:bookmarkStart w:id="1245" w:name="_Toc757"/>
      <w:bookmarkStart w:id="1246" w:name="_Toc25365"/>
      <w:bookmarkStart w:id="1247" w:name="_Toc30470"/>
      <w:bookmarkStart w:id="1248" w:name="_Toc7003"/>
      <w:bookmarkStart w:id="1249" w:name="_Toc23186"/>
      <w:r>
        <w:rPr>
          <w:rFonts w:hint="eastAsia" w:ascii="等线" w:hAnsi="等线" w:eastAsia="等线" w:cs="Times New Roman"/>
          <w:b/>
          <w:kern w:val="2"/>
          <w:sz w:val="24"/>
          <w:szCs w:val="24"/>
          <w:lang w:val="en-US" w:eastAsia="zh-CN" w:bidi="ar-SA"/>
        </w:rPr>
        <w:t>2.3 开源软件类</w:t>
      </w:r>
      <w:bookmarkEnd w:id="1244"/>
      <w:bookmarkEnd w:id="1245"/>
      <w:bookmarkEnd w:id="1246"/>
      <w:bookmarkEnd w:id="1247"/>
      <w:bookmarkEnd w:id="1248"/>
      <w:bookmarkEnd w:id="1249"/>
    </w:p>
    <w:p w14:paraId="0256EB6B">
      <w:pPr>
        <w:spacing w:line="360" w:lineRule="auto"/>
        <w:jc w:val="left"/>
        <w:rPr>
          <w:rFonts w:ascii="等线" w:hAnsi="等线" w:eastAsia="等线" w:cs="Times New Roman"/>
          <w:sz w:val="24"/>
          <w:szCs w:val="24"/>
        </w:rPr>
      </w:pPr>
      <w:r>
        <w:rPr>
          <w:rFonts w:hint="eastAsia" w:ascii="微软雅黑" w:hAnsi="微软雅黑" w:eastAsia="微软雅黑" w:cs="Times New Roman"/>
          <w:iCs/>
          <w:sz w:val="20"/>
          <w:szCs w:val="22"/>
        </w:rPr>
        <w:t>开源软件类是指软件中应用的开源组件。</w:t>
      </w:r>
    </w:p>
    <w:tbl>
      <w:tblPr>
        <w:tblStyle w:val="8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984"/>
        <w:gridCol w:w="721"/>
        <w:gridCol w:w="1416"/>
        <w:gridCol w:w="1416"/>
        <w:gridCol w:w="2249"/>
        <w:gridCol w:w="1100"/>
      </w:tblGrid>
      <w:tr w14:paraId="67F0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376" w:type="pct"/>
            <w:shd w:val="clear" w:color="auto" w:fill="auto"/>
            <w:noWrap/>
            <w:vAlign w:val="center"/>
          </w:tcPr>
          <w:p w14:paraId="1434B561">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序号</w:t>
            </w:r>
          </w:p>
        </w:tc>
        <w:tc>
          <w:tcPr>
            <w:tcW w:w="577" w:type="pct"/>
            <w:shd w:val="clear" w:color="auto" w:fill="auto"/>
            <w:noWrap/>
            <w:vAlign w:val="center"/>
          </w:tcPr>
          <w:p w14:paraId="2A1517FD">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组件名称</w:t>
            </w:r>
          </w:p>
        </w:tc>
        <w:tc>
          <w:tcPr>
            <w:tcW w:w="423" w:type="pct"/>
            <w:shd w:val="clear" w:color="auto" w:fill="auto"/>
            <w:noWrap/>
            <w:vAlign w:val="center"/>
          </w:tcPr>
          <w:p w14:paraId="33571C5E">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组件版本</w:t>
            </w:r>
          </w:p>
        </w:tc>
        <w:tc>
          <w:tcPr>
            <w:tcW w:w="830" w:type="pct"/>
            <w:vAlign w:val="center"/>
          </w:tcPr>
          <w:p w14:paraId="31F0C153">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组件厂商或托管组织</w:t>
            </w:r>
          </w:p>
        </w:tc>
        <w:tc>
          <w:tcPr>
            <w:tcW w:w="830" w:type="pct"/>
            <w:shd w:val="clear" w:color="auto" w:fill="auto"/>
            <w:noWrap/>
            <w:vAlign w:val="center"/>
          </w:tcPr>
          <w:p w14:paraId="73E2C259">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组件来源链接</w:t>
            </w:r>
          </w:p>
        </w:tc>
        <w:tc>
          <w:tcPr>
            <w:tcW w:w="1319" w:type="pct"/>
            <w:shd w:val="clear" w:color="auto" w:fill="auto"/>
            <w:noWrap/>
            <w:vAlign w:val="center"/>
          </w:tcPr>
          <w:p w14:paraId="5552BF3E">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依赖关系</w:t>
            </w:r>
          </w:p>
          <w:p w14:paraId="6D43ECA7">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w:t>
            </w:r>
            <w:r>
              <w:rPr>
                <w:rFonts w:hint="eastAsia" w:ascii="微软雅黑" w:hAnsi="微软雅黑" w:eastAsia="微软雅黑" w:cs="Times New Roman"/>
                <w:b/>
                <w:sz w:val="20"/>
                <w:szCs w:val="22"/>
              </w:rPr>
              <w:t>直接依赖</w:t>
            </w:r>
            <w:r>
              <w:rPr>
                <w:rFonts w:hint="eastAsia" w:ascii="微软雅黑" w:hAnsi="微软雅黑" w:eastAsia="微软雅黑" w:cs="Times New Roman"/>
                <w:sz w:val="20"/>
                <w:szCs w:val="22"/>
              </w:rPr>
              <w:t xml:space="preserve">-软件包直接使用的组件、 </w:t>
            </w:r>
            <w:r>
              <w:rPr>
                <w:rFonts w:hint="eastAsia" w:ascii="微软雅黑" w:hAnsi="微软雅黑" w:eastAsia="微软雅黑" w:cs="Times New Roman"/>
                <w:b/>
                <w:sz w:val="20"/>
                <w:szCs w:val="22"/>
              </w:rPr>
              <w:t>间接依赖</w:t>
            </w:r>
            <w:r>
              <w:rPr>
                <w:rFonts w:hint="eastAsia" w:ascii="微软雅黑" w:hAnsi="微软雅黑" w:eastAsia="微软雅黑" w:cs="Times New Roman"/>
                <w:sz w:val="20"/>
                <w:szCs w:val="22"/>
              </w:rPr>
              <w:t>-直接依赖的组件所依赖的组件）</w:t>
            </w:r>
          </w:p>
        </w:tc>
        <w:tc>
          <w:tcPr>
            <w:tcW w:w="645" w:type="pct"/>
            <w:shd w:val="clear" w:color="auto" w:fill="auto"/>
            <w:noWrap/>
            <w:vAlign w:val="center"/>
          </w:tcPr>
          <w:p w14:paraId="60529D0C">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许可证</w:t>
            </w:r>
          </w:p>
        </w:tc>
      </w:tr>
      <w:tr w14:paraId="18A7C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376" w:type="pct"/>
            <w:shd w:val="clear" w:color="auto" w:fill="auto"/>
            <w:noWrap/>
            <w:vAlign w:val="center"/>
          </w:tcPr>
          <w:p w14:paraId="257FE345">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示例</w:t>
            </w:r>
          </w:p>
        </w:tc>
        <w:tc>
          <w:tcPr>
            <w:tcW w:w="577" w:type="pct"/>
            <w:shd w:val="clear" w:color="auto" w:fill="auto"/>
            <w:noWrap/>
            <w:vAlign w:val="center"/>
          </w:tcPr>
          <w:p w14:paraId="0205401C">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spring-co</w:t>
            </w:r>
          </w:p>
        </w:tc>
        <w:tc>
          <w:tcPr>
            <w:tcW w:w="423" w:type="pct"/>
            <w:shd w:val="clear" w:color="auto" w:fill="auto"/>
            <w:noWrap/>
            <w:vAlign w:val="center"/>
          </w:tcPr>
          <w:p w14:paraId="4BEB3CAD">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5.3.19</w:t>
            </w:r>
          </w:p>
        </w:tc>
        <w:tc>
          <w:tcPr>
            <w:tcW w:w="830" w:type="pct"/>
            <w:vAlign w:val="center"/>
          </w:tcPr>
          <w:p w14:paraId="55700C36">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org.springfr</w:t>
            </w:r>
          </w:p>
        </w:tc>
        <w:tc>
          <w:tcPr>
            <w:tcW w:w="830" w:type="pct"/>
            <w:shd w:val="clear" w:color="auto" w:fill="auto"/>
            <w:noWrap/>
            <w:vAlign w:val="center"/>
          </w:tcPr>
          <w:p w14:paraId="52C528C4">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https://mvnre</w:t>
            </w:r>
          </w:p>
        </w:tc>
        <w:tc>
          <w:tcPr>
            <w:tcW w:w="1319" w:type="pct"/>
            <w:shd w:val="clear" w:color="auto" w:fill="auto"/>
            <w:noWrap/>
            <w:vAlign w:val="center"/>
          </w:tcPr>
          <w:p w14:paraId="4F8012DE">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直接依赖</w:t>
            </w:r>
          </w:p>
        </w:tc>
        <w:tc>
          <w:tcPr>
            <w:tcW w:w="645" w:type="pct"/>
            <w:shd w:val="clear" w:color="auto" w:fill="auto"/>
            <w:noWrap/>
            <w:vAlign w:val="center"/>
          </w:tcPr>
          <w:p w14:paraId="7B3EA651">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 xml:space="preserve">Apache </w:t>
            </w:r>
          </w:p>
        </w:tc>
      </w:tr>
      <w:tr w14:paraId="7CBB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6" w:type="pct"/>
            <w:shd w:val="clear" w:color="auto" w:fill="auto"/>
            <w:noWrap/>
            <w:vAlign w:val="center"/>
          </w:tcPr>
          <w:p w14:paraId="7F221802">
            <w:pPr>
              <w:widowControl/>
              <w:jc w:val="left"/>
              <w:textAlignment w:val="center"/>
              <w:rPr>
                <w:rFonts w:ascii="微软雅黑" w:hAnsi="微软雅黑" w:eastAsia="微软雅黑" w:cs="宋体"/>
                <w:color w:val="000000"/>
                <w:szCs w:val="21"/>
              </w:rPr>
            </w:pPr>
            <w:r>
              <w:rPr>
                <w:rFonts w:hint="eastAsia" w:ascii="微软雅黑" w:hAnsi="微软雅黑" w:eastAsia="微软雅黑" w:cs="宋体"/>
                <w:color w:val="000000"/>
                <w:szCs w:val="21"/>
              </w:rPr>
              <w:t>1</w:t>
            </w:r>
          </w:p>
        </w:tc>
        <w:tc>
          <w:tcPr>
            <w:tcW w:w="577" w:type="pct"/>
            <w:shd w:val="clear" w:color="auto" w:fill="auto"/>
            <w:noWrap/>
            <w:vAlign w:val="center"/>
          </w:tcPr>
          <w:p w14:paraId="7A4A92F3">
            <w:pPr>
              <w:widowControl/>
              <w:jc w:val="left"/>
              <w:textAlignment w:val="center"/>
              <w:rPr>
                <w:rFonts w:ascii="微软雅黑" w:hAnsi="微软雅黑" w:eastAsia="微软雅黑" w:cs="微软雅黑"/>
                <w:i/>
                <w:iCs/>
                <w:color w:val="000000"/>
                <w:szCs w:val="21"/>
              </w:rPr>
            </w:pPr>
          </w:p>
        </w:tc>
        <w:tc>
          <w:tcPr>
            <w:tcW w:w="423" w:type="pct"/>
            <w:shd w:val="clear" w:color="auto" w:fill="auto"/>
            <w:noWrap/>
            <w:vAlign w:val="center"/>
          </w:tcPr>
          <w:p w14:paraId="0195165F">
            <w:pPr>
              <w:widowControl/>
              <w:jc w:val="left"/>
              <w:textAlignment w:val="center"/>
              <w:rPr>
                <w:rFonts w:ascii="微软雅黑" w:hAnsi="微软雅黑" w:eastAsia="微软雅黑" w:cs="微软雅黑"/>
                <w:i/>
                <w:iCs/>
                <w:color w:val="000000"/>
                <w:szCs w:val="21"/>
              </w:rPr>
            </w:pPr>
          </w:p>
        </w:tc>
        <w:tc>
          <w:tcPr>
            <w:tcW w:w="830" w:type="pct"/>
            <w:vAlign w:val="center"/>
          </w:tcPr>
          <w:p w14:paraId="79E58545">
            <w:pPr>
              <w:widowControl/>
              <w:jc w:val="left"/>
              <w:textAlignment w:val="center"/>
              <w:rPr>
                <w:rFonts w:ascii="微软雅黑" w:hAnsi="微软雅黑" w:eastAsia="微软雅黑" w:cs="微软雅黑"/>
                <w:i/>
                <w:iCs/>
                <w:color w:val="000000"/>
                <w:szCs w:val="21"/>
              </w:rPr>
            </w:pPr>
          </w:p>
        </w:tc>
        <w:tc>
          <w:tcPr>
            <w:tcW w:w="830" w:type="pct"/>
            <w:shd w:val="clear" w:color="auto" w:fill="auto"/>
            <w:noWrap/>
            <w:vAlign w:val="center"/>
          </w:tcPr>
          <w:p w14:paraId="4B8340EB">
            <w:pPr>
              <w:widowControl/>
              <w:jc w:val="left"/>
              <w:textAlignment w:val="center"/>
              <w:rPr>
                <w:rFonts w:ascii="微软雅黑" w:hAnsi="微软雅黑" w:eastAsia="微软雅黑" w:cs="微软雅黑"/>
                <w:i/>
                <w:iCs/>
                <w:color w:val="000000"/>
                <w:szCs w:val="21"/>
              </w:rPr>
            </w:pPr>
          </w:p>
        </w:tc>
        <w:tc>
          <w:tcPr>
            <w:tcW w:w="1319" w:type="pct"/>
            <w:shd w:val="clear" w:color="auto" w:fill="auto"/>
            <w:noWrap/>
            <w:vAlign w:val="center"/>
          </w:tcPr>
          <w:p w14:paraId="154DE9CE">
            <w:pPr>
              <w:widowControl/>
              <w:jc w:val="left"/>
              <w:textAlignment w:val="center"/>
              <w:rPr>
                <w:rFonts w:ascii="微软雅黑" w:hAnsi="微软雅黑" w:eastAsia="微软雅黑" w:cs="微软雅黑"/>
                <w:i/>
                <w:iCs/>
                <w:color w:val="000000"/>
                <w:szCs w:val="21"/>
              </w:rPr>
            </w:pPr>
          </w:p>
        </w:tc>
        <w:tc>
          <w:tcPr>
            <w:tcW w:w="645" w:type="pct"/>
            <w:shd w:val="clear" w:color="auto" w:fill="auto"/>
            <w:noWrap/>
            <w:vAlign w:val="center"/>
          </w:tcPr>
          <w:p w14:paraId="24A3CB5E">
            <w:pPr>
              <w:widowControl/>
              <w:jc w:val="left"/>
              <w:textAlignment w:val="center"/>
              <w:rPr>
                <w:rFonts w:ascii="微软雅黑" w:hAnsi="微软雅黑" w:eastAsia="微软雅黑" w:cs="微软雅黑"/>
                <w:i/>
                <w:iCs/>
                <w:color w:val="000000"/>
                <w:szCs w:val="21"/>
              </w:rPr>
            </w:pPr>
          </w:p>
        </w:tc>
      </w:tr>
      <w:tr w14:paraId="405F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76" w:type="pct"/>
            <w:shd w:val="clear" w:color="auto" w:fill="auto"/>
            <w:noWrap/>
            <w:vAlign w:val="center"/>
          </w:tcPr>
          <w:p w14:paraId="53A109AB">
            <w:pPr>
              <w:widowControl/>
              <w:jc w:val="left"/>
              <w:textAlignment w:val="center"/>
              <w:rPr>
                <w:rFonts w:ascii="微软雅黑" w:hAnsi="微软雅黑" w:eastAsia="微软雅黑" w:cs="宋体"/>
                <w:color w:val="000000"/>
                <w:szCs w:val="21"/>
              </w:rPr>
            </w:pPr>
            <w:r>
              <w:rPr>
                <w:rFonts w:hint="eastAsia" w:ascii="微软雅黑" w:hAnsi="微软雅黑" w:eastAsia="微软雅黑" w:cs="宋体"/>
                <w:color w:val="000000"/>
                <w:szCs w:val="21"/>
              </w:rPr>
              <w:t>2</w:t>
            </w:r>
          </w:p>
        </w:tc>
        <w:tc>
          <w:tcPr>
            <w:tcW w:w="577" w:type="pct"/>
            <w:shd w:val="clear" w:color="auto" w:fill="auto"/>
            <w:noWrap/>
            <w:vAlign w:val="center"/>
          </w:tcPr>
          <w:p w14:paraId="392CAF00">
            <w:pPr>
              <w:widowControl/>
              <w:jc w:val="left"/>
              <w:textAlignment w:val="center"/>
              <w:rPr>
                <w:rFonts w:ascii="微软雅黑" w:hAnsi="微软雅黑" w:eastAsia="微软雅黑" w:cs="微软雅黑"/>
                <w:i/>
                <w:iCs/>
                <w:color w:val="000000"/>
                <w:szCs w:val="21"/>
              </w:rPr>
            </w:pPr>
          </w:p>
        </w:tc>
        <w:tc>
          <w:tcPr>
            <w:tcW w:w="423" w:type="pct"/>
            <w:shd w:val="clear" w:color="auto" w:fill="auto"/>
            <w:noWrap/>
            <w:vAlign w:val="center"/>
          </w:tcPr>
          <w:p w14:paraId="4DF7F4F8">
            <w:pPr>
              <w:widowControl/>
              <w:jc w:val="left"/>
              <w:textAlignment w:val="center"/>
              <w:rPr>
                <w:rFonts w:ascii="微软雅黑" w:hAnsi="微软雅黑" w:eastAsia="微软雅黑" w:cs="微软雅黑"/>
                <w:i/>
                <w:iCs/>
                <w:color w:val="000000"/>
                <w:szCs w:val="21"/>
              </w:rPr>
            </w:pPr>
          </w:p>
        </w:tc>
        <w:tc>
          <w:tcPr>
            <w:tcW w:w="830" w:type="pct"/>
            <w:vAlign w:val="center"/>
          </w:tcPr>
          <w:p w14:paraId="30F1FCA5">
            <w:pPr>
              <w:widowControl/>
              <w:jc w:val="left"/>
              <w:textAlignment w:val="center"/>
              <w:rPr>
                <w:rFonts w:ascii="微软雅黑" w:hAnsi="微软雅黑" w:eastAsia="微软雅黑" w:cs="微软雅黑"/>
                <w:i/>
                <w:iCs/>
                <w:color w:val="000000"/>
                <w:szCs w:val="21"/>
              </w:rPr>
            </w:pPr>
          </w:p>
        </w:tc>
        <w:tc>
          <w:tcPr>
            <w:tcW w:w="830" w:type="pct"/>
            <w:shd w:val="clear" w:color="auto" w:fill="auto"/>
            <w:noWrap/>
            <w:vAlign w:val="center"/>
          </w:tcPr>
          <w:p w14:paraId="7399BF03">
            <w:pPr>
              <w:widowControl/>
              <w:jc w:val="left"/>
              <w:textAlignment w:val="center"/>
              <w:rPr>
                <w:rFonts w:ascii="微软雅黑" w:hAnsi="微软雅黑" w:eastAsia="微软雅黑" w:cs="微软雅黑"/>
                <w:i/>
                <w:iCs/>
                <w:color w:val="000000"/>
                <w:szCs w:val="21"/>
              </w:rPr>
            </w:pPr>
          </w:p>
        </w:tc>
        <w:tc>
          <w:tcPr>
            <w:tcW w:w="1319" w:type="pct"/>
            <w:shd w:val="clear" w:color="auto" w:fill="auto"/>
            <w:noWrap/>
            <w:vAlign w:val="center"/>
          </w:tcPr>
          <w:p w14:paraId="498333D9">
            <w:pPr>
              <w:widowControl/>
              <w:jc w:val="left"/>
              <w:textAlignment w:val="center"/>
              <w:rPr>
                <w:rFonts w:ascii="微软雅黑" w:hAnsi="微软雅黑" w:eastAsia="微软雅黑" w:cs="微软雅黑"/>
                <w:i/>
                <w:iCs/>
                <w:color w:val="000000"/>
                <w:szCs w:val="21"/>
              </w:rPr>
            </w:pPr>
          </w:p>
        </w:tc>
        <w:tc>
          <w:tcPr>
            <w:tcW w:w="645" w:type="pct"/>
            <w:shd w:val="clear" w:color="auto" w:fill="auto"/>
            <w:noWrap/>
            <w:vAlign w:val="center"/>
          </w:tcPr>
          <w:p w14:paraId="444AB196">
            <w:pPr>
              <w:widowControl/>
              <w:jc w:val="left"/>
              <w:textAlignment w:val="center"/>
              <w:rPr>
                <w:rFonts w:ascii="微软雅黑" w:hAnsi="微软雅黑" w:eastAsia="微软雅黑" w:cs="微软雅黑"/>
                <w:i/>
                <w:iCs/>
                <w:color w:val="000000"/>
                <w:szCs w:val="21"/>
              </w:rPr>
            </w:pPr>
          </w:p>
        </w:tc>
      </w:tr>
      <w:tr w14:paraId="6C481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76" w:type="pct"/>
            <w:shd w:val="clear" w:color="auto" w:fill="auto"/>
            <w:noWrap/>
            <w:vAlign w:val="center"/>
          </w:tcPr>
          <w:p w14:paraId="2B4E6669">
            <w:pPr>
              <w:widowControl/>
              <w:jc w:val="left"/>
              <w:textAlignment w:val="center"/>
              <w:rPr>
                <w:rFonts w:ascii="微软雅黑" w:hAnsi="微软雅黑" w:eastAsia="微软雅黑" w:cs="宋体"/>
                <w:color w:val="000000"/>
                <w:szCs w:val="21"/>
              </w:rPr>
            </w:pPr>
            <w:r>
              <w:rPr>
                <w:rFonts w:ascii="微软雅黑" w:hAnsi="微软雅黑" w:eastAsia="微软雅黑" w:cs="宋体"/>
                <w:color w:val="000000"/>
                <w:szCs w:val="21"/>
              </w:rPr>
              <w:t>…</w:t>
            </w:r>
          </w:p>
        </w:tc>
        <w:tc>
          <w:tcPr>
            <w:tcW w:w="577" w:type="pct"/>
            <w:shd w:val="clear" w:color="auto" w:fill="auto"/>
            <w:noWrap/>
            <w:vAlign w:val="center"/>
          </w:tcPr>
          <w:p w14:paraId="706E1411">
            <w:pPr>
              <w:widowControl/>
              <w:jc w:val="left"/>
              <w:textAlignment w:val="center"/>
              <w:rPr>
                <w:rFonts w:ascii="微软雅黑" w:hAnsi="微软雅黑" w:eastAsia="微软雅黑" w:cs="微软雅黑"/>
                <w:i/>
                <w:iCs/>
                <w:color w:val="000000"/>
                <w:szCs w:val="21"/>
              </w:rPr>
            </w:pPr>
          </w:p>
        </w:tc>
        <w:tc>
          <w:tcPr>
            <w:tcW w:w="423" w:type="pct"/>
            <w:shd w:val="clear" w:color="auto" w:fill="auto"/>
            <w:noWrap/>
            <w:vAlign w:val="center"/>
          </w:tcPr>
          <w:p w14:paraId="1F6A8398">
            <w:pPr>
              <w:widowControl/>
              <w:jc w:val="left"/>
              <w:textAlignment w:val="center"/>
              <w:rPr>
                <w:rFonts w:ascii="微软雅黑" w:hAnsi="微软雅黑" w:eastAsia="微软雅黑" w:cs="微软雅黑"/>
                <w:i/>
                <w:iCs/>
                <w:color w:val="000000"/>
                <w:szCs w:val="21"/>
              </w:rPr>
            </w:pPr>
          </w:p>
        </w:tc>
        <w:tc>
          <w:tcPr>
            <w:tcW w:w="830" w:type="pct"/>
            <w:vAlign w:val="center"/>
          </w:tcPr>
          <w:p w14:paraId="0804E637">
            <w:pPr>
              <w:widowControl/>
              <w:jc w:val="left"/>
              <w:textAlignment w:val="center"/>
              <w:rPr>
                <w:rFonts w:ascii="微软雅黑" w:hAnsi="微软雅黑" w:eastAsia="微软雅黑" w:cs="微软雅黑"/>
                <w:i/>
                <w:iCs/>
                <w:color w:val="000000"/>
                <w:szCs w:val="21"/>
              </w:rPr>
            </w:pPr>
          </w:p>
        </w:tc>
        <w:tc>
          <w:tcPr>
            <w:tcW w:w="830" w:type="pct"/>
            <w:shd w:val="clear" w:color="auto" w:fill="auto"/>
            <w:noWrap/>
            <w:vAlign w:val="center"/>
          </w:tcPr>
          <w:p w14:paraId="6F981F5D">
            <w:pPr>
              <w:widowControl/>
              <w:jc w:val="left"/>
              <w:textAlignment w:val="center"/>
              <w:rPr>
                <w:rFonts w:ascii="微软雅黑" w:hAnsi="微软雅黑" w:eastAsia="微软雅黑" w:cs="微软雅黑"/>
                <w:i/>
                <w:iCs/>
                <w:color w:val="000000"/>
                <w:szCs w:val="21"/>
              </w:rPr>
            </w:pPr>
          </w:p>
        </w:tc>
        <w:tc>
          <w:tcPr>
            <w:tcW w:w="1319" w:type="pct"/>
            <w:shd w:val="clear" w:color="auto" w:fill="auto"/>
            <w:noWrap/>
            <w:vAlign w:val="center"/>
          </w:tcPr>
          <w:p w14:paraId="34854B6A">
            <w:pPr>
              <w:widowControl/>
              <w:jc w:val="left"/>
              <w:textAlignment w:val="center"/>
              <w:rPr>
                <w:rFonts w:ascii="微软雅黑" w:hAnsi="微软雅黑" w:eastAsia="微软雅黑" w:cs="微软雅黑"/>
                <w:i/>
                <w:iCs/>
                <w:color w:val="000000"/>
                <w:szCs w:val="21"/>
              </w:rPr>
            </w:pPr>
          </w:p>
        </w:tc>
        <w:tc>
          <w:tcPr>
            <w:tcW w:w="645" w:type="pct"/>
            <w:shd w:val="clear" w:color="auto" w:fill="auto"/>
            <w:noWrap/>
            <w:vAlign w:val="center"/>
          </w:tcPr>
          <w:p w14:paraId="2D4D28EE">
            <w:pPr>
              <w:widowControl/>
              <w:jc w:val="left"/>
              <w:textAlignment w:val="center"/>
              <w:rPr>
                <w:rFonts w:ascii="微软雅黑" w:hAnsi="微软雅黑" w:eastAsia="微软雅黑" w:cs="微软雅黑"/>
                <w:i/>
                <w:iCs/>
                <w:color w:val="000000"/>
                <w:szCs w:val="21"/>
              </w:rPr>
            </w:pPr>
          </w:p>
        </w:tc>
      </w:tr>
    </w:tbl>
    <w:p w14:paraId="50318B21">
      <w:pPr>
        <w:keepNext/>
        <w:keepLines/>
        <w:widowControl w:val="0"/>
        <w:spacing w:before="260" w:after="260" w:line="413" w:lineRule="auto"/>
        <w:jc w:val="left"/>
        <w:outlineLvl w:val="2"/>
        <w:rPr>
          <w:rFonts w:ascii="微软雅黑" w:hAnsi="微软雅黑" w:eastAsia="微软雅黑" w:cs="Times New Roman"/>
          <w:sz w:val="24"/>
          <w:szCs w:val="22"/>
        </w:rPr>
      </w:pPr>
      <w:bookmarkStart w:id="1250" w:name="_Toc12137"/>
      <w:bookmarkStart w:id="1251" w:name="_Toc7"/>
      <w:bookmarkStart w:id="1252" w:name="_Toc13385"/>
      <w:bookmarkStart w:id="1253" w:name="_Toc1706"/>
      <w:bookmarkStart w:id="1254" w:name="_Toc15329"/>
      <w:bookmarkStart w:id="1255" w:name="_Toc7528"/>
      <w:r>
        <w:rPr>
          <w:rFonts w:hint="eastAsia" w:ascii="等线" w:hAnsi="等线" w:eastAsia="等线" w:cs="Times New Roman"/>
          <w:b/>
          <w:kern w:val="2"/>
          <w:sz w:val="24"/>
          <w:szCs w:val="24"/>
          <w:lang w:val="en-US" w:eastAsia="zh-CN" w:bidi="ar-SA"/>
        </w:rPr>
        <w:t>三、</w:t>
      </w:r>
      <w:r>
        <w:rPr>
          <w:rFonts w:ascii="等线" w:hAnsi="等线" w:eastAsia="等线" w:cs="Times New Roman"/>
          <w:b/>
          <w:kern w:val="2"/>
          <w:sz w:val="24"/>
          <w:szCs w:val="24"/>
          <w:lang w:val="en-US" w:eastAsia="zh-CN" w:bidi="ar-SA"/>
        </w:rPr>
        <w:t>合法获取</w:t>
      </w:r>
      <w:r>
        <w:rPr>
          <w:rFonts w:hint="eastAsia" w:ascii="等线" w:hAnsi="等线" w:eastAsia="等线" w:cs="Times New Roman"/>
          <w:b/>
          <w:kern w:val="2"/>
          <w:sz w:val="24"/>
          <w:szCs w:val="24"/>
          <w:lang w:val="en-US" w:eastAsia="zh-CN" w:bidi="ar-SA"/>
        </w:rPr>
        <w:t>开发工具、</w:t>
      </w:r>
      <w:r>
        <w:rPr>
          <w:rFonts w:ascii="等线" w:hAnsi="等线" w:eastAsia="等线" w:cs="Times New Roman"/>
          <w:b/>
          <w:kern w:val="2"/>
          <w:sz w:val="24"/>
          <w:szCs w:val="24"/>
          <w:lang w:val="en-US" w:eastAsia="zh-CN" w:bidi="ar-SA"/>
        </w:rPr>
        <w:t>开源软件、第三方软件使用权的证明</w:t>
      </w:r>
      <w:r>
        <w:rPr>
          <w:rFonts w:hint="eastAsia" w:ascii="等线" w:hAnsi="等线" w:eastAsia="等线" w:cs="Times New Roman"/>
          <w:b/>
          <w:kern w:val="2"/>
          <w:sz w:val="24"/>
          <w:szCs w:val="24"/>
          <w:lang w:val="en-US" w:eastAsia="zh-CN" w:bidi="ar-SA"/>
        </w:rPr>
        <w:t>材料</w:t>
      </w:r>
      <w:bookmarkEnd w:id="1250"/>
      <w:bookmarkEnd w:id="1251"/>
      <w:bookmarkEnd w:id="1252"/>
      <w:bookmarkEnd w:id="1253"/>
      <w:bookmarkEnd w:id="1254"/>
      <w:bookmarkEnd w:id="1255"/>
    </w:p>
    <w:p w14:paraId="27E70889">
      <w:pPr>
        <w:pStyle w:val="98"/>
      </w:pPr>
    </w:p>
    <w:p w14:paraId="402AD2DB">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sectPr>
          <w:pgSz w:w="11906" w:h="16838"/>
          <w:pgMar w:top="1440" w:right="1797" w:bottom="1440" w:left="1797" w:header="851" w:footer="992" w:gutter="0"/>
          <w:pgNumType w:fmt="decimal"/>
          <w:cols w:space="425" w:num="1"/>
          <w:docGrid w:type="lines" w:linePitch="312" w:charSpace="0"/>
        </w:sectPr>
      </w:pPr>
    </w:p>
    <w:tbl>
      <w:tblPr>
        <w:tblStyle w:val="85"/>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8"/>
        <w:gridCol w:w="2240"/>
        <w:gridCol w:w="2528"/>
        <w:gridCol w:w="2247"/>
        <w:gridCol w:w="2248"/>
        <w:gridCol w:w="1966"/>
        <w:gridCol w:w="2009"/>
      </w:tblGrid>
      <w:tr w14:paraId="63B99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gridSpan w:val="7"/>
            <w:tcBorders>
              <w:top w:val="nil"/>
              <w:left w:val="nil"/>
              <w:bottom w:val="nil"/>
              <w:right w:val="nil"/>
            </w:tcBorders>
            <w:shd w:val="clear" w:color="auto" w:fill="auto"/>
            <w:noWrap/>
            <w:vAlign w:val="center"/>
          </w:tcPr>
          <w:p w14:paraId="2929BA2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近三年行政处罚决定情况申报表</w:t>
            </w:r>
          </w:p>
        </w:tc>
      </w:tr>
      <w:tr w14:paraId="40146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53E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F1E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行政处罚具体项目名称/事件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5FA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处罚部门（机关）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C3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处罚决定书编号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F6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处理内容及结果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96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处罚生效日期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72FA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网络查询链接（如有）</w:t>
            </w:r>
          </w:p>
        </w:tc>
      </w:tr>
      <w:tr w14:paraId="7D47B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8D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338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6C44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82E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9E96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0D1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AA0B">
            <w:pPr>
              <w:jc w:val="center"/>
              <w:rPr>
                <w:rFonts w:hint="eastAsia" w:ascii="宋体" w:hAnsi="宋体" w:eastAsia="宋体" w:cs="宋体"/>
                <w:i w:val="0"/>
                <w:iCs w:val="0"/>
                <w:color w:val="000000"/>
                <w:sz w:val="22"/>
                <w:szCs w:val="22"/>
                <w:u w:val="none"/>
              </w:rPr>
            </w:pPr>
          </w:p>
        </w:tc>
      </w:tr>
      <w:tr w14:paraId="0D998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B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7F6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1680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C512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700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DDE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6D87">
            <w:pPr>
              <w:jc w:val="center"/>
              <w:rPr>
                <w:rFonts w:hint="eastAsia" w:ascii="宋体" w:hAnsi="宋体" w:eastAsia="宋体" w:cs="宋体"/>
                <w:i w:val="0"/>
                <w:iCs w:val="0"/>
                <w:color w:val="000000"/>
                <w:sz w:val="22"/>
                <w:szCs w:val="22"/>
                <w:u w:val="none"/>
              </w:rPr>
            </w:pPr>
          </w:p>
        </w:tc>
      </w:tr>
      <w:tr w14:paraId="48B6D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6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0DB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CF7D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DCE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C5B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9C9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6B68">
            <w:pPr>
              <w:jc w:val="center"/>
              <w:rPr>
                <w:rFonts w:hint="eastAsia" w:ascii="宋体" w:hAnsi="宋体" w:eastAsia="宋体" w:cs="宋体"/>
                <w:i w:val="0"/>
                <w:iCs w:val="0"/>
                <w:color w:val="000000"/>
                <w:sz w:val="22"/>
                <w:szCs w:val="22"/>
                <w:u w:val="none"/>
              </w:rPr>
            </w:pPr>
          </w:p>
        </w:tc>
      </w:tr>
      <w:tr w14:paraId="431A6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5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DCCA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AFA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CC7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1CA6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E43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5D3C">
            <w:pPr>
              <w:jc w:val="center"/>
              <w:rPr>
                <w:rFonts w:hint="eastAsia" w:ascii="宋体" w:hAnsi="宋体" w:eastAsia="宋体" w:cs="宋体"/>
                <w:i w:val="0"/>
                <w:iCs w:val="0"/>
                <w:color w:val="000000"/>
                <w:sz w:val="22"/>
                <w:szCs w:val="22"/>
                <w:u w:val="none"/>
              </w:rPr>
            </w:pPr>
          </w:p>
        </w:tc>
      </w:tr>
      <w:tr w14:paraId="0CA4B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0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D24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758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D569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146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D1BA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D5276">
            <w:pPr>
              <w:jc w:val="center"/>
              <w:rPr>
                <w:rFonts w:hint="eastAsia" w:ascii="宋体" w:hAnsi="宋体" w:eastAsia="宋体" w:cs="宋体"/>
                <w:i w:val="0"/>
                <w:iCs w:val="0"/>
                <w:color w:val="000000"/>
                <w:sz w:val="22"/>
                <w:szCs w:val="22"/>
                <w:u w:val="none"/>
              </w:rPr>
            </w:pPr>
          </w:p>
        </w:tc>
      </w:tr>
      <w:tr w14:paraId="5F1CC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0" w:type="auto"/>
            <w:gridSpan w:val="7"/>
            <w:tcBorders>
              <w:top w:val="nil"/>
              <w:left w:val="nil"/>
              <w:bottom w:val="nil"/>
              <w:right w:val="nil"/>
            </w:tcBorders>
            <w:shd w:val="clear" w:color="auto" w:fill="auto"/>
            <w:vAlign w:val="center"/>
          </w:tcPr>
          <w:p w14:paraId="55E964D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1、投标人须如实提供本申报表，如存在涉及骗取中标、违约、质量或者安全问题的行政处罚须提供有关资料（包括相关行业主管部门的行政处罚决定文件等，附于本表之后）；未如实填报上述行政处罚的将可能被否决投标。</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 xml:space="preserve">    2、如投标人无行政处罚的，则应在表格中第一行“行政处罚具体项目名称/事件”列填写“不涉及”。</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 xml:space="preserve">    3、行政处罚是否涉及不得存在的情形及评审内容由评审委员会判定。</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 xml:space="preserve">    4、近三年指投标截止时间前36个月。</w:t>
            </w:r>
          </w:p>
        </w:tc>
      </w:tr>
    </w:tbl>
    <w:p w14:paraId="089814ED">
      <w:pPr>
        <w:rPr>
          <w:rFonts w:asciiTheme="minorEastAsia" w:hAnsiTheme="minorEastAsia" w:eastAsiaTheme="minorEastAsia"/>
          <w:highlight w:val="none"/>
        </w:rPr>
      </w:pPr>
    </w:p>
    <w:p w14:paraId="55AEDCB4">
      <w:pPr>
        <w:ind w:left="424" w:hanging="424" w:hangingChars="202"/>
        <w:rPr>
          <w:rFonts w:asciiTheme="minorEastAsia" w:hAnsiTheme="minorEastAsia" w:eastAsiaTheme="minorEastAsia"/>
          <w:highlight w:val="none"/>
        </w:rPr>
        <w:sectPr>
          <w:pgSz w:w="16838" w:h="11906" w:orient="landscape"/>
          <w:pgMar w:top="1797" w:right="1440" w:bottom="1797" w:left="1440" w:header="851" w:footer="992" w:gutter="0"/>
          <w:pgNumType w:fmt="decimal"/>
          <w:cols w:space="0" w:num="1"/>
          <w:rtlGutter w:val="0"/>
          <w:docGrid w:type="lines" w:linePitch="319" w:charSpace="0"/>
        </w:sectPr>
      </w:pPr>
    </w:p>
    <w:bookmarkEnd w:id="1137"/>
    <w:p w14:paraId="3B9FA880">
      <w:pPr>
        <w:pStyle w:val="81"/>
        <w:tabs>
          <w:tab w:val="left" w:pos="588"/>
        </w:tabs>
        <w:snapToGrid w:val="0"/>
        <w:spacing w:before="120" w:after="120" w:line="440" w:lineRule="exact"/>
        <w:jc w:val="left"/>
        <w:rPr>
          <w:rFonts w:asciiTheme="minorEastAsia" w:hAnsiTheme="minorEastAsia" w:eastAsiaTheme="minorEastAsia"/>
          <w:sz w:val="24"/>
          <w:szCs w:val="24"/>
          <w:highlight w:val="none"/>
        </w:rPr>
      </w:pPr>
      <w:bookmarkStart w:id="1256" w:name="_Toc20178"/>
      <w:bookmarkStart w:id="1257" w:name="_Toc16170"/>
      <w:bookmarkStart w:id="1258" w:name="_Toc17692"/>
      <w:bookmarkStart w:id="1259" w:name="_Toc1340"/>
      <w:bookmarkStart w:id="1260" w:name="_Toc30206"/>
      <w:bookmarkStart w:id="1261" w:name="_Toc30593"/>
      <w:bookmarkStart w:id="1262" w:name="_Toc8184"/>
      <w:bookmarkStart w:id="1263" w:name="_Toc38008103"/>
      <w:bookmarkStart w:id="1264" w:name="_Toc31648"/>
      <w:bookmarkStart w:id="1265" w:name="_Toc26541"/>
      <w:bookmarkStart w:id="1266" w:name="_Toc28966"/>
      <w:bookmarkStart w:id="1267" w:name="_Toc27798"/>
      <w:bookmarkStart w:id="1268" w:name="_Toc475472693"/>
      <w:bookmarkStart w:id="1269" w:name="_Hlk167300106"/>
      <w:bookmarkStart w:id="1270" w:name="OLE_LINK12"/>
      <w:r>
        <w:rPr>
          <w:rFonts w:hint="eastAsia" w:asciiTheme="minorEastAsia" w:hAnsiTheme="minorEastAsia" w:eastAsiaTheme="minorEastAsia"/>
          <w:sz w:val="24"/>
          <w:szCs w:val="24"/>
          <w:highlight w:val="none"/>
        </w:rPr>
        <w:t>第三分册 报价文件</w:t>
      </w:r>
      <w:bookmarkEnd w:id="1256"/>
      <w:bookmarkEnd w:id="1257"/>
      <w:bookmarkEnd w:id="1258"/>
      <w:bookmarkEnd w:id="1259"/>
      <w:bookmarkEnd w:id="1260"/>
      <w:bookmarkEnd w:id="1261"/>
      <w:bookmarkEnd w:id="1262"/>
      <w:bookmarkEnd w:id="1263"/>
      <w:bookmarkEnd w:id="1264"/>
      <w:bookmarkEnd w:id="1265"/>
      <w:bookmarkEnd w:id="1266"/>
      <w:bookmarkEnd w:id="1267"/>
    </w:p>
    <w:p w14:paraId="01A5BABC">
      <w:pPr>
        <w:pStyle w:val="81"/>
        <w:numPr>
          <w:ilvl w:val="0"/>
          <w:numId w:val="0"/>
        </w:numPr>
        <w:tabs>
          <w:tab w:val="left" w:pos="588"/>
        </w:tabs>
        <w:snapToGrid w:val="0"/>
        <w:spacing w:before="120" w:after="120" w:line="440" w:lineRule="exact"/>
        <w:ind w:left="635" w:leftChars="0" w:hanging="425" w:firstLineChars="0"/>
        <w:jc w:val="left"/>
        <w:rPr>
          <w:rFonts w:hint="eastAsia" w:cs="Times New Roman" w:asciiTheme="minorEastAsia" w:hAnsiTheme="minorEastAsia" w:eastAsiaTheme="minorEastAsia"/>
          <w:sz w:val="24"/>
          <w:szCs w:val="24"/>
        </w:rPr>
      </w:pPr>
      <w:bookmarkStart w:id="1271" w:name="_Toc25936"/>
      <w:bookmarkStart w:id="1272" w:name="_Toc30523"/>
      <w:bookmarkStart w:id="1273" w:name="_Toc20474"/>
      <w:bookmarkStart w:id="1274" w:name="_Toc20116"/>
      <w:bookmarkStart w:id="1275" w:name="_Toc25306"/>
      <w:bookmarkStart w:id="1276" w:name="_Toc17894"/>
      <w:bookmarkStart w:id="1277" w:name="_Toc31323"/>
      <w:bookmarkStart w:id="1278" w:name="_Toc9869"/>
      <w:bookmarkStart w:id="1279" w:name="_Toc8425"/>
      <w:bookmarkStart w:id="1280" w:name="_Toc19069"/>
      <w:bookmarkStart w:id="1281" w:name="_Toc693"/>
      <w:bookmarkStart w:id="1282" w:name="_Toc38008104"/>
      <w:r>
        <w:rPr>
          <w:rFonts w:hint="eastAsia" w:cs="Times New Roman" w:asciiTheme="minorEastAsia" w:hAnsiTheme="minorEastAsia" w:eastAsiaTheme="minorEastAsia"/>
          <w:b/>
          <w:bCs/>
          <w:kern w:val="2"/>
          <w:sz w:val="24"/>
          <w:szCs w:val="24"/>
          <w:lang w:val="en-US" w:eastAsia="zh-CN" w:bidi="ar-SA"/>
        </w:rPr>
        <w:t>35.</w:t>
      </w:r>
      <w:r>
        <w:rPr>
          <w:rFonts w:hint="eastAsia" w:cs="Times New Roman" w:asciiTheme="minorEastAsia" w:hAnsiTheme="minorEastAsia" w:eastAsiaTheme="minorEastAsia"/>
          <w:sz w:val="24"/>
          <w:szCs w:val="24"/>
        </w:rPr>
        <w:t>报价文件封面</w:t>
      </w:r>
      <w:bookmarkEnd w:id="1268"/>
      <w:bookmarkEnd w:id="1271"/>
      <w:bookmarkEnd w:id="1272"/>
      <w:bookmarkEnd w:id="1273"/>
      <w:bookmarkEnd w:id="1274"/>
      <w:bookmarkEnd w:id="1275"/>
      <w:bookmarkEnd w:id="1276"/>
      <w:bookmarkEnd w:id="1277"/>
      <w:bookmarkEnd w:id="1278"/>
      <w:bookmarkEnd w:id="1279"/>
      <w:bookmarkEnd w:id="1280"/>
      <w:bookmarkEnd w:id="1281"/>
      <w:bookmarkEnd w:id="1282"/>
    </w:p>
    <w:bookmarkEnd w:id="1269"/>
    <w:p w14:paraId="23279482">
      <w:pPr>
        <w:spacing w:after="120" w:line="360" w:lineRule="atLeast"/>
        <w:jc w:val="center"/>
        <w:rPr>
          <w:rFonts w:cs="宋体" w:asciiTheme="minorEastAsia" w:hAnsiTheme="minorEastAsia" w:eastAsiaTheme="minorEastAsia"/>
          <w:sz w:val="32"/>
          <w:szCs w:val="32"/>
          <w:highlight w:val="none"/>
          <w:u w:val="single"/>
        </w:rPr>
      </w:pPr>
    </w:p>
    <w:p w14:paraId="0C18709F">
      <w:pPr>
        <w:spacing w:after="120" w:line="360" w:lineRule="atLeast"/>
        <w:jc w:val="center"/>
        <w:rPr>
          <w:rFonts w:cs="宋体" w:asciiTheme="minorEastAsia" w:hAnsiTheme="minorEastAsia" w:eastAsiaTheme="minorEastAsia"/>
          <w:b/>
          <w:sz w:val="36"/>
          <w:szCs w:val="36"/>
          <w:highlight w:val="none"/>
        </w:rPr>
      </w:pPr>
    </w:p>
    <w:p w14:paraId="7449883D">
      <w:pPr>
        <w:jc w:val="center"/>
        <w:rPr>
          <w:rFonts w:hint="default" w:cs="Times New Roman" w:asciiTheme="minorEastAsia" w:hAnsiTheme="minorEastAsia" w:eastAsiaTheme="minorEastAsia"/>
          <w:b/>
          <w:bCs/>
          <w:kern w:val="2"/>
          <w:sz w:val="24"/>
          <w:szCs w:val="24"/>
          <w:lang w:val="en-US" w:eastAsia="zh-CN" w:bidi="ar-SA"/>
        </w:rPr>
      </w:pPr>
      <w:r>
        <w:rPr>
          <w:rFonts w:hint="eastAsia" w:cs="Times New Roman" w:asciiTheme="minorEastAsia" w:hAnsiTheme="minorEastAsia" w:eastAsiaTheme="minorEastAsia"/>
          <w:b/>
          <w:bCs/>
          <w:kern w:val="2"/>
          <w:sz w:val="24"/>
          <w:szCs w:val="24"/>
          <w:lang w:val="en-US" w:eastAsia="zh-CN" w:bidi="ar-SA"/>
        </w:rPr>
        <w:t>（项目名称）</w:t>
      </w:r>
    </w:p>
    <w:p w14:paraId="15D73FB4">
      <w:pPr>
        <w:spacing w:after="120"/>
        <w:jc w:val="center"/>
        <w:rPr>
          <w:rFonts w:hint="eastAsia" w:cs="宋体" w:asciiTheme="minorEastAsia" w:hAnsiTheme="minorEastAsia" w:eastAsiaTheme="minorEastAsia"/>
          <w:b/>
          <w:sz w:val="36"/>
          <w:szCs w:val="36"/>
          <w:highlight w:val="none"/>
        </w:rPr>
      </w:pPr>
    </w:p>
    <w:p w14:paraId="17EFA705">
      <w:pPr>
        <w:spacing w:after="120"/>
        <w:jc w:val="center"/>
        <w:rPr>
          <w:rFonts w:cs="宋体" w:asciiTheme="minorEastAsia" w:hAnsiTheme="minorEastAsia" w:eastAsiaTheme="minorEastAsia"/>
          <w:b/>
          <w:sz w:val="36"/>
          <w:szCs w:val="36"/>
          <w:highlight w:val="none"/>
        </w:rPr>
      </w:pPr>
      <w:r>
        <w:rPr>
          <w:rFonts w:hint="eastAsia" w:cs="宋体" w:asciiTheme="minorEastAsia" w:hAnsiTheme="minorEastAsia" w:eastAsiaTheme="minorEastAsia"/>
          <w:b/>
          <w:sz w:val="36"/>
          <w:szCs w:val="36"/>
          <w:highlight w:val="none"/>
        </w:rPr>
        <w:t>投标文件【报价文件】部分</w:t>
      </w:r>
    </w:p>
    <w:p w14:paraId="580D5F83">
      <w:pPr>
        <w:spacing w:after="120"/>
        <w:jc w:val="center"/>
        <w:rPr>
          <w:rFonts w:cs="宋体" w:asciiTheme="minorEastAsia" w:hAnsiTheme="minorEastAsia" w:eastAsiaTheme="minorEastAsia"/>
          <w:b/>
          <w:sz w:val="32"/>
          <w:szCs w:val="32"/>
          <w:highlight w:val="none"/>
        </w:rPr>
      </w:pPr>
    </w:p>
    <w:p w14:paraId="10730E64">
      <w:pPr>
        <w:spacing w:after="120"/>
        <w:jc w:val="center"/>
        <w:rPr>
          <w:rFonts w:cs="宋体" w:asciiTheme="minorEastAsia" w:hAnsiTheme="minorEastAsia" w:eastAsiaTheme="minorEastAsia"/>
          <w:b/>
          <w:sz w:val="32"/>
          <w:szCs w:val="32"/>
          <w:highlight w:val="none"/>
        </w:rPr>
      </w:pPr>
    </w:p>
    <w:p w14:paraId="702DC9E7">
      <w:pPr>
        <w:spacing w:after="120"/>
        <w:jc w:val="center"/>
        <w:rPr>
          <w:rFonts w:cs="宋体" w:asciiTheme="minorEastAsia" w:hAnsiTheme="minorEastAsia" w:eastAsiaTheme="minorEastAsia"/>
          <w:b/>
          <w:sz w:val="32"/>
          <w:szCs w:val="32"/>
          <w:highlight w:val="none"/>
        </w:rPr>
      </w:pPr>
    </w:p>
    <w:p w14:paraId="7AB3C7A2">
      <w:pPr>
        <w:spacing w:after="120"/>
        <w:jc w:val="center"/>
        <w:rPr>
          <w:rFonts w:cs="宋体" w:asciiTheme="minorEastAsia" w:hAnsiTheme="minorEastAsia" w:eastAsiaTheme="minorEastAsia"/>
          <w:b/>
          <w:sz w:val="32"/>
          <w:szCs w:val="32"/>
          <w:highlight w:val="none"/>
        </w:rPr>
      </w:pPr>
    </w:p>
    <w:p w14:paraId="42890A46">
      <w:pPr>
        <w:spacing w:after="120"/>
        <w:jc w:val="center"/>
        <w:rPr>
          <w:rFonts w:cs="宋体" w:asciiTheme="minorEastAsia" w:hAnsiTheme="minorEastAsia" w:eastAsiaTheme="minorEastAsia"/>
          <w:b/>
          <w:sz w:val="32"/>
          <w:szCs w:val="32"/>
          <w:highlight w:val="none"/>
        </w:rPr>
      </w:pPr>
    </w:p>
    <w:p w14:paraId="413C94C8">
      <w:pPr>
        <w:spacing w:after="120"/>
        <w:jc w:val="center"/>
        <w:rPr>
          <w:rFonts w:cs="宋体" w:asciiTheme="minorEastAsia" w:hAnsiTheme="minorEastAsia" w:eastAsiaTheme="minorEastAsia"/>
          <w:b/>
          <w:sz w:val="32"/>
          <w:szCs w:val="32"/>
          <w:highlight w:val="none"/>
        </w:rPr>
      </w:pPr>
    </w:p>
    <w:p w14:paraId="59FDCF84">
      <w:pPr>
        <w:spacing w:line="440" w:lineRule="exact"/>
        <w:ind w:firstLine="1456" w:firstLineChars="607"/>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rPr>
        <w:t>投标人名称：</w:t>
      </w:r>
      <w:r>
        <w:rPr>
          <w:rFonts w:hint="eastAsia" w:asciiTheme="minorEastAsia" w:hAnsiTheme="minorEastAsia" w:eastAsiaTheme="minorEastAsia"/>
          <w:sz w:val="24"/>
          <w:szCs w:val="21"/>
          <w:highlight w:val="none"/>
          <w:u w:val="single"/>
        </w:rPr>
        <w:t xml:space="preserve">　　　　　　　　            </w:t>
      </w:r>
    </w:p>
    <w:p w14:paraId="5A85A8FA">
      <w:pPr>
        <w:spacing w:line="440" w:lineRule="exact"/>
        <w:ind w:firstLine="1456" w:firstLineChars="607"/>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日期：</w:t>
      </w:r>
      <w:r>
        <w:rPr>
          <w:rFonts w:cs="宋体" w:asciiTheme="minorEastAsia" w:hAnsiTheme="minorEastAsia" w:eastAsiaTheme="minorEastAsia"/>
          <w:sz w:val="24"/>
          <w:highlight w:val="none"/>
          <w:u w:val="single"/>
        </w:rPr>
        <w:t xml:space="preserve">_    </w:t>
      </w:r>
      <w:r>
        <w:rPr>
          <w:rFonts w:hint="eastAsia" w:cs="宋体" w:asciiTheme="minorEastAsia" w:hAnsiTheme="minorEastAsia" w:eastAsiaTheme="minorEastAsia"/>
          <w:sz w:val="24"/>
          <w:highlight w:val="none"/>
          <w:u w:val="single"/>
        </w:rPr>
        <w:t xml:space="preserve"> </w:t>
      </w:r>
      <w:r>
        <w:rPr>
          <w:rFonts w:cs="宋体" w:asciiTheme="minorEastAsia" w:hAnsiTheme="minorEastAsia" w:eastAsiaTheme="minorEastAsia"/>
          <w:sz w:val="24"/>
          <w:highlight w:val="none"/>
          <w:u w:val="single"/>
        </w:rPr>
        <w:t xml:space="preserve">__ </w:t>
      </w:r>
      <w:r>
        <w:rPr>
          <w:rFonts w:hint="eastAsia" w:cs="宋体" w:asciiTheme="minorEastAsia" w:hAnsiTheme="minorEastAsia" w:eastAsiaTheme="minorEastAsia"/>
          <w:sz w:val="24"/>
          <w:highlight w:val="none"/>
        </w:rPr>
        <w:t>年</w:t>
      </w:r>
      <w:r>
        <w:rPr>
          <w:rFonts w:cs="宋体" w:asciiTheme="minorEastAsia" w:hAnsiTheme="minorEastAsia" w:eastAsiaTheme="minorEastAsia"/>
          <w:sz w:val="24"/>
          <w:highlight w:val="none"/>
          <w:u w:val="single"/>
        </w:rPr>
        <w:t>_</w:t>
      </w:r>
      <w:r>
        <w:rPr>
          <w:rFonts w:hint="eastAsia" w:cs="宋体" w:asciiTheme="minorEastAsia" w:hAnsiTheme="minorEastAsia" w:eastAsiaTheme="minorEastAsia"/>
          <w:sz w:val="24"/>
          <w:highlight w:val="none"/>
          <w:u w:val="single"/>
        </w:rPr>
        <w:t xml:space="preserve"> </w:t>
      </w:r>
      <w:r>
        <w:rPr>
          <w:rFonts w:cs="宋体" w:asciiTheme="minorEastAsia" w:hAnsiTheme="minorEastAsia" w:eastAsiaTheme="minorEastAsia"/>
          <w:sz w:val="24"/>
          <w:highlight w:val="none"/>
          <w:u w:val="single"/>
        </w:rPr>
        <w:t xml:space="preserve">    __</w:t>
      </w:r>
      <w:r>
        <w:rPr>
          <w:rFonts w:hint="eastAsia" w:cs="宋体" w:asciiTheme="minorEastAsia" w:hAnsiTheme="minorEastAsia" w:eastAsiaTheme="minorEastAsia"/>
          <w:sz w:val="24"/>
          <w:highlight w:val="none"/>
        </w:rPr>
        <w:t>月</w:t>
      </w:r>
      <w:r>
        <w:rPr>
          <w:rFonts w:cs="宋体" w:asciiTheme="minorEastAsia" w:hAnsiTheme="minorEastAsia" w:eastAsiaTheme="minorEastAsia"/>
          <w:sz w:val="24"/>
          <w:highlight w:val="none"/>
          <w:u w:val="single"/>
        </w:rPr>
        <w:t>_    _</w:t>
      </w:r>
      <w:r>
        <w:rPr>
          <w:rFonts w:hint="eastAsia" w:cs="宋体" w:asciiTheme="minorEastAsia" w:hAnsiTheme="minorEastAsia" w:eastAsiaTheme="minorEastAsia"/>
          <w:sz w:val="24"/>
          <w:highlight w:val="none"/>
          <w:u w:val="single"/>
        </w:rPr>
        <w:t xml:space="preserve"> </w:t>
      </w:r>
      <w:r>
        <w:rPr>
          <w:rFonts w:cs="宋体" w:asciiTheme="minorEastAsia" w:hAnsiTheme="minorEastAsia" w:eastAsiaTheme="minorEastAsia"/>
          <w:sz w:val="24"/>
          <w:highlight w:val="none"/>
          <w:u w:val="single"/>
        </w:rPr>
        <w:t>_</w:t>
      </w:r>
      <w:r>
        <w:rPr>
          <w:rFonts w:hint="eastAsia" w:cs="宋体" w:asciiTheme="minorEastAsia" w:hAnsiTheme="minorEastAsia" w:eastAsiaTheme="minorEastAsia"/>
          <w:sz w:val="24"/>
          <w:highlight w:val="none"/>
        </w:rPr>
        <w:t>日</w:t>
      </w:r>
    </w:p>
    <w:p w14:paraId="7BFC8A68">
      <w:pPr>
        <w:spacing w:line="440" w:lineRule="exact"/>
        <w:ind w:firstLine="1274" w:firstLineChars="607"/>
        <w:jc w:val="left"/>
        <w:rPr>
          <w:rFonts w:asciiTheme="minorEastAsia" w:hAnsiTheme="minorEastAsia" w:eastAsiaTheme="minorEastAsia"/>
          <w:szCs w:val="21"/>
          <w:highlight w:val="none"/>
        </w:rPr>
      </w:pPr>
    </w:p>
    <w:p w14:paraId="4D56163F">
      <w:pPr>
        <w:topLinePunct/>
        <w:spacing w:line="440" w:lineRule="exact"/>
        <w:jc w:val="left"/>
        <w:rPr>
          <w:rFonts w:hint="eastAsia" w:asciiTheme="minorEastAsia" w:hAnsiTheme="minorEastAsia" w:eastAsiaTheme="minorEastAsia"/>
          <w:b/>
          <w:highlight w:val="none"/>
          <w:lang w:eastAsia="zh-CN"/>
        </w:rPr>
      </w:pPr>
      <w:r>
        <w:rPr>
          <w:rFonts w:hint="eastAsia" w:asciiTheme="minorEastAsia" w:hAnsiTheme="minorEastAsia" w:eastAsiaTheme="minorEastAsia"/>
          <w:b/>
          <w:highlight w:val="none"/>
          <w:lang w:eastAsia="zh-CN"/>
        </w:rPr>
        <w:t>编制要求：投标人可以根据实际情况对本文件进行调整和修改，但应满足集中招标文件对本文件的要求。</w:t>
      </w:r>
    </w:p>
    <w:p w14:paraId="178D2B3B">
      <w:pPr>
        <w:topLinePunct/>
        <w:spacing w:line="440" w:lineRule="exact"/>
        <w:jc w:val="left"/>
        <w:rPr>
          <w:rFonts w:hint="eastAsia" w:asciiTheme="minorEastAsia" w:hAnsiTheme="minorEastAsia" w:eastAsiaTheme="minorEastAsia"/>
          <w:b/>
          <w:highlight w:val="none"/>
          <w:lang w:eastAsia="zh-CN"/>
        </w:rPr>
        <w:sectPr>
          <w:pgSz w:w="11906" w:h="16838"/>
          <w:pgMar w:top="1440" w:right="1797" w:bottom="1440" w:left="1797" w:header="851" w:footer="992" w:gutter="0"/>
          <w:pgNumType w:fmt="decimal"/>
          <w:cols w:space="425" w:num="1"/>
          <w:docGrid w:type="lines" w:linePitch="312" w:charSpace="0"/>
        </w:sectPr>
      </w:pPr>
    </w:p>
    <w:p w14:paraId="71BAFB7F">
      <w:pPr>
        <w:pStyle w:val="81"/>
        <w:numPr>
          <w:ilvl w:val="0"/>
          <w:numId w:val="0"/>
        </w:numPr>
        <w:tabs>
          <w:tab w:val="left" w:pos="588"/>
        </w:tabs>
        <w:snapToGrid w:val="0"/>
        <w:spacing w:before="120" w:after="120" w:line="440" w:lineRule="exact"/>
        <w:ind w:left="635" w:leftChars="0" w:hanging="425" w:firstLineChars="0"/>
        <w:jc w:val="left"/>
        <w:rPr>
          <w:rFonts w:hint="eastAsia" w:cs="Times New Roman" w:asciiTheme="minorEastAsia" w:hAnsiTheme="minorEastAsia" w:eastAsiaTheme="minorEastAsia"/>
          <w:sz w:val="24"/>
          <w:szCs w:val="24"/>
        </w:rPr>
      </w:pPr>
      <w:bookmarkStart w:id="1283" w:name="_Toc2309"/>
      <w:bookmarkStart w:id="1284" w:name="_Toc19848"/>
      <w:bookmarkStart w:id="1285" w:name="_Toc2257"/>
      <w:bookmarkStart w:id="1286" w:name="_Toc447265349"/>
      <w:bookmarkStart w:id="1287" w:name="_Toc7537"/>
      <w:bookmarkStart w:id="1288" w:name="_Toc447265635"/>
      <w:bookmarkStart w:id="1289" w:name="_Toc38008105"/>
      <w:bookmarkStart w:id="1290" w:name="_Toc475472694"/>
      <w:bookmarkStart w:id="1291" w:name="_Toc19258"/>
      <w:bookmarkStart w:id="1292" w:name="_Toc6737"/>
      <w:bookmarkStart w:id="1293" w:name="_Toc20848"/>
      <w:bookmarkStart w:id="1294" w:name="_Toc15312"/>
      <w:bookmarkStart w:id="1295" w:name="_Toc22756"/>
      <w:bookmarkStart w:id="1296" w:name="_Toc23997"/>
      <w:bookmarkStart w:id="1297" w:name="_Toc27793"/>
      <w:bookmarkStart w:id="1298" w:name="_Hlk167300112"/>
      <w:r>
        <w:rPr>
          <w:rFonts w:hint="eastAsia" w:cs="Times New Roman" w:asciiTheme="minorEastAsia" w:hAnsiTheme="minorEastAsia" w:eastAsiaTheme="minorEastAsia"/>
          <w:b/>
          <w:bCs/>
          <w:kern w:val="2"/>
          <w:sz w:val="24"/>
          <w:szCs w:val="24"/>
          <w:lang w:val="en-US" w:eastAsia="zh-CN" w:bidi="ar-SA"/>
        </w:rPr>
        <w:t>36.</w:t>
      </w:r>
      <w:r>
        <w:rPr>
          <w:rFonts w:hint="eastAsia" w:cs="Times New Roman" w:asciiTheme="minorEastAsia" w:hAnsiTheme="minorEastAsia" w:eastAsiaTheme="minorEastAsia"/>
          <w:sz w:val="24"/>
          <w:szCs w:val="24"/>
        </w:rPr>
        <w:t>投标一览表</w:t>
      </w:r>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p>
    <w:bookmarkEnd w:id="1298"/>
    <w:p w14:paraId="0FAB44CC">
      <w:pPr>
        <w:jc w:val="center"/>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投标一览表</w:t>
      </w:r>
    </w:p>
    <w:p w14:paraId="5F329C56">
      <w:pPr>
        <w:snapToGrid w:val="0"/>
        <w:spacing w:line="44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项目</w:t>
      </w:r>
      <w:r>
        <w:rPr>
          <w:rFonts w:cs="宋体" w:asciiTheme="minorEastAsia" w:hAnsiTheme="minorEastAsia" w:eastAsiaTheme="minorEastAsia"/>
          <w:szCs w:val="21"/>
          <w:highlight w:val="none"/>
        </w:rPr>
        <w:t xml:space="preserve">名称：  </w:t>
      </w:r>
      <w:r>
        <w:rPr>
          <w:rFonts w:hint="eastAsia" w:cs="宋体" w:asciiTheme="minorEastAsia" w:hAnsiTheme="minorEastAsia" w:eastAsiaTheme="minorEastAsia"/>
          <w:szCs w:val="21"/>
          <w:highlight w:val="none"/>
        </w:rPr>
        <w:t xml:space="preserve">                 </w:t>
      </w:r>
      <w:r>
        <w:rPr>
          <w:rFonts w:cs="宋体" w:asciiTheme="minorEastAsia" w:hAnsiTheme="minorEastAsia" w:eastAsiaTheme="minorEastAsia"/>
          <w:szCs w:val="21"/>
          <w:highlight w:val="none"/>
        </w:rPr>
        <w:t>招标编号：</w:t>
      </w:r>
      <w:r>
        <w:rPr>
          <w:rFonts w:hint="eastAsia" w:cs="宋体" w:asciiTheme="minorEastAsia" w:hAnsiTheme="minorEastAsia" w:eastAsiaTheme="minorEastAsia"/>
          <w:szCs w:val="21"/>
          <w:highlight w:val="none"/>
        </w:rPr>
        <w:t xml:space="preserve">             </w:t>
      </w:r>
      <w:r>
        <w:rPr>
          <w:rFonts w:cs="宋体" w:asciiTheme="minorEastAsia" w:hAnsiTheme="minorEastAsia" w:eastAsiaTheme="minorEastAsia"/>
          <w:szCs w:val="21"/>
          <w:highlight w:val="none"/>
        </w:rPr>
        <w:t xml:space="preserve"> </w:t>
      </w:r>
      <w:r>
        <w:rPr>
          <w:rFonts w:hint="eastAsia" w:cs="宋体" w:asciiTheme="minorEastAsia" w:hAnsiTheme="minorEastAsia" w:eastAsiaTheme="minorEastAsia"/>
          <w:szCs w:val="21"/>
          <w:highlight w:val="none"/>
        </w:rPr>
        <w:t>货币单位：元人民币</w:t>
      </w:r>
    </w:p>
    <w:tbl>
      <w:tblPr>
        <w:tblStyle w:val="85"/>
        <w:tblW w:w="1399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9"/>
        <w:gridCol w:w="3564"/>
        <w:gridCol w:w="3212"/>
        <w:gridCol w:w="2100"/>
        <w:gridCol w:w="3268"/>
        <w:gridCol w:w="1213"/>
      </w:tblGrid>
      <w:tr w14:paraId="1DA80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C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04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42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不含税总价报价</w:t>
            </w:r>
            <w:r>
              <w:rPr>
                <w:rFonts w:hint="eastAsia" w:ascii="宋体" w:hAnsi="宋体" w:cs="宋体"/>
                <w:i w:val="0"/>
                <w:iCs w:val="0"/>
                <w:color w:val="000000"/>
                <w:kern w:val="0"/>
                <w:sz w:val="20"/>
                <w:szCs w:val="20"/>
                <w:u w:val="none"/>
                <w:lang w:val="en-US" w:eastAsia="zh-CN" w:bidi="ar"/>
              </w:rPr>
              <w:t>合计</w:t>
            </w:r>
            <w:r>
              <w:rPr>
                <w:rFonts w:hint="eastAsia" w:ascii="宋体" w:hAnsi="宋体" w:eastAsia="宋体" w:cs="宋体"/>
                <w:i w:val="0"/>
                <w:iCs w:val="0"/>
                <w:color w:val="000000"/>
                <w:kern w:val="0"/>
                <w:sz w:val="20"/>
                <w:szCs w:val="20"/>
                <w:u w:val="none"/>
                <w:lang w:val="en-US" w:eastAsia="zh-CN" w:bidi="ar"/>
              </w:rPr>
              <w:t>（元）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5D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税率</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ECF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含税总价报价</w:t>
            </w:r>
            <w:r>
              <w:rPr>
                <w:rFonts w:hint="eastAsia" w:ascii="宋体" w:hAnsi="宋体" w:cs="宋体"/>
                <w:i w:val="0"/>
                <w:iCs w:val="0"/>
                <w:color w:val="000000"/>
                <w:kern w:val="0"/>
                <w:sz w:val="20"/>
                <w:szCs w:val="20"/>
                <w:u w:val="none"/>
                <w:lang w:val="en-US" w:eastAsia="zh-CN" w:bidi="ar"/>
              </w:rPr>
              <w:t>合计</w:t>
            </w:r>
            <w:r>
              <w:rPr>
                <w:rFonts w:hint="eastAsia" w:ascii="宋体" w:hAnsi="宋体" w:eastAsia="宋体" w:cs="宋体"/>
                <w:i w:val="0"/>
                <w:iCs w:val="0"/>
                <w:color w:val="000000"/>
                <w:kern w:val="0"/>
                <w:sz w:val="20"/>
                <w:szCs w:val="20"/>
                <w:u w:val="none"/>
                <w:lang w:val="en-US" w:eastAsia="zh-CN" w:bidi="ar"/>
              </w:rPr>
              <w:t>（元）</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4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133DD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E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48D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Theme="minorEastAsia" w:hAnsiTheme="minorEastAsia" w:eastAsiaTheme="minorEastAsia"/>
                <w:highlight w:val="none"/>
                <w:u w:val="none"/>
                <w:lang w:eastAsia="zh-CN"/>
              </w:rPr>
              <w:t>2025年中国电信遵义分公司数据库框架物资采购（</w:t>
            </w:r>
            <w:r>
              <w:rPr>
                <w:rFonts w:hint="eastAsia" w:asciiTheme="minorEastAsia" w:hAnsiTheme="minorEastAsia" w:eastAsiaTheme="minorEastAsia"/>
                <w:highlight w:val="none"/>
                <w:u w:val="none"/>
                <w:lang w:val="en-US" w:eastAsia="zh-CN"/>
              </w:rPr>
              <w:t>标包2）</w:t>
            </w:r>
          </w:p>
        </w:tc>
        <w:tc>
          <w:tcPr>
            <w:tcW w:w="3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1B123">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A5FE">
            <w:pPr>
              <w:jc w:val="center"/>
              <w:rPr>
                <w:rFonts w:hint="eastAsia" w:ascii="宋体" w:hAnsi="宋体" w:eastAsia="宋体" w:cs="宋体"/>
                <w:i w:val="0"/>
                <w:iCs w:val="0"/>
                <w:color w:val="000000"/>
                <w:sz w:val="20"/>
                <w:szCs w:val="20"/>
                <w:u w:val="none"/>
              </w:rPr>
            </w:pPr>
          </w:p>
        </w:tc>
        <w:tc>
          <w:tcPr>
            <w:tcW w:w="3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6F0A">
            <w:pPr>
              <w:jc w:val="center"/>
              <w:rPr>
                <w:rFonts w:hint="eastAsia" w:ascii="宋体" w:hAnsi="宋体" w:eastAsia="宋体" w:cs="宋体"/>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3A4D">
            <w:pPr>
              <w:jc w:val="center"/>
              <w:rPr>
                <w:rFonts w:hint="eastAsia" w:ascii="宋体" w:hAnsi="宋体" w:eastAsia="宋体" w:cs="宋体"/>
                <w:i w:val="0"/>
                <w:iCs w:val="0"/>
                <w:color w:val="000000"/>
                <w:sz w:val="20"/>
                <w:szCs w:val="20"/>
                <w:u w:val="none"/>
              </w:rPr>
            </w:pPr>
          </w:p>
        </w:tc>
      </w:tr>
      <w:tr w14:paraId="15D35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8" w:hRule="atLeast"/>
        </w:trPr>
        <w:tc>
          <w:tcPr>
            <w:tcW w:w="139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0DAE8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备注:1.价格评审时以不含税总价合计进行评审；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color w:val="000000"/>
                <w:sz w:val="21"/>
                <w:szCs w:val="21"/>
              </w:rPr>
              <w:t>本项目所需相关服务的报价，应包含技术服务费、资料费、税费、管理费、培训费等一切费用</w:t>
            </w:r>
            <w:r>
              <w:rPr>
                <w:rFonts w:hint="eastAsia" w:ascii="宋体" w:hAnsi="宋体" w:eastAsia="宋体" w:cs="宋体"/>
                <w:i w:val="0"/>
                <w:iCs w:val="0"/>
                <w:color w:val="000000"/>
                <w:kern w:val="0"/>
                <w:sz w:val="21"/>
                <w:szCs w:val="21"/>
                <w:u w:val="none"/>
                <w:lang w:val="en-US" w:eastAsia="zh-CN" w:bidi="ar"/>
              </w:rPr>
              <w:t>。该报价为此项目技术规范书规定的工作，若出现漏报，我单位将承担所漏报的价格，并保证项目能够正常完成。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3.报价方式：报价单位为人民币元，小写金额保留小数点后两位，第三位四舍五入。</w:t>
            </w:r>
          </w:p>
        </w:tc>
      </w:tr>
    </w:tbl>
    <w:p w14:paraId="4D11342C">
      <w:pPr>
        <w:spacing w:line="440" w:lineRule="exact"/>
        <w:ind w:right="840" w:firstLine="9061" w:firstLineChars="4315"/>
        <w:rPr>
          <w:rFonts w:hint="eastAsia" w:asciiTheme="minorEastAsia" w:hAnsiTheme="minorEastAsia" w:eastAsiaTheme="minorEastAsia"/>
          <w:szCs w:val="21"/>
          <w:highlight w:val="none"/>
        </w:rPr>
      </w:pPr>
    </w:p>
    <w:p w14:paraId="31835600">
      <w:pPr>
        <w:spacing w:line="440" w:lineRule="exact"/>
        <w:ind w:right="84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投标人名称：</w:t>
      </w:r>
    </w:p>
    <w:p w14:paraId="2C2F23B0">
      <w:pPr>
        <w:spacing w:line="440" w:lineRule="exact"/>
        <w:ind w:right="840" w:firstLine="2551" w:firstLineChars="1215"/>
        <w:jc w:val="right"/>
        <w:rPr>
          <w:rFonts w:cs="宋体" w:asciiTheme="minorEastAsia" w:hAnsiTheme="minorEastAsia" w:eastAsiaTheme="minorEastAsia"/>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006822E7">
      <w:pPr>
        <w:topLinePunct/>
        <w:spacing w:line="440" w:lineRule="exact"/>
        <w:jc w:val="left"/>
        <w:rPr>
          <w:rFonts w:cs="宋体" w:asciiTheme="minorEastAsia" w:hAnsiTheme="minorEastAsia" w:eastAsiaTheme="minorEastAsia"/>
          <w:szCs w:val="21"/>
          <w:highlight w:val="none"/>
        </w:rPr>
      </w:pPr>
      <w:r>
        <w:rPr>
          <w:rFonts w:hint="eastAsia" w:asciiTheme="minorEastAsia" w:hAnsiTheme="minorEastAsia" w:eastAsiaTheme="minorEastAsia"/>
          <w:b/>
          <w:highlight w:val="none"/>
        </w:rPr>
        <w:t>编制要求：</w:t>
      </w:r>
      <w:r>
        <w:rPr>
          <w:rFonts w:hint="eastAsia"/>
          <w:highlight w:val="none"/>
        </w:rPr>
        <w:t>除本文件允许投标人进行填写的内容以外，投标人不得对本文件进行修改</w:t>
      </w:r>
      <w:r>
        <w:rPr>
          <w:rFonts w:hint="eastAsia" w:asciiTheme="minorEastAsia" w:hAnsiTheme="minorEastAsia" w:eastAsiaTheme="minorEastAsia"/>
          <w:color w:val="000000"/>
          <w:szCs w:val="21"/>
          <w:highlight w:val="none"/>
        </w:rPr>
        <w:t>。</w:t>
      </w:r>
    </w:p>
    <w:p w14:paraId="14D8128B">
      <w:pPr>
        <w:snapToGrid w:val="0"/>
        <w:spacing w:line="440" w:lineRule="exact"/>
        <w:jc w:val="center"/>
        <w:rPr>
          <w:rFonts w:hint="eastAsia"/>
          <w:b/>
          <w:bCs/>
          <w:lang w:val="en-US" w:eastAsia="zh-CN"/>
        </w:rPr>
        <w:sectPr>
          <w:pgSz w:w="16840" w:h="11905" w:orient="landscape"/>
          <w:pgMar w:top="1440" w:right="1797" w:bottom="1440" w:left="1797" w:header="850" w:footer="992" w:gutter="0"/>
          <w:pgNumType w:fmt="decimal"/>
          <w:cols w:space="0" w:num="1"/>
          <w:rtlGutter w:val="0"/>
          <w:docGrid w:linePitch="0" w:charSpace="0"/>
        </w:sectPr>
      </w:pPr>
    </w:p>
    <w:p w14:paraId="22A11CA8">
      <w:pPr>
        <w:snapToGrid w:val="0"/>
        <w:spacing w:line="440" w:lineRule="exact"/>
        <w:jc w:val="center"/>
        <w:rPr>
          <w:rFonts w:hint="default" w:eastAsia="宋体"/>
          <w:b/>
          <w:bCs/>
          <w:lang w:val="en-US" w:eastAsia="zh-CN"/>
        </w:rPr>
      </w:pPr>
      <w:r>
        <w:rPr>
          <w:rFonts w:hint="eastAsia"/>
          <w:b/>
          <w:bCs/>
          <w:lang w:val="en-US" w:eastAsia="zh-CN"/>
        </w:rPr>
        <w:t>分项报价表</w:t>
      </w:r>
    </w:p>
    <w:p w14:paraId="6CE260D2">
      <w:pPr>
        <w:snapToGrid w:val="0"/>
        <w:spacing w:line="440" w:lineRule="exact"/>
      </w:pPr>
      <w:r>
        <w:rPr>
          <w:rFonts w:hint="eastAsia" w:cs="宋体" w:asciiTheme="minorEastAsia" w:hAnsiTheme="minorEastAsia" w:eastAsiaTheme="minorEastAsia"/>
          <w:szCs w:val="21"/>
          <w:highlight w:val="none"/>
        </w:rPr>
        <w:t>项目</w:t>
      </w:r>
      <w:r>
        <w:rPr>
          <w:rFonts w:cs="宋体" w:asciiTheme="minorEastAsia" w:hAnsiTheme="minorEastAsia" w:eastAsiaTheme="minorEastAsia"/>
          <w:szCs w:val="21"/>
          <w:highlight w:val="none"/>
        </w:rPr>
        <w:t xml:space="preserve">名称：  </w:t>
      </w:r>
      <w:r>
        <w:rPr>
          <w:rFonts w:hint="eastAsia" w:cs="宋体" w:asciiTheme="minorEastAsia" w:hAnsiTheme="minorEastAsia" w:eastAsiaTheme="minorEastAsia"/>
          <w:szCs w:val="21"/>
          <w:highlight w:val="none"/>
        </w:rPr>
        <w:t xml:space="preserve">                 </w:t>
      </w:r>
      <w:r>
        <w:rPr>
          <w:rFonts w:cs="宋体" w:asciiTheme="minorEastAsia" w:hAnsiTheme="minorEastAsia" w:eastAsiaTheme="minorEastAsia"/>
          <w:szCs w:val="21"/>
          <w:highlight w:val="none"/>
        </w:rPr>
        <w:t>招标编号：</w:t>
      </w:r>
      <w:r>
        <w:rPr>
          <w:rFonts w:hint="eastAsia" w:cs="宋体" w:asciiTheme="minorEastAsia" w:hAnsiTheme="minorEastAsia" w:eastAsiaTheme="minorEastAsia"/>
          <w:szCs w:val="21"/>
          <w:highlight w:val="none"/>
        </w:rPr>
        <w:t xml:space="preserve">             </w:t>
      </w:r>
      <w:r>
        <w:rPr>
          <w:rFonts w:cs="宋体" w:asciiTheme="minorEastAsia" w:hAnsiTheme="minorEastAsia" w:eastAsiaTheme="minorEastAsia"/>
          <w:szCs w:val="21"/>
          <w:highlight w:val="none"/>
        </w:rPr>
        <w:t xml:space="preserve"> </w:t>
      </w:r>
      <w:r>
        <w:rPr>
          <w:rFonts w:hint="eastAsia" w:cs="宋体" w:asciiTheme="minorEastAsia" w:hAnsiTheme="minorEastAsia" w:eastAsiaTheme="minorEastAsia"/>
          <w:szCs w:val="21"/>
          <w:highlight w:val="none"/>
        </w:rPr>
        <w:t>货币单位：元人民币</w:t>
      </w:r>
    </w:p>
    <w:tbl>
      <w:tblPr>
        <w:tblStyle w:val="85"/>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1"/>
        <w:gridCol w:w="1375"/>
        <w:gridCol w:w="1071"/>
        <w:gridCol w:w="929"/>
        <w:gridCol w:w="971"/>
        <w:gridCol w:w="886"/>
        <w:gridCol w:w="1028"/>
        <w:gridCol w:w="1243"/>
        <w:gridCol w:w="1401"/>
        <w:gridCol w:w="1656"/>
        <w:gridCol w:w="1656"/>
        <w:gridCol w:w="697"/>
      </w:tblGrid>
      <w:tr w14:paraId="1431D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7F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17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采购内容</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6A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不含税单价最高限价（元/套/年）</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66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预估数量（套）</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1D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不含税单价报价（元/套/年）</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3B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税率（%）</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C4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不含税单价报价（元/套/年）</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43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不含税总价报价（元）</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CCC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含税总价报价（元）</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8E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所投产品品牌</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3F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所投产品型号</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59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05451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E5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AC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数据库2（</w:t>
            </w:r>
            <w:r>
              <w:rPr>
                <w:rFonts w:hint="eastAsia" w:ascii="宋体" w:hAnsi="宋体" w:cs="宋体"/>
                <w:i w:val="0"/>
                <w:iCs w:val="0"/>
                <w:color w:val="000000"/>
                <w:kern w:val="0"/>
                <w:sz w:val="21"/>
                <w:szCs w:val="21"/>
                <w:u w:val="none"/>
                <w:lang w:val="en-US" w:eastAsia="zh-CN" w:bidi="ar"/>
              </w:rPr>
              <w:t>企业版</w:t>
            </w:r>
            <w:r>
              <w:rPr>
                <w:rFonts w:hint="eastAsia" w:ascii="宋体" w:hAnsi="宋体" w:eastAsia="宋体" w:cs="宋体"/>
                <w:i w:val="0"/>
                <w:iCs w:val="0"/>
                <w:color w:val="000000"/>
                <w:kern w:val="0"/>
                <w:sz w:val="21"/>
                <w:szCs w:val="21"/>
                <w:u w:val="none"/>
                <w:lang w:val="en-US" w:eastAsia="zh-CN" w:bidi="ar"/>
              </w:rPr>
              <w:t>）</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02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39823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69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D23195">
            <w:pPr>
              <w:jc w:val="center"/>
              <w:rPr>
                <w:rFonts w:hint="eastAsia" w:ascii="宋体" w:hAnsi="宋体" w:eastAsia="宋体" w:cs="宋体"/>
                <w:i w:val="0"/>
                <w:iCs w:val="0"/>
                <w:color w:val="000000"/>
                <w:sz w:val="21"/>
                <w:szCs w:val="21"/>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94AD05">
            <w:pPr>
              <w:jc w:val="center"/>
              <w:rPr>
                <w:rFonts w:hint="eastAsia" w:ascii="宋体" w:hAnsi="宋体" w:eastAsia="宋体" w:cs="宋体"/>
                <w:i w:val="0"/>
                <w:iCs w:val="0"/>
                <w:color w:val="000000"/>
                <w:sz w:val="21"/>
                <w:szCs w:val="21"/>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C72B5C">
            <w:pPr>
              <w:rPr>
                <w:rFonts w:hint="eastAsia" w:ascii="宋体" w:hAnsi="宋体" w:eastAsia="宋体" w:cs="宋体"/>
                <w:i w:val="0"/>
                <w:iCs w:val="0"/>
                <w:color w:val="000000"/>
                <w:sz w:val="21"/>
                <w:szCs w:val="21"/>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009D29">
            <w:pPr>
              <w:rPr>
                <w:rFonts w:hint="eastAsia" w:ascii="宋体" w:hAnsi="宋体" w:eastAsia="宋体" w:cs="宋体"/>
                <w:i w:val="0"/>
                <w:iCs w:val="0"/>
                <w:color w:val="000000"/>
                <w:sz w:val="21"/>
                <w:szCs w:val="21"/>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9D0279">
            <w:pPr>
              <w:rPr>
                <w:rFonts w:hint="eastAsia" w:ascii="宋体" w:hAnsi="宋体" w:eastAsia="宋体" w:cs="宋体"/>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CB031E">
            <w:pPr>
              <w:rPr>
                <w:rFonts w:hint="eastAsia" w:ascii="宋体" w:hAnsi="宋体" w:eastAsia="宋体" w:cs="宋体"/>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C0E590">
            <w:pP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BAF0A4">
            <w:pPr>
              <w:rPr>
                <w:rFonts w:hint="eastAsia" w:ascii="宋体" w:hAnsi="宋体" w:eastAsia="宋体" w:cs="宋体"/>
                <w:i w:val="0"/>
                <w:iCs w:val="0"/>
                <w:color w:val="000000"/>
                <w:sz w:val="21"/>
                <w:szCs w:val="21"/>
                <w:u w:val="none"/>
              </w:rPr>
            </w:pPr>
          </w:p>
        </w:tc>
      </w:tr>
      <w:tr w14:paraId="6F47D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59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75" w:type="dxa"/>
            <w:tcBorders>
              <w:top w:val="single" w:color="000000" w:sz="4" w:space="0"/>
              <w:left w:val="single" w:color="000000" w:sz="4" w:space="0"/>
              <w:bottom w:val="nil"/>
              <w:right w:val="single" w:color="000000" w:sz="4" w:space="0"/>
            </w:tcBorders>
            <w:shd w:val="clear" w:color="auto" w:fill="auto"/>
            <w:vAlign w:val="center"/>
          </w:tcPr>
          <w:p w14:paraId="29D325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数据库2（集群版）</w:t>
            </w:r>
          </w:p>
        </w:tc>
        <w:tc>
          <w:tcPr>
            <w:tcW w:w="1071" w:type="dxa"/>
            <w:tcBorders>
              <w:top w:val="single" w:color="000000" w:sz="4" w:space="0"/>
              <w:left w:val="single" w:color="000000" w:sz="4" w:space="0"/>
              <w:bottom w:val="nil"/>
              <w:right w:val="single" w:color="000000" w:sz="4" w:space="0"/>
            </w:tcBorders>
            <w:shd w:val="clear" w:color="auto" w:fill="auto"/>
            <w:vAlign w:val="center"/>
          </w:tcPr>
          <w:p w14:paraId="653DBD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24779</w:t>
            </w:r>
          </w:p>
        </w:tc>
        <w:tc>
          <w:tcPr>
            <w:tcW w:w="929" w:type="dxa"/>
            <w:tcBorders>
              <w:top w:val="single" w:color="000000" w:sz="4" w:space="0"/>
              <w:left w:val="single" w:color="000000" w:sz="4" w:space="0"/>
              <w:bottom w:val="nil"/>
              <w:right w:val="single" w:color="000000" w:sz="4" w:space="0"/>
            </w:tcBorders>
            <w:shd w:val="clear" w:color="auto" w:fill="auto"/>
            <w:vAlign w:val="center"/>
          </w:tcPr>
          <w:p w14:paraId="05EB97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1A8F4A">
            <w:pPr>
              <w:jc w:val="center"/>
              <w:rPr>
                <w:rFonts w:hint="eastAsia" w:ascii="宋体" w:hAnsi="宋体" w:eastAsia="宋体" w:cs="宋体"/>
                <w:i w:val="0"/>
                <w:iCs w:val="0"/>
                <w:color w:val="000000"/>
                <w:sz w:val="21"/>
                <w:szCs w:val="21"/>
                <w:u w:val="none"/>
              </w:rPr>
            </w:pPr>
          </w:p>
        </w:tc>
        <w:tc>
          <w:tcPr>
            <w:tcW w:w="886" w:type="dxa"/>
            <w:tcBorders>
              <w:top w:val="single" w:color="000000" w:sz="4" w:space="0"/>
              <w:left w:val="single" w:color="000000" w:sz="4" w:space="0"/>
              <w:bottom w:val="nil"/>
              <w:right w:val="single" w:color="000000" w:sz="4" w:space="0"/>
            </w:tcBorders>
            <w:shd w:val="clear" w:color="auto" w:fill="auto"/>
            <w:noWrap/>
            <w:vAlign w:val="center"/>
          </w:tcPr>
          <w:p w14:paraId="0F47EFFA">
            <w:pPr>
              <w:jc w:val="left"/>
              <w:rPr>
                <w:rFonts w:hint="eastAsia" w:ascii="宋体" w:hAnsi="宋体" w:eastAsia="宋体" w:cs="宋体"/>
                <w:i w:val="0"/>
                <w:iCs w:val="0"/>
                <w:color w:val="000000"/>
                <w:sz w:val="21"/>
                <w:szCs w:val="21"/>
                <w:u w:val="none"/>
              </w:rPr>
            </w:pPr>
          </w:p>
        </w:tc>
        <w:tc>
          <w:tcPr>
            <w:tcW w:w="1028" w:type="dxa"/>
            <w:tcBorders>
              <w:top w:val="single" w:color="000000" w:sz="4" w:space="0"/>
              <w:left w:val="single" w:color="000000" w:sz="4" w:space="0"/>
              <w:bottom w:val="nil"/>
              <w:right w:val="single" w:color="000000" w:sz="4" w:space="0"/>
            </w:tcBorders>
            <w:shd w:val="clear" w:color="auto" w:fill="auto"/>
            <w:noWrap/>
            <w:vAlign w:val="center"/>
          </w:tcPr>
          <w:p w14:paraId="27CDE306">
            <w:pPr>
              <w:jc w:val="left"/>
              <w:rPr>
                <w:rFonts w:hint="eastAsia" w:ascii="宋体" w:hAnsi="宋体" w:eastAsia="宋体" w:cs="宋体"/>
                <w:i w:val="0"/>
                <w:iCs w:val="0"/>
                <w:color w:val="000000"/>
                <w:sz w:val="21"/>
                <w:szCs w:val="21"/>
                <w:u w:val="none"/>
              </w:rPr>
            </w:pPr>
          </w:p>
        </w:tc>
        <w:tc>
          <w:tcPr>
            <w:tcW w:w="1243" w:type="dxa"/>
            <w:tcBorders>
              <w:top w:val="single" w:color="000000" w:sz="4" w:space="0"/>
              <w:left w:val="single" w:color="000000" w:sz="4" w:space="0"/>
              <w:bottom w:val="nil"/>
              <w:right w:val="single" w:color="000000" w:sz="4" w:space="0"/>
            </w:tcBorders>
            <w:shd w:val="clear" w:color="auto" w:fill="auto"/>
            <w:noWrap/>
            <w:vAlign w:val="bottom"/>
          </w:tcPr>
          <w:p w14:paraId="34966567">
            <w:pPr>
              <w:rPr>
                <w:rFonts w:hint="eastAsia" w:ascii="宋体" w:hAnsi="宋体" w:eastAsia="宋体" w:cs="宋体"/>
                <w:i w:val="0"/>
                <w:iCs w:val="0"/>
                <w:color w:val="000000"/>
                <w:sz w:val="21"/>
                <w:szCs w:val="21"/>
                <w:u w:val="none"/>
              </w:rPr>
            </w:pPr>
          </w:p>
        </w:tc>
        <w:tc>
          <w:tcPr>
            <w:tcW w:w="1401" w:type="dxa"/>
            <w:tcBorders>
              <w:top w:val="single" w:color="000000" w:sz="4" w:space="0"/>
              <w:left w:val="single" w:color="000000" w:sz="4" w:space="0"/>
              <w:bottom w:val="nil"/>
              <w:right w:val="single" w:color="000000" w:sz="4" w:space="0"/>
            </w:tcBorders>
            <w:shd w:val="clear" w:color="auto" w:fill="auto"/>
            <w:noWrap/>
            <w:vAlign w:val="center"/>
          </w:tcPr>
          <w:p w14:paraId="5F3CB983">
            <w:pPr>
              <w:jc w:val="left"/>
              <w:rPr>
                <w:rFonts w:hint="eastAsia" w:ascii="宋体" w:hAnsi="宋体" w:eastAsia="宋体" w:cs="宋体"/>
                <w:i w:val="0"/>
                <w:iCs w:val="0"/>
                <w:color w:val="000000"/>
                <w:sz w:val="21"/>
                <w:szCs w:val="21"/>
                <w:u w:val="none"/>
              </w:rPr>
            </w:pPr>
          </w:p>
        </w:tc>
        <w:tc>
          <w:tcPr>
            <w:tcW w:w="1656" w:type="dxa"/>
            <w:tcBorders>
              <w:top w:val="single" w:color="000000" w:sz="4" w:space="0"/>
              <w:left w:val="single" w:color="000000" w:sz="4" w:space="0"/>
              <w:bottom w:val="nil"/>
              <w:right w:val="single" w:color="000000" w:sz="4" w:space="0"/>
            </w:tcBorders>
            <w:shd w:val="clear" w:color="auto" w:fill="auto"/>
            <w:noWrap/>
            <w:vAlign w:val="center"/>
          </w:tcPr>
          <w:p w14:paraId="1CF545CE">
            <w:pPr>
              <w:jc w:val="left"/>
              <w:rPr>
                <w:rFonts w:hint="eastAsia" w:ascii="宋体" w:hAnsi="宋体" w:eastAsia="宋体" w:cs="宋体"/>
                <w:i w:val="0"/>
                <w:iCs w:val="0"/>
                <w:color w:val="000000"/>
                <w:sz w:val="21"/>
                <w:szCs w:val="21"/>
                <w:u w:val="none"/>
              </w:rPr>
            </w:pPr>
          </w:p>
        </w:tc>
        <w:tc>
          <w:tcPr>
            <w:tcW w:w="1656" w:type="dxa"/>
            <w:tcBorders>
              <w:top w:val="single" w:color="000000" w:sz="4" w:space="0"/>
              <w:left w:val="single" w:color="000000" w:sz="4" w:space="0"/>
              <w:bottom w:val="nil"/>
              <w:right w:val="single" w:color="000000" w:sz="4" w:space="0"/>
            </w:tcBorders>
            <w:shd w:val="clear" w:color="auto" w:fill="auto"/>
            <w:noWrap/>
            <w:vAlign w:val="center"/>
          </w:tcPr>
          <w:p w14:paraId="3D4D05FB">
            <w:pPr>
              <w:jc w:val="left"/>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nil"/>
              <w:right w:val="single" w:color="000000" w:sz="4" w:space="0"/>
            </w:tcBorders>
            <w:shd w:val="clear" w:color="auto" w:fill="auto"/>
            <w:noWrap/>
            <w:vAlign w:val="center"/>
          </w:tcPr>
          <w:p w14:paraId="09886A2C">
            <w:pPr>
              <w:jc w:val="left"/>
              <w:rPr>
                <w:rFonts w:hint="eastAsia" w:ascii="宋体" w:hAnsi="宋体" w:eastAsia="宋体" w:cs="宋体"/>
                <w:i w:val="0"/>
                <w:iCs w:val="0"/>
                <w:color w:val="000000"/>
                <w:sz w:val="21"/>
                <w:szCs w:val="21"/>
                <w:u w:val="none"/>
              </w:rPr>
            </w:pPr>
          </w:p>
        </w:tc>
      </w:tr>
      <w:tr w14:paraId="20B3E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4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08C61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合计=序号1+序号</w:t>
            </w:r>
            <w:r>
              <w:rPr>
                <w:rFonts w:hint="eastAsia" w:ascii="宋体" w:hAnsi="宋体" w:cs="宋体"/>
                <w:i w:val="0"/>
                <w:iCs w:val="0"/>
                <w:color w:val="000000"/>
                <w:kern w:val="0"/>
                <w:sz w:val="21"/>
                <w:szCs w:val="21"/>
                <w:u w:val="none"/>
                <w:lang w:val="en-US" w:eastAsia="zh-CN" w:bidi="ar"/>
              </w:rPr>
              <w:t>2</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5DF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74CA">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8E65">
            <w:pPr>
              <w:jc w:val="left"/>
              <w:rPr>
                <w:rFonts w:hint="eastAsia" w:ascii="宋体" w:hAnsi="宋体" w:eastAsia="宋体" w:cs="宋体"/>
                <w:i w:val="0"/>
                <w:iCs w:val="0"/>
                <w:color w:val="000000"/>
                <w:sz w:val="21"/>
                <w:szCs w:val="21"/>
                <w:u w:val="none"/>
                <w:lang w:val="en-US" w:eastAsia="zh-CN"/>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2B3D">
            <w:pPr>
              <w:jc w:val="left"/>
              <w:rPr>
                <w:rFonts w:hint="eastAsia" w:ascii="宋体" w:hAnsi="宋体" w:eastAsia="宋体" w:cs="宋体"/>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88602">
            <w:pPr>
              <w:jc w:val="left"/>
              <w:rPr>
                <w:rFonts w:hint="eastAsia" w:ascii="宋体" w:hAnsi="宋体" w:eastAsia="宋体" w:cs="宋体"/>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12CA">
            <w:pPr>
              <w:jc w:val="left"/>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C1854">
            <w:pPr>
              <w:jc w:val="left"/>
              <w:rPr>
                <w:rFonts w:hint="eastAsia" w:ascii="宋体" w:hAnsi="宋体" w:eastAsia="宋体" w:cs="宋体"/>
                <w:i w:val="0"/>
                <w:iCs w:val="0"/>
                <w:color w:val="000000"/>
                <w:sz w:val="21"/>
                <w:szCs w:val="21"/>
                <w:u w:val="none"/>
              </w:rPr>
            </w:pPr>
          </w:p>
        </w:tc>
      </w:tr>
      <w:tr w14:paraId="04445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1336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FBAF0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1.价格评审时以不含税总价合计进行评审；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color w:val="000000"/>
                <w:sz w:val="21"/>
                <w:szCs w:val="21"/>
              </w:rPr>
              <w:t>本项目所需相关服务的报价，应包含技术服务费、资料费、税费、管理费、培训费等一切费用</w:t>
            </w:r>
            <w:r>
              <w:rPr>
                <w:rFonts w:hint="eastAsia" w:ascii="宋体" w:hAnsi="宋体" w:eastAsia="宋体" w:cs="宋体"/>
                <w:i w:val="0"/>
                <w:iCs w:val="0"/>
                <w:color w:val="000000"/>
                <w:kern w:val="0"/>
                <w:sz w:val="21"/>
                <w:szCs w:val="21"/>
                <w:u w:val="none"/>
                <w:lang w:val="en-US" w:eastAsia="zh-CN" w:bidi="ar"/>
              </w:rPr>
              <w:t>。该报价为此项目技术规范书规定的工作，若出现漏报，我单位将承担所漏报的价格，并保证项目能够正常完成。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3.报价方式：报价单位为人民币元，小写金额保留小数点后两位，第三位四舍五入。</w:t>
            </w:r>
          </w:p>
        </w:tc>
      </w:tr>
    </w:tbl>
    <w:p w14:paraId="2D55CA56">
      <w:pPr>
        <w:spacing w:line="440" w:lineRule="exact"/>
        <w:ind w:right="84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投标人名称：</w:t>
      </w:r>
    </w:p>
    <w:p w14:paraId="56B8FFB0">
      <w:pPr>
        <w:spacing w:line="440" w:lineRule="exact"/>
        <w:ind w:right="840" w:firstLine="2551" w:firstLineChars="1215"/>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xml:space="preserve">_     __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_     __</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_    _ _</w:t>
      </w:r>
      <w:r>
        <w:rPr>
          <w:rFonts w:hint="eastAsia" w:ascii="宋体" w:hAnsi="宋体" w:eastAsia="宋体" w:cs="宋体"/>
          <w:sz w:val="21"/>
          <w:szCs w:val="21"/>
          <w:highlight w:val="none"/>
        </w:rPr>
        <w:t>日</w:t>
      </w:r>
    </w:p>
    <w:p w14:paraId="0B7E0961">
      <w:pPr>
        <w:topLinePunct/>
        <w:spacing w:line="440" w:lineRule="exact"/>
        <w:jc w:val="left"/>
        <w:rPr>
          <w:rFonts w:hint="eastAsia" w:ascii="宋体" w:hAnsi="宋体" w:eastAsia="宋体" w:cs="宋体"/>
          <w:sz w:val="21"/>
          <w:szCs w:val="21"/>
          <w:highlight w:val="none"/>
        </w:rPr>
      </w:pPr>
      <w:r>
        <w:rPr>
          <w:rFonts w:hint="eastAsia" w:ascii="宋体" w:hAnsi="宋体" w:eastAsia="宋体" w:cs="宋体"/>
          <w:b/>
          <w:sz w:val="21"/>
          <w:szCs w:val="21"/>
          <w:highlight w:val="none"/>
        </w:rPr>
        <w:t>编制要求：</w:t>
      </w:r>
      <w:r>
        <w:rPr>
          <w:rFonts w:hint="eastAsia" w:ascii="宋体" w:hAnsi="宋体" w:eastAsia="宋体" w:cs="宋体"/>
          <w:sz w:val="21"/>
          <w:szCs w:val="21"/>
          <w:highlight w:val="none"/>
        </w:rPr>
        <w:t>除本文件允许投标人进行填写的内容以外，投标人不得对本文件进行修改</w:t>
      </w:r>
      <w:r>
        <w:rPr>
          <w:rFonts w:hint="eastAsia" w:ascii="宋体" w:hAnsi="宋体" w:eastAsia="宋体" w:cs="宋体"/>
          <w:color w:val="000000"/>
          <w:sz w:val="21"/>
          <w:szCs w:val="21"/>
          <w:highlight w:val="none"/>
        </w:rPr>
        <w:t>。</w:t>
      </w:r>
    </w:p>
    <w:p w14:paraId="6D5BCB46">
      <w:pPr>
        <w:rPr>
          <w:rFonts w:hint="eastAsia" w:ascii="宋体" w:hAnsi="宋体" w:eastAsia="宋体" w:cs="宋体"/>
          <w:sz w:val="21"/>
          <w:szCs w:val="21"/>
        </w:rPr>
      </w:pPr>
      <w:r>
        <w:rPr>
          <w:rFonts w:hint="eastAsia" w:ascii="宋体" w:hAnsi="宋体" w:eastAsia="宋体" w:cs="宋体"/>
          <w:sz w:val="21"/>
          <w:szCs w:val="21"/>
          <w:highlight w:val="none"/>
        </w:rPr>
        <w:br w:type="page"/>
      </w:r>
    </w:p>
    <w:p w14:paraId="4CE263CF">
      <w:pPr>
        <w:pStyle w:val="98"/>
        <w:sectPr>
          <w:footerReference r:id="rId13" w:type="default"/>
          <w:pgSz w:w="16840" w:h="11905" w:orient="landscape"/>
          <w:pgMar w:top="1440" w:right="1797" w:bottom="1440" w:left="1797" w:header="850" w:footer="992" w:gutter="0"/>
          <w:pgNumType w:fmt="decimal"/>
          <w:cols w:space="0" w:num="1"/>
          <w:rtlGutter w:val="0"/>
          <w:docGrid w:linePitch="0" w:charSpace="0"/>
        </w:sectPr>
      </w:pPr>
    </w:p>
    <w:p w14:paraId="4B9B346D">
      <w:pPr>
        <w:rPr>
          <w:rFonts w:cs="宋体" w:asciiTheme="minorEastAsia" w:hAnsiTheme="minorEastAsia" w:eastAsiaTheme="minorEastAsia"/>
          <w:szCs w:val="21"/>
          <w:highlight w:val="none"/>
        </w:rPr>
      </w:pPr>
    </w:p>
    <w:bookmarkEnd w:id="1270"/>
    <w:p w14:paraId="05AB681F">
      <w:pPr>
        <w:bidi w:val="0"/>
      </w:pPr>
      <w:bookmarkStart w:id="1299" w:name="_Toc2133"/>
      <w:bookmarkStart w:id="1300" w:name="_Toc2652"/>
      <w:bookmarkStart w:id="1301" w:name="_Toc17186"/>
    </w:p>
    <w:p w14:paraId="383061D4"/>
    <w:p w14:paraId="4FE4B185">
      <w:pPr>
        <w:pStyle w:val="100"/>
        <w:spacing w:before="240" w:after="120"/>
        <w:rPr>
          <w:rFonts w:cs="宋体" w:asciiTheme="minorEastAsia" w:hAnsiTheme="minorEastAsia" w:eastAsiaTheme="minorEastAsia"/>
          <w:b/>
          <w:bCs w:val="0"/>
          <w:kern w:val="0"/>
          <w:sz w:val="28"/>
          <w:szCs w:val="28"/>
          <w:highlight w:val="none"/>
        </w:rPr>
      </w:pPr>
      <w:bookmarkStart w:id="1302" w:name="_Toc13584"/>
      <w:bookmarkStart w:id="1303" w:name="_Toc16892"/>
      <w:bookmarkStart w:id="1304" w:name="_Toc7674"/>
      <w:bookmarkStart w:id="1305" w:name="_Toc23982"/>
      <w:bookmarkStart w:id="1306" w:name="_Toc11068"/>
      <w:bookmarkStart w:id="1307" w:name="_Toc14565"/>
      <w:bookmarkStart w:id="1308" w:name="_Toc5634"/>
      <w:bookmarkStart w:id="1309" w:name="_Toc20932"/>
      <w:r>
        <w:rPr>
          <w:rFonts w:hint="eastAsia" w:cs="宋体" w:asciiTheme="minorEastAsia" w:hAnsiTheme="minorEastAsia" w:eastAsiaTheme="minorEastAsia"/>
          <w:b/>
          <w:bCs w:val="0"/>
          <w:kern w:val="0"/>
          <w:sz w:val="28"/>
          <w:szCs w:val="28"/>
          <w:highlight w:val="none"/>
        </w:rPr>
        <w:t>第七章  其他</w:t>
      </w:r>
      <w:bookmarkEnd w:id="1299"/>
      <w:bookmarkEnd w:id="1300"/>
      <w:bookmarkEnd w:id="1301"/>
      <w:bookmarkEnd w:id="1302"/>
      <w:bookmarkEnd w:id="1303"/>
      <w:bookmarkEnd w:id="1304"/>
      <w:bookmarkEnd w:id="1305"/>
      <w:bookmarkEnd w:id="1306"/>
      <w:bookmarkEnd w:id="1307"/>
      <w:bookmarkEnd w:id="1308"/>
      <w:bookmarkEnd w:id="1309"/>
    </w:p>
    <w:p w14:paraId="66D4F244">
      <w:pPr>
        <w:rPr>
          <w:rFonts w:asciiTheme="minorEastAsia" w:hAnsiTheme="minorEastAsia" w:eastAsiaTheme="minorEastAsia"/>
          <w:highlight w:val="none"/>
        </w:rPr>
      </w:pPr>
    </w:p>
    <w:p w14:paraId="4CA08E21">
      <w:pPr>
        <w:pStyle w:val="81"/>
        <w:snapToGrid w:val="0"/>
        <w:spacing w:before="0" w:after="0" w:line="360" w:lineRule="auto"/>
        <w:ind w:right="84" w:rightChars="40"/>
        <w:rPr>
          <w:rFonts w:asciiTheme="minorEastAsia" w:hAnsiTheme="minorEastAsia" w:eastAsiaTheme="minorEastAsia"/>
          <w:sz w:val="28"/>
          <w:szCs w:val="28"/>
          <w:highlight w:val="none"/>
        </w:rPr>
      </w:pPr>
      <w:bookmarkStart w:id="1310" w:name="_Toc17902"/>
      <w:bookmarkStart w:id="1311" w:name="_Toc24335"/>
      <w:bookmarkStart w:id="1312" w:name="_Toc31588"/>
      <w:bookmarkStart w:id="1313" w:name="_Toc32223"/>
      <w:bookmarkStart w:id="1314" w:name="_Toc5664"/>
      <w:bookmarkStart w:id="1315" w:name="_Toc8722"/>
      <w:bookmarkStart w:id="1316" w:name="_Toc19415"/>
      <w:bookmarkStart w:id="1317" w:name="_Toc25772"/>
      <w:bookmarkStart w:id="1318" w:name="_Toc32346"/>
      <w:bookmarkStart w:id="1319" w:name="_Toc18492"/>
      <w:bookmarkStart w:id="1320" w:name="_Toc22061"/>
      <w:bookmarkStart w:id="1321" w:name="_Toc29556649"/>
      <w:r>
        <w:rPr>
          <w:rFonts w:hint="eastAsia" w:asciiTheme="minorEastAsia" w:hAnsiTheme="minorEastAsia" w:eastAsiaTheme="minorEastAsia"/>
          <w:sz w:val="28"/>
          <w:szCs w:val="28"/>
          <w:highlight w:val="none"/>
        </w:rPr>
        <w:t>中国电信供应商不良行为管理规则</w:t>
      </w:r>
      <w:bookmarkEnd w:id="1310"/>
      <w:bookmarkEnd w:id="1311"/>
      <w:bookmarkEnd w:id="1312"/>
      <w:bookmarkEnd w:id="1313"/>
      <w:bookmarkEnd w:id="1314"/>
      <w:bookmarkEnd w:id="1315"/>
      <w:bookmarkEnd w:id="1316"/>
      <w:bookmarkEnd w:id="1317"/>
      <w:bookmarkEnd w:id="1318"/>
      <w:bookmarkEnd w:id="1319"/>
      <w:bookmarkEnd w:id="1320"/>
    </w:p>
    <w:bookmarkEnd w:id="1321"/>
    <w:p w14:paraId="485CEBA8">
      <w:pPr>
        <w:wordWrap w:val="0"/>
        <w:snapToGrid w:val="0"/>
        <w:spacing w:line="360" w:lineRule="auto"/>
        <w:ind w:firstLine="424" w:firstLineChars="202"/>
        <w:jc w:val="left"/>
        <w:rPr>
          <w:highlight w:val="none"/>
        </w:rPr>
      </w:pPr>
      <w:bookmarkStart w:id="1322" w:name="_Hlk167348058"/>
      <w:r>
        <w:rPr>
          <w:rFonts w:hint="eastAsia" w:asciiTheme="minorEastAsia" w:hAnsiTheme="minorEastAsia" w:eastAsiaTheme="minorEastAsia"/>
          <w:szCs w:val="21"/>
          <w:highlight w:val="none"/>
        </w:rPr>
        <w:t>本项目将按照最新的《中国电信供应商不良行为管理规则》执行供应商不良行为处理结果，请务必登录</w:t>
      </w:r>
      <w:r>
        <w:rPr>
          <w:highlight w:val="none"/>
        </w:rPr>
        <w:t>中国电信阳光采购网</w:t>
      </w:r>
      <w:r>
        <w:rPr>
          <w:rFonts w:hint="eastAsia" w:asciiTheme="minorEastAsia" w:hAnsiTheme="minorEastAsia" w:eastAsiaTheme="minorEastAsia" w:cstheme="minorEastAsia"/>
          <w:highlight w:val="none"/>
        </w:rPr>
        <w:t>（https://caigou.chinatelecom.com.cn）</w:t>
      </w:r>
      <w:r>
        <w:rPr>
          <w:rFonts w:hint="eastAsia" w:asciiTheme="minorEastAsia" w:hAnsiTheme="minorEastAsia" w:eastAsiaTheme="minorEastAsia"/>
          <w:szCs w:val="21"/>
          <w:highlight w:val="none"/>
        </w:rPr>
        <w:t>查阅《中国电信供应商不良行为管理规则》。</w:t>
      </w:r>
      <w:bookmarkEnd w:id="1322"/>
    </w:p>
    <w:sectPr>
      <w:pgSz w:w="11905" w:h="16840"/>
      <w:pgMar w:top="1797" w:right="1440" w:bottom="1797" w:left="1440" w:header="850" w:footer="99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楷体_GB2312">
    <w:altName w:val="楷体"/>
    <w:panose1 w:val="00000000000000000000"/>
    <w:charset w:val="34"/>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体">
    <w:altName w:val="仿宋"/>
    <w:panose1 w:val="00000000000000000000"/>
    <w:charset w:val="34"/>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S Sans Serif">
    <w:altName w:val="Segoe Print"/>
    <w:panose1 w:val="00000000000000000000"/>
    <w:charset w:val="77"/>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长城仿宋">
    <w:altName w:val="黑体"/>
    <w:panose1 w:val="00000000000000000000"/>
    <w:charset w:val="86"/>
    <w:family w:val="auto"/>
    <w:pitch w:val="default"/>
    <w:sig w:usb0="00000000" w:usb1="00000000" w:usb2="00000010" w:usb3="00000000" w:csb0="00040000" w:csb1="00000000"/>
  </w:font>
  <w:font w:name="..">
    <w:altName w:val="微软雅黑"/>
    <w:panose1 w:val="00000000000000000000"/>
    <w:charset w:val="34"/>
    <w:family w:val="auto"/>
    <w:pitch w:val="default"/>
    <w:sig w:usb0="00000000" w:usb1="00000000" w:usb2="00000010" w:usb3="00000000" w:csb0="00040000"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Book Antiqua">
    <w:altName w:val="Segoe Print"/>
    <w:panose1 w:val="02040602050305030304"/>
    <w:charset w:val="00"/>
    <w:family w:val="roman"/>
    <w:pitch w:val="default"/>
    <w:sig w:usb0="00000000" w:usb1="00000000" w:usb2="00000000" w:usb3="00000000" w:csb0="2000009F" w:csb1="DFD70000"/>
  </w:font>
  <w:font w:name="Tempus Sans ITC">
    <w:altName w:val="Gabriola"/>
    <w:panose1 w:val="04020404030D07020202"/>
    <w:charset w:val="00"/>
    <w:family w:val="decorative"/>
    <w:pitch w:val="default"/>
    <w:sig w:usb0="00000000"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隶书">
    <w:altName w:val="微软雅黑"/>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Sabon Serif for Nokia">
    <w:altName w:val="Times New Roman"/>
    <w:panose1 w:val="00000000000000000000"/>
    <w:charset w:val="00"/>
    <w:family w:val="roman"/>
    <w:pitch w:val="default"/>
    <w:sig w:usb0="00000000" w:usb1="00000000" w:usb2="00000000" w:usb3="00000000" w:csb0="00000001" w:csb1="00000000"/>
  </w:font>
  <w:font w:name="ITCCenturyBookT">
    <w:altName w:val="Times New Roman"/>
    <w:panose1 w:val="00000000000000000000"/>
    <w:charset w:val="00"/>
    <w:family w:val="auto"/>
    <w:pitch w:val="default"/>
    <w:sig w:usb0="00000000" w:usb1="00000000" w:usb2="00000000" w:usb3="00000000" w:csb0="00000001" w:csb1="00000000"/>
  </w:font>
  <w:font w:name="Futura Bk">
    <w:altName w:val="Segoe UI"/>
    <w:panose1 w:val="00000000000000000000"/>
    <w:charset w:val="00"/>
    <w:family w:val="swiss"/>
    <w:pitch w:val="default"/>
    <w:sig w:usb0="00000000" w:usb1="00000000" w:usb2="00000000" w:usb3="00000000" w:csb0="0000009F" w:csb1="00000000"/>
  </w:font>
  <w:font w:name="Segoe UI">
    <w:panose1 w:val="020B0502040204020203"/>
    <w:charset w:val="00"/>
    <w:family w:val="auto"/>
    <w:pitch w:val="default"/>
    <w:sig w:usb0="E4002EFF" w:usb1="C000E47F"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Times">
    <w:altName w:val="Times New Roman"/>
    <w:panose1 w:val="02020603050405020304"/>
    <w:charset w:val="00"/>
    <w:family w:val="roman"/>
    <w:pitch w:val="default"/>
    <w:sig w:usb0="00000000" w:usb1="00000000" w:usb2="00000009" w:usb3="00000000" w:csb0="000001FF" w:csb1="00000000"/>
  </w:font>
  <w:font w:name="方正黑体简体">
    <w:altName w:val="微软雅黑"/>
    <w:panose1 w:val="02000000000000000000"/>
    <w:charset w:val="86"/>
    <w:family w:val="auto"/>
    <w:pitch w:val="default"/>
    <w:sig w:usb0="00000000" w:usb1="00000000" w:usb2="00000012"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DE936">
    <w:pPr>
      <w:pStyle w:val="5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91BA9">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6391BA9">
                    <w:pPr>
                      <w:pStyle w:val="5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E8C14">
    <w:pPr>
      <w:pStyle w:val="5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C86D77">
                          <w:pPr>
                            <w:pStyle w:val="5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5C86D77">
                    <w:pPr>
                      <w:pStyle w:val="5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3798A">
    <w:pPr>
      <w:pStyle w:val="5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1AFD8">
                          <w:pPr>
                            <w:pStyle w:val="5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7D1AFD8">
                    <w:pPr>
                      <w:pStyle w:val="5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2F2F3">
    <w:pPr>
      <w:pStyle w:val="5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ABB8C">
                          <w:pPr>
                            <w:pStyle w:val="5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4AABB8C">
                    <w:pPr>
                      <w:pStyle w:val="5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BB9F0">
    <w:pPr>
      <w:pStyle w:val="54"/>
      <w:ind w:firstLine="316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F62B3">
    <w:pPr>
      <w:pStyle w:val="54"/>
      <w:ind w:firstLine="316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58F0C">
    <w:pPr>
      <w:pStyle w:val="54"/>
      <w:tabs>
        <w:tab w:val="center" w:pos="6623"/>
        <w:tab w:val="clear" w:pos="4153"/>
      </w:tabs>
      <w:jc w:val="both"/>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984F6">
                          <w:pPr>
                            <w:pStyle w:val="5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5A984F6">
                    <w:pPr>
                      <w:pStyle w:val="54"/>
                    </w:pPr>
                    <w:r>
                      <w:fldChar w:fldCharType="begin"/>
                    </w:r>
                    <w:r>
                      <w:instrText xml:space="preserve"> PAGE  \* MERGEFORMAT </w:instrText>
                    </w:r>
                    <w:r>
                      <w:fldChar w:fldCharType="separate"/>
                    </w:r>
                    <w:r>
                      <w:t>11</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9CB04">
    <w:pPr>
      <w:pStyle w:val="56"/>
      <w:jc w:val="both"/>
      <w:rPr>
        <w:rFonts w:hint="eastAsia" w:ascii="宋体" w:hAnsi="宋体"/>
        <w:sz w:val="21"/>
        <w:szCs w:val="21"/>
      </w:rPr>
    </w:pPr>
  </w:p>
  <w:p w14:paraId="2F056A1C">
    <w:pPr>
      <w:pStyle w:val="56"/>
      <w:jc w:val="right"/>
      <w:rPr>
        <w:rFonts w:ascii="宋体" w:hAnsi="宋体"/>
        <w:sz w:val="21"/>
        <w:szCs w:val="21"/>
      </w:rPr>
    </w:pPr>
    <w:r>
      <w:rPr>
        <w:rFonts w:hint="eastAsia" w:ascii="宋体" w:hAnsi="宋体"/>
        <w:sz w:val="21"/>
        <w:szCs w:val="21"/>
      </w:rPr>
      <w:t>V14.</w:t>
    </w:r>
    <w:r>
      <w:rPr>
        <w:rFonts w:hint="eastAsia" w:ascii="宋体" w:hAnsi="宋体"/>
        <w:sz w:val="21"/>
        <w:szCs w:val="21"/>
        <w:lang w:val="en-US" w:eastAsia="zh-CN"/>
      </w:rPr>
      <w:t>8</w:t>
    </w:r>
    <w:r>
      <w:rPr>
        <w:rFonts w:hint="eastAsia" w:ascii="宋体" w:hAnsi="宋体"/>
        <w:sz w:val="21"/>
        <w:szCs w:val="21"/>
      </w:rPr>
      <w:t>（2</w:t>
    </w:r>
    <w:r>
      <w:rPr>
        <w:rFonts w:ascii="宋体" w:hAnsi="宋体"/>
        <w:sz w:val="21"/>
        <w:szCs w:val="21"/>
      </w:rPr>
      <w:t>02</w:t>
    </w:r>
    <w:r>
      <w:rPr>
        <w:rFonts w:hint="eastAsia" w:ascii="宋体" w:hAnsi="宋体"/>
        <w:sz w:val="21"/>
        <w:szCs w:val="21"/>
        <w:lang w:val="en-US" w:eastAsia="zh-CN"/>
      </w:rPr>
      <w:t>5</w:t>
    </w:r>
    <w:r>
      <w:rPr>
        <w:rFonts w:hint="eastAsia" w:ascii="宋体" w:hAnsi="宋体"/>
        <w:sz w:val="21"/>
        <w:szCs w:val="21"/>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91248">
    <w:pPr>
      <w:pStyle w:val="56"/>
      <w:jc w:val="right"/>
      <w:rPr>
        <w:rFonts w:hint="default" w:ascii="宋体" w:hAnsi="宋体" w:eastAsia="宋体"/>
        <w:lang w:val="en-US" w:eastAsia="zh-CN"/>
      </w:rPr>
    </w:pPr>
    <w:r>
      <w:rPr>
        <w:rFonts w:hint="eastAsia" w:ascii="宋体" w:hAnsi="宋体"/>
      </w:rPr>
      <w:t>V</w:t>
    </w:r>
    <w:r>
      <w:rPr>
        <w:rFonts w:hint="eastAsia" w:ascii="宋体" w:hAnsi="宋体"/>
        <w:lang w:val="en-US" w:eastAsia="zh-CN"/>
      </w:rPr>
      <w:t>14.</w:t>
    </w:r>
    <w:r>
      <w:rPr>
        <w:rFonts w:hint="eastAsia" w:ascii="宋体" w:hAnsi="宋体"/>
      </w:rPr>
      <w:t>5.</w:t>
    </w:r>
    <w:r>
      <w:rPr>
        <w:rFonts w:hint="eastAsia" w:ascii="宋体" w:hAnsi="宋体"/>
        <w:lang w:val="en-US" w:eastAsia="zh-CN"/>
      </w:rPr>
      <w:t>(2024)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57170">
    <w:pPr>
      <w:pStyle w:val="56"/>
      <w:ind w:firstLine="316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8BE6E">
    <w:pPr>
      <w:pStyle w:val="56"/>
      <w:ind w:firstLine="316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FF6B9"/>
    <w:multiLevelType w:val="singleLevel"/>
    <w:tmpl w:val="968FF6B9"/>
    <w:lvl w:ilvl="0" w:tentative="0">
      <w:start w:val="1"/>
      <w:numFmt w:val="decimal"/>
      <w:lvlText w:val="(%1)"/>
      <w:lvlJc w:val="left"/>
      <w:pPr>
        <w:tabs>
          <w:tab w:val="left" w:pos="312"/>
        </w:tabs>
      </w:pPr>
    </w:lvl>
  </w:abstractNum>
  <w:abstractNum w:abstractNumId="1">
    <w:nsid w:val="A334055F"/>
    <w:multiLevelType w:val="singleLevel"/>
    <w:tmpl w:val="A334055F"/>
    <w:lvl w:ilvl="0" w:tentative="0">
      <w:start w:val="6"/>
      <w:numFmt w:val="chineseCounting"/>
      <w:suff w:val="space"/>
      <w:lvlText w:val="第%1章"/>
      <w:lvlJc w:val="left"/>
      <w:rPr>
        <w:rFonts w:hint="eastAsia"/>
      </w:rPr>
    </w:lvl>
  </w:abstractNum>
  <w:abstractNum w:abstractNumId="2">
    <w:nsid w:val="B1D408D2"/>
    <w:multiLevelType w:val="singleLevel"/>
    <w:tmpl w:val="B1D408D2"/>
    <w:lvl w:ilvl="0" w:tentative="0">
      <w:start w:val="1"/>
      <w:numFmt w:val="chineseCounting"/>
      <w:suff w:val="nothing"/>
      <w:lvlText w:val="%1、"/>
      <w:lvlJc w:val="left"/>
      <w:rPr>
        <w:rFonts w:hint="eastAsia"/>
      </w:rPr>
    </w:lvl>
  </w:abstractNum>
  <w:abstractNum w:abstractNumId="3">
    <w:nsid w:val="B6CB9648"/>
    <w:multiLevelType w:val="singleLevel"/>
    <w:tmpl w:val="B6CB9648"/>
    <w:lvl w:ilvl="0" w:tentative="0">
      <w:start w:val="1"/>
      <w:numFmt w:val="decimal"/>
      <w:lvlText w:val="%1."/>
      <w:lvlJc w:val="left"/>
      <w:pPr>
        <w:tabs>
          <w:tab w:val="left" w:pos="312"/>
        </w:tabs>
      </w:pPr>
    </w:lvl>
  </w:abstractNum>
  <w:abstractNum w:abstractNumId="4">
    <w:nsid w:val="00000027"/>
    <w:multiLevelType w:val="multilevel"/>
    <w:tmpl w:val="00000027"/>
    <w:lvl w:ilvl="0" w:tentative="0">
      <w:start w:val="1"/>
      <w:numFmt w:val="none"/>
      <w:suff w:val="nothing"/>
      <w:lvlText w:val=""/>
      <w:lvlJc w:val="left"/>
      <w:pPr>
        <w:tabs>
          <w:tab w:val="left" w:pos="0"/>
        </w:tabs>
      </w:pPr>
      <w:rPr>
        <w:rFonts w:cs="Times New Roman"/>
      </w:rPr>
    </w:lvl>
    <w:lvl w:ilvl="1" w:tentative="0">
      <w:start w:val="1"/>
      <w:numFmt w:val="none"/>
      <w:suff w:val="nothing"/>
      <w:lvlText w:val=""/>
      <w:lvlJc w:val="left"/>
      <w:pPr>
        <w:tabs>
          <w:tab w:val="left" w:pos="0"/>
        </w:tabs>
      </w:pPr>
      <w:rPr>
        <w:rFonts w:cs="Times New Roman"/>
      </w:rPr>
    </w:lvl>
    <w:lvl w:ilvl="2" w:tentative="0">
      <w:start w:val="1"/>
      <w:numFmt w:val="none"/>
      <w:suff w:val="nothing"/>
      <w:lvlText w:val=""/>
      <w:lvlJc w:val="left"/>
      <w:pPr>
        <w:tabs>
          <w:tab w:val="left" w:pos="0"/>
        </w:tabs>
      </w:pPr>
      <w:rPr>
        <w:rFonts w:cs="Times New Roman"/>
      </w:rPr>
    </w:lvl>
    <w:lvl w:ilvl="3" w:tentative="0">
      <w:start w:val="1"/>
      <w:numFmt w:val="none"/>
      <w:pStyle w:val="1009"/>
      <w:suff w:val="nothing"/>
      <w:lvlText w:val=""/>
      <w:lvlJc w:val="left"/>
      <w:pPr>
        <w:tabs>
          <w:tab w:val="left" w:pos="0"/>
        </w:tabs>
      </w:pPr>
      <w:rPr>
        <w:rFonts w:cs="Times New Roman"/>
      </w:rPr>
    </w:lvl>
    <w:lvl w:ilvl="4" w:tentative="0">
      <w:start w:val="1"/>
      <w:numFmt w:val="none"/>
      <w:suff w:val="nothing"/>
      <w:lvlText w:val=""/>
      <w:lvlJc w:val="left"/>
      <w:pPr>
        <w:tabs>
          <w:tab w:val="left" w:pos="0"/>
        </w:tabs>
      </w:pPr>
      <w:rPr>
        <w:rFonts w:cs="Times New Roman"/>
      </w:rPr>
    </w:lvl>
    <w:lvl w:ilvl="5" w:tentative="0">
      <w:start w:val="1"/>
      <w:numFmt w:val="none"/>
      <w:suff w:val="nothing"/>
      <w:lvlText w:val=""/>
      <w:lvlJc w:val="left"/>
      <w:pPr>
        <w:tabs>
          <w:tab w:val="left" w:pos="0"/>
        </w:tabs>
      </w:pPr>
      <w:rPr>
        <w:rFonts w:cs="Times New Roman"/>
      </w:rPr>
    </w:lvl>
    <w:lvl w:ilvl="6" w:tentative="0">
      <w:start w:val="1"/>
      <w:numFmt w:val="none"/>
      <w:suff w:val="nothing"/>
      <w:lvlText w:val=""/>
      <w:lvlJc w:val="left"/>
      <w:pPr>
        <w:tabs>
          <w:tab w:val="left" w:pos="0"/>
        </w:tabs>
      </w:pPr>
      <w:rPr>
        <w:rFonts w:cs="Times New Roman"/>
      </w:rPr>
    </w:lvl>
    <w:lvl w:ilvl="7" w:tentative="0">
      <w:start w:val="1"/>
      <w:numFmt w:val="none"/>
      <w:suff w:val="nothing"/>
      <w:lvlText w:val=""/>
      <w:lvlJc w:val="left"/>
      <w:pPr>
        <w:tabs>
          <w:tab w:val="left" w:pos="0"/>
        </w:tabs>
      </w:pPr>
      <w:rPr>
        <w:rFonts w:cs="Times New Roman"/>
      </w:rPr>
    </w:lvl>
    <w:lvl w:ilvl="8" w:tentative="0">
      <w:start w:val="1"/>
      <w:numFmt w:val="none"/>
      <w:suff w:val="nothing"/>
      <w:lvlText w:val=""/>
      <w:lvlJc w:val="left"/>
      <w:pPr>
        <w:tabs>
          <w:tab w:val="left" w:pos="0"/>
        </w:tabs>
      </w:pPr>
      <w:rPr>
        <w:rFonts w:cs="Times New Roman"/>
      </w:rPr>
    </w:lvl>
  </w:abstractNum>
  <w:abstractNum w:abstractNumId="5">
    <w:nsid w:val="00000045"/>
    <w:multiLevelType w:val="multilevel"/>
    <w:tmpl w:val="00000045"/>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0205CF6"/>
    <w:multiLevelType w:val="multilevel"/>
    <w:tmpl w:val="10205CF6"/>
    <w:lvl w:ilvl="0" w:tentative="0">
      <w:start w:val="1"/>
      <w:numFmt w:val="decimal"/>
      <w:lvlText w:val="%1."/>
      <w:lvlJc w:val="left"/>
      <w:pPr>
        <w:ind w:left="360" w:hanging="360"/>
      </w:pPr>
      <w:rPr>
        <w:rFonts w:hint="default"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0A41391"/>
    <w:multiLevelType w:val="multilevel"/>
    <w:tmpl w:val="10A41391"/>
    <w:lvl w:ilvl="0" w:tentative="0">
      <w:start w:val="4"/>
      <w:numFmt w:val="decimal"/>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154230B7"/>
    <w:multiLevelType w:val="multilevel"/>
    <w:tmpl w:val="154230B7"/>
    <w:lvl w:ilvl="0" w:tentative="0">
      <w:start w:val="6"/>
      <w:numFmt w:val="decimal"/>
      <w:lvlText w:val="%1."/>
      <w:lvlJc w:val="left"/>
      <w:pPr>
        <w:ind w:left="425" w:hanging="425"/>
      </w:pPr>
      <w:rPr>
        <w:rFonts w:hint="eastAsia"/>
      </w:rPr>
    </w:lvl>
    <w:lvl w:ilvl="1" w:tentative="0">
      <w:start w:val="1"/>
      <w:numFmt w:val="decimal"/>
      <w:lvlText w:val="%1.%2"/>
      <w:lvlJc w:val="left"/>
      <w:pPr>
        <w:ind w:left="851" w:hanging="567"/>
      </w:pPr>
      <w:rPr>
        <w:rFonts w:hint="eastAsia"/>
      </w:rPr>
    </w:lvl>
    <w:lvl w:ilvl="2" w:tentative="0">
      <w:start w:val="1"/>
      <w:numFmt w:val="decimal"/>
      <w:lvlText w:val="%1.%2.%3"/>
      <w:lvlJc w:val="left"/>
      <w:pPr>
        <w:ind w:left="1276"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154A6C66"/>
    <w:multiLevelType w:val="multilevel"/>
    <w:tmpl w:val="154A6C6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BB6522B"/>
    <w:multiLevelType w:val="multilevel"/>
    <w:tmpl w:val="1BB6522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2677976"/>
    <w:multiLevelType w:val="multilevel"/>
    <w:tmpl w:val="22677976"/>
    <w:lvl w:ilvl="0" w:tentative="0">
      <w:start w:val="1"/>
      <w:numFmt w:val="decimal"/>
      <w:lvlText w:val="%1."/>
      <w:lvlJc w:val="left"/>
      <w:pPr>
        <w:ind w:left="360" w:hanging="360"/>
      </w:pPr>
      <w:rPr>
        <w:rFonts w:hint="default" w:ascii="宋体" w:hAnsi="宋体" w:eastAsia="宋体"/>
        <w:b w:val="0"/>
        <w:i w:val="0"/>
        <w:sz w:val="21"/>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2BD99F5"/>
    <w:multiLevelType w:val="singleLevel"/>
    <w:tmpl w:val="22BD99F5"/>
    <w:lvl w:ilvl="0" w:tentative="0">
      <w:start w:val="4"/>
      <w:numFmt w:val="decimal"/>
      <w:suff w:val="nothing"/>
      <w:lvlText w:val="%1、"/>
      <w:lvlJc w:val="left"/>
    </w:lvl>
  </w:abstractNum>
  <w:abstractNum w:abstractNumId="14">
    <w:nsid w:val="281F5525"/>
    <w:multiLevelType w:val="multilevel"/>
    <w:tmpl w:val="281F5525"/>
    <w:lvl w:ilvl="0" w:tentative="0">
      <w:start w:val="1"/>
      <w:numFmt w:val="decimal"/>
      <w:lvlText w:val="（%1）"/>
      <w:lvlJc w:val="left"/>
      <w:pPr>
        <w:ind w:left="114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CB96BE2"/>
    <w:multiLevelType w:val="multilevel"/>
    <w:tmpl w:val="2CB96BE2"/>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2F000005"/>
    <w:multiLevelType w:val="multilevel"/>
    <w:tmpl w:val="2F000005"/>
    <w:lvl w:ilvl="0" w:tentative="0">
      <w:start w:val="1"/>
      <w:numFmt w:val="decimal"/>
      <w:pStyle w:val="47"/>
      <w:lvlText w:val="%1."/>
      <w:lvlJc w:val="left"/>
      <w:pPr>
        <w:tabs>
          <w:tab w:val="left" w:pos="1620"/>
        </w:tabs>
        <w:ind w:left="1620" w:leftChars="1260" w:hanging="360"/>
      </w:pPr>
    </w:lvl>
    <w:lvl w:ilvl="1" w:tentative="0">
      <w:start w:val="1"/>
      <w:numFmt w:val="decimal"/>
      <w:lvlText w:val="%1."/>
      <w:lvlJc w:val="left"/>
      <w:pPr>
        <w:tabs>
          <w:tab w:val="left" w:pos="1620"/>
        </w:tabs>
        <w:ind w:left="1620" w:leftChars="1260" w:hanging="360"/>
      </w:pPr>
    </w:lvl>
    <w:lvl w:ilvl="2" w:tentative="0">
      <w:start w:val="1"/>
      <w:numFmt w:val="decimal"/>
      <w:lvlText w:val="%1."/>
      <w:lvlJc w:val="left"/>
      <w:pPr>
        <w:tabs>
          <w:tab w:val="left" w:pos="1620"/>
        </w:tabs>
        <w:ind w:left="1620" w:leftChars="1260" w:hanging="360"/>
      </w:pPr>
    </w:lvl>
    <w:lvl w:ilvl="3" w:tentative="0">
      <w:start w:val="1"/>
      <w:numFmt w:val="decimal"/>
      <w:lvlText w:val="%1."/>
      <w:lvlJc w:val="left"/>
      <w:pPr>
        <w:tabs>
          <w:tab w:val="left" w:pos="1620"/>
        </w:tabs>
        <w:ind w:left="1620" w:leftChars="1260" w:hanging="360"/>
      </w:pPr>
    </w:lvl>
    <w:lvl w:ilvl="4" w:tentative="0">
      <w:start w:val="1"/>
      <w:numFmt w:val="decimal"/>
      <w:lvlText w:val="%1."/>
      <w:lvlJc w:val="left"/>
      <w:pPr>
        <w:tabs>
          <w:tab w:val="left" w:pos="1620"/>
        </w:tabs>
        <w:ind w:left="1620" w:leftChars="1260" w:hanging="360"/>
      </w:pPr>
    </w:lvl>
    <w:lvl w:ilvl="5" w:tentative="0">
      <w:start w:val="1"/>
      <w:numFmt w:val="decimal"/>
      <w:lvlText w:val="%1."/>
      <w:lvlJc w:val="left"/>
      <w:pPr>
        <w:tabs>
          <w:tab w:val="left" w:pos="1620"/>
        </w:tabs>
        <w:ind w:left="1620" w:leftChars="1260" w:hanging="360"/>
      </w:pPr>
    </w:lvl>
    <w:lvl w:ilvl="6" w:tentative="0">
      <w:start w:val="1"/>
      <w:numFmt w:val="decimal"/>
      <w:lvlText w:val="%1."/>
      <w:lvlJc w:val="left"/>
      <w:pPr>
        <w:tabs>
          <w:tab w:val="left" w:pos="1620"/>
        </w:tabs>
        <w:ind w:left="1620" w:leftChars="1260" w:hanging="360"/>
      </w:pPr>
    </w:lvl>
    <w:lvl w:ilvl="7" w:tentative="0">
      <w:start w:val="1"/>
      <w:numFmt w:val="decimal"/>
      <w:lvlText w:val="%1."/>
      <w:lvlJc w:val="left"/>
      <w:pPr>
        <w:tabs>
          <w:tab w:val="left" w:pos="1620"/>
        </w:tabs>
        <w:ind w:left="1620" w:leftChars="1260" w:hanging="360"/>
      </w:pPr>
    </w:lvl>
    <w:lvl w:ilvl="8" w:tentative="0">
      <w:start w:val="1"/>
      <w:numFmt w:val="decimal"/>
      <w:lvlText w:val="%1."/>
      <w:lvlJc w:val="left"/>
      <w:pPr>
        <w:tabs>
          <w:tab w:val="left" w:pos="1620"/>
        </w:tabs>
        <w:ind w:left="1620" w:leftChars="1260" w:hanging="360"/>
      </w:pPr>
    </w:lvl>
  </w:abstractNum>
  <w:abstractNum w:abstractNumId="17">
    <w:nsid w:val="2F000006"/>
    <w:multiLevelType w:val="multilevel"/>
    <w:tmpl w:val="2F000006"/>
    <w:lvl w:ilvl="0" w:tentative="0">
      <w:start w:val="1"/>
      <w:numFmt w:val="bullet"/>
      <w:pStyle w:val="46"/>
      <w:lvlText w:val="l"/>
      <w:lvlJc w:val="left"/>
      <w:pPr>
        <w:tabs>
          <w:tab w:val="left" w:pos="2040"/>
        </w:tabs>
        <w:ind w:left="2040" w:leftChars="1680" w:hanging="360"/>
      </w:pPr>
      <w:rPr>
        <w:rFonts w:hint="default" w:ascii="Wingdings" w:hAnsi="Wingdings"/>
      </w:rPr>
    </w:lvl>
    <w:lvl w:ilvl="1" w:tentative="0">
      <w:start w:val="1"/>
      <w:numFmt w:val="bullet"/>
      <w:lvlText w:val="l"/>
      <w:lvlJc w:val="left"/>
      <w:pPr>
        <w:tabs>
          <w:tab w:val="left" w:pos="2040"/>
        </w:tabs>
        <w:ind w:left="2040" w:leftChars="1680" w:hanging="360"/>
      </w:pPr>
      <w:rPr>
        <w:rFonts w:hint="default" w:ascii="Wingdings" w:hAnsi="Wingdings"/>
      </w:rPr>
    </w:lvl>
    <w:lvl w:ilvl="2" w:tentative="0">
      <w:start w:val="1"/>
      <w:numFmt w:val="bullet"/>
      <w:lvlText w:val="l"/>
      <w:lvlJc w:val="left"/>
      <w:pPr>
        <w:tabs>
          <w:tab w:val="left" w:pos="2040"/>
        </w:tabs>
        <w:ind w:left="2040" w:leftChars="1680" w:hanging="360"/>
      </w:pPr>
      <w:rPr>
        <w:rFonts w:hint="default" w:ascii="Wingdings" w:hAnsi="Wingdings"/>
      </w:rPr>
    </w:lvl>
    <w:lvl w:ilvl="3" w:tentative="0">
      <w:start w:val="1"/>
      <w:numFmt w:val="bullet"/>
      <w:lvlText w:val="l"/>
      <w:lvlJc w:val="left"/>
      <w:pPr>
        <w:tabs>
          <w:tab w:val="left" w:pos="2040"/>
        </w:tabs>
        <w:ind w:left="2040" w:leftChars="1680" w:hanging="360"/>
      </w:pPr>
      <w:rPr>
        <w:rFonts w:hint="default" w:ascii="Wingdings" w:hAnsi="Wingdings"/>
      </w:rPr>
    </w:lvl>
    <w:lvl w:ilvl="4" w:tentative="0">
      <w:start w:val="1"/>
      <w:numFmt w:val="bullet"/>
      <w:lvlText w:val="l"/>
      <w:lvlJc w:val="left"/>
      <w:pPr>
        <w:tabs>
          <w:tab w:val="left" w:pos="2040"/>
        </w:tabs>
        <w:ind w:left="2040" w:leftChars="1680" w:hanging="360"/>
      </w:pPr>
      <w:rPr>
        <w:rFonts w:hint="default" w:ascii="Wingdings" w:hAnsi="Wingdings"/>
      </w:rPr>
    </w:lvl>
    <w:lvl w:ilvl="5" w:tentative="0">
      <w:start w:val="1"/>
      <w:numFmt w:val="bullet"/>
      <w:lvlText w:val="l"/>
      <w:lvlJc w:val="left"/>
      <w:pPr>
        <w:tabs>
          <w:tab w:val="left" w:pos="2040"/>
        </w:tabs>
        <w:ind w:left="2040" w:leftChars="1680" w:hanging="360"/>
      </w:pPr>
      <w:rPr>
        <w:rFonts w:hint="default" w:ascii="Wingdings" w:hAnsi="Wingdings"/>
      </w:rPr>
    </w:lvl>
    <w:lvl w:ilvl="6" w:tentative="0">
      <w:start w:val="1"/>
      <w:numFmt w:val="bullet"/>
      <w:lvlText w:val="l"/>
      <w:lvlJc w:val="left"/>
      <w:pPr>
        <w:tabs>
          <w:tab w:val="left" w:pos="2040"/>
        </w:tabs>
        <w:ind w:left="2040" w:leftChars="1680" w:hanging="360"/>
      </w:pPr>
      <w:rPr>
        <w:rFonts w:hint="default" w:ascii="Wingdings" w:hAnsi="Wingdings"/>
      </w:rPr>
    </w:lvl>
    <w:lvl w:ilvl="7" w:tentative="0">
      <w:start w:val="1"/>
      <w:numFmt w:val="bullet"/>
      <w:lvlText w:val="l"/>
      <w:lvlJc w:val="left"/>
      <w:pPr>
        <w:tabs>
          <w:tab w:val="left" w:pos="2040"/>
        </w:tabs>
        <w:ind w:left="2040" w:leftChars="1680" w:hanging="360"/>
      </w:pPr>
      <w:rPr>
        <w:rFonts w:hint="default" w:ascii="Wingdings" w:hAnsi="Wingdings"/>
      </w:rPr>
    </w:lvl>
    <w:lvl w:ilvl="8" w:tentative="0">
      <w:start w:val="1"/>
      <w:numFmt w:val="bullet"/>
      <w:lvlText w:val="l"/>
      <w:lvlJc w:val="left"/>
      <w:pPr>
        <w:tabs>
          <w:tab w:val="left" w:pos="2040"/>
        </w:tabs>
        <w:ind w:left="2040" w:leftChars="1680" w:hanging="360"/>
      </w:pPr>
      <w:rPr>
        <w:rFonts w:hint="default" w:ascii="Wingdings" w:hAnsi="Wingdings"/>
      </w:rPr>
    </w:lvl>
  </w:abstractNum>
  <w:abstractNum w:abstractNumId="18">
    <w:nsid w:val="2F000007"/>
    <w:multiLevelType w:val="multilevel"/>
    <w:tmpl w:val="2F000007"/>
    <w:lvl w:ilvl="0" w:tentative="0">
      <w:start w:val="1"/>
      <w:numFmt w:val="bullet"/>
      <w:pStyle w:val="33"/>
      <w:lvlText w:val="l"/>
      <w:lvlJc w:val="left"/>
      <w:pPr>
        <w:tabs>
          <w:tab w:val="left" w:pos="1200"/>
        </w:tabs>
        <w:ind w:left="1200" w:leftChars="840" w:hanging="360"/>
      </w:pPr>
      <w:rPr>
        <w:rFonts w:hint="default" w:ascii="Wingdings" w:hAnsi="Wingdings"/>
      </w:rPr>
    </w:lvl>
    <w:lvl w:ilvl="1" w:tentative="0">
      <w:start w:val="1"/>
      <w:numFmt w:val="bullet"/>
      <w:lvlText w:val="l"/>
      <w:lvlJc w:val="left"/>
      <w:pPr>
        <w:tabs>
          <w:tab w:val="left" w:pos="1200"/>
        </w:tabs>
        <w:ind w:left="1200" w:leftChars="840" w:hanging="360"/>
      </w:pPr>
      <w:rPr>
        <w:rFonts w:hint="default" w:ascii="Wingdings" w:hAnsi="Wingdings"/>
      </w:rPr>
    </w:lvl>
    <w:lvl w:ilvl="2" w:tentative="0">
      <w:start w:val="1"/>
      <w:numFmt w:val="bullet"/>
      <w:lvlText w:val="l"/>
      <w:lvlJc w:val="left"/>
      <w:pPr>
        <w:tabs>
          <w:tab w:val="left" w:pos="1200"/>
        </w:tabs>
        <w:ind w:left="1200" w:leftChars="840" w:hanging="360"/>
      </w:pPr>
      <w:rPr>
        <w:rFonts w:hint="default" w:ascii="Wingdings" w:hAnsi="Wingdings"/>
      </w:rPr>
    </w:lvl>
    <w:lvl w:ilvl="3" w:tentative="0">
      <w:start w:val="1"/>
      <w:numFmt w:val="bullet"/>
      <w:lvlText w:val="l"/>
      <w:lvlJc w:val="left"/>
      <w:pPr>
        <w:tabs>
          <w:tab w:val="left" w:pos="1200"/>
        </w:tabs>
        <w:ind w:left="1200" w:leftChars="840" w:hanging="360"/>
      </w:pPr>
      <w:rPr>
        <w:rFonts w:hint="default" w:ascii="Wingdings" w:hAnsi="Wingdings"/>
      </w:rPr>
    </w:lvl>
    <w:lvl w:ilvl="4" w:tentative="0">
      <w:start w:val="1"/>
      <w:numFmt w:val="bullet"/>
      <w:lvlText w:val="l"/>
      <w:lvlJc w:val="left"/>
      <w:pPr>
        <w:tabs>
          <w:tab w:val="left" w:pos="1200"/>
        </w:tabs>
        <w:ind w:left="1200" w:leftChars="840" w:hanging="360"/>
      </w:pPr>
      <w:rPr>
        <w:rFonts w:hint="default" w:ascii="Wingdings" w:hAnsi="Wingdings"/>
      </w:rPr>
    </w:lvl>
    <w:lvl w:ilvl="5" w:tentative="0">
      <w:start w:val="1"/>
      <w:numFmt w:val="bullet"/>
      <w:lvlText w:val="l"/>
      <w:lvlJc w:val="left"/>
      <w:pPr>
        <w:tabs>
          <w:tab w:val="left" w:pos="1200"/>
        </w:tabs>
        <w:ind w:left="1200" w:leftChars="840" w:hanging="360"/>
      </w:pPr>
      <w:rPr>
        <w:rFonts w:hint="default" w:ascii="Wingdings" w:hAnsi="Wingdings"/>
      </w:rPr>
    </w:lvl>
    <w:lvl w:ilvl="6" w:tentative="0">
      <w:start w:val="1"/>
      <w:numFmt w:val="bullet"/>
      <w:lvlText w:val="l"/>
      <w:lvlJc w:val="left"/>
      <w:pPr>
        <w:tabs>
          <w:tab w:val="left" w:pos="1200"/>
        </w:tabs>
        <w:ind w:left="1200" w:leftChars="840" w:hanging="360"/>
      </w:pPr>
      <w:rPr>
        <w:rFonts w:hint="default" w:ascii="Wingdings" w:hAnsi="Wingdings"/>
      </w:rPr>
    </w:lvl>
    <w:lvl w:ilvl="7" w:tentative="0">
      <w:start w:val="1"/>
      <w:numFmt w:val="bullet"/>
      <w:lvlText w:val="l"/>
      <w:lvlJc w:val="left"/>
      <w:pPr>
        <w:tabs>
          <w:tab w:val="left" w:pos="1200"/>
        </w:tabs>
        <w:ind w:left="1200" w:leftChars="840" w:hanging="360"/>
      </w:pPr>
      <w:rPr>
        <w:rFonts w:hint="default" w:ascii="Wingdings" w:hAnsi="Wingdings"/>
      </w:rPr>
    </w:lvl>
    <w:lvl w:ilvl="8" w:tentative="0">
      <w:start w:val="1"/>
      <w:numFmt w:val="bullet"/>
      <w:lvlText w:val="l"/>
      <w:lvlJc w:val="left"/>
      <w:pPr>
        <w:tabs>
          <w:tab w:val="left" w:pos="1200"/>
        </w:tabs>
        <w:ind w:left="1200" w:leftChars="840" w:hanging="360"/>
      </w:pPr>
      <w:rPr>
        <w:rFonts w:hint="default" w:ascii="Wingdings" w:hAnsi="Wingdings"/>
      </w:rPr>
    </w:lvl>
  </w:abstractNum>
  <w:abstractNum w:abstractNumId="19">
    <w:nsid w:val="2F000008"/>
    <w:multiLevelType w:val="multilevel"/>
    <w:tmpl w:val="2F000008"/>
    <w:lvl w:ilvl="0" w:tentative="0">
      <w:start w:val="1"/>
      <w:numFmt w:val="decimal"/>
      <w:pStyle w:val="20"/>
      <w:lvlText w:val="%1."/>
      <w:lvlJc w:val="left"/>
      <w:pPr>
        <w:tabs>
          <w:tab w:val="left" w:pos="360"/>
        </w:tabs>
        <w:ind w:left="360" w:hanging="360"/>
      </w:pPr>
    </w:lvl>
    <w:lvl w:ilvl="1" w:tentative="0">
      <w:start w:val="1"/>
      <w:numFmt w:val="decimal"/>
      <w:lvlText w:val="%1."/>
      <w:lvlJc w:val="left"/>
      <w:pPr>
        <w:tabs>
          <w:tab w:val="left" w:pos="360"/>
        </w:tabs>
        <w:ind w:left="360" w:hanging="360"/>
      </w:pPr>
    </w:lvl>
    <w:lvl w:ilvl="2" w:tentative="0">
      <w:start w:val="1"/>
      <w:numFmt w:val="decimal"/>
      <w:lvlText w:val="%1."/>
      <w:lvlJc w:val="left"/>
      <w:pPr>
        <w:tabs>
          <w:tab w:val="left" w:pos="360"/>
        </w:tabs>
        <w:ind w:left="360" w:hanging="360"/>
      </w:pPr>
    </w:lvl>
    <w:lvl w:ilvl="3" w:tentative="0">
      <w:start w:val="1"/>
      <w:numFmt w:val="decimal"/>
      <w:lvlText w:val="%1."/>
      <w:lvlJc w:val="left"/>
      <w:pPr>
        <w:tabs>
          <w:tab w:val="left" w:pos="360"/>
        </w:tabs>
        <w:ind w:left="360" w:hanging="360"/>
      </w:pPr>
    </w:lvl>
    <w:lvl w:ilvl="4" w:tentative="0">
      <w:start w:val="1"/>
      <w:numFmt w:val="decimal"/>
      <w:lvlText w:val="%1."/>
      <w:lvlJc w:val="left"/>
      <w:pPr>
        <w:tabs>
          <w:tab w:val="left" w:pos="360"/>
        </w:tabs>
        <w:ind w:left="360" w:hanging="360"/>
      </w:pPr>
    </w:lvl>
    <w:lvl w:ilvl="5" w:tentative="0">
      <w:start w:val="1"/>
      <w:numFmt w:val="decimal"/>
      <w:lvlText w:val="%1."/>
      <w:lvlJc w:val="left"/>
      <w:pPr>
        <w:tabs>
          <w:tab w:val="left" w:pos="360"/>
        </w:tabs>
        <w:ind w:left="360" w:hanging="360"/>
      </w:pPr>
    </w:lvl>
    <w:lvl w:ilvl="6" w:tentative="0">
      <w:start w:val="1"/>
      <w:numFmt w:val="decimal"/>
      <w:lvlText w:val="%1."/>
      <w:lvlJc w:val="left"/>
      <w:pPr>
        <w:tabs>
          <w:tab w:val="left" w:pos="360"/>
        </w:tabs>
        <w:ind w:left="360" w:hanging="360"/>
      </w:pPr>
    </w:lvl>
    <w:lvl w:ilvl="7" w:tentative="0">
      <w:start w:val="1"/>
      <w:numFmt w:val="decimal"/>
      <w:lvlText w:val="%1."/>
      <w:lvlJc w:val="left"/>
      <w:pPr>
        <w:tabs>
          <w:tab w:val="left" w:pos="360"/>
        </w:tabs>
        <w:ind w:left="360" w:hanging="360"/>
      </w:pPr>
    </w:lvl>
    <w:lvl w:ilvl="8" w:tentative="0">
      <w:start w:val="1"/>
      <w:numFmt w:val="decimal"/>
      <w:lvlText w:val="%1."/>
      <w:lvlJc w:val="left"/>
      <w:pPr>
        <w:tabs>
          <w:tab w:val="left" w:pos="360"/>
        </w:tabs>
        <w:ind w:left="360" w:hanging="360"/>
      </w:pPr>
    </w:lvl>
  </w:abstractNum>
  <w:abstractNum w:abstractNumId="20">
    <w:nsid w:val="2F000009"/>
    <w:multiLevelType w:val="multilevel"/>
    <w:tmpl w:val="2F000009"/>
    <w:lvl w:ilvl="0" w:tentative="0">
      <w:start w:val="1"/>
      <w:numFmt w:val="bullet"/>
      <w:pStyle w:val="517"/>
      <w:lvlText w:val="Ø"/>
      <w:lvlJc w:val="left"/>
      <w:pPr>
        <w:tabs>
          <w:tab w:val="left" w:pos="852"/>
        </w:tabs>
        <w:ind w:left="852" w:hanging="420"/>
      </w:pPr>
      <w:rPr>
        <w:rFonts w:hint="default" w:ascii="Wingdings" w:hAnsi="Wingdings"/>
      </w:rPr>
    </w:lvl>
    <w:lvl w:ilvl="1" w:tentative="0">
      <w:start w:val="1"/>
      <w:numFmt w:val="bullet"/>
      <w:lvlText w:val="n"/>
      <w:lvlJc w:val="left"/>
      <w:pPr>
        <w:tabs>
          <w:tab w:val="left" w:pos="1272"/>
        </w:tabs>
        <w:ind w:left="1272" w:hanging="420"/>
      </w:pPr>
      <w:rPr>
        <w:rFonts w:hint="default" w:ascii="Wingdings" w:hAnsi="Wingdings"/>
      </w:rPr>
    </w:lvl>
    <w:lvl w:ilvl="2" w:tentative="0">
      <w:start w:val="1"/>
      <w:numFmt w:val="bullet"/>
      <w:lvlText w:val="u"/>
      <w:lvlJc w:val="left"/>
      <w:pPr>
        <w:tabs>
          <w:tab w:val="left" w:pos="1692"/>
        </w:tabs>
        <w:ind w:left="1692" w:hanging="420"/>
      </w:pPr>
      <w:rPr>
        <w:rFonts w:hint="default" w:ascii="Wingdings" w:hAnsi="Wingdings"/>
      </w:rPr>
    </w:lvl>
    <w:lvl w:ilvl="3" w:tentative="0">
      <w:start w:val="1"/>
      <w:numFmt w:val="bullet"/>
      <w:lvlText w:val="l"/>
      <w:lvlJc w:val="left"/>
      <w:pPr>
        <w:tabs>
          <w:tab w:val="left" w:pos="2112"/>
        </w:tabs>
        <w:ind w:left="2112" w:hanging="420"/>
      </w:pPr>
      <w:rPr>
        <w:rFonts w:hint="default" w:ascii="Wingdings" w:hAnsi="Wingdings"/>
      </w:rPr>
    </w:lvl>
    <w:lvl w:ilvl="4" w:tentative="0">
      <w:start w:val="1"/>
      <w:numFmt w:val="bullet"/>
      <w:lvlText w:val="n"/>
      <w:lvlJc w:val="left"/>
      <w:pPr>
        <w:tabs>
          <w:tab w:val="left" w:pos="2532"/>
        </w:tabs>
        <w:ind w:left="2532" w:hanging="420"/>
      </w:pPr>
      <w:rPr>
        <w:rFonts w:hint="default" w:ascii="Wingdings" w:hAnsi="Wingdings"/>
      </w:rPr>
    </w:lvl>
    <w:lvl w:ilvl="5" w:tentative="0">
      <w:start w:val="1"/>
      <w:numFmt w:val="bullet"/>
      <w:lvlText w:val="u"/>
      <w:lvlJc w:val="left"/>
      <w:pPr>
        <w:tabs>
          <w:tab w:val="left" w:pos="2952"/>
        </w:tabs>
        <w:ind w:left="2952" w:hanging="420"/>
      </w:pPr>
      <w:rPr>
        <w:rFonts w:hint="default" w:ascii="Wingdings" w:hAnsi="Wingdings"/>
      </w:rPr>
    </w:lvl>
    <w:lvl w:ilvl="6" w:tentative="0">
      <w:start w:val="1"/>
      <w:numFmt w:val="bullet"/>
      <w:lvlText w:val="l"/>
      <w:lvlJc w:val="left"/>
      <w:pPr>
        <w:tabs>
          <w:tab w:val="left" w:pos="3372"/>
        </w:tabs>
        <w:ind w:left="3372" w:hanging="420"/>
      </w:pPr>
      <w:rPr>
        <w:rFonts w:hint="default" w:ascii="Wingdings" w:hAnsi="Wingdings"/>
      </w:rPr>
    </w:lvl>
    <w:lvl w:ilvl="7" w:tentative="0">
      <w:start w:val="1"/>
      <w:numFmt w:val="bullet"/>
      <w:lvlText w:val="n"/>
      <w:lvlJc w:val="left"/>
      <w:pPr>
        <w:tabs>
          <w:tab w:val="left" w:pos="3792"/>
        </w:tabs>
        <w:ind w:left="3792" w:hanging="420"/>
      </w:pPr>
      <w:rPr>
        <w:rFonts w:hint="default" w:ascii="Wingdings" w:hAnsi="Wingdings"/>
      </w:rPr>
    </w:lvl>
    <w:lvl w:ilvl="8" w:tentative="0">
      <w:start w:val="1"/>
      <w:numFmt w:val="bullet"/>
      <w:lvlText w:val="u"/>
      <w:lvlJc w:val="left"/>
      <w:pPr>
        <w:tabs>
          <w:tab w:val="left" w:pos="4212"/>
        </w:tabs>
        <w:ind w:left="4212" w:hanging="420"/>
      </w:pPr>
      <w:rPr>
        <w:rFonts w:hint="default" w:ascii="Wingdings" w:hAnsi="Wingdings"/>
      </w:rPr>
    </w:lvl>
  </w:abstractNum>
  <w:abstractNum w:abstractNumId="21">
    <w:nsid w:val="2F00000A"/>
    <w:multiLevelType w:val="multilevel"/>
    <w:tmpl w:val="2F00000A"/>
    <w:lvl w:ilvl="0" w:tentative="0">
      <w:start w:val="1"/>
      <w:numFmt w:val="bullet"/>
      <w:pStyle w:val="529"/>
      <w:lvlText w:val="l"/>
      <w:lvlJc w:val="left"/>
      <w:pPr>
        <w:tabs>
          <w:tab w:val="left" w:pos="360"/>
        </w:tabs>
        <w:ind w:left="360" w:hanging="360"/>
      </w:pPr>
      <w:rPr>
        <w:rFonts w:hint="default" w:ascii="Wingdings" w:hAnsi="Wingdings"/>
      </w:rPr>
    </w:lvl>
    <w:lvl w:ilvl="1" w:tentative="0">
      <w:start w:val="1"/>
      <w:numFmt w:val="bullet"/>
      <w:lvlText w:val="l"/>
      <w:lvlJc w:val="left"/>
      <w:pPr>
        <w:tabs>
          <w:tab w:val="left" w:pos="360"/>
        </w:tabs>
        <w:ind w:left="360" w:hanging="360"/>
      </w:pPr>
      <w:rPr>
        <w:rFonts w:hint="default" w:ascii="Wingdings" w:hAnsi="Wingdings"/>
      </w:rPr>
    </w:lvl>
    <w:lvl w:ilvl="2" w:tentative="0">
      <w:start w:val="1"/>
      <w:numFmt w:val="bullet"/>
      <w:lvlText w:val="l"/>
      <w:lvlJc w:val="left"/>
      <w:pPr>
        <w:tabs>
          <w:tab w:val="left" w:pos="360"/>
        </w:tabs>
        <w:ind w:left="360" w:hanging="360"/>
      </w:pPr>
      <w:rPr>
        <w:rFonts w:hint="default" w:ascii="Wingdings" w:hAnsi="Wingdings"/>
      </w:rPr>
    </w:lvl>
    <w:lvl w:ilvl="3" w:tentative="0">
      <w:start w:val="1"/>
      <w:numFmt w:val="bullet"/>
      <w:lvlText w:val="l"/>
      <w:lvlJc w:val="left"/>
      <w:pPr>
        <w:tabs>
          <w:tab w:val="left" w:pos="360"/>
        </w:tabs>
        <w:ind w:left="360" w:hanging="360"/>
      </w:pPr>
      <w:rPr>
        <w:rFonts w:hint="default" w:ascii="Wingdings" w:hAnsi="Wingdings"/>
      </w:rPr>
    </w:lvl>
    <w:lvl w:ilvl="4" w:tentative="0">
      <w:start w:val="1"/>
      <w:numFmt w:val="bullet"/>
      <w:lvlText w:val="l"/>
      <w:lvlJc w:val="left"/>
      <w:pPr>
        <w:tabs>
          <w:tab w:val="left" w:pos="360"/>
        </w:tabs>
        <w:ind w:left="360" w:hanging="360"/>
      </w:pPr>
      <w:rPr>
        <w:rFonts w:hint="default" w:ascii="Wingdings" w:hAnsi="Wingdings"/>
      </w:rPr>
    </w:lvl>
    <w:lvl w:ilvl="5" w:tentative="0">
      <w:start w:val="1"/>
      <w:numFmt w:val="bullet"/>
      <w:lvlText w:val="l"/>
      <w:lvlJc w:val="left"/>
      <w:pPr>
        <w:tabs>
          <w:tab w:val="left" w:pos="360"/>
        </w:tabs>
        <w:ind w:left="360" w:hanging="360"/>
      </w:pPr>
      <w:rPr>
        <w:rFonts w:hint="default" w:ascii="Wingdings" w:hAnsi="Wingdings"/>
      </w:rPr>
    </w:lvl>
    <w:lvl w:ilvl="6" w:tentative="0">
      <w:start w:val="1"/>
      <w:numFmt w:val="bullet"/>
      <w:lvlText w:val="l"/>
      <w:lvlJc w:val="left"/>
      <w:pPr>
        <w:tabs>
          <w:tab w:val="left" w:pos="360"/>
        </w:tabs>
        <w:ind w:left="360" w:hanging="360"/>
      </w:pPr>
      <w:rPr>
        <w:rFonts w:hint="default" w:ascii="Wingdings" w:hAnsi="Wingdings"/>
      </w:rPr>
    </w:lvl>
    <w:lvl w:ilvl="7" w:tentative="0">
      <w:start w:val="1"/>
      <w:numFmt w:val="bullet"/>
      <w:lvlText w:val="l"/>
      <w:lvlJc w:val="left"/>
      <w:pPr>
        <w:tabs>
          <w:tab w:val="left" w:pos="360"/>
        </w:tabs>
        <w:ind w:left="360" w:hanging="360"/>
      </w:pPr>
      <w:rPr>
        <w:rFonts w:hint="default" w:ascii="Wingdings" w:hAnsi="Wingdings"/>
      </w:rPr>
    </w:lvl>
    <w:lvl w:ilvl="8" w:tentative="0">
      <w:start w:val="1"/>
      <w:numFmt w:val="bullet"/>
      <w:lvlText w:val="l"/>
      <w:lvlJc w:val="left"/>
      <w:pPr>
        <w:tabs>
          <w:tab w:val="left" w:pos="360"/>
        </w:tabs>
        <w:ind w:left="360" w:hanging="360"/>
      </w:pPr>
      <w:rPr>
        <w:rFonts w:hint="default" w:ascii="Wingdings" w:hAnsi="Wingdings"/>
      </w:rPr>
    </w:lvl>
  </w:abstractNum>
  <w:abstractNum w:abstractNumId="22">
    <w:nsid w:val="2F00000B"/>
    <w:multiLevelType w:val="multilevel"/>
    <w:tmpl w:val="2F00000B"/>
    <w:lvl w:ilvl="0" w:tentative="0">
      <w:start w:val="1"/>
      <w:numFmt w:val="bullet"/>
      <w:pStyle w:val="518"/>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3">
    <w:nsid w:val="2F00000C"/>
    <w:multiLevelType w:val="multilevel"/>
    <w:tmpl w:val="2F00000C"/>
    <w:lvl w:ilvl="0" w:tentative="0">
      <w:start w:val="1"/>
      <w:numFmt w:val="bullet"/>
      <w:pStyle w:val="348"/>
      <w:lvlText w:val="²"/>
      <w:lvlJc w:val="left"/>
      <w:pPr>
        <w:tabs>
          <w:tab w:val="left" w:pos="3114"/>
        </w:tabs>
        <w:ind w:left="3114"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2F00000D"/>
    <w:multiLevelType w:val="multilevel"/>
    <w:tmpl w:val="2F00000D"/>
    <w:lvl w:ilvl="0" w:tentative="0">
      <w:start w:val="0"/>
      <w:numFmt w:val="decimal"/>
      <w:pStyle w:val="527"/>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5">
    <w:nsid w:val="2F00000E"/>
    <w:multiLevelType w:val="multilevel"/>
    <w:tmpl w:val="2F00000E"/>
    <w:lvl w:ilvl="0" w:tentative="0">
      <w:start w:val="1"/>
      <w:numFmt w:val="decimal"/>
      <w:pStyle w:val="52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2F00000F"/>
    <w:multiLevelType w:val="multilevel"/>
    <w:tmpl w:val="2F00000F"/>
    <w:lvl w:ilvl="0" w:tentative="0">
      <w:start w:val="1"/>
      <w:numFmt w:val="bullet"/>
      <w:pStyle w:val="530"/>
      <w:lvlText w:val="Ø"/>
      <w:lvlJc w:val="left"/>
      <w:pPr>
        <w:ind w:left="420" w:hanging="420"/>
      </w:pPr>
      <w:rPr>
        <w:rFonts w:hint="default" w:ascii="Wingdings" w:hAnsi="Wingdings"/>
      </w:rPr>
    </w:lvl>
    <w:lvl w:ilvl="1" w:tentative="0">
      <w:start w:val="1"/>
      <w:numFmt w:val="bullet"/>
      <w:lvlText w:val="n"/>
      <w:lvlJc w:val="left"/>
      <w:pPr>
        <w:ind w:left="840" w:hanging="420"/>
      </w:pPr>
      <w:rPr>
        <w:rFonts w:hint="default" w:ascii="Wingdings" w:hAnsi="Wingdings"/>
      </w:rPr>
    </w:lvl>
    <w:lvl w:ilvl="2" w:tentative="0">
      <w:start w:val="1"/>
      <w:numFmt w:val="bullet"/>
      <w:lvlText w:val="u"/>
      <w:lvlJc w:val="left"/>
      <w:pPr>
        <w:ind w:left="1260" w:hanging="420"/>
      </w:pPr>
      <w:rPr>
        <w:rFonts w:hint="default" w:ascii="Wingdings" w:hAnsi="Wingdings"/>
      </w:rPr>
    </w:lvl>
    <w:lvl w:ilvl="3" w:tentative="0">
      <w:start w:val="1"/>
      <w:numFmt w:val="bullet"/>
      <w:lvlText w:val="l"/>
      <w:lvlJc w:val="left"/>
      <w:pPr>
        <w:ind w:left="1680" w:hanging="420"/>
      </w:pPr>
      <w:rPr>
        <w:rFonts w:hint="default" w:ascii="Wingdings" w:hAnsi="Wingdings"/>
      </w:rPr>
    </w:lvl>
    <w:lvl w:ilvl="4" w:tentative="0">
      <w:start w:val="1"/>
      <w:numFmt w:val="bullet"/>
      <w:lvlText w:val="n"/>
      <w:lvlJc w:val="left"/>
      <w:pPr>
        <w:ind w:left="2100" w:hanging="420"/>
      </w:pPr>
      <w:rPr>
        <w:rFonts w:hint="default" w:ascii="Wingdings" w:hAnsi="Wingdings"/>
      </w:rPr>
    </w:lvl>
    <w:lvl w:ilvl="5" w:tentative="0">
      <w:start w:val="1"/>
      <w:numFmt w:val="bullet"/>
      <w:lvlText w:val="u"/>
      <w:lvlJc w:val="left"/>
      <w:pPr>
        <w:ind w:left="2520" w:hanging="420"/>
      </w:pPr>
      <w:rPr>
        <w:rFonts w:hint="default" w:ascii="Wingdings" w:hAnsi="Wingdings"/>
      </w:rPr>
    </w:lvl>
    <w:lvl w:ilvl="6" w:tentative="0">
      <w:start w:val="1"/>
      <w:numFmt w:val="bullet"/>
      <w:lvlText w:val="l"/>
      <w:lvlJc w:val="left"/>
      <w:pPr>
        <w:ind w:left="2940" w:hanging="420"/>
      </w:pPr>
      <w:rPr>
        <w:rFonts w:hint="default" w:ascii="Wingdings" w:hAnsi="Wingdings"/>
      </w:rPr>
    </w:lvl>
    <w:lvl w:ilvl="7" w:tentative="0">
      <w:start w:val="1"/>
      <w:numFmt w:val="bullet"/>
      <w:lvlText w:val="n"/>
      <w:lvlJc w:val="left"/>
      <w:pPr>
        <w:ind w:left="3360" w:hanging="420"/>
      </w:pPr>
      <w:rPr>
        <w:rFonts w:hint="default" w:ascii="Wingdings" w:hAnsi="Wingdings"/>
      </w:rPr>
    </w:lvl>
    <w:lvl w:ilvl="8" w:tentative="0">
      <w:start w:val="1"/>
      <w:numFmt w:val="bullet"/>
      <w:lvlText w:val="u"/>
      <w:lvlJc w:val="left"/>
      <w:pPr>
        <w:ind w:left="3780" w:hanging="420"/>
      </w:pPr>
      <w:rPr>
        <w:rFonts w:hint="default" w:ascii="Wingdings" w:hAnsi="Wingdings"/>
      </w:rPr>
    </w:lvl>
  </w:abstractNum>
  <w:abstractNum w:abstractNumId="27">
    <w:nsid w:val="2F000010"/>
    <w:multiLevelType w:val="multilevel"/>
    <w:tmpl w:val="2F000010"/>
    <w:lvl w:ilvl="0" w:tentative="0">
      <w:start w:val="1"/>
      <w:numFmt w:val="decimal"/>
      <w:lvlText w:val="%1）"/>
      <w:lvlJc w:val="left"/>
      <w:pPr>
        <w:tabs>
          <w:tab w:val="left" w:pos="900"/>
        </w:tabs>
        <w:ind w:left="900" w:hanging="360"/>
      </w:pPr>
      <w:rPr>
        <w:rFonts w:hint="default"/>
      </w:rPr>
    </w:lvl>
    <w:lvl w:ilvl="1" w:tentative="0">
      <w:start w:val="1"/>
      <w:numFmt w:val="lowerLetter"/>
      <w:pStyle w:val="525"/>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28">
    <w:nsid w:val="2F000011"/>
    <w:multiLevelType w:val="multilevel"/>
    <w:tmpl w:val="2F000011"/>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pStyle w:val="520"/>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9">
    <w:nsid w:val="2F000012"/>
    <w:multiLevelType w:val="multilevel"/>
    <w:tmpl w:val="2F000012"/>
    <w:lvl w:ilvl="0" w:tentative="0">
      <w:start w:val="0"/>
      <w:numFmt w:val="decimal"/>
      <w:pStyle w:val="521"/>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0">
    <w:nsid w:val="2F000013"/>
    <w:multiLevelType w:val="multilevel"/>
    <w:tmpl w:val="2F000013"/>
    <w:lvl w:ilvl="0" w:tentative="0">
      <w:start w:val="1"/>
      <w:numFmt w:val="decimal"/>
      <w:pStyle w:val="934"/>
      <w:lvlText w:val="%1)"/>
      <w:lvlJc w:val="left"/>
      <w:pPr>
        <w:tabs>
          <w:tab w:val="left" w:pos="902"/>
        </w:tabs>
        <w:ind w:left="902" w:hanging="420"/>
      </w:pPr>
    </w:lvl>
    <w:lvl w:ilvl="1" w:tentative="0">
      <w:start w:val="1"/>
      <w:numFmt w:val="decimal"/>
      <w:lvlText w:val="(%2)"/>
      <w:lvlJc w:val="left"/>
      <w:pPr>
        <w:tabs>
          <w:tab w:val="left" w:pos="1382"/>
        </w:tabs>
        <w:ind w:left="1382" w:hanging="480"/>
      </w:pPr>
      <w:rPr>
        <w:rFonts w:hint="eastAsia"/>
      </w:rPr>
    </w:lvl>
    <w:lvl w:ilvl="2" w:tentative="0">
      <w:start w:val="1"/>
      <w:numFmt w:val="decimal"/>
      <w:lvlText w:val="（%3）"/>
      <w:lvlJc w:val="left"/>
      <w:pPr>
        <w:tabs>
          <w:tab w:val="left" w:pos="2372"/>
        </w:tabs>
        <w:ind w:left="2372" w:hanging="1050"/>
      </w:pPr>
      <w:rPr>
        <w:rFonts w:hint="default" w:hAnsi="Times New Roman"/>
      </w:rPr>
    </w:lvl>
    <w:lvl w:ilvl="3" w:tentative="0">
      <w:start w:val="1"/>
      <w:numFmt w:val="japaneseCounting"/>
      <w:lvlText w:val="%4、"/>
      <w:lvlJc w:val="left"/>
      <w:pPr>
        <w:tabs>
          <w:tab w:val="left" w:pos="2222"/>
        </w:tabs>
        <w:ind w:left="2222" w:hanging="480"/>
      </w:pPr>
      <w:rPr>
        <w:rFonts w:hint="default"/>
      </w:r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31">
    <w:nsid w:val="2F000014"/>
    <w:multiLevelType w:val="multilevel"/>
    <w:tmpl w:val="2F000014"/>
    <w:lvl w:ilvl="0" w:tentative="0">
      <w:start w:val="1"/>
      <w:numFmt w:val="decimal"/>
      <w:pStyle w:val="713"/>
      <w:lvlText w:val="7-%1"/>
      <w:lvlJc w:val="left"/>
      <w:pPr>
        <w:tabs>
          <w:tab w:val="left" w:pos="720"/>
        </w:tabs>
        <w:ind w:left="720" w:hanging="720"/>
      </w:pPr>
      <w:rPr>
        <w:rFonts w:hint="eastAsia" w:eastAsia="宋体"/>
        <w:b/>
        <w:i w:val="0"/>
        <w:sz w:val="24"/>
        <w:szCs w:val="24"/>
      </w:rPr>
    </w:lvl>
    <w:lvl w:ilvl="1" w:tentative="0">
      <w:start w:val="1"/>
      <w:numFmt w:val="bullet"/>
      <w:lvlText w:val="q"/>
      <w:lvlJc w:val="left"/>
      <w:pPr>
        <w:tabs>
          <w:tab w:val="left" w:pos="840"/>
        </w:tabs>
        <w:ind w:left="840" w:hanging="420"/>
      </w:pPr>
      <w:rPr>
        <w:rFonts w:hint="default" w:ascii="Wingdings" w:hAnsi="Wingdings"/>
        <w:b w:val="0"/>
        <w:i w:val="0"/>
        <w:sz w:val="24"/>
        <w:szCs w:val="24"/>
      </w:rPr>
    </w:lvl>
    <w:lvl w:ilvl="2" w:tentative="0">
      <w:start w:val="1"/>
      <w:numFmt w:val="decimal"/>
      <w:lvlText w:val="（%3）"/>
      <w:lvlJc w:val="left"/>
      <w:pPr>
        <w:tabs>
          <w:tab w:val="left" w:pos="1440"/>
        </w:tabs>
        <w:ind w:left="1440" w:hanging="600"/>
      </w:pPr>
      <w:rPr>
        <w:rFonts w:hint="default"/>
        <w:b/>
        <w:i w:val="0"/>
        <w:sz w:val="24"/>
        <w:szCs w:val="24"/>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2F000015"/>
    <w:multiLevelType w:val="multilevel"/>
    <w:tmpl w:val="2F000015"/>
    <w:lvl w:ilvl="0" w:tentative="0">
      <w:start w:val="1"/>
      <w:numFmt w:val="bullet"/>
      <w:pStyle w:val="840"/>
      <w:lvlText w:val="u"/>
      <w:lvlJc w:val="left"/>
      <w:pPr>
        <w:ind w:left="420" w:hanging="420"/>
      </w:pPr>
      <w:rPr>
        <w:rFonts w:hint="default" w:ascii="Wingdings" w:hAnsi="Wingdings"/>
      </w:rPr>
    </w:lvl>
    <w:lvl w:ilvl="1" w:tentative="0">
      <w:start w:val="1"/>
      <w:numFmt w:val="bullet"/>
      <w:lvlText w:val="n"/>
      <w:lvlJc w:val="left"/>
      <w:pPr>
        <w:ind w:left="840" w:hanging="420"/>
      </w:pPr>
      <w:rPr>
        <w:rFonts w:hint="default" w:ascii="Wingdings" w:hAnsi="Wingdings"/>
      </w:rPr>
    </w:lvl>
    <w:lvl w:ilvl="2" w:tentative="0">
      <w:start w:val="1"/>
      <w:numFmt w:val="bullet"/>
      <w:lvlText w:val="u"/>
      <w:lvlJc w:val="left"/>
      <w:pPr>
        <w:ind w:left="1260" w:hanging="420"/>
      </w:pPr>
      <w:rPr>
        <w:rFonts w:hint="default" w:ascii="Wingdings" w:hAnsi="Wingdings"/>
      </w:rPr>
    </w:lvl>
    <w:lvl w:ilvl="3" w:tentative="0">
      <w:start w:val="1"/>
      <w:numFmt w:val="bullet"/>
      <w:lvlText w:val="l"/>
      <w:lvlJc w:val="left"/>
      <w:pPr>
        <w:ind w:left="1680" w:hanging="420"/>
      </w:pPr>
      <w:rPr>
        <w:rFonts w:hint="default" w:ascii="Wingdings" w:hAnsi="Wingdings"/>
      </w:rPr>
    </w:lvl>
    <w:lvl w:ilvl="4" w:tentative="0">
      <w:start w:val="1"/>
      <w:numFmt w:val="bullet"/>
      <w:lvlText w:val="n"/>
      <w:lvlJc w:val="left"/>
      <w:pPr>
        <w:ind w:left="2100" w:hanging="420"/>
      </w:pPr>
      <w:rPr>
        <w:rFonts w:hint="default" w:ascii="Wingdings" w:hAnsi="Wingdings"/>
      </w:rPr>
    </w:lvl>
    <w:lvl w:ilvl="5" w:tentative="0">
      <w:start w:val="1"/>
      <w:numFmt w:val="bullet"/>
      <w:lvlText w:val="u"/>
      <w:lvlJc w:val="left"/>
      <w:pPr>
        <w:ind w:left="2520" w:hanging="420"/>
      </w:pPr>
      <w:rPr>
        <w:rFonts w:hint="default" w:ascii="Wingdings" w:hAnsi="Wingdings"/>
      </w:rPr>
    </w:lvl>
    <w:lvl w:ilvl="6" w:tentative="0">
      <w:start w:val="1"/>
      <w:numFmt w:val="bullet"/>
      <w:lvlText w:val="l"/>
      <w:lvlJc w:val="left"/>
      <w:pPr>
        <w:ind w:left="2940" w:hanging="420"/>
      </w:pPr>
      <w:rPr>
        <w:rFonts w:hint="default" w:ascii="Wingdings" w:hAnsi="Wingdings"/>
      </w:rPr>
    </w:lvl>
    <w:lvl w:ilvl="7" w:tentative="0">
      <w:start w:val="1"/>
      <w:numFmt w:val="bullet"/>
      <w:lvlText w:val="n"/>
      <w:lvlJc w:val="left"/>
      <w:pPr>
        <w:ind w:left="3360" w:hanging="420"/>
      </w:pPr>
      <w:rPr>
        <w:rFonts w:hint="default" w:ascii="Wingdings" w:hAnsi="Wingdings"/>
      </w:rPr>
    </w:lvl>
    <w:lvl w:ilvl="8" w:tentative="0">
      <w:start w:val="1"/>
      <w:numFmt w:val="bullet"/>
      <w:lvlText w:val="u"/>
      <w:lvlJc w:val="left"/>
      <w:pPr>
        <w:ind w:left="3780" w:hanging="420"/>
      </w:pPr>
      <w:rPr>
        <w:rFonts w:hint="default" w:ascii="Wingdings" w:hAnsi="Wingdings"/>
      </w:rPr>
    </w:lvl>
  </w:abstractNum>
  <w:abstractNum w:abstractNumId="33">
    <w:nsid w:val="2F000016"/>
    <w:multiLevelType w:val="multilevel"/>
    <w:tmpl w:val="2F000016"/>
    <w:lvl w:ilvl="0" w:tentative="0">
      <w:start w:val="1"/>
      <w:numFmt w:val="decimalEnclosedCircle"/>
      <w:pStyle w:val="733"/>
      <w:lvlText w:val="%1"/>
      <w:lvlJc w:val="left"/>
      <w:pPr>
        <w:tabs>
          <w:tab w:val="left" w:pos="227"/>
        </w:tabs>
        <w:ind w:left="743" w:hanging="233"/>
      </w:pPr>
      <w:rPr>
        <w:rFonts w:hint="default" w:ascii="Times New Roman" w:hAnsi="Times New Roman" w:eastAsia="宋体"/>
        <w:b w:val="0"/>
        <w:i w:val="0"/>
        <w:color w:val="auto"/>
        <w:sz w:val="24"/>
        <w:szCs w:val="24"/>
        <w:u w:val="no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2F000017"/>
    <w:multiLevelType w:val="multilevel"/>
    <w:tmpl w:val="2F000017"/>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989"/>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5">
    <w:nsid w:val="2F000018"/>
    <w:multiLevelType w:val="multilevel"/>
    <w:tmpl w:val="2F000018"/>
    <w:lvl w:ilvl="0" w:tentative="0">
      <w:start w:val="1"/>
      <w:numFmt w:val="chineseCountingThousand"/>
      <w:pStyle w:val="833"/>
      <w:suff w:val="space"/>
      <w:lvlText w:val="%1. "/>
      <w:lvlJc w:val="left"/>
      <w:pPr>
        <w:ind w:left="907" w:hanging="907"/>
      </w:pPr>
      <w:rPr>
        <w:rFonts w:hint="eastAsia"/>
      </w:rPr>
    </w:lvl>
    <w:lvl w:ilvl="1" w:tentative="0">
      <w:start w:val="1"/>
      <w:numFmt w:val="decimal"/>
      <w:suff w:val="space"/>
      <w:lvlText w:val="%1.%2 "/>
      <w:lvlJc w:val="left"/>
      <w:pPr>
        <w:ind w:left="794" w:hanging="794"/>
      </w:pPr>
      <w:rPr>
        <w:rFonts w:hint="eastAsia"/>
      </w:rPr>
    </w:lvl>
    <w:lvl w:ilvl="2" w:tentative="0">
      <w:start w:val="1"/>
      <w:numFmt w:val="decimal"/>
      <w:suff w:val="space"/>
      <w:lvlText w:val="%1.%2.%3 "/>
      <w:lvlJc w:val="left"/>
      <w:pPr>
        <w:ind w:left="907" w:hanging="907"/>
      </w:pPr>
      <w:rPr>
        <w:rFonts w:hint="eastAsia"/>
      </w:rPr>
    </w:lvl>
    <w:lvl w:ilvl="3" w:tentative="0">
      <w:start w:val="1"/>
      <w:numFmt w:val="decimal"/>
      <w:suff w:val="space"/>
      <w:lvlText w:val="%1.%2.%3.%4 "/>
      <w:lvlJc w:val="left"/>
      <w:pPr>
        <w:ind w:left="1021" w:hanging="1021"/>
      </w:pPr>
      <w:rPr>
        <w:rFonts w:hint="eastAsia"/>
      </w:rPr>
    </w:lvl>
    <w:lvl w:ilvl="4" w:tentative="0">
      <w:start w:val="1"/>
      <w:numFmt w:val="decimal"/>
      <w:pStyle w:val="834"/>
      <w:suff w:val="space"/>
      <w:lvlText w:val="%1.%2.%3.%4.%5 "/>
      <w:lvlJc w:val="left"/>
      <w:pPr>
        <w:ind w:left="1134" w:hanging="1134"/>
      </w:pPr>
      <w:rPr>
        <w:rFonts w:hint="eastAsia"/>
      </w:rPr>
    </w:lvl>
    <w:lvl w:ilvl="5" w:tentative="0">
      <w:start w:val="1"/>
      <w:numFmt w:val="decimal"/>
      <w:pStyle w:val="835"/>
      <w:suff w:val="space"/>
      <w:lvlText w:val="%1.%2.%3.%4.%5.%6 "/>
      <w:lvlJc w:val="left"/>
      <w:pPr>
        <w:ind w:left="1247" w:hanging="1247"/>
      </w:pPr>
      <w:rPr>
        <w:rFonts w:hint="eastAsia"/>
      </w:rPr>
    </w:lvl>
    <w:lvl w:ilvl="6" w:tentative="0">
      <w:start w:val="1"/>
      <w:numFmt w:val="decimal"/>
      <w:lvlRestart w:val="1"/>
      <w:pStyle w:val="836"/>
      <w:suff w:val="space"/>
      <w:lvlText w:val="图 %1.%7 "/>
      <w:lvlJc w:val="left"/>
      <w:pPr>
        <w:ind w:left="0" w:firstLine="0"/>
      </w:pPr>
      <w:rPr>
        <w:rFonts w:hint="eastAsia"/>
      </w:rPr>
    </w:lvl>
    <w:lvl w:ilvl="7" w:tentative="0">
      <w:start w:val="1"/>
      <w:numFmt w:val="decimal"/>
      <w:lvlRestart w:val="1"/>
      <w:suff w:val="space"/>
      <w:lvlText w:val="表 %1.%8 "/>
      <w:lvlJc w:val="left"/>
      <w:pPr>
        <w:ind w:left="0" w:firstLine="0"/>
      </w:pPr>
      <w:rPr>
        <w:rFonts w:hint="eastAsia"/>
      </w:rPr>
    </w:lvl>
    <w:lvl w:ilvl="8" w:tentative="0">
      <w:start w:val="1"/>
      <w:numFmt w:val="bullet"/>
      <w:suff w:val="nothing"/>
      <w:lvlText w:val=""/>
      <w:lvlJc w:val="left"/>
      <w:pPr>
        <w:ind w:left="0" w:firstLine="0"/>
      </w:pPr>
      <w:rPr>
        <w:rFonts w:hint="eastAsia"/>
      </w:rPr>
    </w:lvl>
  </w:abstractNum>
  <w:abstractNum w:abstractNumId="36">
    <w:nsid w:val="2F000019"/>
    <w:multiLevelType w:val="multilevel"/>
    <w:tmpl w:val="2F000019"/>
    <w:lvl w:ilvl="0" w:tentative="0">
      <w:start w:val="1"/>
      <w:numFmt w:val="bullet"/>
      <w:pStyle w:val="694"/>
      <w:lvlText w:val="§"/>
      <w:lvlJc w:val="left"/>
      <w:pPr>
        <w:tabs>
          <w:tab w:val="left" w:pos="720"/>
        </w:tabs>
        <w:ind w:left="360" w:firstLine="0"/>
      </w:pPr>
      <w:rPr>
        <w:rFonts w:hint="default" w:ascii="Wingdings" w:hAnsi="Wingdings"/>
      </w:rPr>
    </w:lvl>
    <w:lvl w:ilvl="1" w:tentative="0">
      <w:start w:val="1"/>
      <w:numFmt w:val="bullet"/>
      <w:lvlText w:val="§"/>
      <w:lvlJc w:val="left"/>
      <w:pPr>
        <w:tabs>
          <w:tab w:val="left" w:pos="720"/>
        </w:tabs>
        <w:ind w:left="360" w:firstLine="0"/>
      </w:pPr>
      <w:rPr>
        <w:rFonts w:hint="default" w:ascii="Wingdings" w:hAnsi="Wingdings"/>
      </w:rPr>
    </w:lvl>
    <w:lvl w:ilvl="2" w:tentative="0">
      <w:start w:val="1"/>
      <w:numFmt w:val="bullet"/>
      <w:lvlText w:val="§"/>
      <w:lvlJc w:val="left"/>
      <w:pPr>
        <w:tabs>
          <w:tab w:val="left" w:pos="720"/>
        </w:tabs>
        <w:ind w:left="360" w:firstLine="0"/>
      </w:pPr>
      <w:rPr>
        <w:rFonts w:hint="default" w:ascii="Wingdings" w:hAnsi="Wingdings"/>
      </w:rPr>
    </w:lvl>
    <w:lvl w:ilvl="3" w:tentative="0">
      <w:start w:val="1"/>
      <w:numFmt w:val="bullet"/>
      <w:lvlText w:val="§"/>
      <w:lvlJc w:val="left"/>
      <w:pPr>
        <w:tabs>
          <w:tab w:val="left" w:pos="720"/>
        </w:tabs>
        <w:ind w:left="360" w:firstLine="0"/>
      </w:pPr>
      <w:rPr>
        <w:rFonts w:hint="default" w:ascii="Wingdings" w:hAnsi="Wingdings"/>
      </w:rPr>
    </w:lvl>
    <w:lvl w:ilvl="4" w:tentative="0">
      <w:start w:val="1"/>
      <w:numFmt w:val="bullet"/>
      <w:lvlText w:val="§"/>
      <w:lvlJc w:val="left"/>
      <w:pPr>
        <w:tabs>
          <w:tab w:val="left" w:pos="720"/>
        </w:tabs>
        <w:ind w:left="360" w:firstLine="0"/>
      </w:pPr>
      <w:rPr>
        <w:rFonts w:hint="default" w:ascii="Wingdings" w:hAnsi="Wingdings"/>
      </w:rPr>
    </w:lvl>
    <w:lvl w:ilvl="5" w:tentative="0">
      <w:start w:val="1"/>
      <w:numFmt w:val="bullet"/>
      <w:lvlText w:val="§"/>
      <w:lvlJc w:val="left"/>
      <w:pPr>
        <w:tabs>
          <w:tab w:val="left" w:pos="720"/>
        </w:tabs>
        <w:ind w:left="360" w:firstLine="0"/>
      </w:pPr>
      <w:rPr>
        <w:rFonts w:hint="default" w:ascii="Wingdings" w:hAnsi="Wingdings"/>
      </w:rPr>
    </w:lvl>
    <w:lvl w:ilvl="6" w:tentative="0">
      <w:start w:val="1"/>
      <w:numFmt w:val="bullet"/>
      <w:lvlText w:val="§"/>
      <w:lvlJc w:val="left"/>
      <w:pPr>
        <w:tabs>
          <w:tab w:val="left" w:pos="720"/>
        </w:tabs>
        <w:ind w:left="360" w:firstLine="0"/>
      </w:pPr>
      <w:rPr>
        <w:rFonts w:hint="default" w:ascii="Wingdings" w:hAnsi="Wingdings"/>
      </w:rPr>
    </w:lvl>
    <w:lvl w:ilvl="7" w:tentative="0">
      <w:start w:val="1"/>
      <w:numFmt w:val="bullet"/>
      <w:lvlText w:val="§"/>
      <w:lvlJc w:val="left"/>
      <w:pPr>
        <w:tabs>
          <w:tab w:val="left" w:pos="720"/>
        </w:tabs>
        <w:ind w:left="360" w:firstLine="0"/>
      </w:pPr>
      <w:rPr>
        <w:rFonts w:hint="default" w:ascii="Wingdings" w:hAnsi="Wingdings"/>
      </w:rPr>
    </w:lvl>
    <w:lvl w:ilvl="8" w:tentative="0">
      <w:start w:val="1"/>
      <w:numFmt w:val="bullet"/>
      <w:lvlText w:val="§"/>
      <w:lvlJc w:val="left"/>
      <w:pPr>
        <w:tabs>
          <w:tab w:val="left" w:pos="720"/>
        </w:tabs>
        <w:ind w:left="360" w:firstLine="0"/>
      </w:pPr>
      <w:rPr>
        <w:rFonts w:hint="default" w:ascii="Wingdings" w:hAnsi="Wingdings"/>
      </w:rPr>
    </w:lvl>
  </w:abstractNum>
  <w:abstractNum w:abstractNumId="37">
    <w:nsid w:val="2F00001A"/>
    <w:multiLevelType w:val="multilevel"/>
    <w:tmpl w:val="2F00001A"/>
    <w:lvl w:ilvl="0" w:tentative="0">
      <w:start w:val="1"/>
      <w:numFmt w:val="bullet"/>
      <w:pStyle w:val="330"/>
      <w:lvlText w:val="u"/>
      <w:lvlJc w:val="left"/>
      <w:pPr>
        <w:tabs>
          <w:tab w:val="left" w:pos="620"/>
        </w:tabs>
        <w:ind w:left="620"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2F00001C"/>
    <w:multiLevelType w:val="multilevel"/>
    <w:tmpl w:val="2F00001C"/>
    <w:lvl w:ilvl="0" w:tentative="0">
      <w:start w:val="1"/>
      <w:numFmt w:val="decimal"/>
      <w:pStyle w:val="933"/>
      <w:lvlText w:val="图 %1 "/>
      <w:lvlJc w:val="left"/>
      <w:pPr>
        <w:tabs>
          <w:tab w:val="left" w:pos="720"/>
        </w:tabs>
        <w:ind w:left="0" w:firstLine="0"/>
      </w:pPr>
      <w:rPr>
        <w:rFonts w:hint="default" w:ascii="Times New Roman" w:hAnsi="Times New Roman"/>
      </w:rPr>
    </w:lvl>
    <w:lvl w:ilvl="1" w:tentative="0">
      <w:start w:val="1"/>
      <w:numFmt w:val="decimal"/>
      <w:lvlText w:val="图 %1 "/>
      <w:lvlJc w:val="left"/>
      <w:pPr>
        <w:tabs>
          <w:tab w:val="left" w:pos="720"/>
        </w:tabs>
        <w:ind w:left="0" w:firstLine="0"/>
      </w:pPr>
      <w:rPr>
        <w:rFonts w:hint="default" w:ascii="Times New Roman" w:hAnsi="Times New Roman"/>
      </w:rPr>
    </w:lvl>
    <w:lvl w:ilvl="2" w:tentative="0">
      <w:start w:val="1"/>
      <w:numFmt w:val="decimal"/>
      <w:lvlText w:val="图 %1 "/>
      <w:lvlJc w:val="left"/>
      <w:pPr>
        <w:tabs>
          <w:tab w:val="left" w:pos="720"/>
        </w:tabs>
        <w:ind w:left="0" w:firstLine="0"/>
      </w:pPr>
      <w:rPr>
        <w:rFonts w:hint="default" w:ascii="Times New Roman" w:hAnsi="Times New Roman"/>
      </w:rPr>
    </w:lvl>
    <w:lvl w:ilvl="3" w:tentative="0">
      <w:start w:val="1"/>
      <w:numFmt w:val="decimal"/>
      <w:lvlText w:val="图 %1 "/>
      <w:lvlJc w:val="left"/>
      <w:pPr>
        <w:tabs>
          <w:tab w:val="left" w:pos="720"/>
        </w:tabs>
        <w:ind w:left="0" w:firstLine="0"/>
      </w:pPr>
      <w:rPr>
        <w:rFonts w:hint="default" w:ascii="Times New Roman" w:hAnsi="Times New Roman"/>
      </w:rPr>
    </w:lvl>
    <w:lvl w:ilvl="4" w:tentative="0">
      <w:start w:val="1"/>
      <w:numFmt w:val="decimal"/>
      <w:lvlText w:val="图 %1 "/>
      <w:lvlJc w:val="left"/>
      <w:pPr>
        <w:tabs>
          <w:tab w:val="left" w:pos="720"/>
        </w:tabs>
        <w:ind w:left="0" w:firstLine="0"/>
      </w:pPr>
      <w:rPr>
        <w:rFonts w:hint="default" w:ascii="Times New Roman" w:hAnsi="Times New Roman"/>
      </w:rPr>
    </w:lvl>
    <w:lvl w:ilvl="5" w:tentative="0">
      <w:start w:val="1"/>
      <w:numFmt w:val="decimal"/>
      <w:lvlText w:val="图 %1 "/>
      <w:lvlJc w:val="left"/>
      <w:pPr>
        <w:tabs>
          <w:tab w:val="left" w:pos="720"/>
        </w:tabs>
        <w:ind w:left="0" w:firstLine="0"/>
      </w:pPr>
      <w:rPr>
        <w:rFonts w:hint="default" w:ascii="Times New Roman" w:hAnsi="Times New Roman"/>
      </w:rPr>
    </w:lvl>
    <w:lvl w:ilvl="6" w:tentative="0">
      <w:start w:val="1"/>
      <w:numFmt w:val="decimal"/>
      <w:lvlText w:val="图 %1 "/>
      <w:lvlJc w:val="left"/>
      <w:pPr>
        <w:tabs>
          <w:tab w:val="left" w:pos="720"/>
        </w:tabs>
        <w:ind w:left="0" w:firstLine="0"/>
      </w:pPr>
      <w:rPr>
        <w:rFonts w:hint="default" w:ascii="Times New Roman" w:hAnsi="Times New Roman"/>
      </w:rPr>
    </w:lvl>
    <w:lvl w:ilvl="7" w:tentative="0">
      <w:start w:val="1"/>
      <w:numFmt w:val="decimal"/>
      <w:lvlText w:val="图 %1 "/>
      <w:lvlJc w:val="left"/>
      <w:pPr>
        <w:tabs>
          <w:tab w:val="left" w:pos="720"/>
        </w:tabs>
        <w:ind w:left="0" w:firstLine="0"/>
      </w:pPr>
      <w:rPr>
        <w:rFonts w:hint="default" w:ascii="Times New Roman" w:hAnsi="Times New Roman"/>
      </w:rPr>
    </w:lvl>
    <w:lvl w:ilvl="8" w:tentative="0">
      <w:start w:val="1"/>
      <w:numFmt w:val="decimal"/>
      <w:lvlText w:val="图 %1 "/>
      <w:lvlJc w:val="left"/>
      <w:pPr>
        <w:tabs>
          <w:tab w:val="left" w:pos="720"/>
        </w:tabs>
        <w:ind w:left="0" w:firstLine="0"/>
      </w:pPr>
      <w:rPr>
        <w:rFonts w:hint="default" w:ascii="Times New Roman" w:hAnsi="Times New Roman"/>
      </w:rPr>
    </w:lvl>
  </w:abstractNum>
  <w:abstractNum w:abstractNumId="39">
    <w:nsid w:val="2F00001D"/>
    <w:multiLevelType w:val="multilevel"/>
    <w:tmpl w:val="2F00001D"/>
    <w:lvl w:ilvl="0" w:tentative="0">
      <w:start w:val="1"/>
      <w:numFmt w:val="decimal"/>
      <w:pStyle w:val="827"/>
      <w:suff w:val="nothing"/>
      <w:lvlText w:val="第%1章 "/>
      <w:lvlJc w:val="left"/>
      <w:pPr>
        <w:ind w:left="-426" w:firstLine="426"/>
      </w:pPr>
      <w:rPr>
        <w:rFonts w:hint="eastAsia"/>
      </w:rPr>
    </w:lvl>
    <w:lvl w:ilvl="1" w:tentative="0">
      <w:start w:val="1"/>
      <w:numFmt w:val="decimal"/>
      <w:lvlText w:val="%1.%2"/>
      <w:lvlJc w:val="left"/>
      <w:pPr>
        <w:tabs>
          <w:tab w:val="left" w:pos="141"/>
        </w:tabs>
        <w:ind w:left="141" w:hanging="567"/>
      </w:pPr>
      <w:rPr>
        <w:rFonts w:hint="eastAsia"/>
      </w:rPr>
    </w:lvl>
    <w:lvl w:ilvl="2" w:tentative="0">
      <w:start w:val="1"/>
      <w:numFmt w:val="decimal"/>
      <w:suff w:val="nothing"/>
      <w:lvlText w:val="%2.%1.%3"/>
      <w:lvlJc w:val="left"/>
      <w:pPr>
        <w:ind w:left="567" w:hanging="567"/>
      </w:pPr>
      <w:rPr>
        <w:rFonts w:hint="eastAsia"/>
      </w:rPr>
    </w:lvl>
    <w:lvl w:ilvl="3" w:tentative="0">
      <w:start w:val="1"/>
      <w:numFmt w:val="decimal"/>
      <w:lvlText w:val="%1.%2.%3.%4"/>
      <w:lvlJc w:val="left"/>
      <w:pPr>
        <w:tabs>
          <w:tab w:val="left" w:pos="1133"/>
        </w:tabs>
        <w:ind w:left="1133" w:hanging="708"/>
      </w:pPr>
      <w:rPr>
        <w:rFonts w:hint="eastAsia"/>
      </w:rPr>
    </w:lvl>
    <w:lvl w:ilvl="4" w:tentative="0">
      <w:start w:val="1"/>
      <w:numFmt w:val="decimal"/>
      <w:lvlText w:val="%1.%2.%3.%4.%5"/>
      <w:lvlJc w:val="left"/>
      <w:pPr>
        <w:tabs>
          <w:tab w:val="left" w:pos="1700"/>
        </w:tabs>
        <w:ind w:left="1700" w:hanging="850"/>
      </w:pPr>
      <w:rPr>
        <w:rFonts w:hint="eastAsia"/>
      </w:rPr>
    </w:lvl>
    <w:lvl w:ilvl="5" w:tentative="0">
      <w:start w:val="1"/>
      <w:numFmt w:val="decimal"/>
      <w:lvlText w:val="%1.%2.%3.%4.%5.%6"/>
      <w:lvlJc w:val="left"/>
      <w:pPr>
        <w:tabs>
          <w:tab w:val="left" w:pos="2409"/>
        </w:tabs>
        <w:ind w:left="2409" w:hanging="1134"/>
      </w:pPr>
      <w:rPr>
        <w:rFonts w:hint="eastAsia"/>
      </w:rPr>
    </w:lvl>
    <w:lvl w:ilvl="6" w:tentative="0">
      <w:start w:val="1"/>
      <w:numFmt w:val="decimal"/>
      <w:lvlText w:val="%1.%2.%3.%4.%5.%6.%7"/>
      <w:lvlJc w:val="left"/>
      <w:pPr>
        <w:tabs>
          <w:tab w:val="left" w:pos="2976"/>
        </w:tabs>
        <w:ind w:left="2976" w:hanging="1276"/>
      </w:pPr>
      <w:rPr>
        <w:rFonts w:hint="eastAsia"/>
      </w:rPr>
    </w:lvl>
    <w:lvl w:ilvl="7" w:tentative="0">
      <w:start w:val="1"/>
      <w:numFmt w:val="decimal"/>
      <w:lvlText w:val="%1.%2.%3.%4.%5.%6.%7.%8"/>
      <w:lvlJc w:val="left"/>
      <w:pPr>
        <w:tabs>
          <w:tab w:val="left" w:pos="3543"/>
        </w:tabs>
        <w:ind w:left="3543" w:hanging="1418"/>
      </w:pPr>
      <w:rPr>
        <w:rFonts w:hint="eastAsia"/>
      </w:rPr>
    </w:lvl>
    <w:lvl w:ilvl="8" w:tentative="0">
      <w:start w:val="1"/>
      <w:numFmt w:val="decimal"/>
      <w:lvlText w:val="%1.%2.%3.%4.%5.%6.%7.%8.%9"/>
      <w:lvlJc w:val="left"/>
      <w:pPr>
        <w:tabs>
          <w:tab w:val="left" w:pos="4251"/>
        </w:tabs>
        <w:ind w:left="4251" w:hanging="1700"/>
      </w:pPr>
      <w:rPr>
        <w:rFonts w:hint="eastAsia"/>
      </w:rPr>
    </w:lvl>
  </w:abstractNum>
  <w:abstractNum w:abstractNumId="40">
    <w:nsid w:val="2F00001F"/>
    <w:multiLevelType w:val="multilevel"/>
    <w:tmpl w:val="2F00001F"/>
    <w:lvl w:ilvl="0" w:tentative="0">
      <w:start w:val="1"/>
      <w:numFmt w:val="bullet"/>
      <w:pStyle w:val="223"/>
      <w:lvlText w:val="l"/>
      <w:lvlJc w:val="left"/>
      <w:pPr>
        <w:tabs>
          <w:tab w:val="left" w:pos="567"/>
        </w:tabs>
        <w:ind w:left="567" w:firstLine="0"/>
      </w:pPr>
      <w:rPr>
        <w:rFonts w:hint="default" w:ascii="Wingdings" w:hAnsi="Wingdings"/>
      </w:rPr>
    </w:lvl>
    <w:lvl w:ilvl="1" w:tentative="0">
      <w:start w:val="1"/>
      <w:numFmt w:val="bullet"/>
      <w:lvlText w:val="n"/>
      <w:lvlJc w:val="left"/>
      <w:pPr>
        <w:tabs>
          <w:tab w:val="left" w:pos="840"/>
        </w:tabs>
        <w:ind w:left="840" w:hanging="420"/>
      </w:pPr>
      <w:rPr>
        <w:rFonts w:hint="default" w:ascii="Wingdings" w:hAnsi="Wingdings"/>
      </w:rPr>
    </w:lvl>
    <w:lvl w:ilvl="2" w:tentative="0">
      <w:start w:val="1"/>
      <w:numFmt w:val="bullet"/>
      <w:lvlText w:val="u"/>
      <w:lvlJc w:val="left"/>
      <w:pPr>
        <w:tabs>
          <w:tab w:val="left" w:pos="1260"/>
        </w:tabs>
        <w:ind w:left="1260" w:hanging="420"/>
      </w:pPr>
      <w:rPr>
        <w:rFonts w:hint="default" w:ascii="Wingdings" w:hAnsi="Wingdings"/>
      </w:rPr>
    </w:lvl>
    <w:lvl w:ilvl="3" w:tentative="0">
      <w:start w:val="1"/>
      <w:numFmt w:val="bullet"/>
      <w:lvlText w:val="l"/>
      <w:lvlJc w:val="left"/>
      <w:pPr>
        <w:tabs>
          <w:tab w:val="left" w:pos="1680"/>
        </w:tabs>
        <w:ind w:left="1680" w:hanging="420"/>
      </w:pPr>
      <w:rPr>
        <w:rFonts w:hint="default" w:ascii="Wingdings" w:hAnsi="Wingdings"/>
      </w:rPr>
    </w:lvl>
    <w:lvl w:ilvl="4" w:tentative="0">
      <w:start w:val="1"/>
      <w:numFmt w:val="bullet"/>
      <w:lvlText w:val="n"/>
      <w:lvlJc w:val="left"/>
      <w:pPr>
        <w:tabs>
          <w:tab w:val="left" w:pos="2100"/>
        </w:tabs>
        <w:ind w:left="2100" w:hanging="420"/>
      </w:pPr>
      <w:rPr>
        <w:rFonts w:hint="default" w:ascii="Wingdings" w:hAnsi="Wingdings"/>
      </w:rPr>
    </w:lvl>
    <w:lvl w:ilvl="5" w:tentative="0">
      <w:start w:val="1"/>
      <w:numFmt w:val="bullet"/>
      <w:lvlText w:val="u"/>
      <w:lvlJc w:val="left"/>
      <w:pPr>
        <w:tabs>
          <w:tab w:val="left" w:pos="2520"/>
        </w:tabs>
        <w:ind w:left="2520" w:hanging="420"/>
      </w:pPr>
      <w:rPr>
        <w:rFonts w:hint="default" w:ascii="Wingdings" w:hAnsi="Wingdings"/>
      </w:rPr>
    </w:lvl>
    <w:lvl w:ilvl="6" w:tentative="0">
      <w:start w:val="1"/>
      <w:numFmt w:val="bullet"/>
      <w:lvlText w:val="l"/>
      <w:lvlJc w:val="left"/>
      <w:pPr>
        <w:tabs>
          <w:tab w:val="left" w:pos="2940"/>
        </w:tabs>
        <w:ind w:left="2940" w:hanging="420"/>
      </w:pPr>
      <w:rPr>
        <w:rFonts w:hint="default" w:ascii="Wingdings" w:hAnsi="Wingdings"/>
      </w:rPr>
    </w:lvl>
    <w:lvl w:ilvl="7" w:tentative="0">
      <w:start w:val="1"/>
      <w:numFmt w:val="bullet"/>
      <w:lvlText w:val="n"/>
      <w:lvlJc w:val="left"/>
      <w:pPr>
        <w:tabs>
          <w:tab w:val="left" w:pos="3360"/>
        </w:tabs>
        <w:ind w:left="3360" w:hanging="420"/>
      </w:pPr>
      <w:rPr>
        <w:rFonts w:hint="default" w:ascii="Wingdings" w:hAnsi="Wingdings"/>
      </w:rPr>
    </w:lvl>
    <w:lvl w:ilvl="8" w:tentative="0">
      <w:start w:val="1"/>
      <w:numFmt w:val="bullet"/>
      <w:lvlText w:val="u"/>
      <w:lvlJc w:val="left"/>
      <w:pPr>
        <w:tabs>
          <w:tab w:val="left" w:pos="3780"/>
        </w:tabs>
        <w:ind w:left="3780" w:hanging="420"/>
      </w:pPr>
      <w:rPr>
        <w:rFonts w:hint="default" w:ascii="Wingdings" w:hAnsi="Wingdings"/>
      </w:rPr>
    </w:lvl>
  </w:abstractNum>
  <w:abstractNum w:abstractNumId="41">
    <w:nsid w:val="2F000020"/>
    <w:multiLevelType w:val="multilevel"/>
    <w:tmpl w:val="2F000020"/>
    <w:lvl w:ilvl="0" w:tentative="0">
      <w:start w:val="1"/>
      <w:numFmt w:val="bullet"/>
      <w:lvlText w:val="Ø"/>
      <w:lvlJc w:val="left"/>
      <w:pPr>
        <w:tabs>
          <w:tab w:val="left" w:pos="720"/>
        </w:tabs>
        <w:ind w:left="720" w:hanging="360"/>
      </w:pPr>
      <w:rPr>
        <w:rFonts w:hint="default" w:ascii="Wingdings" w:hAnsi="Wingdings"/>
      </w:rPr>
    </w:lvl>
    <w:lvl w:ilvl="1" w:tentative="0">
      <w:start w:val="187"/>
      <w:numFmt w:val="bullet"/>
      <w:pStyle w:val="979"/>
      <w:lvlText w:val="–"/>
      <w:lvlJc w:val="left"/>
      <w:pPr>
        <w:tabs>
          <w:tab w:val="left" w:pos="1440"/>
        </w:tabs>
        <w:ind w:left="1440" w:hanging="360"/>
      </w:pPr>
      <w:rPr>
        <w:rFonts w:hint="default" w:ascii="宋体" w:hAnsi="宋体"/>
      </w:rPr>
    </w:lvl>
    <w:lvl w:ilvl="2" w:tentative="0">
      <w:start w:val="1"/>
      <w:numFmt w:val="bullet"/>
      <w:lvlText w:val="Ø"/>
      <w:lvlJc w:val="left"/>
      <w:pPr>
        <w:tabs>
          <w:tab w:val="left" w:pos="2160"/>
        </w:tabs>
        <w:ind w:left="2160" w:hanging="360"/>
      </w:pPr>
      <w:rPr>
        <w:rFonts w:hint="default" w:ascii="Wingdings" w:hAnsi="Wingdings"/>
      </w:rPr>
    </w:lvl>
    <w:lvl w:ilvl="3" w:tentative="0">
      <w:start w:val="0"/>
      <w:numFmt w:val="bullet"/>
      <w:lvlText w:val="•"/>
      <w:lvlJc w:val="left"/>
      <w:pPr>
        <w:tabs>
          <w:tab w:val="left" w:pos="2520"/>
        </w:tabs>
        <w:ind w:left="2520" w:firstLine="0"/>
      </w:pPr>
      <w:rPr>
        <w:rFonts w:hint="default" w:ascii="Arial" w:hAnsi="Arial"/>
        <w:sz w:val="16"/>
        <w:szCs w:val="16"/>
      </w:rPr>
    </w:lvl>
    <w:lvl w:ilvl="4" w:tentative="0">
      <w:start w:val="1"/>
      <w:numFmt w:val="bullet"/>
      <w:lvlText w:val="Ø"/>
      <w:lvlJc w:val="left"/>
      <w:pPr>
        <w:tabs>
          <w:tab w:val="left" w:pos="3600"/>
        </w:tabs>
        <w:ind w:left="3600" w:hanging="360"/>
      </w:pPr>
      <w:rPr>
        <w:rFonts w:hint="default" w:ascii="Wingdings" w:hAnsi="Wingdings"/>
      </w:rPr>
    </w:lvl>
    <w:lvl w:ilvl="5" w:tentative="0">
      <w:start w:val="1"/>
      <w:numFmt w:val="bullet"/>
      <w:lvlText w:val="Ø"/>
      <w:lvlJc w:val="left"/>
      <w:pPr>
        <w:tabs>
          <w:tab w:val="left" w:pos="4320"/>
        </w:tabs>
        <w:ind w:left="4320" w:hanging="360"/>
      </w:pPr>
      <w:rPr>
        <w:rFonts w:hint="default" w:ascii="Wingdings" w:hAnsi="Wingdings"/>
      </w:rPr>
    </w:lvl>
    <w:lvl w:ilvl="6" w:tentative="0">
      <w:start w:val="1"/>
      <w:numFmt w:val="bullet"/>
      <w:lvlText w:val="Ø"/>
      <w:lvlJc w:val="left"/>
      <w:pPr>
        <w:tabs>
          <w:tab w:val="left" w:pos="5040"/>
        </w:tabs>
        <w:ind w:left="5040" w:hanging="360"/>
      </w:pPr>
      <w:rPr>
        <w:rFonts w:hint="default" w:ascii="Wingdings" w:hAnsi="Wingdings"/>
      </w:rPr>
    </w:lvl>
    <w:lvl w:ilvl="7" w:tentative="0">
      <w:start w:val="1"/>
      <w:numFmt w:val="bullet"/>
      <w:lvlText w:val="Ø"/>
      <w:lvlJc w:val="left"/>
      <w:pPr>
        <w:tabs>
          <w:tab w:val="left" w:pos="5760"/>
        </w:tabs>
        <w:ind w:left="5760" w:hanging="360"/>
      </w:pPr>
      <w:rPr>
        <w:rFonts w:hint="default" w:ascii="Wingdings" w:hAnsi="Wingdings"/>
      </w:rPr>
    </w:lvl>
    <w:lvl w:ilvl="8" w:tentative="0">
      <w:start w:val="1"/>
      <w:numFmt w:val="bullet"/>
      <w:lvlText w:val="Ø"/>
      <w:lvlJc w:val="left"/>
      <w:pPr>
        <w:tabs>
          <w:tab w:val="left" w:pos="6480"/>
        </w:tabs>
        <w:ind w:left="6480" w:hanging="360"/>
      </w:pPr>
      <w:rPr>
        <w:rFonts w:hint="default" w:ascii="Wingdings" w:hAnsi="Wingdings"/>
      </w:rPr>
    </w:lvl>
  </w:abstractNum>
  <w:abstractNum w:abstractNumId="42">
    <w:nsid w:val="2F000021"/>
    <w:multiLevelType w:val="multilevel"/>
    <w:tmpl w:val="2F00002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458"/>
      <w:lvlText w:val="%1.%2.%3.%4."/>
      <w:lvlJc w:val="left"/>
      <w:pPr>
        <w:tabs>
          <w:tab w:val="left" w:pos="851"/>
        </w:tabs>
        <w:ind w:left="851" w:hanging="851"/>
      </w:pPr>
      <w:rPr>
        <w:rFonts w:hint="default" w:ascii="Times New Roman" w:hAnsi="Times New Roman"/>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3">
    <w:nsid w:val="2F000023"/>
    <w:multiLevelType w:val="multilevel"/>
    <w:tmpl w:val="2F000023"/>
    <w:lvl w:ilvl="0" w:tentative="0">
      <w:start w:val="1"/>
      <w:numFmt w:val="bullet"/>
      <w:pStyle w:val="455"/>
      <w:lvlText w:val="l"/>
      <w:lvlJc w:val="left"/>
      <w:pPr>
        <w:tabs>
          <w:tab w:val="left" w:pos="840"/>
        </w:tabs>
        <w:ind w:left="840" w:hanging="420"/>
      </w:pPr>
      <w:rPr>
        <w:rFonts w:hint="default" w:ascii="Wingdings" w:hAnsi="Wingdings"/>
      </w:rPr>
    </w:lvl>
    <w:lvl w:ilvl="1" w:tentative="0">
      <w:start w:val="1"/>
      <w:numFmt w:val="bullet"/>
      <w:lvlText w:val="n"/>
      <w:lvlJc w:val="left"/>
      <w:pPr>
        <w:tabs>
          <w:tab w:val="left" w:pos="840"/>
        </w:tabs>
        <w:ind w:left="840" w:hanging="420"/>
      </w:pPr>
      <w:rPr>
        <w:rFonts w:hint="default" w:ascii="Wingdings" w:hAnsi="Wingdings"/>
      </w:rPr>
    </w:lvl>
    <w:lvl w:ilvl="2" w:tentative="0">
      <w:start w:val="1"/>
      <w:numFmt w:val="bullet"/>
      <w:lvlText w:val="u"/>
      <w:lvlJc w:val="left"/>
      <w:pPr>
        <w:tabs>
          <w:tab w:val="left" w:pos="1260"/>
        </w:tabs>
        <w:ind w:left="1260" w:hanging="420"/>
      </w:pPr>
      <w:rPr>
        <w:rFonts w:hint="default" w:ascii="Wingdings" w:hAnsi="Wingdings"/>
      </w:rPr>
    </w:lvl>
    <w:lvl w:ilvl="3" w:tentative="0">
      <w:start w:val="1"/>
      <w:numFmt w:val="bullet"/>
      <w:lvlText w:val="l"/>
      <w:lvlJc w:val="left"/>
      <w:pPr>
        <w:tabs>
          <w:tab w:val="left" w:pos="1680"/>
        </w:tabs>
        <w:ind w:left="1680" w:hanging="420"/>
      </w:pPr>
      <w:rPr>
        <w:rFonts w:hint="default" w:ascii="Wingdings" w:hAnsi="Wingdings"/>
      </w:rPr>
    </w:lvl>
    <w:lvl w:ilvl="4" w:tentative="0">
      <w:start w:val="1"/>
      <w:numFmt w:val="bullet"/>
      <w:lvlText w:val="n"/>
      <w:lvlJc w:val="left"/>
      <w:pPr>
        <w:tabs>
          <w:tab w:val="left" w:pos="2100"/>
        </w:tabs>
        <w:ind w:left="2100" w:hanging="420"/>
      </w:pPr>
      <w:rPr>
        <w:rFonts w:hint="default" w:ascii="Wingdings" w:hAnsi="Wingdings"/>
      </w:rPr>
    </w:lvl>
    <w:lvl w:ilvl="5" w:tentative="0">
      <w:start w:val="1"/>
      <w:numFmt w:val="bullet"/>
      <w:lvlText w:val="u"/>
      <w:lvlJc w:val="left"/>
      <w:pPr>
        <w:tabs>
          <w:tab w:val="left" w:pos="2520"/>
        </w:tabs>
        <w:ind w:left="2520" w:hanging="420"/>
      </w:pPr>
      <w:rPr>
        <w:rFonts w:hint="default" w:ascii="Wingdings" w:hAnsi="Wingdings"/>
      </w:rPr>
    </w:lvl>
    <w:lvl w:ilvl="6" w:tentative="0">
      <w:start w:val="1"/>
      <w:numFmt w:val="bullet"/>
      <w:lvlText w:val="l"/>
      <w:lvlJc w:val="left"/>
      <w:pPr>
        <w:tabs>
          <w:tab w:val="left" w:pos="2940"/>
        </w:tabs>
        <w:ind w:left="2940" w:hanging="420"/>
      </w:pPr>
      <w:rPr>
        <w:rFonts w:hint="default" w:ascii="Wingdings" w:hAnsi="Wingdings"/>
      </w:rPr>
    </w:lvl>
    <w:lvl w:ilvl="7" w:tentative="0">
      <w:start w:val="1"/>
      <w:numFmt w:val="bullet"/>
      <w:lvlText w:val="n"/>
      <w:lvlJc w:val="left"/>
      <w:pPr>
        <w:tabs>
          <w:tab w:val="left" w:pos="3360"/>
        </w:tabs>
        <w:ind w:left="3360" w:hanging="420"/>
      </w:pPr>
      <w:rPr>
        <w:rFonts w:hint="default" w:ascii="Wingdings" w:hAnsi="Wingdings"/>
      </w:rPr>
    </w:lvl>
    <w:lvl w:ilvl="8" w:tentative="0">
      <w:start w:val="1"/>
      <w:numFmt w:val="bullet"/>
      <w:lvlText w:val="u"/>
      <w:lvlJc w:val="left"/>
      <w:pPr>
        <w:tabs>
          <w:tab w:val="left" w:pos="3780"/>
        </w:tabs>
        <w:ind w:left="3780" w:hanging="420"/>
      </w:pPr>
      <w:rPr>
        <w:rFonts w:hint="default" w:ascii="Wingdings" w:hAnsi="Wingdings"/>
      </w:rPr>
    </w:lvl>
  </w:abstractNum>
  <w:abstractNum w:abstractNumId="44">
    <w:nsid w:val="2F000027"/>
    <w:multiLevelType w:val="multilevel"/>
    <w:tmpl w:val="2F000027"/>
    <w:lvl w:ilvl="0" w:tentative="0">
      <w:start w:val="1"/>
      <w:numFmt w:val="bullet"/>
      <w:pStyle w:val="910"/>
      <w:lvlText w:val="·"/>
      <w:lvlJc w:val="left"/>
      <w:pPr>
        <w:tabs>
          <w:tab w:val="left" w:pos="720"/>
        </w:tabs>
        <w:ind w:left="720" w:hanging="360"/>
      </w:pPr>
      <w:rPr>
        <w:rFonts w:hint="default" w:ascii="Symbol" w:hAnsi="Symbol"/>
        <w:color w:val="00000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5">
    <w:nsid w:val="2F000028"/>
    <w:multiLevelType w:val="multilevel"/>
    <w:tmpl w:val="2F000028"/>
    <w:lvl w:ilvl="0" w:tentative="0">
      <w:start w:val="1"/>
      <w:numFmt w:val="decimal"/>
      <w:pStyle w:val="264"/>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6">
    <w:nsid w:val="2F000029"/>
    <w:multiLevelType w:val="multilevel"/>
    <w:tmpl w:val="2F000029"/>
    <w:lvl w:ilvl="0" w:tentative="0">
      <w:start w:val="1"/>
      <w:numFmt w:val="decimal"/>
      <w:pStyle w:val="241"/>
      <w:lvlText w:val="附图%1. "/>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2F00002B"/>
    <w:multiLevelType w:val="multilevel"/>
    <w:tmpl w:val="2F00002B"/>
    <w:lvl w:ilvl="0" w:tentative="0">
      <w:start w:val="1"/>
      <w:numFmt w:val="bullet"/>
      <w:pStyle w:val="434"/>
      <w:lvlText w:val="u"/>
      <w:lvlJc w:val="left"/>
      <w:pPr>
        <w:tabs>
          <w:tab w:val="left" w:pos="874"/>
        </w:tabs>
        <w:ind w:left="874" w:hanging="454"/>
      </w:pPr>
      <w:rPr>
        <w:rFonts w:hint="default" w:ascii="Wingdings" w:hAnsi="Wingdings"/>
        <w:color w:val="auto"/>
      </w:rPr>
    </w:lvl>
    <w:lvl w:ilvl="1" w:tentative="0">
      <w:start w:val="1"/>
      <w:numFmt w:val="decimal"/>
      <w:lvlText w:val="%2）"/>
      <w:lvlJc w:val="left"/>
      <w:pPr>
        <w:tabs>
          <w:tab w:val="left" w:pos="420"/>
        </w:tabs>
        <w:ind w:left="42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8">
    <w:nsid w:val="2F00002C"/>
    <w:multiLevelType w:val="multilevel"/>
    <w:tmpl w:val="2F00002C"/>
    <w:lvl w:ilvl="0" w:tentative="0">
      <w:start w:val="1"/>
      <w:numFmt w:val="lowerLetter"/>
      <w:pStyle w:val="937"/>
      <w:lvlText w:val="%1)"/>
      <w:lvlJc w:val="left"/>
      <w:pPr>
        <w:tabs>
          <w:tab w:val="left" w:pos="709"/>
        </w:tabs>
        <w:ind w:left="0" w:firstLine="420"/>
      </w:pPr>
      <w:rPr>
        <w:rFonts w:hint="eastAsia"/>
      </w:rPr>
    </w:lvl>
    <w:lvl w:ilvl="1" w:tentative="0">
      <w:start w:val="1"/>
      <w:numFmt w:val="upperLetter"/>
      <w:lvlText w:val="%2."/>
      <w:lvlJc w:val="left"/>
      <w:pPr>
        <w:tabs>
          <w:tab w:val="left" w:pos="850"/>
        </w:tabs>
        <w:ind w:left="850" w:hanging="425"/>
      </w:pPr>
      <w:rPr>
        <w:rFonts w:hint="eastAsia"/>
      </w:rPr>
    </w:lvl>
    <w:lvl w:ilvl="2" w:tentative="0">
      <w:start w:val="1"/>
      <w:numFmt w:val="decimal"/>
      <w:lvlText w:val="%3."/>
      <w:lvlJc w:val="left"/>
      <w:pPr>
        <w:tabs>
          <w:tab w:val="left" w:pos="1276"/>
        </w:tabs>
        <w:ind w:left="1276" w:hanging="426"/>
      </w:pPr>
      <w:rPr>
        <w:rFonts w:hint="eastAsia"/>
      </w:rPr>
    </w:lvl>
    <w:lvl w:ilvl="3" w:tentative="0">
      <w:start w:val="1"/>
      <w:numFmt w:val="lowerLetter"/>
      <w:lvlText w:val="%4."/>
      <w:lvlJc w:val="left"/>
      <w:pPr>
        <w:tabs>
          <w:tab w:val="left" w:pos="1559"/>
        </w:tabs>
        <w:ind w:left="1559" w:hanging="283"/>
      </w:pPr>
      <w:rPr>
        <w:rFonts w:hint="eastAsia"/>
      </w:rPr>
    </w:lvl>
    <w:lvl w:ilvl="4" w:tentative="0">
      <w:start w:val="1"/>
      <w:numFmt w:val="decimal"/>
      <w:lvlText w:val="%5."/>
      <w:lvlJc w:val="left"/>
      <w:pPr>
        <w:tabs>
          <w:tab w:val="left" w:pos="1984"/>
        </w:tabs>
        <w:ind w:left="1984" w:hanging="425"/>
      </w:pPr>
      <w:rPr>
        <w:rFonts w:hint="eastAsia"/>
      </w:rPr>
    </w:lvl>
    <w:lvl w:ilvl="5" w:tentative="0">
      <w:start w:val="1"/>
      <w:numFmt w:val="lowerLetter"/>
      <w:lvlText w:val="%6."/>
      <w:lvlJc w:val="left"/>
      <w:pPr>
        <w:tabs>
          <w:tab w:val="left" w:pos="2409"/>
        </w:tabs>
        <w:ind w:left="2409" w:hanging="425"/>
      </w:pPr>
      <w:rPr>
        <w:rFonts w:hint="eastAsia"/>
      </w:rPr>
    </w:lvl>
    <w:lvl w:ilvl="6" w:tentative="0">
      <w:start w:val="1"/>
      <w:numFmt w:val="lowerRoman"/>
      <w:lvlText w:val="%7."/>
      <w:lvlJc w:val="left"/>
      <w:pPr>
        <w:tabs>
          <w:tab w:val="left" w:pos="2835"/>
        </w:tabs>
        <w:ind w:left="2835" w:hanging="426"/>
      </w:pPr>
      <w:rPr>
        <w:rFonts w:hint="eastAsia"/>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49">
    <w:nsid w:val="2F00002D"/>
    <w:multiLevelType w:val="multilevel"/>
    <w:tmpl w:val="2F00002D"/>
    <w:lvl w:ilvl="0" w:tentative="0">
      <w:start w:val="1"/>
      <w:numFmt w:val="chineseCountingThousand"/>
      <w:pStyle w:val="731"/>
      <w:lvlText w:val="第%1章"/>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default" w:ascii="Times New Roman" w:hAnsi="Times New Roman" w:cs="Times New Roman"/>
        <w:sz w:val="30"/>
        <w:szCs w:val="30"/>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default" w:ascii="Times New Roman" w:hAnsi="Times New Roman" w:cs="Times New Roman"/>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0">
    <w:nsid w:val="2F00002E"/>
    <w:multiLevelType w:val="multilevel"/>
    <w:tmpl w:val="2F00002E"/>
    <w:lvl w:ilvl="0" w:tentative="0">
      <w:start w:val="1"/>
      <w:numFmt w:val="bullet"/>
      <w:pStyle w:val="973"/>
      <w:lvlText w:val="•"/>
      <w:lvlJc w:val="left"/>
      <w:pPr>
        <w:tabs>
          <w:tab w:val="left" w:pos="720"/>
        </w:tabs>
        <w:ind w:left="720" w:hanging="360"/>
      </w:pPr>
      <w:rPr>
        <w:rFonts w:hint="default" w:ascii="宋体" w:hAnsi="宋体"/>
        <w:lang w:eastAsia="zh-CN"/>
      </w:rPr>
    </w:lvl>
    <w:lvl w:ilvl="1" w:tentative="0">
      <w:start w:val="1"/>
      <w:numFmt w:val="bullet"/>
      <w:lvlText w:val="•"/>
      <w:lvlJc w:val="left"/>
      <w:pPr>
        <w:tabs>
          <w:tab w:val="left" w:pos="1440"/>
        </w:tabs>
        <w:ind w:left="1440" w:hanging="360"/>
      </w:pPr>
      <w:rPr>
        <w:rFonts w:hint="default" w:ascii="宋体" w:hAnsi="宋体"/>
      </w:rPr>
    </w:lvl>
    <w:lvl w:ilvl="2" w:tentative="0">
      <w:start w:val="1"/>
      <w:numFmt w:val="bullet"/>
      <w:lvlText w:val="•"/>
      <w:lvlJc w:val="left"/>
      <w:pPr>
        <w:tabs>
          <w:tab w:val="left" w:pos="2160"/>
        </w:tabs>
        <w:ind w:left="2160" w:hanging="360"/>
      </w:pPr>
      <w:rPr>
        <w:rFonts w:hint="default" w:ascii="宋体" w:hAnsi="宋体"/>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
      <w:lvlJc w:val="left"/>
      <w:pPr>
        <w:tabs>
          <w:tab w:val="left" w:pos="3600"/>
        </w:tabs>
        <w:ind w:left="3600" w:hanging="360"/>
      </w:pPr>
      <w:rPr>
        <w:rFonts w:hint="default" w:ascii="宋体" w:hAnsi="宋体"/>
      </w:rPr>
    </w:lvl>
    <w:lvl w:ilvl="5" w:tentative="0">
      <w:start w:val="1"/>
      <w:numFmt w:val="bullet"/>
      <w:lvlText w:val="•"/>
      <w:lvlJc w:val="left"/>
      <w:pPr>
        <w:tabs>
          <w:tab w:val="left" w:pos="4320"/>
        </w:tabs>
        <w:ind w:left="4320" w:hanging="360"/>
      </w:pPr>
      <w:rPr>
        <w:rFonts w:hint="default" w:ascii="宋体" w:hAnsi="宋体"/>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
      <w:lvlJc w:val="left"/>
      <w:pPr>
        <w:tabs>
          <w:tab w:val="left" w:pos="5760"/>
        </w:tabs>
        <w:ind w:left="5760" w:hanging="360"/>
      </w:pPr>
      <w:rPr>
        <w:rFonts w:hint="default" w:ascii="宋体" w:hAnsi="宋体"/>
      </w:rPr>
    </w:lvl>
    <w:lvl w:ilvl="8" w:tentative="0">
      <w:start w:val="1"/>
      <w:numFmt w:val="bullet"/>
      <w:lvlText w:val="•"/>
      <w:lvlJc w:val="left"/>
      <w:pPr>
        <w:tabs>
          <w:tab w:val="left" w:pos="6480"/>
        </w:tabs>
        <w:ind w:left="6480" w:hanging="360"/>
      </w:pPr>
      <w:rPr>
        <w:rFonts w:hint="default" w:ascii="宋体" w:hAnsi="宋体"/>
      </w:rPr>
    </w:lvl>
  </w:abstractNum>
  <w:abstractNum w:abstractNumId="51">
    <w:nsid w:val="2F00002F"/>
    <w:multiLevelType w:val="multilevel"/>
    <w:tmpl w:val="2F00002F"/>
    <w:lvl w:ilvl="0" w:tentative="0">
      <w:start w:val="1"/>
      <w:numFmt w:val="bullet"/>
      <w:pStyle w:val="666"/>
      <w:lvlText w:val="·"/>
      <w:lvlJc w:val="left"/>
      <w:pPr>
        <w:tabs>
          <w:tab w:val="left" w:pos="720"/>
        </w:tabs>
        <w:ind w:left="720" w:hanging="360"/>
      </w:pPr>
      <w:rPr>
        <w:rFonts w:hint="default" w:ascii="Symbol" w:hAnsi="Symbol"/>
        <w:b w:val="0"/>
        <w:i w:val="0"/>
        <w:sz w:val="20"/>
        <w:szCs w:val="20"/>
      </w:rPr>
    </w:lvl>
    <w:lvl w:ilvl="1" w:tentative="0">
      <w:start w:val="1"/>
      <w:numFmt w:val="bullet"/>
      <w:lvlText w:val="·"/>
      <w:lvlJc w:val="left"/>
      <w:pPr>
        <w:tabs>
          <w:tab w:val="left" w:pos="720"/>
        </w:tabs>
        <w:ind w:left="720" w:hanging="360"/>
      </w:pPr>
      <w:rPr>
        <w:rFonts w:hint="default" w:ascii="Symbol" w:hAnsi="Symbol"/>
        <w:b w:val="0"/>
        <w:i w:val="0"/>
        <w:sz w:val="20"/>
        <w:szCs w:val="20"/>
      </w:rPr>
    </w:lvl>
    <w:lvl w:ilvl="2" w:tentative="0">
      <w:start w:val="1"/>
      <w:numFmt w:val="bullet"/>
      <w:lvlText w:val="·"/>
      <w:lvlJc w:val="left"/>
      <w:pPr>
        <w:tabs>
          <w:tab w:val="left" w:pos="720"/>
        </w:tabs>
        <w:ind w:left="720" w:hanging="360"/>
      </w:pPr>
      <w:rPr>
        <w:rFonts w:hint="default" w:ascii="Symbol" w:hAnsi="Symbol"/>
        <w:b w:val="0"/>
        <w:i w:val="0"/>
        <w:sz w:val="20"/>
        <w:szCs w:val="20"/>
      </w:rPr>
    </w:lvl>
    <w:lvl w:ilvl="3" w:tentative="0">
      <w:start w:val="1"/>
      <w:numFmt w:val="bullet"/>
      <w:lvlText w:val="·"/>
      <w:lvlJc w:val="left"/>
      <w:pPr>
        <w:tabs>
          <w:tab w:val="left" w:pos="720"/>
        </w:tabs>
        <w:ind w:left="720" w:hanging="360"/>
      </w:pPr>
      <w:rPr>
        <w:rFonts w:hint="default" w:ascii="Symbol" w:hAnsi="Symbol"/>
        <w:b w:val="0"/>
        <w:i w:val="0"/>
        <w:sz w:val="20"/>
        <w:szCs w:val="20"/>
      </w:rPr>
    </w:lvl>
    <w:lvl w:ilvl="4" w:tentative="0">
      <w:start w:val="1"/>
      <w:numFmt w:val="bullet"/>
      <w:lvlText w:val="·"/>
      <w:lvlJc w:val="left"/>
      <w:pPr>
        <w:tabs>
          <w:tab w:val="left" w:pos="720"/>
        </w:tabs>
        <w:ind w:left="720" w:hanging="360"/>
      </w:pPr>
      <w:rPr>
        <w:rFonts w:hint="default" w:ascii="Symbol" w:hAnsi="Symbol"/>
        <w:b w:val="0"/>
        <w:i w:val="0"/>
        <w:sz w:val="20"/>
        <w:szCs w:val="20"/>
      </w:rPr>
    </w:lvl>
    <w:lvl w:ilvl="5" w:tentative="0">
      <w:start w:val="1"/>
      <w:numFmt w:val="bullet"/>
      <w:lvlText w:val="·"/>
      <w:lvlJc w:val="left"/>
      <w:pPr>
        <w:tabs>
          <w:tab w:val="left" w:pos="720"/>
        </w:tabs>
        <w:ind w:left="720" w:hanging="360"/>
      </w:pPr>
      <w:rPr>
        <w:rFonts w:hint="default" w:ascii="Symbol" w:hAnsi="Symbol"/>
        <w:b w:val="0"/>
        <w:i w:val="0"/>
        <w:sz w:val="20"/>
        <w:szCs w:val="20"/>
      </w:rPr>
    </w:lvl>
    <w:lvl w:ilvl="6" w:tentative="0">
      <w:start w:val="1"/>
      <w:numFmt w:val="bullet"/>
      <w:lvlText w:val="·"/>
      <w:lvlJc w:val="left"/>
      <w:pPr>
        <w:tabs>
          <w:tab w:val="left" w:pos="720"/>
        </w:tabs>
        <w:ind w:left="720" w:hanging="360"/>
      </w:pPr>
      <w:rPr>
        <w:rFonts w:hint="default" w:ascii="Symbol" w:hAnsi="Symbol"/>
        <w:b w:val="0"/>
        <w:i w:val="0"/>
        <w:sz w:val="20"/>
        <w:szCs w:val="20"/>
      </w:rPr>
    </w:lvl>
    <w:lvl w:ilvl="7" w:tentative="0">
      <w:start w:val="1"/>
      <w:numFmt w:val="bullet"/>
      <w:lvlText w:val="·"/>
      <w:lvlJc w:val="left"/>
      <w:pPr>
        <w:tabs>
          <w:tab w:val="left" w:pos="720"/>
        </w:tabs>
        <w:ind w:left="720" w:hanging="360"/>
      </w:pPr>
      <w:rPr>
        <w:rFonts w:hint="default" w:ascii="Symbol" w:hAnsi="Symbol"/>
        <w:b w:val="0"/>
        <w:i w:val="0"/>
        <w:sz w:val="20"/>
        <w:szCs w:val="20"/>
      </w:rPr>
    </w:lvl>
    <w:lvl w:ilvl="8" w:tentative="0">
      <w:start w:val="1"/>
      <w:numFmt w:val="bullet"/>
      <w:lvlText w:val="·"/>
      <w:lvlJc w:val="left"/>
      <w:pPr>
        <w:tabs>
          <w:tab w:val="left" w:pos="720"/>
        </w:tabs>
        <w:ind w:left="720" w:hanging="360"/>
      </w:pPr>
      <w:rPr>
        <w:rFonts w:hint="default" w:ascii="Symbol" w:hAnsi="Symbol"/>
        <w:b w:val="0"/>
        <w:i w:val="0"/>
        <w:sz w:val="20"/>
        <w:szCs w:val="20"/>
      </w:rPr>
    </w:lvl>
  </w:abstractNum>
  <w:abstractNum w:abstractNumId="52">
    <w:nsid w:val="2F000030"/>
    <w:multiLevelType w:val="multilevel"/>
    <w:tmpl w:val="2F000030"/>
    <w:lvl w:ilvl="0" w:tentative="0">
      <w:start w:val="1"/>
      <w:numFmt w:val="decimal"/>
      <w:pStyle w:val="538"/>
      <w:lvlText w:val="%1"/>
      <w:lvlJc w:val="left"/>
      <w:pPr>
        <w:tabs>
          <w:tab w:val="left" w:pos="1708"/>
        </w:tabs>
        <w:ind w:left="1708" w:hanging="432"/>
      </w:pPr>
      <w:rPr>
        <w:rFonts w:hint="eastAsia"/>
      </w:rPr>
    </w:lvl>
    <w:lvl w:ilvl="1" w:tentative="0">
      <w:start w:val="1"/>
      <w:numFmt w:val="decimal"/>
      <w:lvlText w:val="%1.%2"/>
      <w:lvlJc w:val="left"/>
      <w:pPr>
        <w:tabs>
          <w:tab w:val="left" w:pos="1852"/>
        </w:tabs>
        <w:ind w:left="1852" w:hanging="576"/>
      </w:pPr>
      <w:rPr>
        <w:rFonts w:ascii="Times New Roman" w:hAnsi="Times New Roman" w:cs="Times New Roman"/>
        <w:b w:val="0"/>
        <w:i w:val="0"/>
        <w:caps/>
        <w:smallCaps w:val="0"/>
        <w:color w:val="000000"/>
        <w:spacing w:val="0"/>
        <w:position w:val="0"/>
        <w:u w:val="none"/>
      </w:rPr>
    </w:lvl>
    <w:lvl w:ilvl="2" w:tentative="0">
      <w:start w:val="1"/>
      <w:numFmt w:val="decimal"/>
      <w:lvlText w:val="%1.%2.%3"/>
      <w:lvlJc w:val="left"/>
      <w:pPr>
        <w:tabs>
          <w:tab w:val="left" w:pos="1996"/>
        </w:tabs>
        <w:ind w:left="1996" w:hanging="720"/>
      </w:pPr>
      <w:rPr>
        <w:rFonts w:hint="eastAsia"/>
        <w:lang w:eastAsia="zh-CN"/>
      </w:rPr>
    </w:lvl>
    <w:lvl w:ilvl="3" w:tentative="0">
      <w:start w:val="1"/>
      <w:numFmt w:val="decimal"/>
      <w:lvlText w:val="%1.%2.%3.%4"/>
      <w:lvlJc w:val="left"/>
      <w:pPr>
        <w:tabs>
          <w:tab w:val="left" w:pos="2140"/>
        </w:tabs>
        <w:ind w:left="2140" w:hanging="864"/>
      </w:pPr>
      <w:rPr>
        <w:rFonts w:ascii="Times New Roman" w:hAnsi="Times New Roman" w:cs="Times New Roman"/>
        <w:b w:val="0"/>
        <w:i w:val="0"/>
        <w:caps/>
        <w:smallCaps w:val="0"/>
        <w:color w:val="000000"/>
        <w:spacing w:val="0"/>
        <w:position w:val="0"/>
        <w:u w:val="none"/>
      </w:rPr>
    </w:lvl>
    <w:lvl w:ilvl="4" w:tentative="0">
      <w:start w:val="1"/>
      <w:numFmt w:val="decimal"/>
      <w:lvlText w:val="%1.%2.%3.%4.%5"/>
      <w:lvlJc w:val="left"/>
      <w:pPr>
        <w:tabs>
          <w:tab w:val="left" w:pos="2284"/>
        </w:tabs>
        <w:ind w:left="2284" w:hanging="1008"/>
      </w:pPr>
      <w:rPr>
        <w:rFonts w:hint="eastAsia"/>
      </w:rPr>
    </w:lvl>
    <w:lvl w:ilvl="5" w:tentative="0">
      <w:start w:val="1"/>
      <w:numFmt w:val="decimal"/>
      <w:lvlText w:val="%1.%2.%3.%4.%5.%6"/>
      <w:lvlJc w:val="left"/>
      <w:pPr>
        <w:tabs>
          <w:tab w:val="left" w:pos="2428"/>
        </w:tabs>
        <w:ind w:left="2428" w:hanging="1152"/>
      </w:pPr>
      <w:rPr>
        <w:rFonts w:hint="eastAsia"/>
      </w:rPr>
    </w:lvl>
    <w:lvl w:ilvl="6" w:tentative="0">
      <w:start w:val="1"/>
      <w:numFmt w:val="decimal"/>
      <w:lvlText w:val="%1.%2.%3.%4.%5.%6.%7"/>
      <w:lvlJc w:val="left"/>
      <w:pPr>
        <w:tabs>
          <w:tab w:val="left" w:pos="2572"/>
        </w:tabs>
        <w:ind w:left="2572" w:hanging="1296"/>
      </w:pPr>
      <w:rPr>
        <w:rFonts w:hint="eastAsia"/>
      </w:rPr>
    </w:lvl>
    <w:lvl w:ilvl="7" w:tentative="0">
      <w:start w:val="1"/>
      <w:numFmt w:val="decimal"/>
      <w:lvlText w:val="%1.%2.%3.%4.%5.%6.%7.%8"/>
      <w:lvlJc w:val="left"/>
      <w:pPr>
        <w:tabs>
          <w:tab w:val="left" w:pos="2716"/>
        </w:tabs>
        <w:ind w:left="2716" w:hanging="1440"/>
      </w:pPr>
      <w:rPr>
        <w:rFonts w:hint="eastAsia"/>
      </w:rPr>
    </w:lvl>
    <w:lvl w:ilvl="8" w:tentative="0">
      <w:start w:val="1"/>
      <w:numFmt w:val="decimal"/>
      <w:lvlText w:val="%1.%2.%3.%4.%5.%6.%7.%8.%9"/>
      <w:lvlJc w:val="left"/>
      <w:pPr>
        <w:tabs>
          <w:tab w:val="left" w:pos="2860"/>
        </w:tabs>
        <w:ind w:left="2860" w:hanging="1584"/>
      </w:pPr>
      <w:rPr>
        <w:rFonts w:hint="eastAsia"/>
      </w:rPr>
    </w:lvl>
  </w:abstractNum>
  <w:abstractNum w:abstractNumId="53">
    <w:nsid w:val="2F000031"/>
    <w:multiLevelType w:val="multilevel"/>
    <w:tmpl w:val="2F000031"/>
    <w:lvl w:ilvl="0" w:tentative="0">
      <w:start w:val="1"/>
      <w:numFmt w:val="decimal"/>
      <w:pStyle w:val="826"/>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2F000033"/>
    <w:multiLevelType w:val="multilevel"/>
    <w:tmpl w:val="2F000033"/>
    <w:lvl w:ilvl="0" w:tentative="0">
      <w:start w:val="1"/>
      <w:numFmt w:val="decimal"/>
      <w:pStyle w:val="548"/>
      <w:lvlText w:val="图%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5">
    <w:nsid w:val="2F000034"/>
    <w:multiLevelType w:val="multilevel"/>
    <w:tmpl w:val="2F000034"/>
    <w:lvl w:ilvl="0" w:tentative="0">
      <w:start w:val="1"/>
      <w:numFmt w:val="bullet"/>
      <w:pStyle w:val="938"/>
      <w:lvlText w:val="l"/>
      <w:lvlJc w:val="left"/>
      <w:pPr>
        <w:tabs>
          <w:tab w:val="left" w:pos="845"/>
        </w:tabs>
        <w:ind w:left="845" w:hanging="420"/>
      </w:pPr>
      <w:rPr>
        <w:rFonts w:hint="default" w:ascii="Wingdings" w:hAnsi="Wingdings"/>
      </w:rPr>
    </w:lvl>
    <w:lvl w:ilvl="1" w:tentative="0">
      <w:start w:val="1"/>
      <w:numFmt w:val="decimal"/>
      <w:lvlText w:val="%2."/>
      <w:lvlJc w:val="left"/>
      <w:pPr>
        <w:tabs>
          <w:tab w:val="left" w:pos="1265"/>
        </w:tabs>
        <w:ind w:left="1265" w:hanging="420"/>
      </w:pPr>
      <w:rPr>
        <w:rFonts w:hint="default"/>
      </w:rPr>
    </w:lvl>
    <w:lvl w:ilvl="2" w:tentative="0">
      <w:start w:val="1"/>
      <w:numFmt w:val="bullet"/>
      <w:lvlText w:val="u"/>
      <w:lvlJc w:val="left"/>
      <w:pPr>
        <w:tabs>
          <w:tab w:val="left" w:pos="1685"/>
        </w:tabs>
        <w:ind w:left="1685" w:hanging="420"/>
      </w:pPr>
      <w:rPr>
        <w:rFonts w:hint="default" w:ascii="Wingdings" w:hAnsi="Wingdings"/>
      </w:rPr>
    </w:lvl>
    <w:lvl w:ilvl="3" w:tentative="0">
      <w:start w:val="1"/>
      <w:numFmt w:val="bullet"/>
      <w:lvlText w:val="l"/>
      <w:lvlJc w:val="left"/>
      <w:pPr>
        <w:tabs>
          <w:tab w:val="left" w:pos="2105"/>
        </w:tabs>
        <w:ind w:left="2105" w:hanging="420"/>
      </w:pPr>
      <w:rPr>
        <w:rFonts w:hint="default" w:ascii="Wingdings" w:hAnsi="Wingdings"/>
      </w:rPr>
    </w:lvl>
    <w:lvl w:ilvl="4" w:tentative="0">
      <w:start w:val="1"/>
      <w:numFmt w:val="bullet"/>
      <w:lvlText w:val="n"/>
      <w:lvlJc w:val="left"/>
      <w:pPr>
        <w:tabs>
          <w:tab w:val="left" w:pos="2525"/>
        </w:tabs>
        <w:ind w:left="2525" w:hanging="420"/>
      </w:pPr>
      <w:rPr>
        <w:rFonts w:hint="default" w:ascii="Wingdings" w:hAnsi="Wingdings"/>
      </w:rPr>
    </w:lvl>
    <w:lvl w:ilvl="5" w:tentative="0">
      <w:start w:val="1"/>
      <w:numFmt w:val="bullet"/>
      <w:lvlText w:val="u"/>
      <w:lvlJc w:val="left"/>
      <w:pPr>
        <w:tabs>
          <w:tab w:val="left" w:pos="2945"/>
        </w:tabs>
        <w:ind w:left="2945" w:hanging="420"/>
      </w:pPr>
      <w:rPr>
        <w:rFonts w:hint="default" w:ascii="Wingdings" w:hAnsi="Wingdings"/>
      </w:rPr>
    </w:lvl>
    <w:lvl w:ilvl="6" w:tentative="0">
      <w:start w:val="1"/>
      <w:numFmt w:val="bullet"/>
      <w:lvlText w:val="l"/>
      <w:lvlJc w:val="left"/>
      <w:pPr>
        <w:tabs>
          <w:tab w:val="left" w:pos="3365"/>
        </w:tabs>
        <w:ind w:left="3365" w:hanging="420"/>
      </w:pPr>
      <w:rPr>
        <w:rFonts w:hint="default" w:ascii="Wingdings" w:hAnsi="Wingdings"/>
      </w:rPr>
    </w:lvl>
    <w:lvl w:ilvl="7" w:tentative="0">
      <w:start w:val="1"/>
      <w:numFmt w:val="bullet"/>
      <w:lvlText w:val="n"/>
      <w:lvlJc w:val="left"/>
      <w:pPr>
        <w:tabs>
          <w:tab w:val="left" w:pos="3785"/>
        </w:tabs>
        <w:ind w:left="3785" w:hanging="420"/>
      </w:pPr>
      <w:rPr>
        <w:rFonts w:hint="default" w:ascii="Wingdings" w:hAnsi="Wingdings"/>
      </w:rPr>
    </w:lvl>
    <w:lvl w:ilvl="8" w:tentative="0">
      <w:start w:val="1"/>
      <w:numFmt w:val="bullet"/>
      <w:lvlText w:val="u"/>
      <w:lvlJc w:val="left"/>
      <w:pPr>
        <w:tabs>
          <w:tab w:val="left" w:pos="4205"/>
        </w:tabs>
        <w:ind w:left="4205" w:hanging="420"/>
      </w:pPr>
      <w:rPr>
        <w:rFonts w:hint="default" w:ascii="Wingdings" w:hAnsi="Wingdings"/>
      </w:rPr>
    </w:lvl>
  </w:abstractNum>
  <w:abstractNum w:abstractNumId="56">
    <w:nsid w:val="2F000035"/>
    <w:multiLevelType w:val="multilevel"/>
    <w:tmpl w:val="2F000035"/>
    <w:lvl w:ilvl="0" w:tentative="0">
      <w:start w:val="1"/>
      <w:numFmt w:val="bullet"/>
      <w:pStyle w:val="422"/>
      <w:lvlText w:val="Ø"/>
      <w:lvlJc w:val="left"/>
      <w:pPr>
        <w:tabs>
          <w:tab w:val="left" w:pos="987"/>
        </w:tabs>
        <w:ind w:left="987" w:hanging="420"/>
      </w:pPr>
      <w:rPr>
        <w:rFonts w:hint="default" w:ascii="Wingdings" w:hAnsi="Wingdings"/>
        <w:lang w:eastAsia="zh-CN"/>
      </w:rPr>
    </w:lvl>
    <w:lvl w:ilvl="1" w:tentative="0">
      <w:start w:val="1"/>
      <w:numFmt w:val="bullet"/>
      <w:lvlText w:val="ü"/>
      <w:lvlJc w:val="left"/>
      <w:pPr>
        <w:tabs>
          <w:tab w:val="left" w:pos="1407"/>
        </w:tabs>
        <w:ind w:left="1407" w:hanging="420"/>
      </w:pPr>
      <w:rPr>
        <w:rFonts w:hint="default" w:ascii="Wingdings" w:hAnsi="Wingdings"/>
      </w:rPr>
    </w:lvl>
    <w:lvl w:ilvl="2" w:tentative="0">
      <w:start w:val="1"/>
      <w:numFmt w:val="bullet"/>
      <w:lvlText w:val="u"/>
      <w:lvlJc w:val="left"/>
      <w:pPr>
        <w:tabs>
          <w:tab w:val="left" w:pos="1827"/>
        </w:tabs>
        <w:ind w:left="1827" w:hanging="420"/>
      </w:pPr>
      <w:rPr>
        <w:rFonts w:hint="default" w:ascii="Wingdings" w:hAnsi="Wingdings"/>
      </w:rPr>
    </w:lvl>
    <w:lvl w:ilvl="3" w:tentative="0">
      <w:start w:val="1"/>
      <w:numFmt w:val="bullet"/>
      <w:lvlText w:val="l"/>
      <w:lvlJc w:val="left"/>
      <w:pPr>
        <w:tabs>
          <w:tab w:val="left" w:pos="2247"/>
        </w:tabs>
        <w:ind w:left="2247" w:hanging="420"/>
      </w:pPr>
      <w:rPr>
        <w:rFonts w:hint="default" w:ascii="Wingdings" w:hAnsi="Wingdings"/>
      </w:rPr>
    </w:lvl>
    <w:lvl w:ilvl="4" w:tentative="0">
      <w:start w:val="1"/>
      <w:numFmt w:val="bullet"/>
      <w:lvlText w:val="n"/>
      <w:lvlJc w:val="left"/>
      <w:pPr>
        <w:tabs>
          <w:tab w:val="left" w:pos="2667"/>
        </w:tabs>
        <w:ind w:left="2667" w:hanging="420"/>
      </w:pPr>
      <w:rPr>
        <w:rFonts w:hint="default" w:ascii="Wingdings" w:hAnsi="Wingdings"/>
      </w:rPr>
    </w:lvl>
    <w:lvl w:ilvl="5" w:tentative="0">
      <w:start w:val="1"/>
      <w:numFmt w:val="bullet"/>
      <w:lvlText w:val="u"/>
      <w:lvlJc w:val="left"/>
      <w:pPr>
        <w:tabs>
          <w:tab w:val="left" w:pos="3087"/>
        </w:tabs>
        <w:ind w:left="3087" w:hanging="420"/>
      </w:pPr>
      <w:rPr>
        <w:rFonts w:hint="default" w:ascii="Wingdings" w:hAnsi="Wingdings"/>
      </w:rPr>
    </w:lvl>
    <w:lvl w:ilvl="6" w:tentative="0">
      <w:start w:val="1"/>
      <w:numFmt w:val="bullet"/>
      <w:lvlText w:val="l"/>
      <w:lvlJc w:val="left"/>
      <w:pPr>
        <w:tabs>
          <w:tab w:val="left" w:pos="3507"/>
        </w:tabs>
        <w:ind w:left="3507" w:hanging="420"/>
      </w:pPr>
      <w:rPr>
        <w:rFonts w:hint="default" w:ascii="Wingdings" w:hAnsi="Wingdings"/>
      </w:rPr>
    </w:lvl>
    <w:lvl w:ilvl="7" w:tentative="0">
      <w:start w:val="1"/>
      <w:numFmt w:val="bullet"/>
      <w:lvlText w:val="n"/>
      <w:lvlJc w:val="left"/>
      <w:pPr>
        <w:tabs>
          <w:tab w:val="left" w:pos="3927"/>
        </w:tabs>
        <w:ind w:left="3927" w:hanging="420"/>
      </w:pPr>
      <w:rPr>
        <w:rFonts w:hint="default" w:ascii="Wingdings" w:hAnsi="Wingdings"/>
      </w:rPr>
    </w:lvl>
    <w:lvl w:ilvl="8" w:tentative="0">
      <w:start w:val="1"/>
      <w:numFmt w:val="bullet"/>
      <w:lvlText w:val="u"/>
      <w:lvlJc w:val="left"/>
      <w:pPr>
        <w:tabs>
          <w:tab w:val="left" w:pos="4347"/>
        </w:tabs>
        <w:ind w:left="4347" w:hanging="420"/>
      </w:pPr>
      <w:rPr>
        <w:rFonts w:hint="default" w:ascii="Wingdings" w:hAnsi="Wingdings"/>
      </w:rPr>
    </w:lvl>
  </w:abstractNum>
  <w:abstractNum w:abstractNumId="57">
    <w:nsid w:val="2F000036"/>
    <w:multiLevelType w:val="multilevel"/>
    <w:tmpl w:val="2F000036"/>
    <w:lvl w:ilvl="0" w:tentative="0">
      <w:start w:val="1"/>
      <w:numFmt w:val="bullet"/>
      <w:pStyle w:val="672"/>
      <w:lvlText w:val="ü"/>
      <w:lvlJc w:val="left"/>
      <w:pPr>
        <w:tabs>
          <w:tab w:val="left" w:pos="1554"/>
        </w:tabs>
        <w:ind w:left="1554" w:hanging="420"/>
      </w:pPr>
      <w:rPr>
        <w:rFonts w:hint="default" w:ascii="Wingdings" w:hAnsi="Wingdings"/>
      </w:rPr>
    </w:lvl>
    <w:lvl w:ilvl="1" w:tentative="0">
      <w:start w:val="1"/>
      <w:numFmt w:val="bullet"/>
      <w:lvlText w:val="n"/>
      <w:lvlJc w:val="left"/>
      <w:pPr>
        <w:tabs>
          <w:tab w:val="left" w:pos="840"/>
        </w:tabs>
        <w:ind w:left="840" w:hanging="420"/>
      </w:pPr>
      <w:rPr>
        <w:rFonts w:hint="default" w:ascii="Wingdings" w:hAnsi="Wingdings"/>
      </w:rPr>
    </w:lvl>
    <w:lvl w:ilvl="2" w:tentative="0">
      <w:start w:val="1"/>
      <w:numFmt w:val="bullet"/>
      <w:lvlText w:val="u"/>
      <w:lvlJc w:val="left"/>
      <w:pPr>
        <w:tabs>
          <w:tab w:val="left" w:pos="1260"/>
        </w:tabs>
        <w:ind w:left="1260" w:hanging="420"/>
      </w:pPr>
      <w:rPr>
        <w:rFonts w:hint="default" w:ascii="Wingdings" w:hAnsi="Wingdings"/>
      </w:rPr>
    </w:lvl>
    <w:lvl w:ilvl="3" w:tentative="0">
      <w:start w:val="1"/>
      <w:numFmt w:val="bullet"/>
      <w:lvlText w:val="l"/>
      <w:lvlJc w:val="left"/>
      <w:pPr>
        <w:tabs>
          <w:tab w:val="left" w:pos="1680"/>
        </w:tabs>
        <w:ind w:left="1680" w:hanging="420"/>
      </w:pPr>
      <w:rPr>
        <w:rFonts w:hint="default" w:ascii="Wingdings" w:hAnsi="Wingdings"/>
      </w:rPr>
    </w:lvl>
    <w:lvl w:ilvl="4" w:tentative="0">
      <w:start w:val="1"/>
      <w:numFmt w:val="bullet"/>
      <w:lvlText w:val="n"/>
      <w:lvlJc w:val="left"/>
      <w:pPr>
        <w:tabs>
          <w:tab w:val="left" w:pos="2100"/>
        </w:tabs>
        <w:ind w:left="2100" w:hanging="420"/>
      </w:pPr>
      <w:rPr>
        <w:rFonts w:hint="default" w:ascii="Wingdings" w:hAnsi="Wingdings"/>
      </w:rPr>
    </w:lvl>
    <w:lvl w:ilvl="5" w:tentative="0">
      <w:start w:val="1"/>
      <w:numFmt w:val="bullet"/>
      <w:lvlText w:val="u"/>
      <w:lvlJc w:val="left"/>
      <w:pPr>
        <w:tabs>
          <w:tab w:val="left" w:pos="2520"/>
        </w:tabs>
        <w:ind w:left="2520" w:hanging="420"/>
      </w:pPr>
      <w:rPr>
        <w:rFonts w:hint="default" w:ascii="Wingdings" w:hAnsi="Wingdings"/>
      </w:rPr>
    </w:lvl>
    <w:lvl w:ilvl="6" w:tentative="0">
      <w:start w:val="1"/>
      <w:numFmt w:val="bullet"/>
      <w:lvlText w:val="l"/>
      <w:lvlJc w:val="left"/>
      <w:pPr>
        <w:tabs>
          <w:tab w:val="left" w:pos="2940"/>
        </w:tabs>
        <w:ind w:left="2940" w:hanging="420"/>
      </w:pPr>
      <w:rPr>
        <w:rFonts w:hint="default" w:ascii="Wingdings" w:hAnsi="Wingdings"/>
      </w:rPr>
    </w:lvl>
    <w:lvl w:ilvl="7" w:tentative="0">
      <w:start w:val="1"/>
      <w:numFmt w:val="bullet"/>
      <w:pStyle w:val="337"/>
      <w:lvlText w:val="n"/>
      <w:lvlJc w:val="left"/>
      <w:pPr>
        <w:tabs>
          <w:tab w:val="left" w:pos="3360"/>
        </w:tabs>
        <w:ind w:left="3360" w:hanging="420"/>
      </w:pPr>
      <w:rPr>
        <w:rFonts w:hint="default" w:ascii="Wingdings" w:hAnsi="Wingdings"/>
      </w:rPr>
    </w:lvl>
    <w:lvl w:ilvl="8" w:tentative="0">
      <w:start w:val="1"/>
      <w:numFmt w:val="bullet"/>
      <w:lvlText w:val="u"/>
      <w:lvlJc w:val="left"/>
      <w:pPr>
        <w:tabs>
          <w:tab w:val="left" w:pos="3780"/>
        </w:tabs>
        <w:ind w:left="3780" w:hanging="420"/>
      </w:pPr>
      <w:rPr>
        <w:rFonts w:hint="default" w:ascii="Wingdings" w:hAnsi="Wingdings"/>
      </w:rPr>
    </w:lvl>
  </w:abstractNum>
  <w:abstractNum w:abstractNumId="58">
    <w:nsid w:val="2F000037"/>
    <w:multiLevelType w:val="multilevel"/>
    <w:tmpl w:val="2F000037"/>
    <w:lvl w:ilvl="0" w:tentative="0">
      <w:start w:val="1"/>
      <w:numFmt w:val="decimal"/>
      <w:pStyle w:val="863"/>
      <w:suff w:val="space"/>
      <w:lvlText w:val="%1."/>
      <w:lvlJc w:val="left"/>
      <w:pPr>
        <w:ind w:left="425" w:hanging="425"/>
      </w:pPr>
      <w:rPr>
        <w:rFonts w:hint="eastAsia"/>
        <w:b/>
        <w:i w:val="0"/>
        <w:sz w:val="36"/>
        <w:szCs w:val="36"/>
      </w:rPr>
    </w:lvl>
    <w:lvl w:ilvl="1" w:tentative="0">
      <w:start w:val="1"/>
      <w:numFmt w:val="decimal"/>
      <w:suff w:val="space"/>
      <w:lvlText w:val="%1.%2."/>
      <w:lvlJc w:val="left"/>
      <w:pPr>
        <w:ind w:left="454" w:hanging="454"/>
      </w:pPr>
      <w:rPr>
        <w:rFonts w:hint="eastAsia" w:ascii="宋体" w:eastAsia="宋体"/>
        <w:b/>
        <w:i w:val="0"/>
        <w:sz w:val="30"/>
        <w:szCs w:val="30"/>
      </w:rPr>
    </w:lvl>
    <w:lvl w:ilvl="2" w:tentative="0">
      <w:start w:val="1"/>
      <w:numFmt w:val="decimal"/>
      <w:suff w:val="space"/>
      <w:lvlText w:val="%1.%2.%3."/>
      <w:lvlJc w:val="left"/>
      <w:pPr>
        <w:ind w:left="709" w:hanging="709"/>
      </w:pPr>
      <w:rPr>
        <w:rFonts w:hint="eastAsia" w:ascii="宋体" w:eastAsia="宋体"/>
        <w:b/>
        <w:i w:val="0"/>
        <w:sz w:val="28"/>
        <w:szCs w:val="28"/>
      </w:rPr>
    </w:lvl>
    <w:lvl w:ilvl="3" w:tentative="0">
      <w:start w:val="1"/>
      <w:numFmt w:val="decimal"/>
      <w:suff w:val="space"/>
      <w:lvlText w:val="%1.%2.%3.%4."/>
      <w:lvlJc w:val="left"/>
      <w:pPr>
        <w:ind w:left="851" w:hanging="851"/>
      </w:pPr>
      <w:rPr>
        <w:rFonts w:hint="eastAsia" w:ascii="宋体" w:eastAsia="宋体"/>
        <w:b/>
        <w:i w:val="0"/>
        <w:sz w:val="28"/>
        <w:szCs w:val="28"/>
      </w:rPr>
    </w:lvl>
    <w:lvl w:ilvl="4" w:tentative="0">
      <w:start w:val="1"/>
      <w:numFmt w:val="decimal"/>
      <w:suff w:val="space"/>
      <w:lvlText w:val="%1.%2.%3.%4.%5."/>
      <w:lvlJc w:val="left"/>
      <w:pPr>
        <w:ind w:left="992" w:hanging="992"/>
      </w:pPr>
      <w:rPr>
        <w:rFonts w:hint="eastAsia" w:ascii="宋体" w:eastAsia="宋体"/>
        <w:b/>
        <w:i w:val="0"/>
        <w:sz w:val="24"/>
        <w:szCs w:val="24"/>
      </w:rPr>
    </w:lvl>
    <w:lvl w:ilvl="5" w:tentative="0">
      <w:start w:val="1"/>
      <w:numFmt w:val="decimal"/>
      <w:lvlText w:val="%1.%2.%3.%4.%5.%6."/>
      <w:lvlJc w:val="left"/>
      <w:pPr>
        <w:tabs>
          <w:tab w:val="left" w:pos="1134"/>
        </w:tabs>
        <w:ind w:left="1134" w:hanging="1134"/>
      </w:pPr>
      <w:rPr>
        <w:rFonts w:hint="eastAsia" w:ascii="宋体" w:hAnsi="宋体" w:eastAsia="宋体"/>
        <w:sz w:val="24"/>
        <w:szCs w:val="24"/>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9">
    <w:nsid w:val="2F000038"/>
    <w:multiLevelType w:val="multilevel"/>
    <w:tmpl w:val="2F000038"/>
    <w:lvl w:ilvl="0" w:tentative="0">
      <w:start w:val="1"/>
      <w:numFmt w:val="bullet"/>
      <w:pStyle w:val="219"/>
      <w:lvlText w:val="²"/>
      <w:lvlJc w:val="left"/>
      <w:pPr>
        <w:tabs>
          <w:tab w:val="left" w:pos="1460"/>
        </w:tabs>
        <w:ind w:left="1974" w:hanging="283"/>
      </w:pPr>
      <w:rPr>
        <w:rFonts w:hint="default" w:ascii="Wingdings" w:hAnsi="Wingdings"/>
      </w:rPr>
    </w:lvl>
    <w:lvl w:ilvl="1" w:tentative="0">
      <w:start w:val="1"/>
      <w:numFmt w:val="bullet"/>
      <w:lvlText w:val="n"/>
      <w:lvlJc w:val="left"/>
      <w:pPr>
        <w:tabs>
          <w:tab w:val="left" w:pos="1680"/>
        </w:tabs>
        <w:ind w:left="1680" w:hanging="420"/>
      </w:pPr>
      <w:rPr>
        <w:rFonts w:hint="default" w:ascii="Wingdings" w:hAnsi="Wingdings"/>
      </w:rPr>
    </w:lvl>
    <w:lvl w:ilvl="2" w:tentative="0">
      <w:start w:val="1"/>
      <w:numFmt w:val="bullet"/>
      <w:lvlText w:val="u"/>
      <w:lvlJc w:val="left"/>
      <w:pPr>
        <w:tabs>
          <w:tab w:val="left" w:pos="2100"/>
        </w:tabs>
        <w:ind w:left="2100" w:hanging="420"/>
      </w:pPr>
      <w:rPr>
        <w:rFonts w:hint="default" w:ascii="Wingdings" w:hAnsi="Wingdings"/>
      </w:rPr>
    </w:lvl>
    <w:lvl w:ilvl="3" w:tentative="0">
      <w:start w:val="1"/>
      <w:numFmt w:val="bullet"/>
      <w:lvlText w:val="l"/>
      <w:lvlJc w:val="left"/>
      <w:pPr>
        <w:tabs>
          <w:tab w:val="left" w:pos="2520"/>
        </w:tabs>
        <w:ind w:left="2520" w:hanging="420"/>
      </w:pPr>
      <w:rPr>
        <w:rFonts w:hint="default" w:ascii="Wingdings" w:hAnsi="Wingdings"/>
      </w:rPr>
    </w:lvl>
    <w:lvl w:ilvl="4" w:tentative="0">
      <w:start w:val="1"/>
      <w:numFmt w:val="bullet"/>
      <w:lvlText w:val="n"/>
      <w:lvlJc w:val="left"/>
      <w:pPr>
        <w:tabs>
          <w:tab w:val="left" w:pos="2940"/>
        </w:tabs>
        <w:ind w:left="2940" w:hanging="420"/>
      </w:pPr>
      <w:rPr>
        <w:rFonts w:hint="default" w:ascii="Wingdings" w:hAnsi="Wingdings"/>
      </w:rPr>
    </w:lvl>
    <w:lvl w:ilvl="5" w:tentative="0">
      <w:start w:val="1"/>
      <w:numFmt w:val="bullet"/>
      <w:lvlText w:val="u"/>
      <w:lvlJc w:val="left"/>
      <w:pPr>
        <w:tabs>
          <w:tab w:val="left" w:pos="3360"/>
        </w:tabs>
        <w:ind w:left="3360" w:hanging="420"/>
      </w:pPr>
      <w:rPr>
        <w:rFonts w:hint="default" w:ascii="Wingdings" w:hAnsi="Wingdings"/>
      </w:rPr>
    </w:lvl>
    <w:lvl w:ilvl="6" w:tentative="0">
      <w:start w:val="1"/>
      <w:numFmt w:val="bullet"/>
      <w:lvlText w:val="l"/>
      <w:lvlJc w:val="left"/>
      <w:pPr>
        <w:tabs>
          <w:tab w:val="left" w:pos="3780"/>
        </w:tabs>
        <w:ind w:left="3780" w:hanging="420"/>
      </w:pPr>
      <w:rPr>
        <w:rFonts w:hint="default" w:ascii="Wingdings" w:hAnsi="Wingdings"/>
      </w:rPr>
    </w:lvl>
    <w:lvl w:ilvl="7" w:tentative="0">
      <w:start w:val="1"/>
      <w:numFmt w:val="bullet"/>
      <w:lvlText w:val="n"/>
      <w:lvlJc w:val="left"/>
      <w:pPr>
        <w:tabs>
          <w:tab w:val="left" w:pos="4200"/>
        </w:tabs>
        <w:ind w:left="4200" w:hanging="420"/>
      </w:pPr>
      <w:rPr>
        <w:rFonts w:hint="default" w:ascii="Wingdings" w:hAnsi="Wingdings"/>
      </w:rPr>
    </w:lvl>
    <w:lvl w:ilvl="8" w:tentative="0">
      <w:start w:val="1"/>
      <w:numFmt w:val="bullet"/>
      <w:lvlText w:val="u"/>
      <w:lvlJc w:val="left"/>
      <w:pPr>
        <w:tabs>
          <w:tab w:val="left" w:pos="4620"/>
        </w:tabs>
        <w:ind w:left="4620" w:hanging="420"/>
      </w:pPr>
      <w:rPr>
        <w:rFonts w:hint="default" w:ascii="Wingdings" w:hAnsi="Wingdings"/>
      </w:rPr>
    </w:lvl>
  </w:abstractNum>
  <w:abstractNum w:abstractNumId="60">
    <w:nsid w:val="2F000039"/>
    <w:multiLevelType w:val="multilevel"/>
    <w:tmpl w:val="2F000039"/>
    <w:lvl w:ilvl="0" w:tentative="0">
      <w:start w:val="1"/>
      <w:numFmt w:val="bullet"/>
      <w:pStyle w:val="718"/>
      <w:lvlText w:val="·"/>
      <w:lvlJc w:val="left"/>
      <w:pPr>
        <w:tabs>
          <w:tab w:val="left" w:pos="360"/>
        </w:tabs>
        <w:ind w:left="360" w:hanging="360"/>
      </w:pPr>
      <w:rPr>
        <w:rFonts w:hint="default" w:ascii="Symbol" w:hAnsi="Symbol"/>
      </w:rPr>
    </w:lvl>
    <w:lvl w:ilvl="1" w:tentative="0">
      <w:start w:val="1"/>
      <w:numFmt w:val="bullet"/>
      <w:lvlText w:val="·"/>
      <w:lvlJc w:val="left"/>
      <w:pPr>
        <w:tabs>
          <w:tab w:val="left" w:pos="360"/>
        </w:tabs>
        <w:ind w:left="360" w:hanging="360"/>
      </w:pPr>
      <w:rPr>
        <w:rFonts w:hint="default" w:ascii="Symbol" w:hAnsi="Symbol"/>
      </w:rPr>
    </w:lvl>
    <w:lvl w:ilvl="2" w:tentative="0">
      <w:start w:val="1"/>
      <w:numFmt w:val="bullet"/>
      <w:lvlText w:val="·"/>
      <w:lvlJc w:val="left"/>
      <w:pPr>
        <w:tabs>
          <w:tab w:val="left" w:pos="360"/>
        </w:tabs>
        <w:ind w:left="360" w:hanging="360"/>
      </w:pPr>
      <w:rPr>
        <w:rFonts w:hint="default" w:ascii="Symbol" w:hAnsi="Symbol"/>
      </w:rPr>
    </w:lvl>
    <w:lvl w:ilvl="3" w:tentative="0">
      <w:start w:val="1"/>
      <w:numFmt w:val="bullet"/>
      <w:lvlText w:val="·"/>
      <w:lvlJc w:val="left"/>
      <w:pPr>
        <w:tabs>
          <w:tab w:val="left" w:pos="360"/>
        </w:tabs>
        <w:ind w:left="360" w:hanging="360"/>
      </w:pPr>
      <w:rPr>
        <w:rFonts w:hint="default" w:ascii="Symbol" w:hAnsi="Symbol"/>
      </w:rPr>
    </w:lvl>
    <w:lvl w:ilvl="4" w:tentative="0">
      <w:start w:val="1"/>
      <w:numFmt w:val="bullet"/>
      <w:lvlText w:val="·"/>
      <w:lvlJc w:val="left"/>
      <w:pPr>
        <w:tabs>
          <w:tab w:val="left" w:pos="360"/>
        </w:tabs>
        <w:ind w:left="360" w:hanging="360"/>
      </w:pPr>
      <w:rPr>
        <w:rFonts w:hint="default" w:ascii="Symbol" w:hAnsi="Symbol"/>
      </w:rPr>
    </w:lvl>
    <w:lvl w:ilvl="5" w:tentative="0">
      <w:start w:val="1"/>
      <w:numFmt w:val="bullet"/>
      <w:lvlText w:val="·"/>
      <w:lvlJc w:val="left"/>
      <w:pPr>
        <w:tabs>
          <w:tab w:val="left" w:pos="360"/>
        </w:tabs>
        <w:ind w:left="360" w:hanging="360"/>
      </w:pPr>
      <w:rPr>
        <w:rFonts w:hint="default" w:ascii="Symbol" w:hAnsi="Symbol"/>
      </w:rPr>
    </w:lvl>
    <w:lvl w:ilvl="6" w:tentative="0">
      <w:start w:val="1"/>
      <w:numFmt w:val="bullet"/>
      <w:lvlText w:val="·"/>
      <w:lvlJc w:val="left"/>
      <w:pPr>
        <w:tabs>
          <w:tab w:val="left" w:pos="360"/>
        </w:tabs>
        <w:ind w:left="360" w:hanging="360"/>
      </w:pPr>
      <w:rPr>
        <w:rFonts w:hint="default" w:ascii="Symbol" w:hAnsi="Symbol"/>
      </w:rPr>
    </w:lvl>
    <w:lvl w:ilvl="7" w:tentative="0">
      <w:start w:val="1"/>
      <w:numFmt w:val="bullet"/>
      <w:lvlText w:val="·"/>
      <w:lvlJc w:val="left"/>
      <w:pPr>
        <w:tabs>
          <w:tab w:val="left" w:pos="360"/>
        </w:tabs>
        <w:ind w:left="360" w:hanging="360"/>
      </w:pPr>
      <w:rPr>
        <w:rFonts w:hint="default" w:ascii="Symbol" w:hAnsi="Symbol"/>
      </w:rPr>
    </w:lvl>
    <w:lvl w:ilvl="8" w:tentative="0">
      <w:start w:val="1"/>
      <w:numFmt w:val="bullet"/>
      <w:lvlText w:val="·"/>
      <w:lvlJc w:val="left"/>
      <w:pPr>
        <w:tabs>
          <w:tab w:val="left" w:pos="360"/>
        </w:tabs>
        <w:ind w:left="360" w:hanging="360"/>
      </w:pPr>
      <w:rPr>
        <w:rFonts w:hint="default" w:ascii="Symbol" w:hAnsi="Symbol"/>
      </w:rPr>
    </w:lvl>
  </w:abstractNum>
  <w:abstractNum w:abstractNumId="61">
    <w:nsid w:val="2F00003B"/>
    <w:multiLevelType w:val="multilevel"/>
    <w:tmpl w:val="2F00003B"/>
    <w:lvl w:ilvl="0" w:tentative="0">
      <w:start w:val="1"/>
      <w:numFmt w:val="decimal"/>
      <w:pStyle w:val="551"/>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2">
    <w:nsid w:val="2F00003C"/>
    <w:multiLevelType w:val="multilevel"/>
    <w:tmpl w:val="2F00003C"/>
    <w:lvl w:ilvl="0" w:tentative="0">
      <w:start w:val="1"/>
      <w:numFmt w:val="decimal"/>
      <w:pStyle w:val="564"/>
      <w:suff w:val="nothing"/>
      <w:lvlText w:val="%1    "/>
      <w:lvlJc w:val="left"/>
      <w:pPr>
        <w:ind w:left="432" w:hanging="432"/>
      </w:pPr>
      <w:rPr>
        <w:rFonts w:hint="default" w:ascii="Times New Roman" w:hAnsi="Times New Roman" w:eastAsia="宋体"/>
        <w:b/>
        <w:i w:val="0"/>
      </w:rPr>
    </w:lvl>
    <w:lvl w:ilvl="1" w:tentative="0">
      <w:start w:val="1"/>
      <w:numFmt w:val="decimal"/>
      <w:pStyle w:val="565"/>
      <w:suff w:val="nothing"/>
      <w:lvlText w:val="%1.%2    "/>
      <w:lvlJc w:val="left"/>
      <w:pPr>
        <w:ind w:left="576" w:hanging="576"/>
      </w:pPr>
      <w:rPr>
        <w:rFonts w:hint="default" w:ascii="Times New Roman" w:hAnsi="Times New Roman" w:eastAsia="宋体"/>
        <w:b/>
        <w:i w:val="0"/>
      </w:rPr>
    </w:lvl>
    <w:lvl w:ilvl="2" w:tentative="0">
      <w:start w:val="1"/>
      <w:numFmt w:val="decimal"/>
      <w:suff w:val="nothing"/>
      <w:lvlText w:val="%1.%2.%3    "/>
      <w:lvlJc w:val="left"/>
      <w:pPr>
        <w:ind w:left="2340" w:hanging="720"/>
      </w:pPr>
      <w:rPr>
        <w:rFonts w:hint="default" w:ascii="Times New Roman" w:hAnsi="Times New Roman" w:eastAsia="宋体"/>
      </w:rPr>
    </w:lvl>
    <w:lvl w:ilvl="3" w:tentative="0">
      <w:start w:val="1"/>
      <w:numFmt w:val="decimal"/>
      <w:suff w:val="nothing"/>
      <w:lvlText w:val="%1.%2.%3.%4    "/>
      <w:lvlJc w:val="left"/>
      <w:pPr>
        <w:ind w:left="864" w:hanging="864"/>
      </w:pPr>
      <w:rPr>
        <w:rFonts w:hint="default" w:ascii="Times New Roman" w:hAnsi="Times New Roman" w:eastAsia="宋体"/>
        <w:b w:val="0"/>
        <w:i w:val="0"/>
        <w:sz w:val="24"/>
        <w:szCs w:val="24"/>
      </w:rPr>
    </w:lvl>
    <w:lvl w:ilvl="4" w:tentative="0">
      <w:start w:val="1"/>
      <w:numFmt w:val="decimal"/>
      <w:suff w:val="nothing"/>
      <w:lvlText w:val="%1.%2.%3.%4.%5  "/>
      <w:lvlJc w:val="left"/>
      <w:pPr>
        <w:ind w:left="1008" w:hanging="1008"/>
      </w:pPr>
      <w:rPr>
        <w:rFonts w:hint="eastAsia"/>
      </w:rPr>
    </w:lvl>
    <w:lvl w:ilvl="5" w:tentative="0">
      <w:start w:val="1"/>
      <w:numFmt w:val="decimal"/>
      <w:lvlRestart w:val="2"/>
      <w:suff w:val="nothing"/>
      <w:lvlText w:val="图%1.%2-%6    "/>
      <w:lvlJc w:val="left"/>
      <w:pPr>
        <w:ind w:left="1152" w:hanging="1152"/>
      </w:pPr>
      <w:rPr>
        <w:rFonts w:hint="default" w:ascii="Times New Roman" w:hAnsi="Times New Roman" w:eastAsia="宋体"/>
      </w:rPr>
    </w:lvl>
    <w:lvl w:ilvl="6" w:tentative="0">
      <w:start w:val="1"/>
      <w:numFmt w:val="decimal"/>
      <w:lvlRestart w:val="2"/>
      <w:suff w:val="nothing"/>
      <w:lvlText w:val="表%1.%2-%7    "/>
      <w:lvlJc w:val="left"/>
      <w:pPr>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3">
    <w:nsid w:val="2F00003D"/>
    <w:multiLevelType w:val="multilevel"/>
    <w:tmpl w:val="2F00003D"/>
    <w:lvl w:ilvl="0" w:tentative="0">
      <w:start w:val="1"/>
      <w:numFmt w:val="decimal"/>
      <w:pStyle w:val="599"/>
      <w:suff w:val="nothing"/>
      <w:lvlText w:val="图%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default" w:ascii="Times New Roman" w:hAnsi="Times New Roman" w:eastAsia="黑体"/>
        <w:b w:val="0"/>
        <w:i w:val="0"/>
        <w:sz w:val="21"/>
        <w:szCs w:val="21"/>
      </w:rPr>
    </w:lvl>
    <w:lvl w:ilvl="2" w:tentative="0">
      <w:start w:val="1"/>
      <w:numFmt w:val="decimal"/>
      <w:suff w:val="nothing"/>
      <w:lvlText w:val="%1%2.%3　"/>
      <w:lvlJc w:val="left"/>
      <w:pPr>
        <w:ind w:left="0" w:firstLine="0"/>
      </w:pPr>
      <w:rPr>
        <w:rFonts w:hint="default" w:ascii="Times New Roman" w:hAnsi="Times New Roman" w:eastAsia="黑体"/>
        <w:b w:val="0"/>
        <w:i w:val="0"/>
        <w:sz w:val="21"/>
        <w:szCs w:val="21"/>
      </w:rPr>
    </w:lvl>
    <w:lvl w:ilvl="3" w:tentative="0">
      <w:start w:val="1"/>
      <w:numFmt w:val="decimal"/>
      <w:suff w:val="nothing"/>
      <w:lvlText w:val="%1%2.%3.%4　"/>
      <w:lvlJc w:val="left"/>
      <w:pPr>
        <w:ind w:left="0" w:firstLine="0"/>
      </w:pPr>
      <w:rPr>
        <w:rFonts w:hint="default" w:ascii="Times New Roman" w:hAnsi="Times New Roman" w:eastAsia="黑体"/>
        <w:b w:val="0"/>
        <w:i w:val="0"/>
        <w:sz w:val="21"/>
        <w:szCs w:val="21"/>
      </w:rPr>
    </w:lvl>
    <w:lvl w:ilvl="4" w:tentative="0">
      <w:start w:val="1"/>
      <w:numFmt w:val="decimal"/>
      <w:suff w:val="nothing"/>
      <w:lvlText w:val="%1%2.%3.%4.%5　"/>
      <w:lvlJc w:val="left"/>
      <w:pPr>
        <w:ind w:left="0" w:firstLine="0"/>
      </w:pPr>
      <w:rPr>
        <w:rFonts w:hint="default" w:ascii="Times New Roman" w:hAnsi="Times New Roman" w:eastAsia="黑体"/>
        <w:b w:val="0"/>
        <w:i w:val="0"/>
        <w:sz w:val="21"/>
        <w:szCs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szCs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4">
    <w:nsid w:val="2F00003E"/>
    <w:multiLevelType w:val="multilevel"/>
    <w:tmpl w:val="2F00003E"/>
    <w:lvl w:ilvl="0" w:tentative="0">
      <w:start w:val="1"/>
      <w:numFmt w:val="bullet"/>
      <w:pStyle w:val="665"/>
      <w:lvlText w:val="l"/>
      <w:lvlJc w:val="left"/>
      <w:pPr>
        <w:tabs>
          <w:tab w:val="left" w:pos="360"/>
        </w:tabs>
        <w:ind w:left="360" w:hanging="360"/>
      </w:pPr>
      <w:rPr>
        <w:rFonts w:hint="default" w:ascii="Wingdings" w:hAnsi="Wingdings"/>
        <w:b w:val="0"/>
        <w:i w:val="0"/>
        <w:sz w:val="16"/>
        <w:szCs w:val="16"/>
      </w:rPr>
    </w:lvl>
    <w:lvl w:ilvl="1" w:tentative="0">
      <w:start w:val="1"/>
      <w:numFmt w:val="bullet"/>
      <w:lvlText w:val="l"/>
      <w:lvlJc w:val="left"/>
      <w:pPr>
        <w:tabs>
          <w:tab w:val="left" w:pos="360"/>
        </w:tabs>
        <w:ind w:left="360" w:hanging="360"/>
      </w:pPr>
      <w:rPr>
        <w:rFonts w:hint="default" w:ascii="Wingdings" w:hAnsi="Wingdings"/>
        <w:b w:val="0"/>
        <w:i w:val="0"/>
        <w:sz w:val="16"/>
        <w:szCs w:val="16"/>
      </w:rPr>
    </w:lvl>
    <w:lvl w:ilvl="2" w:tentative="0">
      <w:start w:val="1"/>
      <w:numFmt w:val="bullet"/>
      <w:lvlText w:val="l"/>
      <w:lvlJc w:val="left"/>
      <w:pPr>
        <w:tabs>
          <w:tab w:val="left" w:pos="360"/>
        </w:tabs>
        <w:ind w:left="360" w:hanging="360"/>
      </w:pPr>
      <w:rPr>
        <w:rFonts w:hint="default" w:ascii="Wingdings" w:hAnsi="Wingdings"/>
        <w:b w:val="0"/>
        <w:i w:val="0"/>
        <w:sz w:val="16"/>
        <w:szCs w:val="16"/>
      </w:rPr>
    </w:lvl>
    <w:lvl w:ilvl="3" w:tentative="0">
      <w:start w:val="1"/>
      <w:numFmt w:val="bullet"/>
      <w:lvlText w:val="l"/>
      <w:lvlJc w:val="left"/>
      <w:pPr>
        <w:tabs>
          <w:tab w:val="left" w:pos="360"/>
        </w:tabs>
        <w:ind w:left="360" w:hanging="360"/>
      </w:pPr>
      <w:rPr>
        <w:rFonts w:hint="default" w:ascii="Wingdings" w:hAnsi="Wingdings"/>
        <w:b w:val="0"/>
        <w:i w:val="0"/>
        <w:sz w:val="16"/>
        <w:szCs w:val="16"/>
      </w:rPr>
    </w:lvl>
    <w:lvl w:ilvl="4" w:tentative="0">
      <w:start w:val="1"/>
      <w:numFmt w:val="bullet"/>
      <w:lvlText w:val="l"/>
      <w:lvlJc w:val="left"/>
      <w:pPr>
        <w:tabs>
          <w:tab w:val="left" w:pos="360"/>
        </w:tabs>
        <w:ind w:left="360" w:hanging="360"/>
      </w:pPr>
      <w:rPr>
        <w:rFonts w:hint="default" w:ascii="Wingdings" w:hAnsi="Wingdings"/>
        <w:b w:val="0"/>
        <w:i w:val="0"/>
        <w:sz w:val="16"/>
        <w:szCs w:val="16"/>
      </w:rPr>
    </w:lvl>
    <w:lvl w:ilvl="5" w:tentative="0">
      <w:start w:val="1"/>
      <w:numFmt w:val="bullet"/>
      <w:lvlText w:val="l"/>
      <w:lvlJc w:val="left"/>
      <w:pPr>
        <w:tabs>
          <w:tab w:val="left" w:pos="360"/>
        </w:tabs>
        <w:ind w:left="360" w:hanging="360"/>
      </w:pPr>
      <w:rPr>
        <w:rFonts w:hint="default" w:ascii="Wingdings" w:hAnsi="Wingdings"/>
        <w:b w:val="0"/>
        <w:i w:val="0"/>
        <w:sz w:val="16"/>
        <w:szCs w:val="16"/>
      </w:rPr>
    </w:lvl>
    <w:lvl w:ilvl="6" w:tentative="0">
      <w:start w:val="1"/>
      <w:numFmt w:val="bullet"/>
      <w:lvlText w:val="l"/>
      <w:lvlJc w:val="left"/>
      <w:pPr>
        <w:tabs>
          <w:tab w:val="left" w:pos="360"/>
        </w:tabs>
        <w:ind w:left="360" w:hanging="360"/>
      </w:pPr>
      <w:rPr>
        <w:rFonts w:hint="default" w:ascii="Wingdings" w:hAnsi="Wingdings"/>
        <w:b w:val="0"/>
        <w:i w:val="0"/>
        <w:sz w:val="16"/>
        <w:szCs w:val="16"/>
      </w:rPr>
    </w:lvl>
    <w:lvl w:ilvl="7" w:tentative="0">
      <w:start w:val="1"/>
      <w:numFmt w:val="bullet"/>
      <w:lvlText w:val="l"/>
      <w:lvlJc w:val="left"/>
      <w:pPr>
        <w:tabs>
          <w:tab w:val="left" w:pos="360"/>
        </w:tabs>
        <w:ind w:left="360" w:hanging="360"/>
      </w:pPr>
      <w:rPr>
        <w:rFonts w:hint="default" w:ascii="Wingdings" w:hAnsi="Wingdings"/>
        <w:b w:val="0"/>
        <w:i w:val="0"/>
        <w:sz w:val="16"/>
        <w:szCs w:val="16"/>
      </w:rPr>
    </w:lvl>
    <w:lvl w:ilvl="8" w:tentative="0">
      <w:start w:val="1"/>
      <w:numFmt w:val="bullet"/>
      <w:lvlText w:val="l"/>
      <w:lvlJc w:val="left"/>
      <w:pPr>
        <w:tabs>
          <w:tab w:val="left" w:pos="360"/>
        </w:tabs>
        <w:ind w:left="360" w:hanging="360"/>
      </w:pPr>
      <w:rPr>
        <w:rFonts w:hint="default" w:ascii="Wingdings" w:hAnsi="Wingdings"/>
        <w:b w:val="0"/>
        <w:i w:val="0"/>
        <w:sz w:val="16"/>
        <w:szCs w:val="16"/>
      </w:rPr>
    </w:lvl>
  </w:abstractNum>
  <w:abstractNum w:abstractNumId="65">
    <w:nsid w:val="2F000040"/>
    <w:multiLevelType w:val="multilevel"/>
    <w:tmpl w:val="2F000040"/>
    <w:lvl w:ilvl="0" w:tentative="0">
      <w:start w:val="1"/>
      <w:numFmt w:val="decimal"/>
      <w:pStyle w:val="821"/>
      <w:lvlText w:val="%1."/>
      <w:lvlJc w:val="left"/>
      <w:pPr>
        <w:tabs>
          <w:tab w:val="left" w:pos="709"/>
        </w:tabs>
        <w:ind w:left="709" w:hanging="284"/>
      </w:pPr>
      <w:rPr>
        <w:rFonts w:hint="eastAsia"/>
      </w:rPr>
    </w:lvl>
    <w:lvl w:ilvl="1" w:tentative="0">
      <w:start w:val="1"/>
      <w:numFmt w:val="decimal"/>
      <w:lvlText w:val="%2"/>
      <w:lvlJc w:val="left"/>
      <w:pPr>
        <w:tabs>
          <w:tab w:val="left" w:pos="1276"/>
        </w:tabs>
        <w:ind w:left="1276" w:hanging="425"/>
      </w:pPr>
      <w:rPr>
        <w:rFonts w:hint="default"/>
      </w:rPr>
    </w:lvl>
    <w:lvl w:ilvl="2" w:tentative="0">
      <w:start w:val="1"/>
      <w:numFmt w:val="lowerLetter"/>
      <w:lvlText w:val="%3)"/>
      <w:lvlJc w:val="left"/>
      <w:pPr>
        <w:tabs>
          <w:tab w:val="left" w:pos="1701"/>
        </w:tabs>
        <w:ind w:left="1701" w:hanging="425"/>
      </w:pPr>
      <w:rPr>
        <w:rFonts w:hint="eastAsia"/>
      </w:rPr>
    </w:lvl>
    <w:lvl w:ilvl="3" w:tentative="0">
      <w:start w:val="1"/>
      <w:numFmt w:val="bullet"/>
      <w:lvlText w:val="w"/>
      <w:lvlJc w:val="left"/>
      <w:pPr>
        <w:tabs>
          <w:tab w:val="left" w:pos="2126"/>
        </w:tabs>
        <w:ind w:left="2126" w:hanging="425"/>
      </w:pPr>
      <w:rPr>
        <w:rFonts w:hint="default" w:ascii="Wingdings" w:hAnsi="Wingdings"/>
      </w:rPr>
    </w:lvl>
    <w:lvl w:ilvl="4" w:tentative="0">
      <w:start w:val="1"/>
      <w:numFmt w:val="lowerLetter"/>
      <w:lvlText w:val="%5)"/>
      <w:lvlJc w:val="left"/>
      <w:pPr>
        <w:tabs>
          <w:tab w:val="left" w:pos="2810"/>
        </w:tabs>
        <w:ind w:left="2810" w:hanging="420"/>
      </w:pPr>
      <w:rPr>
        <w:rFonts w:hint="eastAsia"/>
      </w:rPr>
    </w:lvl>
    <w:lvl w:ilvl="5" w:tentative="0">
      <w:start w:val="1"/>
      <w:numFmt w:val="lowerRoman"/>
      <w:lvlText w:val="%6."/>
      <w:lvlJc w:val="right"/>
      <w:pPr>
        <w:tabs>
          <w:tab w:val="left" w:pos="3230"/>
        </w:tabs>
        <w:ind w:left="3230" w:hanging="420"/>
      </w:pPr>
      <w:rPr>
        <w:rFonts w:hint="eastAsia"/>
      </w:rPr>
    </w:lvl>
    <w:lvl w:ilvl="6" w:tentative="0">
      <w:start w:val="1"/>
      <w:numFmt w:val="decimal"/>
      <w:lvlText w:val="%7."/>
      <w:lvlJc w:val="left"/>
      <w:pPr>
        <w:tabs>
          <w:tab w:val="left" w:pos="3650"/>
        </w:tabs>
        <w:ind w:left="3650" w:hanging="420"/>
      </w:pPr>
      <w:rPr>
        <w:rFonts w:hint="eastAsia"/>
      </w:rPr>
    </w:lvl>
    <w:lvl w:ilvl="7" w:tentative="0">
      <w:start w:val="1"/>
      <w:numFmt w:val="lowerLetter"/>
      <w:lvlText w:val="%8)"/>
      <w:lvlJc w:val="left"/>
      <w:pPr>
        <w:tabs>
          <w:tab w:val="left" w:pos="4070"/>
        </w:tabs>
        <w:ind w:left="4070" w:hanging="420"/>
      </w:pPr>
      <w:rPr>
        <w:rFonts w:hint="eastAsia"/>
      </w:rPr>
    </w:lvl>
    <w:lvl w:ilvl="8" w:tentative="0">
      <w:start w:val="1"/>
      <w:numFmt w:val="lowerRoman"/>
      <w:lvlText w:val="%9."/>
      <w:lvlJc w:val="right"/>
      <w:pPr>
        <w:tabs>
          <w:tab w:val="left" w:pos="4490"/>
        </w:tabs>
        <w:ind w:left="4490" w:hanging="420"/>
      </w:pPr>
      <w:rPr>
        <w:rFonts w:hint="eastAsia"/>
      </w:rPr>
    </w:lvl>
  </w:abstractNum>
  <w:abstractNum w:abstractNumId="66">
    <w:nsid w:val="2F000041"/>
    <w:multiLevelType w:val="multilevel"/>
    <w:tmpl w:val="2F000041"/>
    <w:lvl w:ilvl="0" w:tentative="0">
      <w:start w:val="1"/>
      <w:numFmt w:val="bullet"/>
      <w:pStyle w:val="440"/>
      <w:lvlText w:val="Ø"/>
      <w:lvlJc w:val="left"/>
      <w:pPr>
        <w:tabs>
          <w:tab w:val="left" w:pos="874"/>
        </w:tabs>
        <w:ind w:left="874" w:hanging="420"/>
      </w:pPr>
      <w:rPr>
        <w:rFonts w:hint="default" w:ascii="Wingdings" w:hAnsi="Wingdings"/>
      </w:rPr>
    </w:lvl>
    <w:lvl w:ilvl="1" w:tentative="0">
      <w:start w:val="1"/>
      <w:numFmt w:val="bullet"/>
      <w:lvlText w:val="n"/>
      <w:lvlJc w:val="left"/>
      <w:pPr>
        <w:tabs>
          <w:tab w:val="left" w:pos="1294"/>
        </w:tabs>
        <w:ind w:left="1294" w:hanging="420"/>
      </w:pPr>
      <w:rPr>
        <w:rFonts w:hint="default" w:ascii="Wingdings" w:hAnsi="Wingdings"/>
      </w:rPr>
    </w:lvl>
    <w:lvl w:ilvl="2" w:tentative="0">
      <w:start w:val="1"/>
      <w:numFmt w:val="bullet"/>
      <w:lvlText w:val="u"/>
      <w:lvlJc w:val="left"/>
      <w:pPr>
        <w:tabs>
          <w:tab w:val="left" w:pos="1714"/>
        </w:tabs>
        <w:ind w:left="1714" w:hanging="420"/>
      </w:pPr>
      <w:rPr>
        <w:rFonts w:hint="default" w:ascii="Wingdings" w:hAnsi="Wingdings"/>
      </w:rPr>
    </w:lvl>
    <w:lvl w:ilvl="3" w:tentative="0">
      <w:start w:val="1"/>
      <w:numFmt w:val="bullet"/>
      <w:lvlText w:val="l"/>
      <w:lvlJc w:val="left"/>
      <w:pPr>
        <w:tabs>
          <w:tab w:val="left" w:pos="2134"/>
        </w:tabs>
        <w:ind w:left="2134" w:hanging="420"/>
      </w:pPr>
      <w:rPr>
        <w:rFonts w:hint="default" w:ascii="Wingdings" w:hAnsi="Wingdings"/>
      </w:rPr>
    </w:lvl>
    <w:lvl w:ilvl="4" w:tentative="0">
      <w:start w:val="1"/>
      <w:numFmt w:val="bullet"/>
      <w:lvlText w:val="n"/>
      <w:lvlJc w:val="left"/>
      <w:pPr>
        <w:tabs>
          <w:tab w:val="left" w:pos="2554"/>
        </w:tabs>
        <w:ind w:left="2554" w:hanging="420"/>
      </w:pPr>
      <w:rPr>
        <w:rFonts w:hint="default" w:ascii="Wingdings" w:hAnsi="Wingdings"/>
      </w:rPr>
    </w:lvl>
    <w:lvl w:ilvl="5" w:tentative="0">
      <w:start w:val="1"/>
      <w:numFmt w:val="bullet"/>
      <w:lvlText w:val="u"/>
      <w:lvlJc w:val="left"/>
      <w:pPr>
        <w:tabs>
          <w:tab w:val="left" w:pos="2974"/>
        </w:tabs>
        <w:ind w:left="2974" w:hanging="420"/>
      </w:pPr>
      <w:rPr>
        <w:rFonts w:hint="default" w:ascii="Wingdings" w:hAnsi="Wingdings"/>
      </w:rPr>
    </w:lvl>
    <w:lvl w:ilvl="6" w:tentative="0">
      <w:start w:val="1"/>
      <w:numFmt w:val="bullet"/>
      <w:lvlText w:val="l"/>
      <w:lvlJc w:val="left"/>
      <w:pPr>
        <w:tabs>
          <w:tab w:val="left" w:pos="3394"/>
        </w:tabs>
        <w:ind w:left="3394" w:hanging="420"/>
      </w:pPr>
      <w:rPr>
        <w:rFonts w:hint="default" w:ascii="Wingdings" w:hAnsi="Wingdings"/>
      </w:rPr>
    </w:lvl>
    <w:lvl w:ilvl="7" w:tentative="0">
      <w:start w:val="1"/>
      <w:numFmt w:val="bullet"/>
      <w:lvlText w:val="n"/>
      <w:lvlJc w:val="left"/>
      <w:pPr>
        <w:tabs>
          <w:tab w:val="left" w:pos="3814"/>
        </w:tabs>
        <w:ind w:left="3814" w:hanging="420"/>
      </w:pPr>
      <w:rPr>
        <w:rFonts w:hint="default" w:ascii="Wingdings" w:hAnsi="Wingdings"/>
      </w:rPr>
    </w:lvl>
    <w:lvl w:ilvl="8" w:tentative="0">
      <w:start w:val="1"/>
      <w:numFmt w:val="bullet"/>
      <w:lvlText w:val="u"/>
      <w:lvlJc w:val="left"/>
      <w:pPr>
        <w:tabs>
          <w:tab w:val="left" w:pos="4234"/>
        </w:tabs>
        <w:ind w:left="4234" w:hanging="420"/>
      </w:pPr>
      <w:rPr>
        <w:rFonts w:hint="default" w:ascii="Wingdings" w:hAnsi="Wingdings"/>
      </w:rPr>
    </w:lvl>
  </w:abstractNum>
  <w:abstractNum w:abstractNumId="67">
    <w:nsid w:val="2F000043"/>
    <w:multiLevelType w:val="multilevel"/>
    <w:tmpl w:val="2F000043"/>
    <w:lvl w:ilvl="0" w:tentative="0">
      <w:start w:val="1"/>
      <w:numFmt w:val="decimal"/>
      <w:pStyle w:val="957"/>
      <w:lvlText w:val="（%1）"/>
      <w:lvlJc w:val="left"/>
      <w:pPr>
        <w:tabs>
          <w:tab w:val="left" w:pos="403"/>
        </w:tabs>
        <w:ind w:left="0" w:firstLine="4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8">
    <w:nsid w:val="2F000044"/>
    <w:multiLevelType w:val="multilevel"/>
    <w:tmpl w:val="2F000044"/>
    <w:lvl w:ilvl="0" w:tentative="0">
      <w:start w:val="1"/>
      <w:numFmt w:val="bullet"/>
      <w:pStyle w:val="297"/>
      <w:lvlText w:val="u"/>
      <w:lvlJc w:val="left"/>
      <w:pPr>
        <w:tabs>
          <w:tab w:val="left" w:pos="1260"/>
        </w:tabs>
        <w:ind w:left="1260" w:hanging="420"/>
      </w:pPr>
      <w:rPr>
        <w:rFonts w:hint="default" w:ascii="Wingdings" w:hAnsi="Wingdings"/>
      </w:rPr>
    </w:lvl>
    <w:lvl w:ilvl="1" w:tentative="0">
      <w:start w:val="1"/>
      <w:numFmt w:val="bullet"/>
      <w:lvlText w:val="n"/>
      <w:lvlJc w:val="left"/>
      <w:pPr>
        <w:tabs>
          <w:tab w:val="left" w:pos="1680"/>
        </w:tabs>
        <w:ind w:left="1680" w:hanging="420"/>
      </w:pPr>
      <w:rPr>
        <w:rFonts w:hint="default" w:ascii="Wingdings" w:hAnsi="Wingdings"/>
      </w:rPr>
    </w:lvl>
    <w:lvl w:ilvl="2" w:tentative="0">
      <w:start w:val="1"/>
      <w:numFmt w:val="bullet"/>
      <w:lvlText w:val="u"/>
      <w:lvlJc w:val="left"/>
      <w:pPr>
        <w:tabs>
          <w:tab w:val="left" w:pos="2100"/>
        </w:tabs>
        <w:ind w:left="2100" w:hanging="420"/>
      </w:pPr>
      <w:rPr>
        <w:rFonts w:hint="default" w:ascii="Wingdings" w:hAnsi="Wingdings"/>
      </w:rPr>
    </w:lvl>
    <w:lvl w:ilvl="3" w:tentative="0">
      <w:start w:val="1"/>
      <w:numFmt w:val="bullet"/>
      <w:lvlText w:val="l"/>
      <w:lvlJc w:val="left"/>
      <w:pPr>
        <w:tabs>
          <w:tab w:val="left" w:pos="2520"/>
        </w:tabs>
        <w:ind w:left="2520" w:hanging="420"/>
      </w:pPr>
      <w:rPr>
        <w:rFonts w:hint="default" w:ascii="Wingdings" w:hAnsi="Wingdings"/>
      </w:rPr>
    </w:lvl>
    <w:lvl w:ilvl="4" w:tentative="0">
      <w:start w:val="1"/>
      <w:numFmt w:val="bullet"/>
      <w:lvlText w:val="n"/>
      <w:lvlJc w:val="left"/>
      <w:pPr>
        <w:tabs>
          <w:tab w:val="left" w:pos="2940"/>
        </w:tabs>
        <w:ind w:left="2940" w:hanging="420"/>
      </w:pPr>
      <w:rPr>
        <w:rFonts w:hint="default" w:ascii="Wingdings" w:hAnsi="Wingdings"/>
      </w:rPr>
    </w:lvl>
    <w:lvl w:ilvl="5" w:tentative="0">
      <w:start w:val="1"/>
      <w:numFmt w:val="bullet"/>
      <w:lvlText w:val="u"/>
      <w:lvlJc w:val="left"/>
      <w:pPr>
        <w:tabs>
          <w:tab w:val="left" w:pos="3360"/>
        </w:tabs>
        <w:ind w:left="3360" w:hanging="420"/>
      </w:pPr>
      <w:rPr>
        <w:rFonts w:hint="default" w:ascii="Wingdings" w:hAnsi="Wingdings"/>
      </w:rPr>
    </w:lvl>
    <w:lvl w:ilvl="6" w:tentative="0">
      <w:start w:val="1"/>
      <w:numFmt w:val="bullet"/>
      <w:lvlText w:val="l"/>
      <w:lvlJc w:val="left"/>
      <w:pPr>
        <w:tabs>
          <w:tab w:val="left" w:pos="3780"/>
        </w:tabs>
        <w:ind w:left="3780" w:hanging="420"/>
      </w:pPr>
      <w:rPr>
        <w:rFonts w:hint="default" w:ascii="Wingdings" w:hAnsi="Wingdings"/>
      </w:rPr>
    </w:lvl>
    <w:lvl w:ilvl="7" w:tentative="0">
      <w:start w:val="1"/>
      <w:numFmt w:val="bullet"/>
      <w:lvlText w:val="n"/>
      <w:lvlJc w:val="left"/>
      <w:pPr>
        <w:tabs>
          <w:tab w:val="left" w:pos="4200"/>
        </w:tabs>
        <w:ind w:left="4200" w:hanging="420"/>
      </w:pPr>
      <w:rPr>
        <w:rFonts w:hint="default" w:ascii="Wingdings" w:hAnsi="Wingdings"/>
      </w:rPr>
    </w:lvl>
    <w:lvl w:ilvl="8" w:tentative="0">
      <w:start w:val="1"/>
      <w:numFmt w:val="bullet"/>
      <w:lvlText w:val="u"/>
      <w:lvlJc w:val="left"/>
      <w:pPr>
        <w:tabs>
          <w:tab w:val="left" w:pos="4620"/>
        </w:tabs>
        <w:ind w:left="4620" w:hanging="420"/>
      </w:pPr>
      <w:rPr>
        <w:rFonts w:hint="default" w:ascii="Wingdings" w:hAnsi="Wingdings"/>
      </w:rPr>
    </w:lvl>
  </w:abstractNum>
  <w:abstractNum w:abstractNumId="69">
    <w:nsid w:val="2F000045"/>
    <w:multiLevelType w:val="multilevel"/>
    <w:tmpl w:val="2F000045"/>
    <w:lvl w:ilvl="0" w:tentative="0">
      <w:start w:val="1"/>
      <w:numFmt w:val="decimal"/>
      <w:pStyle w:val="722"/>
      <w:lvlText w:val="%1."/>
      <w:lvlJc w:val="left"/>
      <w:pPr>
        <w:tabs>
          <w:tab w:val="left" w:pos="0"/>
        </w:tabs>
        <w:ind w:left="0" w:firstLine="0"/>
      </w:pPr>
      <w:rPr>
        <w:rFonts w:hint="eastAsia"/>
      </w:rPr>
    </w:lvl>
    <w:lvl w:ilvl="1" w:tentative="0">
      <w:start w:val="1"/>
      <w:numFmt w:val="decimal"/>
      <w:lvlText w:val="%1.%2."/>
      <w:lvlJc w:val="left"/>
      <w:pPr>
        <w:tabs>
          <w:tab w:val="left" w:pos="567"/>
        </w:tabs>
        <w:ind w:left="567" w:hanging="567"/>
      </w:pPr>
      <w:rPr>
        <w:rFonts w:hint="eastAsia"/>
        <w:lang w:eastAsia="zh-CN"/>
      </w:rPr>
    </w:lvl>
    <w:lvl w:ilvl="2" w:tentative="0">
      <w:start w:val="1"/>
      <w:numFmt w:val="decimal"/>
      <w:lvlText w:val="%1.%2.%3."/>
      <w:lvlJc w:val="left"/>
      <w:pPr>
        <w:tabs>
          <w:tab w:val="left" w:pos="709"/>
        </w:tabs>
        <w:ind w:left="709" w:hanging="709"/>
      </w:pPr>
      <w:rPr>
        <w:rFonts w:hint="eastAsia"/>
        <w:lang w:eastAsia="zh-CN"/>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0">
    <w:nsid w:val="2F000046"/>
    <w:multiLevelType w:val="multilevel"/>
    <w:tmpl w:val="2F000046"/>
    <w:lvl w:ilvl="0" w:tentative="0">
      <w:start w:val="1"/>
      <w:numFmt w:val="decimal"/>
      <w:pStyle w:val="670"/>
      <w:lvlText w:val="%1."/>
      <w:lvlJc w:val="left"/>
      <w:pPr>
        <w:tabs>
          <w:tab w:val="left" w:pos="360"/>
        </w:tabs>
        <w:ind w:left="360" w:hanging="360"/>
      </w:pPr>
    </w:lvl>
    <w:lvl w:ilvl="1" w:tentative="0">
      <w:start w:val="1"/>
      <w:numFmt w:val="decimal"/>
      <w:lvlText w:val="%1."/>
      <w:lvlJc w:val="left"/>
      <w:pPr>
        <w:tabs>
          <w:tab w:val="left" w:pos="360"/>
        </w:tabs>
        <w:ind w:left="360" w:hanging="360"/>
      </w:pPr>
    </w:lvl>
    <w:lvl w:ilvl="2" w:tentative="0">
      <w:start w:val="1"/>
      <w:numFmt w:val="decimal"/>
      <w:lvlText w:val="%1."/>
      <w:lvlJc w:val="left"/>
      <w:pPr>
        <w:tabs>
          <w:tab w:val="left" w:pos="360"/>
        </w:tabs>
        <w:ind w:left="360" w:hanging="360"/>
      </w:pPr>
    </w:lvl>
    <w:lvl w:ilvl="3" w:tentative="0">
      <w:start w:val="1"/>
      <w:numFmt w:val="decimal"/>
      <w:lvlText w:val="%1."/>
      <w:lvlJc w:val="left"/>
      <w:pPr>
        <w:tabs>
          <w:tab w:val="left" w:pos="360"/>
        </w:tabs>
        <w:ind w:left="360" w:hanging="360"/>
      </w:pPr>
    </w:lvl>
    <w:lvl w:ilvl="4" w:tentative="0">
      <w:start w:val="1"/>
      <w:numFmt w:val="decimal"/>
      <w:lvlText w:val="%1."/>
      <w:lvlJc w:val="left"/>
      <w:pPr>
        <w:tabs>
          <w:tab w:val="left" w:pos="360"/>
        </w:tabs>
        <w:ind w:left="360" w:hanging="360"/>
      </w:pPr>
    </w:lvl>
    <w:lvl w:ilvl="5" w:tentative="0">
      <w:start w:val="1"/>
      <w:numFmt w:val="decimal"/>
      <w:lvlText w:val="%1."/>
      <w:lvlJc w:val="left"/>
      <w:pPr>
        <w:tabs>
          <w:tab w:val="left" w:pos="360"/>
        </w:tabs>
        <w:ind w:left="360" w:hanging="360"/>
      </w:pPr>
    </w:lvl>
    <w:lvl w:ilvl="6" w:tentative="0">
      <w:start w:val="1"/>
      <w:numFmt w:val="decimal"/>
      <w:lvlText w:val="%1."/>
      <w:lvlJc w:val="left"/>
      <w:pPr>
        <w:tabs>
          <w:tab w:val="left" w:pos="360"/>
        </w:tabs>
        <w:ind w:left="360" w:hanging="360"/>
      </w:pPr>
    </w:lvl>
    <w:lvl w:ilvl="7" w:tentative="0">
      <w:start w:val="1"/>
      <w:numFmt w:val="decimal"/>
      <w:lvlText w:val="%1."/>
      <w:lvlJc w:val="left"/>
      <w:pPr>
        <w:tabs>
          <w:tab w:val="left" w:pos="360"/>
        </w:tabs>
        <w:ind w:left="360" w:hanging="360"/>
      </w:pPr>
    </w:lvl>
    <w:lvl w:ilvl="8" w:tentative="0">
      <w:start w:val="1"/>
      <w:numFmt w:val="decimal"/>
      <w:lvlText w:val="%1."/>
      <w:lvlJc w:val="left"/>
      <w:pPr>
        <w:tabs>
          <w:tab w:val="left" w:pos="360"/>
        </w:tabs>
        <w:ind w:left="360" w:hanging="360"/>
      </w:pPr>
    </w:lvl>
  </w:abstractNum>
  <w:abstractNum w:abstractNumId="71">
    <w:nsid w:val="2F000047"/>
    <w:multiLevelType w:val="multilevel"/>
    <w:tmpl w:val="2F000047"/>
    <w:lvl w:ilvl="0" w:tentative="0">
      <w:start w:val="1"/>
      <w:numFmt w:val="bullet"/>
      <w:pStyle w:val="296"/>
      <w:lvlText w:val="Ø"/>
      <w:lvlJc w:val="left"/>
      <w:pPr>
        <w:tabs>
          <w:tab w:val="left" w:pos="720"/>
        </w:tabs>
        <w:ind w:left="720"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2">
    <w:nsid w:val="2F000048"/>
    <w:multiLevelType w:val="multilevel"/>
    <w:tmpl w:val="2F000048"/>
    <w:lvl w:ilvl="0" w:tentative="0">
      <w:start w:val="1"/>
      <w:numFmt w:val="bullet"/>
      <w:pStyle w:val="721"/>
      <w:lvlText w:val="Ø"/>
      <w:lvlJc w:val="left"/>
      <w:pPr>
        <w:tabs>
          <w:tab w:val="left" w:pos="1112"/>
        </w:tabs>
        <w:ind w:left="1112" w:hanging="420"/>
      </w:pPr>
      <w:rPr>
        <w:rFonts w:hint="default" w:ascii="Wingdings" w:hAnsi="Wingdings"/>
      </w:rPr>
    </w:lvl>
    <w:lvl w:ilvl="1" w:tentative="0">
      <w:start w:val="1"/>
      <w:numFmt w:val="bullet"/>
      <w:lvlText w:val="n"/>
      <w:lvlJc w:val="left"/>
      <w:pPr>
        <w:tabs>
          <w:tab w:val="left" w:pos="1530"/>
        </w:tabs>
        <w:ind w:left="1530" w:hanging="420"/>
      </w:pPr>
      <w:rPr>
        <w:rFonts w:hint="default" w:ascii="Wingdings" w:hAnsi="Wingdings"/>
      </w:rPr>
    </w:lvl>
    <w:lvl w:ilvl="2" w:tentative="0">
      <w:start w:val="1"/>
      <w:numFmt w:val="bullet"/>
      <w:lvlText w:val="u"/>
      <w:lvlJc w:val="left"/>
      <w:pPr>
        <w:tabs>
          <w:tab w:val="left" w:pos="1950"/>
        </w:tabs>
        <w:ind w:left="1950" w:hanging="420"/>
      </w:pPr>
      <w:rPr>
        <w:rFonts w:hint="default" w:ascii="Wingdings" w:hAnsi="Wingdings"/>
      </w:rPr>
    </w:lvl>
    <w:lvl w:ilvl="3" w:tentative="0">
      <w:start w:val="1"/>
      <w:numFmt w:val="bullet"/>
      <w:lvlText w:val="l"/>
      <w:lvlJc w:val="left"/>
      <w:pPr>
        <w:tabs>
          <w:tab w:val="left" w:pos="2370"/>
        </w:tabs>
        <w:ind w:left="2370" w:hanging="420"/>
      </w:pPr>
      <w:rPr>
        <w:rFonts w:hint="default" w:ascii="Wingdings" w:hAnsi="Wingdings"/>
      </w:rPr>
    </w:lvl>
    <w:lvl w:ilvl="4" w:tentative="0">
      <w:start w:val="1"/>
      <w:numFmt w:val="bullet"/>
      <w:lvlText w:val="n"/>
      <w:lvlJc w:val="left"/>
      <w:pPr>
        <w:tabs>
          <w:tab w:val="left" w:pos="2790"/>
        </w:tabs>
        <w:ind w:left="2790" w:hanging="420"/>
      </w:pPr>
      <w:rPr>
        <w:rFonts w:hint="default" w:ascii="Wingdings" w:hAnsi="Wingdings"/>
      </w:rPr>
    </w:lvl>
    <w:lvl w:ilvl="5" w:tentative="0">
      <w:start w:val="1"/>
      <w:numFmt w:val="bullet"/>
      <w:lvlText w:val="u"/>
      <w:lvlJc w:val="left"/>
      <w:pPr>
        <w:tabs>
          <w:tab w:val="left" w:pos="3210"/>
        </w:tabs>
        <w:ind w:left="3210" w:hanging="420"/>
      </w:pPr>
      <w:rPr>
        <w:rFonts w:hint="default" w:ascii="Wingdings" w:hAnsi="Wingdings"/>
      </w:rPr>
    </w:lvl>
    <w:lvl w:ilvl="6" w:tentative="0">
      <w:start w:val="1"/>
      <w:numFmt w:val="bullet"/>
      <w:lvlText w:val="l"/>
      <w:lvlJc w:val="left"/>
      <w:pPr>
        <w:tabs>
          <w:tab w:val="left" w:pos="3630"/>
        </w:tabs>
        <w:ind w:left="3630" w:hanging="420"/>
      </w:pPr>
      <w:rPr>
        <w:rFonts w:hint="default" w:ascii="Wingdings" w:hAnsi="Wingdings"/>
      </w:rPr>
    </w:lvl>
    <w:lvl w:ilvl="7" w:tentative="0">
      <w:start w:val="1"/>
      <w:numFmt w:val="bullet"/>
      <w:lvlText w:val="n"/>
      <w:lvlJc w:val="left"/>
      <w:pPr>
        <w:tabs>
          <w:tab w:val="left" w:pos="4050"/>
        </w:tabs>
        <w:ind w:left="4050" w:hanging="420"/>
      </w:pPr>
      <w:rPr>
        <w:rFonts w:hint="default" w:ascii="Wingdings" w:hAnsi="Wingdings"/>
      </w:rPr>
    </w:lvl>
    <w:lvl w:ilvl="8" w:tentative="0">
      <w:start w:val="1"/>
      <w:numFmt w:val="bullet"/>
      <w:lvlText w:val="u"/>
      <w:lvlJc w:val="left"/>
      <w:pPr>
        <w:tabs>
          <w:tab w:val="left" w:pos="4470"/>
        </w:tabs>
        <w:ind w:left="4470" w:hanging="420"/>
      </w:pPr>
      <w:rPr>
        <w:rFonts w:hint="default" w:ascii="Wingdings" w:hAnsi="Wingdings"/>
      </w:rPr>
    </w:lvl>
  </w:abstractNum>
  <w:abstractNum w:abstractNumId="73">
    <w:nsid w:val="2F000049"/>
    <w:multiLevelType w:val="multilevel"/>
    <w:tmpl w:val="2F000049"/>
    <w:lvl w:ilvl="0" w:tentative="0">
      <w:start w:val="1"/>
      <w:numFmt w:val="bullet"/>
      <w:pStyle w:val="668"/>
      <w:lvlText w:val="-"/>
      <w:lvlJc w:val="left"/>
      <w:pPr>
        <w:tabs>
          <w:tab w:val="left" w:pos="1440"/>
        </w:tabs>
        <w:ind w:left="1440" w:hanging="360"/>
      </w:pPr>
      <w:rPr>
        <w:rFonts w:hint="default" w:ascii="Symbol" w:hAnsi="Symbol"/>
        <w:b w:val="0"/>
        <w:i w:val="0"/>
        <w:sz w:val="12"/>
        <w:szCs w:val="12"/>
      </w:rPr>
    </w:lvl>
    <w:lvl w:ilvl="1" w:tentative="0">
      <w:start w:val="1"/>
      <w:numFmt w:val="bullet"/>
      <w:lvlText w:val="-"/>
      <w:lvlJc w:val="left"/>
      <w:pPr>
        <w:tabs>
          <w:tab w:val="left" w:pos="1440"/>
        </w:tabs>
        <w:ind w:left="1440" w:hanging="360"/>
      </w:pPr>
      <w:rPr>
        <w:rFonts w:hint="default" w:ascii="Symbol" w:hAnsi="Symbol"/>
        <w:b w:val="0"/>
        <w:i w:val="0"/>
        <w:sz w:val="12"/>
        <w:szCs w:val="12"/>
      </w:rPr>
    </w:lvl>
    <w:lvl w:ilvl="2" w:tentative="0">
      <w:start w:val="1"/>
      <w:numFmt w:val="bullet"/>
      <w:lvlText w:val="-"/>
      <w:lvlJc w:val="left"/>
      <w:pPr>
        <w:tabs>
          <w:tab w:val="left" w:pos="1440"/>
        </w:tabs>
        <w:ind w:left="1440" w:hanging="360"/>
      </w:pPr>
      <w:rPr>
        <w:rFonts w:hint="default" w:ascii="Symbol" w:hAnsi="Symbol"/>
        <w:b w:val="0"/>
        <w:i w:val="0"/>
        <w:sz w:val="12"/>
        <w:szCs w:val="12"/>
      </w:rPr>
    </w:lvl>
    <w:lvl w:ilvl="3" w:tentative="0">
      <w:start w:val="1"/>
      <w:numFmt w:val="bullet"/>
      <w:lvlText w:val="-"/>
      <w:lvlJc w:val="left"/>
      <w:pPr>
        <w:tabs>
          <w:tab w:val="left" w:pos="1440"/>
        </w:tabs>
        <w:ind w:left="1440" w:hanging="360"/>
      </w:pPr>
      <w:rPr>
        <w:rFonts w:hint="default" w:ascii="Symbol" w:hAnsi="Symbol"/>
        <w:b w:val="0"/>
        <w:i w:val="0"/>
        <w:sz w:val="12"/>
        <w:szCs w:val="12"/>
      </w:rPr>
    </w:lvl>
    <w:lvl w:ilvl="4" w:tentative="0">
      <w:start w:val="1"/>
      <w:numFmt w:val="bullet"/>
      <w:lvlText w:val="-"/>
      <w:lvlJc w:val="left"/>
      <w:pPr>
        <w:tabs>
          <w:tab w:val="left" w:pos="1440"/>
        </w:tabs>
        <w:ind w:left="1440" w:hanging="360"/>
      </w:pPr>
      <w:rPr>
        <w:rFonts w:hint="default" w:ascii="Symbol" w:hAnsi="Symbol"/>
        <w:b w:val="0"/>
        <w:i w:val="0"/>
        <w:sz w:val="12"/>
        <w:szCs w:val="12"/>
      </w:rPr>
    </w:lvl>
    <w:lvl w:ilvl="5" w:tentative="0">
      <w:start w:val="1"/>
      <w:numFmt w:val="bullet"/>
      <w:lvlText w:val="-"/>
      <w:lvlJc w:val="left"/>
      <w:pPr>
        <w:tabs>
          <w:tab w:val="left" w:pos="1440"/>
        </w:tabs>
        <w:ind w:left="1440" w:hanging="360"/>
      </w:pPr>
      <w:rPr>
        <w:rFonts w:hint="default" w:ascii="Symbol" w:hAnsi="Symbol"/>
        <w:b w:val="0"/>
        <w:i w:val="0"/>
        <w:sz w:val="12"/>
        <w:szCs w:val="12"/>
      </w:rPr>
    </w:lvl>
    <w:lvl w:ilvl="6" w:tentative="0">
      <w:start w:val="1"/>
      <w:numFmt w:val="bullet"/>
      <w:lvlText w:val="-"/>
      <w:lvlJc w:val="left"/>
      <w:pPr>
        <w:tabs>
          <w:tab w:val="left" w:pos="1440"/>
        </w:tabs>
        <w:ind w:left="1440" w:hanging="360"/>
      </w:pPr>
      <w:rPr>
        <w:rFonts w:hint="default" w:ascii="Symbol" w:hAnsi="Symbol"/>
        <w:b w:val="0"/>
        <w:i w:val="0"/>
        <w:sz w:val="12"/>
        <w:szCs w:val="12"/>
      </w:rPr>
    </w:lvl>
    <w:lvl w:ilvl="7" w:tentative="0">
      <w:start w:val="1"/>
      <w:numFmt w:val="bullet"/>
      <w:lvlText w:val="-"/>
      <w:lvlJc w:val="left"/>
      <w:pPr>
        <w:tabs>
          <w:tab w:val="left" w:pos="1440"/>
        </w:tabs>
        <w:ind w:left="1440" w:hanging="360"/>
      </w:pPr>
      <w:rPr>
        <w:rFonts w:hint="default" w:ascii="Symbol" w:hAnsi="Symbol"/>
        <w:b w:val="0"/>
        <w:i w:val="0"/>
        <w:sz w:val="12"/>
        <w:szCs w:val="12"/>
      </w:rPr>
    </w:lvl>
    <w:lvl w:ilvl="8" w:tentative="0">
      <w:start w:val="1"/>
      <w:numFmt w:val="bullet"/>
      <w:lvlText w:val="-"/>
      <w:lvlJc w:val="left"/>
      <w:pPr>
        <w:tabs>
          <w:tab w:val="left" w:pos="1440"/>
        </w:tabs>
        <w:ind w:left="1440" w:hanging="360"/>
      </w:pPr>
      <w:rPr>
        <w:rFonts w:hint="default" w:ascii="Symbol" w:hAnsi="Symbol"/>
        <w:b w:val="0"/>
        <w:i w:val="0"/>
        <w:sz w:val="12"/>
        <w:szCs w:val="12"/>
      </w:rPr>
    </w:lvl>
  </w:abstractNum>
  <w:abstractNum w:abstractNumId="74">
    <w:nsid w:val="2F00004A"/>
    <w:multiLevelType w:val="multilevel"/>
    <w:tmpl w:val="2F00004A"/>
    <w:lvl w:ilvl="0" w:tentative="0">
      <w:start w:val="1"/>
      <w:numFmt w:val="decimal"/>
      <w:pStyle w:val="405"/>
      <w:lvlText w:val="%1."/>
      <w:lvlJc w:val="left"/>
      <w:pPr>
        <w:tabs>
          <w:tab w:val="left" w:pos="360"/>
        </w:tabs>
        <w:ind w:left="360" w:hanging="360"/>
      </w:pPr>
    </w:lvl>
    <w:lvl w:ilvl="1" w:tentative="0">
      <w:start w:val="1"/>
      <w:numFmt w:val="decimal"/>
      <w:pStyle w:val="406"/>
      <w:lvlText w:val="%1.%2."/>
      <w:lvlJc w:val="left"/>
      <w:pPr>
        <w:tabs>
          <w:tab w:val="left" w:pos="1080"/>
        </w:tabs>
        <w:ind w:left="432" w:hanging="432"/>
      </w:pPr>
    </w:lvl>
    <w:lvl w:ilvl="2" w:tentative="0">
      <w:start w:val="1"/>
      <w:numFmt w:val="decimal"/>
      <w:lvlText w:val="%1.%2.%3."/>
      <w:lvlJc w:val="left"/>
      <w:pPr>
        <w:tabs>
          <w:tab w:val="left" w:pos="1800"/>
        </w:tabs>
        <w:ind w:left="504" w:hanging="504"/>
      </w:pPr>
    </w:lvl>
    <w:lvl w:ilvl="3" w:tentative="0">
      <w:start w:val="1"/>
      <w:numFmt w:val="decimal"/>
      <w:pStyle w:val="444"/>
      <w:lvlText w:val="%1.%2.%3.%4."/>
      <w:lvlJc w:val="left"/>
      <w:pPr>
        <w:tabs>
          <w:tab w:val="left" w:pos="2160"/>
        </w:tabs>
        <w:ind w:left="648" w:hanging="648"/>
      </w:pPr>
    </w:lvl>
    <w:lvl w:ilvl="4" w:tentative="0">
      <w:start w:val="1"/>
      <w:numFmt w:val="decimal"/>
      <w:lvlText w:val="%1.%2.%3.%4.%5."/>
      <w:lvlJc w:val="left"/>
      <w:pPr>
        <w:tabs>
          <w:tab w:val="left" w:pos="2880"/>
        </w:tabs>
        <w:ind w:left="2232" w:hanging="792"/>
      </w:pPr>
    </w:lvl>
    <w:lvl w:ilvl="5" w:tentative="0">
      <w:start w:val="1"/>
      <w:numFmt w:val="decimal"/>
      <w:lvlText w:val="%1.%2.%3.%4.%5.%6."/>
      <w:lvlJc w:val="left"/>
      <w:pPr>
        <w:tabs>
          <w:tab w:val="left" w:pos="3600"/>
        </w:tabs>
        <w:ind w:left="2736" w:hanging="936"/>
      </w:pPr>
    </w:lvl>
    <w:lvl w:ilvl="6" w:tentative="0">
      <w:start w:val="1"/>
      <w:numFmt w:val="decimal"/>
      <w:lvlText w:val="%1.%2.%3.%4.%5.%6.%7."/>
      <w:lvlJc w:val="left"/>
      <w:pPr>
        <w:tabs>
          <w:tab w:val="left" w:pos="3960"/>
        </w:tabs>
        <w:ind w:left="3240" w:hanging="1080"/>
      </w:pPr>
    </w:lvl>
    <w:lvl w:ilvl="7" w:tentative="0">
      <w:start w:val="1"/>
      <w:numFmt w:val="decimal"/>
      <w:lvlText w:val="%1.%2.%3.%4.%5.%6.%7.%8."/>
      <w:lvlJc w:val="left"/>
      <w:pPr>
        <w:tabs>
          <w:tab w:val="left" w:pos="4680"/>
        </w:tabs>
        <w:ind w:left="3744" w:hanging="1224"/>
      </w:pPr>
    </w:lvl>
    <w:lvl w:ilvl="8" w:tentative="0">
      <w:start w:val="1"/>
      <w:numFmt w:val="decimal"/>
      <w:lvlText w:val="%1.%2.%3.%4.%5.%6.%7.%8.%9."/>
      <w:lvlJc w:val="left"/>
      <w:pPr>
        <w:tabs>
          <w:tab w:val="left" w:pos="5400"/>
        </w:tabs>
        <w:ind w:left="4320" w:hanging="1440"/>
      </w:pPr>
    </w:lvl>
  </w:abstractNum>
  <w:abstractNum w:abstractNumId="75">
    <w:nsid w:val="2F00004B"/>
    <w:multiLevelType w:val="multilevel"/>
    <w:tmpl w:val="2F00004B"/>
    <w:lvl w:ilvl="0" w:tentative="0">
      <w:start w:val="1"/>
      <w:numFmt w:val="decimal"/>
      <w:pStyle w:val="578"/>
      <w:lvlText w:val="图 %1."/>
      <w:lvlJc w:val="left"/>
      <w:pPr>
        <w:tabs>
          <w:tab w:val="left" w:pos="737"/>
        </w:tabs>
        <w:ind w:left="425" w:hanging="425"/>
      </w:pPr>
    </w:lvl>
    <w:lvl w:ilvl="1" w:tentative="0">
      <w:start w:val="1"/>
      <w:numFmt w:val="decimal"/>
      <w:lvlText w:val="图 %1."/>
      <w:lvlJc w:val="left"/>
      <w:pPr>
        <w:tabs>
          <w:tab w:val="left" w:pos="737"/>
        </w:tabs>
        <w:ind w:left="425" w:hanging="425"/>
      </w:pPr>
    </w:lvl>
    <w:lvl w:ilvl="2" w:tentative="0">
      <w:start w:val="1"/>
      <w:numFmt w:val="decimal"/>
      <w:lvlText w:val="图 %1."/>
      <w:lvlJc w:val="left"/>
      <w:pPr>
        <w:tabs>
          <w:tab w:val="left" w:pos="737"/>
        </w:tabs>
        <w:ind w:left="425" w:hanging="425"/>
      </w:pPr>
    </w:lvl>
    <w:lvl w:ilvl="3" w:tentative="0">
      <w:start w:val="1"/>
      <w:numFmt w:val="decimal"/>
      <w:lvlText w:val="图 %1."/>
      <w:lvlJc w:val="left"/>
      <w:pPr>
        <w:tabs>
          <w:tab w:val="left" w:pos="737"/>
        </w:tabs>
        <w:ind w:left="425" w:hanging="425"/>
      </w:pPr>
    </w:lvl>
    <w:lvl w:ilvl="4" w:tentative="0">
      <w:start w:val="1"/>
      <w:numFmt w:val="decimal"/>
      <w:lvlText w:val="图 %1."/>
      <w:lvlJc w:val="left"/>
      <w:pPr>
        <w:tabs>
          <w:tab w:val="left" w:pos="737"/>
        </w:tabs>
        <w:ind w:left="425" w:hanging="425"/>
      </w:pPr>
    </w:lvl>
    <w:lvl w:ilvl="5" w:tentative="0">
      <w:start w:val="1"/>
      <w:numFmt w:val="decimal"/>
      <w:lvlText w:val="图 %1."/>
      <w:lvlJc w:val="left"/>
      <w:pPr>
        <w:tabs>
          <w:tab w:val="left" w:pos="737"/>
        </w:tabs>
        <w:ind w:left="425" w:hanging="425"/>
      </w:pPr>
    </w:lvl>
    <w:lvl w:ilvl="6" w:tentative="0">
      <w:start w:val="1"/>
      <w:numFmt w:val="decimal"/>
      <w:lvlText w:val="图 %1."/>
      <w:lvlJc w:val="left"/>
      <w:pPr>
        <w:tabs>
          <w:tab w:val="left" w:pos="737"/>
        </w:tabs>
        <w:ind w:left="425" w:hanging="425"/>
      </w:pPr>
    </w:lvl>
    <w:lvl w:ilvl="7" w:tentative="0">
      <w:start w:val="1"/>
      <w:numFmt w:val="decimal"/>
      <w:lvlText w:val="图 %1."/>
      <w:lvlJc w:val="left"/>
      <w:pPr>
        <w:tabs>
          <w:tab w:val="left" w:pos="737"/>
        </w:tabs>
        <w:ind w:left="425" w:hanging="425"/>
      </w:pPr>
    </w:lvl>
    <w:lvl w:ilvl="8" w:tentative="0">
      <w:start w:val="1"/>
      <w:numFmt w:val="decimal"/>
      <w:lvlText w:val="图 %1."/>
      <w:lvlJc w:val="left"/>
      <w:pPr>
        <w:tabs>
          <w:tab w:val="left" w:pos="737"/>
        </w:tabs>
        <w:ind w:left="425" w:hanging="425"/>
      </w:pPr>
    </w:lvl>
  </w:abstractNum>
  <w:abstractNum w:abstractNumId="76">
    <w:nsid w:val="2F00004C"/>
    <w:multiLevelType w:val="multilevel"/>
    <w:tmpl w:val="2F00004C"/>
    <w:lvl w:ilvl="0" w:tentative="0">
      <w:start w:val="1"/>
      <w:numFmt w:val="bullet"/>
      <w:pStyle w:val="667"/>
      <w:lvlText w:val="-"/>
      <w:lvlJc w:val="left"/>
      <w:pPr>
        <w:tabs>
          <w:tab w:val="left" w:pos="1080"/>
        </w:tabs>
        <w:ind w:left="1080" w:hanging="360"/>
      </w:pPr>
      <w:rPr>
        <w:rFonts w:hint="default" w:ascii="Symbol" w:hAnsi="Symbol"/>
        <w:b w:val="0"/>
        <w:i w:val="0"/>
        <w:sz w:val="24"/>
        <w:szCs w:val="24"/>
      </w:rPr>
    </w:lvl>
    <w:lvl w:ilvl="1" w:tentative="0">
      <w:start w:val="1"/>
      <w:numFmt w:val="bullet"/>
      <w:lvlText w:val="-"/>
      <w:lvlJc w:val="left"/>
      <w:pPr>
        <w:tabs>
          <w:tab w:val="left" w:pos="1080"/>
        </w:tabs>
        <w:ind w:left="1080" w:hanging="360"/>
      </w:pPr>
      <w:rPr>
        <w:rFonts w:hint="default" w:ascii="Symbol" w:hAnsi="Symbol"/>
        <w:b w:val="0"/>
        <w:i w:val="0"/>
        <w:sz w:val="24"/>
        <w:szCs w:val="24"/>
      </w:rPr>
    </w:lvl>
    <w:lvl w:ilvl="2" w:tentative="0">
      <w:start w:val="1"/>
      <w:numFmt w:val="bullet"/>
      <w:lvlText w:val="-"/>
      <w:lvlJc w:val="left"/>
      <w:pPr>
        <w:tabs>
          <w:tab w:val="left" w:pos="1080"/>
        </w:tabs>
        <w:ind w:left="1080" w:hanging="360"/>
      </w:pPr>
      <w:rPr>
        <w:rFonts w:hint="default" w:ascii="Symbol" w:hAnsi="Symbol"/>
        <w:b w:val="0"/>
        <w:i w:val="0"/>
        <w:sz w:val="24"/>
        <w:szCs w:val="24"/>
      </w:rPr>
    </w:lvl>
    <w:lvl w:ilvl="3" w:tentative="0">
      <w:start w:val="1"/>
      <w:numFmt w:val="bullet"/>
      <w:lvlText w:val="-"/>
      <w:lvlJc w:val="left"/>
      <w:pPr>
        <w:tabs>
          <w:tab w:val="left" w:pos="1080"/>
        </w:tabs>
        <w:ind w:left="1080" w:hanging="360"/>
      </w:pPr>
      <w:rPr>
        <w:rFonts w:hint="default" w:ascii="Symbol" w:hAnsi="Symbol"/>
        <w:b w:val="0"/>
        <w:i w:val="0"/>
        <w:sz w:val="24"/>
        <w:szCs w:val="24"/>
      </w:rPr>
    </w:lvl>
    <w:lvl w:ilvl="4" w:tentative="0">
      <w:start w:val="1"/>
      <w:numFmt w:val="bullet"/>
      <w:lvlText w:val="-"/>
      <w:lvlJc w:val="left"/>
      <w:pPr>
        <w:tabs>
          <w:tab w:val="left" w:pos="1080"/>
        </w:tabs>
        <w:ind w:left="1080" w:hanging="360"/>
      </w:pPr>
      <w:rPr>
        <w:rFonts w:hint="default" w:ascii="Symbol" w:hAnsi="Symbol"/>
        <w:b w:val="0"/>
        <w:i w:val="0"/>
        <w:sz w:val="24"/>
        <w:szCs w:val="24"/>
      </w:rPr>
    </w:lvl>
    <w:lvl w:ilvl="5" w:tentative="0">
      <w:start w:val="1"/>
      <w:numFmt w:val="bullet"/>
      <w:lvlText w:val="-"/>
      <w:lvlJc w:val="left"/>
      <w:pPr>
        <w:tabs>
          <w:tab w:val="left" w:pos="1080"/>
        </w:tabs>
        <w:ind w:left="1080" w:hanging="360"/>
      </w:pPr>
      <w:rPr>
        <w:rFonts w:hint="default" w:ascii="Symbol" w:hAnsi="Symbol"/>
        <w:b w:val="0"/>
        <w:i w:val="0"/>
        <w:sz w:val="24"/>
        <w:szCs w:val="24"/>
      </w:rPr>
    </w:lvl>
    <w:lvl w:ilvl="6" w:tentative="0">
      <w:start w:val="1"/>
      <w:numFmt w:val="bullet"/>
      <w:lvlText w:val="-"/>
      <w:lvlJc w:val="left"/>
      <w:pPr>
        <w:tabs>
          <w:tab w:val="left" w:pos="1080"/>
        </w:tabs>
        <w:ind w:left="1080" w:hanging="360"/>
      </w:pPr>
      <w:rPr>
        <w:rFonts w:hint="default" w:ascii="Symbol" w:hAnsi="Symbol"/>
        <w:b w:val="0"/>
        <w:i w:val="0"/>
        <w:sz w:val="24"/>
        <w:szCs w:val="24"/>
      </w:rPr>
    </w:lvl>
    <w:lvl w:ilvl="7" w:tentative="0">
      <w:start w:val="1"/>
      <w:numFmt w:val="bullet"/>
      <w:lvlText w:val="-"/>
      <w:lvlJc w:val="left"/>
      <w:pPr>
        <w:tabs>
          <w:tab w:val="left" w:pos="1080"/>
        </w:tabs>
        <w:ind w:left="1080" w:hanging="360"/>
      </w:pPr>
      <w:rPr>
        <w:rFonts w:hint="default" w:ascii="Symbol" w:hAnsi="Symbol"/>
        <w:b w:val="0"/>
        <w:i w:val="0"/>
        <w:sz w:val="24"/>
        <w:szCs w:val="24"/>
      </w:rPr>
    </w:lvl>
    <w:lvl w:ilvl="8" w:tentative="0">
      <w:start w:val="1"/>
      <w:numFmt w:val="bullet"/>
      <w:lvlText w:val="-"/>
      <w:lvlJc w:val="left"/>
      <w:pPr>
        <w:tabs>
          <w:tab w:val="left" w:pos="1080"/>
        </w:tabs>
        <w:ind w:left="1080" w:hanging="360"/>
      </w:pPr>
      <w:rPr>
        <w:rFonts w:hint="default" w:ascii="Symbol" w:hAnsi="Symbol"/>
        <w:b w:val="0"/>
        <w:i w:val="0"/>
        <w:sz w:val="24"/>
        <w:szCs w:val="24"/>
      </w:rPr>
    </w:lvl>
  </w:abstractNum>
  <w:abstractNum w:abstractNumId="77">
    <w:nsid w:val="2F00004D"/>
    <w:multiLevelType w:val="multilevel"/>
    <w:tmpl w:val="2F00004D"/>
    <w:lvl w:ilvl="0" w:tentative="0">
      <w:start w:val="1"/>
      <w:numFmt w:val="bullet"/>
      <w:pStyle w:val="247"/>
      <w:lvlText w:val="u"/>
      <w:lvlJc w:val="left"/>
      <w:pPr>
        <w:tabs>
          <w:tab w:val="left" w:pos="780"/>
        </w:tabs>
        <w:ind w:left="672" w:hanging="252"/>
      </w:pPr>
      <w:rPr>
        <w:rFonts w:hint="default" w:ascii="Wingdings" w:hAnsi="Wingdings"/>
        <w:sz w:val="16"/>
        <w:szCs w:val="16"/>
      </w:rPr>
    </w:lvl>
    <w:lvl w:ilvl="1" w:tentative="0">
      <w:start w:val="1"/>
      <w:numFmt w:val="bullet"/>
      <w:lvlText w:val="n"/>
      <w:lvlJc w:val="left"/>
      <w:pPr>
        <w:tabs>
          <w:tab w:val="left" w:pos="1260"/>
        </w:tabs>
        <w:ind w:left="1260" w:hanging="420"/>
      </w:pPr>
      <w:rPr>
        <w:rFonts w:hint="default" w:ascii="Wingdings" w:hAnsi="Wingdings"/>
      </w:rPr>
    </w:lvl>
    <w:lvl w:ilvl="2" w:tentative="0">
      <w:start w:val="1"/>
      <w:numFmt w:val="bullet"/>
      <w:lvlText w:val="u"/>
      <w:lvlJc w:val="left"/>
      <w:pPr>
        <w:tabs>
          <w:tab w:val="left" w:pos="1680"/>
        </w:tabs>
        <w:ind w:left="1680" w:hanging="420"/>
      </w:pPr>
      <w:rPr>
        <w:rFonts w:hint="default" w:ascii="Wingdings" w:hAnsi="Wingdings"/>
      </w:rPr>
    </w:lvl>
    <w:lvl w:ilvl="3" w:tentative="0">
      <w:start w:val="1"/>
      <w:numFmt w:val="bullet"/>
      <w:lvlText w:val="l"/>
      <w:lvlJc w:val="left"/>
      <w:pPr>
        <w:tabs>
          <w:tab w:val="left" w:pos="2100"/>
        </w:tabs>
        <w:ind w:left="2100" w:hanging="420"/>
      </w:pPr>
      <w:rPr>
        <w:rFonts w:hint="default" w:ascii="Wingdings" w:hAnsi="Wingdings"/>
      </w:rPr>
    </w:lvl>
    <w:lvl w:ilvl="4" w:tentative="0">
      <w:start w:val="1"/>
      <w:numFmt w:val="bullet"/>
      <w:lvlText w:val="n"/>
      <w:lvlJc w:val="left"/>
      <w:pPr>
        <w:tabs>
          <w:tab w:val="left" w:pos="2520"/>
        </w:tabs>
        <w:ind w:left="2520" w:hanging="420"/>
      </w:pPr>
      <w:rPr>
        <w:rFonts w:hint="default" w:ascii="Wingdings" w:hAnsi="Wingdings"/>
      </w:rPr>
    </w:lvl>
    <w:lvl w:ilvl="5" w:tentative="0">
      <w:start w:val="1"/>
      <w:numFmt w:val="bullet"/>
      <w:lvlText w:val="u"/>
      <w:lvlJc w:val="left"/>
      <w:pPr>
        <w:tabs>
          <w:tab w:val="left" w:pos="2940"/>
        </w:tabs>
        <w:ind w:left="2940" w:hanging="420"/>
      </w:pPr>
      <w:rPr>
        <w:rFonts w:hint="default" w:ascii="Wingdings" w:hAnsi="Wingdings"/>
      </w:rPr>
    </w:lvl>
    <w:lvl w:ilvl="6" w:tentative="0">
      <w:start w:val="1"/>
      <w:numFmt w:val="bullet"/>
      <w:lvlText w:val="l"/>
      <w:lvlJc w:val="left"/>
      <w:pPr>
        <w:tabs>
          <w:tab w:val="left" w:pos="3360"/>
        </w:tabs>
        <w:ind w:left="3360" w:hanging="420"/>
      </w:pPr>
      <w:rPr>
        <w:rFonts w:hint="default" w:ascii="Wingdings" w:hAnsi="Wingdings"/>
      </w:rPr>
    </w:lvl>
    <w:lvl w:ilvl="7" w:tentative="0">
      <w:start w:val="1"/>
      <w:numFmt w:val="bullet"/>
      <w:lvlText w:val="n"/>
      <w:lvlJc w:val="left"/>
      <w:pPr>
        <w:tabs>
          <w:tab w:val="left" w:pos="3780"/>
        </w:tabs>
        <w:ind w:left="3780" w:hanging="420"/>
      </w:pPr>
      <w:rPr>
        <w:rFonts w:hint="default" w:ascii="Wingdings" w:hAnsi="Wingdings"/>
      </w:rPr>
    </w:lvl>
    <w:lvl w:ilvl="8" w:tentative="0">
      <w:start w:val="1"/>
      <w:numFmt w:val="bullet"/>
      <w:lvlText w:val="u"/>
      <w:lvlJc w:val="left"/>
      <w:pPr>
        <w:tabs>
          <w:tab w:val="left" w:pos="4200"/>
        </w:tabs>
        <w:ind w:left="4200" w:hanging="420"/>
      </w:pPr>
      <w:rPr>
        <w:rFonts w:hint="default" w:ascii="Wingdings" w:hAnsi="Wingdings"/>
      </w:rPr>
    </w:lvl>
  </w:abstractNum>
  <w:abstractNum w:abstractNumId="78">
    <w:nsid w:val="2F00004E"/>
    <w:multiLevelType w:val="multilevel"/>
    <w:tmpl w:val="2F00004E"/>
    <w:lvl w:ilvl="0" w:tentative="0">
      <w:start w:val="1"/>
      <w:numFmt w:val="decimal"/>
      <w:pStyle w:val="674"/>
      <w:lvlText w:val="%1."/>
      <w:lvlJc w:val="left"/>
      <w:pPr>
        <w:tabs>
          <w:tab w:val="left" w:pos="360"/>
        </w:tabs>
        <w:ind w:left="360" w:hanging="360"/>
      </w:pPr>
    </w:lvl>
    <w:lvl w:ilvl="1" w:tentative="0">
      <w:start w:val="1"/>
      <w:numFmt w:val="decimal"/>
      <w:lvlText w:val="%1.%2."/>
      <w:lvlJc w:val="left"/>
      <w:pPr>
        <w:tabs>
          <w:tab w:val="left" w:pos="1080"/>
        </w:tabs>
        <w:ind w:left="720" w:hanging="360"/>
      </w:pPr>
    </w:lvl>
    <w:lvl w:ilvl="2" w:tentative="0">
      <w:start w:val="1"/>
      <w:numFmt w:val="decimal"/>
      <w:lvlText w:val="%1.%2.%3."/>
      <w:lvlJc w:val="left"/>
      <w:pPr>
        <w:tabs>
          <w:tab w:val="left" w:pos="1440"/>
        </w:tabs>
        <w:ind w:left="1080" w:hanging="360"/>
      </w:pPr>
    </w:lvl>
    <w:lvl w:ilvl="3" w:tentative="0">
      <w:start w:val="1"/>
      <w:numFmt w:val="decimal"/>
      <w:lvlText w:val="%1.%2.%3.%4."/>
      <w:lvlJc w:val="left"/>
      <w:pPr>
        <w:tabs>
          <w:tab w:val="left" w:pos="2160"/>
        </w:tabs>
        <w:ind w:left="1440" w:hanging="360"/>
      </w:pPr>
    </w:lvl>
    <w:lvl w:ilvl="4" w:tentative="0">
      <w:start w:val="1"/>
      <w:numFmt w:val="lowerLetter"/>
      <w:lvlText w:val="(%5)"/>
      <w:lvlJc w:val="left"/>
      <w:pPr>
        <w:tabs>
          <w:tab w:val="left" w:pos="1800"/>
        </w:tabs>
        <w:ind w:left="1800" w:hanging="360"/>
      </w:pPr>
    </w:lvl>
    <w:lvl w:ilvl="5" w:tentative="0">
      <w:start w:val="1"/>
      <w:numFmt w:val="lowerRoman"/>
      <w:lvlText w:val="(%6)"/>
      <w:lvlJc w:val="left"/>
      <w:pPr>
        <w:tabs>
          <w:tab w:val="left" w:pos="2160"/>
        </w:tabs>
        <w:ind w:left="2160" w:hanging="360"/>
      </w:pPr>
    </w:lvl>
    <w:lvl w:ilvl="6" w:tentative="0">
      <w:start w:val="1"/>
      <w:numFmt w:val="decimal"/>
      <w:lvlText w:val="%7."/>
      <w:lvlJc w:val="left"/>
      <w:pPr>
        <w:tabs>
          <w:tab w:val="left" w:pos="2520"/>
        </w:tabs>
        <w:ind w:left="2520" w:hanging="360"/>
      </w:pPr>
    </w:lvl>
    <w:lvl w:ilvl="7" w:tentative="0">
      <w:start w:val="1"/>
      <w:numFmt w:val="lowerLetter"/>
      <w:lvlText w:val="%8."/>
      <w:lvlJc w:val="left"/>
      <w:pPr>
        <w:tabs>
          <w:tab w:val="left" w:pos="2880"/>
        </w:tabs>
        <w:ind w:left="2880" w:hanging="360"/>
      </w:pPr>
    </w:lvl>
    <w:lvl w:ilvl="8" w:tentative="0">
      <w:start w:val="1"/>
      <w:numFmt w:val="lowerRoman"/>
      <w:lvlText w:val="%9."/>
      <w:lvlJc w:val="left"/>
      <w:pPr>
        <w:tabs>
          <w:tab w:val="left" w:pos="3240"/>
        </w:tabs>
        <w:ind w:left="3240" w:hanging="360"/>
      </w:pPr>
    </w:lvl>
  </w:abstractNum>
  <w:abstractNum w:abstractNumId="79">
    <w:nsid w:val="2F000050"/>
    <w:multiLevelType w:val="multilevel"/>
    <w:tmpl w:val="2F000050"/>
    <w:lvl w:ilvl="0" w:tentative="0">
      <w:start w:val="1"/>
      <w:numFmt w:val="bullet"/>
      <w:pStyle w:val="654"/>
      <w:lvlText w:val="n"/>
      <w:lvlJc w:val="left"/>
      <w:pPr>
        <w:tabs>
          <w:tab w:val="left" w:pos="1800"/>
        </w:tabs>
        <w:ind w:left="1800" w:hanging="360"/>
      </w:pPr>
      <w:rPr>
        <w:rFonts w:hint="default" w:ascii="Wingdings" w:hAnsi="Wingdings"/>
        <w:b w:val="0"/>
        <w:i w:val="0"/>
        <w:sz w:val="16"/>
        <w:szCs w:val="16"/>
      </w:rPr>
    </w:lvl>
    <w:lvl w:ilvl="1" w:tentative="0">
      <w:start w:val="1"/>
      <w:numFmt w:val="bullet"/>
      <w:lvlText w:val="n"/>
      <w:lvlJc w:val="left"/>
      <w:pPr>
        <w:tabs>
          <w:tab w:val="left" w:pos="1800"/>
        </w:tabs>
        <w:ind w:left="1800" w:hanging="360"/>
      </w:pPr>
      <w:rPr>
        <w:rFonts w:hint="default" w:ascii="Wingdings" w:hAnsi="Wingdings"/>
        <w:b w:val="0"/>
        <w:i w:val="0"/>
        <w:sz w:val="16"/>
        <w:szCs w:val="16"/>
      </w:rPr>
    </w:lvl>
    <w:lvl w:ilvl="2" w:tentative="0">
      <w:start w:val="1"/>
      <w:numFmt w:val="bullet"/>
      <w:lvlText w:val="n"/>
      <w:lvlJc w:val="left"/>
      <w:pPr>
        <w:tabs>
          <w:tab w:val="left" w:pos="1800"/>
        </w:tabs>
        <w:ind w:left="1800" w:hanging="360"/>
      </w:pPr>
      <w:rPr>
        <w:rFonts w:hint="default" w:ascii="Wingdings" w:hAnsi="Wingdings"/>
        <w:b w:val="0"/>
        <w:i w:val="0"/>
        <w:sz w:val="16"/>
        <w:szCs w:val="16"/>
      </w:rPr>
    </w:lvl>
    <w:lvl w:ilvl="3" w:tentative="0">
      <w:start w:val="1"/>
      <w:numFmt w:val="bullet"/>
      <w:lvlText w:val="n"/>
      <w:lvlJc w:val="left"/>
      <w:pPr>
        <w:tabs>
          <w:tab w:val="left" w:pos="1800"/>
        </w:tabs>
        <w:ind w:left="1800" w:hanging="360"/>
      </w:pPr>
      <w:rPr>
        <w:rFonts w:hint="default" w:ascii="Wingdings" w:hAnsi="Wingdings"/>
        <w:b w:val="0"/>
        <w:i w:val="0"/>
        <w:sz w:val="16"/>
        <w:szCs w:val="16"/>
      </w:rPr>
    </w:lvl>
    <w:lvl w:ilvl="4" w:tentative="0">
      <w:start w:val="1"/>
      <w:numFmt w:val="bullet"/>
      <w:lvlText w:val="n"/>
      <w:lvlJc w:val="left"/>
      <w:pPr>
        <w:tabs>
          <w:tab w:val="left" w:pos="1800"/>
        </w:tabs>
        <w:ind w:left="1800" w:hanging="360"/>
      </w:pPr>
      <w:rPr>
        <w:rFonts w:hint="default" w:ascii="Wingdings" w:hAnsi="Wingdings"/>
        <w:b w:val="0"/>
        <w:i w:val="0"/>
        <w:sz w:val="16"/>
        <w:szCs w:val="16"/>
      </w:rPr>
    </w:lvl>
    <w:lvl w:ilvl="5" w:tentative="0">
      <w:start w:val="1"/>
      <w:numFmt w:val="bullet"/>
      <w:lvlText w:val="n"/>
      <w:lvlJc w:val="left"/>
      <w:pPr>
        <w:tabs>
          <w:tab w:val="left" w:pos="1800"/>
        </w:tabs>
        <w:ind w:left="1800" w:hanging="360"/>
      </w:pPr>
      <w:rPr>
        <w:rFonts w:hint="default" w:ascii="Wingdings" w:hAnsi="Wingdings"/>
        <w:b w:val="0"/>
        <w:i w:val="0"/>
        <w:sz w:val="16"/>
        <w:szCs w:val="16"/>
      </w:rPr>
    </w:lvl>
    <w:lvl w:ilvl="6" w:tentative="0">
      <w:start w:val="1"/>
      <w:numFmt w:val="bullet"/>
      <w:lvlText w:val="n"/>
      <w:lvlJc w:val="left"/>
      <w:pPr>
        <w:tabs>
          <w:tab w:val="left" w:pos="1800"/>
        </w:tabs>
        <w:ind w:left="1800" w:hanging="360"/>
      </w:pPr>
      <w:rPr>
        <w:rFonts w:hint="default" w:ascii="Wingdings" w:hAnsi="Wingdings"/>
        <w:b w:val="0"/>
        <w:i w:val="0"/>
        <w:sz w:val="16"/>
        <w:szCs w:val="16"/>
      </w:rPr>
    </w:lvl>
    <w:lvl w:ilvl="7" w:tentative="0">
      <w:start w:val="1"/>
      <w:numFmt w:val="bullet"/>
      <w:lvlText w:val="n"/>
      <w:lvlJc w:val="left"/>
      <w:pPr>
        <w:tabs>
          <w:tab w:val="left" w:pos="1800"/>
        </w:tabs>
        <w:ind w:left="1800" w:hanging="360"/>
      </w:pPr>
      <w:rPr>
        <w:rFonts w:hint="default" w:ascii="Wingdings" w:hAnsi="Wingdings"/>
        <w:b w:val="0"/>
        <w:i w:val="0"/>
        <w:sz w:val="16"/>
        <w:szCs w:val="16"/>
      </w:rPr>
    </w:lvl>
    <w:lvl w:ilvl="8" w:tentative="0">
      <w:start w:val="1"/>
      <w:numFmt w:val="bullet"/>
      <w:lvlText w:val="n"/>
      <w:lvlJc w:val="left"/>
      <w:pPr>
        <w:tabs>
          <w:tab w:val="left" w:pos="1800"/>
        </w:tabs>
        <w:ind w:left="1800" w:hanging="360"/>
      </w:pPr>
      <w:rPr>
        <w:rFonts w:hint="default" w:ascii="Wingdings" w:hAnsi="Wingdings"/>
        <w:b w:val="0"/>
        <w:i w:val="0"/>
        <w:sz w:val="16"/>
        <w:szCs w:val="16"/>
      </w:rPr>
    </w:lvl>
  </w:abstractNum>
  <w:abstractNum w:abstractNumId="80">
    <w:nsid w:val="2F000051"/>
    <w:multiLevelType w:val="multilevel"/>
    <w:tmpl w:val="2F000051"/>
    <w:lvl w:ilvl="0" w:tentative="0">
      <w:start w:val="1"/>
      <w:numFmt w:val="bullet"/>
      <w:pStyle w:val="811"/>
      <w:lvlText w:val="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n"/>
      <w:lvlJc w:val="left"/>
      <w:pPr>
        <w:tabs>
          <w:tab w:val="left" w:pos="840"/>
        </w:tabs>
        <w:ind w:left="840" w:hanging="420"/>
      </w:pPr>
      <w:rPr>
        <w:rFonts w:hint="default" w:ascii="Wingdings" w:hAnsi="Wingdings"/>
      </w:rPr>
    </w:lvl>
    <w:lvl w:ilvl="2" w:tentative="0">
      <w:start w:val="1"/>
      <w:numFmt w:val="bullet"/>
      <w:lvlText w:val="u"/>
      <w:lvlJc w:val="left"/>
      <w:pPr>
        <w:tabs>
          <w:tab w:val="left" w:pos="1260"/>
        </w:tabs>
        <w:ind w:left="1260" w:hanging="420"/>
      </w:pPr>
      <w:rPr>
        <w:rFonts w:hint="default" w:ascii="Wingdings" w:hAnsi="Wingdings"/>
      </w:rPr>
    </w:lvl>
    <w:lvl w:ilvl="3" w:tentative="0">
      <w:start w:val="1"/>
      <w:numFmt w:val="bullet"/>
      <w:lvlText w:val="l"/>
      <w:lvlJc w:val="left"/>
      <w:pPr>
        <w:tabs>
          <w:tab w:val="left" w:pos="1680"/>
        </w:tabs>
        <w:ind w:left="1680" w:hanging="420"/>
      </w:pPr>
      <w:rPr>
        <w:rFonts w:hint="default" w:ascii="Wingdings" w:hAnsi="Wingdings"/>
      </w:rPr>
    </w:lvl>
    <w:lvl w:ilvl="4" w:tentative="0">
      <w:start w:val="1"/>
      <w:numFmt w:val="bullet"/>
      <w:lvlText w:val="n"/>
      <w:lvlJc w:val="left"/>
      <w:pPr>
        <w:tabs>
          <w:tab w:val="left" w:pos="2100"/>
        </w:tabs>
        <w:ind w:left="2100" w:hanging="420"/>
      </w:pPr>
      <w:rPr>
        <w:rFonts w:hint="default" w:ascii="Wingdings" w:hAnsi="Wingdings"/>
      </w:rPr>
    </w:lvl>
    <w:lvl w:ilvl="5" w:tentative="0">
      <w:start w:val="1"/>
      <w:numFmt w:val="bullet"/>
      <w:lvlText w:val="u"/>
      <w:lvlJc w:val="left"/>
      <w:pPr>
        <w:tabs>
          <w:tab w:val="left" w:pos="2520"/>
        </w:tabs>
        <w:ind w:left="2520" w:hanging="420"/>
      </w:pPr>
      <w:rPr>
        <w:rFonts w:hint="default" w:ascii="Wingdings" w:hAnsi="Wingdings"/>
      </w:rPr>
    </w:lvl>
    <w:lvl w:ilvl="6" w:tentative="0">
      <w:start w:val="1"/>
      <w:numFmt w:val="bullet"/>
      <w:lvlText w:val="l"/>
      <w:lvlJc w:val="left"/>
      <w:pPr>
        <w:tabs>
          <w:tab w:val="left" w:pos="2940"/>
        </w:tabs>
        <w:ind w:left="2940" w:hanging="420"/>
      </w:pPr>
      <w:rPr>
        <w:rFonts w:hint="default" w:ascii="Wingdings" w:hAnsi="Wingdings"/>
      </w:rPr>
    </w:lvl>
    <w:lvl w:ilvl="7" w:tentative="0">
      <w:start w:val="1"/>
      <w:numFmt w:val="bullet"/>
      <w:lvlText w:val="n"/>
      <w:lvlJc w:val="left"/>
      <w:pPr>
        <w:tabs>
          <w:tab w:val="left" w:pos="3360"/>
        </w:tabs>
        <w:ind w:left="3360" w:hanging="420"/>
      </w:pPr>
      <w:rPr>
        <w:rFonts w:hint="default" w:ascii="Wingdings" w:hAnsi="Wingdings"/>
      </w:rPr>
    </w:lvl>
    <w:lvl w:ilvl="8" w:tentative="0">
      <w:start w:val="1"/>
      <w:numFmt w:val="bullet"/>
      <w:lvlText w:val="u"/>
      <w:lvlJc w:val="left"/>
      <w:pPr>
        <w:tabs>
          <w:tab w:val="left" w:pos="3780"/>
        </w:tabs>
        <w:ind w:left="3780" w:hanging="420"/>
      </w:pPr>
      <w:rPr>
        <w:rFonts w:hint="default" w:ascii="Wingdings" w:hAnsi="Wingdings"/>
      </w:rPr>
    </w:lvl>
  </w:abstractNum>
  <w:abstractNum w:abstractNumId="81">
    <w:nsid w:val="2F000052"/>
    <w:multiLevelType w:val="multilevel"/>
    <w:tmpl w:val="2F000052"/>
    <w:lvl w:ilvl="0" w:tentative="0">
      <w:start w:val="1"/>
      <w:numFmt w:val="decimal"/>
      <w:pStyle w:val="568"/>
      <w:suff w:val="nothing"/>
      <w:lvlText w:val="%1    "/>
      <w:lvlJc w:val="left"/>
      <w:pPr>
        <w:ind w:left="3312" w:hanging="432"/>
      </w:pPr>
      <w:rPr>
        <w:rFonts w:hint="default" w:ascii="Times New Roman" w:hAnsi="Times New Roman" w:eastAsia="宋体"/>
        <w:b/>
        <w:i w:val="0"/>
      </w:rPr>
    </w:lvl>
    <w:lvl w:ilvl="1" w:tentative="0">
      <w:start w:val="1"/>
      <w:numFmt w:val="decimal"/>
      <w:suff w:val="nothing"/>
      <w:lvlText w:val="%1.%2    "/>
      <w:lvlJc w:val="left"/>
      <w:pPr>
        <w:ind w:left="1144" w:hanging="576"/>
      </w:pPr>
      <w:rPr>
        <w:rFonts w:hint="default" w:ascii="Times New Roman" w:hAnsi="Times New Roman" w:eastAsia="宋体"/>
        <w:b/>
        <w:i w:val="0"/>
      </w:rPr>
    </w:lvl>
    <w:lvl w:ilvl="2" w:tentative="0">
      <w:start w:val="1"/>
      <w:numFmt w:val="decimal"/>
      <w:suff w:val="nothing"/>
      <w:lvlText w:val="%1.%2.%3    "/>
      <w:lvlJc w:val="left"/>
      <w:pPr>
        <w:ind w:left="2340" w:hanging="720"/>
      </w:pPr>
      <w:rPr>
        <w:rFonts w:hint="default" w:ascii="Times New Roman" w:hAnsi="Times New Roman" w:eastAsia="宋体"/>
      </w:rPr>
    </w:lvl>
    <w:lvl w:ilvl="3" w:tentative="0">
      <w:start w:val="1"/>
      <w:numFmt w:val="decimal"/>
      <w:suff w:val="nothing"/>
      <w:lvlText w:val="%1.%2.%3.%4    "/>
      <w:lvlJc w:val="left"/>
      <w:pPr>
        <w:ind w:left="864" w:hanging="864"/>
      </w:pPr>
      <w:rPr>
        <w:rFonts w:hint="default" w:ascii="Times New Roman" w:hAnsi="Times New Roman" w:eastAsia="宋体"/>
        <w:b w:val="0"/>
        <w:i w:val="0"/>
        <w:sz w:val="24"/>
        <w:szCs w:val="24"/>
      </w:rPr>
    </w:lvl>
    <w:lvl w:ilvl="4" w:tentative="0">
      <w:start w:val="1"/>
      <w:numFmt w:val="decimal"/>
      <w:suff w:val="nothing"/>
      <w:lvlText w:val="%1.%2.%3.%4.%5  "/>
      <w:lvlJc w:val="left"/>
      <w:pPr>
        <w:ind w:left="1008" w:hanging="1008"/>
      </w:pPr>
      <w:rPr>
        <w:rFonts w:hint="eastAsia"/>
      </w:rPr>
    </w:lvl>
    <w:lvl w:ilvl="5" w:tentative="0">
      <w:start w:val="1"/>
      <w:numFmt w:val="decimal"/>
      <w:lvlRestart w:val="2"/>
      <w:suff w:val="nothing"/>
      <w:lvlText w:val="图%1.%2-%6    "/>
      <w:lvlJc w:val="left"/>
      <w:pPr>
        <w:ind w:left="1152" w:hanging="1152"/>
      </w:pPr>
      <w:rPr>
        <w:rFonts w:hint="default" w:ascii="Times New Roman" w:hAnsi="Times New Roman" w:eastAsia="宋体"/>
      </w:rPr>
    </w:lvl>
    <w:lvl w:ilvl="6" w:tentative="0">
      <w:start w:val="1"/>
      <w:numFmt w:val="decimal"/>
      <w:lvlRestart w:val="2"/>
      <w:suff w:val="nothing"/>
      <w:lvlText w:val="表%1.%2-%7    "/>
      <w:lvlJc w:val="left"/>
      <w:pPr>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82">
    <w:nsid w:val="2F000053"/>
    <w:multiLevelType w:val="multilevel"/>
    <w:tmpl w:val="2F000053"/>
    <w:lvl w:ilvl="0" w:tentative="0">
      <w:start w:val="1"/>
      <w:numFmt w:val="decimal"/>
      <w:pStyle w:val="257"/>
      <w:lvlText w:val="（%1）"/>
      <w:lvlJc w:val="left"/>
      <w:pPr>
        <w:tabs>
          <w:tab w:val="left" w:pos="1214"/>
        </w:tabs>
        <w:ind w:left="80" w:firstLine="400"/>
      </w:pPr>
      <w:rPr>
        <w:rFonts w:hint="eastAsia"/>
        <w:sz w:val="28"/>
        <w:szCs w:val="28"/>
      </w:rPr>
    </w:lvl>
    <w:lvl w:ilvl="1" w:tentative="0">
      <w:start w:val="1"/>
      <w:numFmt w:val="bullet"/>
      <w:lvlText w:val="n"/>
      <w:lvlJc w:val="left"/>
      <w:pPr>
        <w:tabs>
          <w:tab w:val="left" w:pos="840"/>
        </w:tabs>
        <w:ind w:left="840" w:hanging="420"/>
      </w:pPr>
      <w:rPr>
        <w:rFonts w:hint="default" w:ascii="Wingdings" w:hAnsi="Wingdings"/>
      </w:rPr>
    </w:lvl>
    <w:lvl w:ilvl="2" w:tentative="0">
      <w:start w:val="1"/>
      <w:numFmt w:val="bullet"/>
      <w:lvlText w:val="u"/>
      <w:lvlJc w:val="left"/>
      <w:pPr>
        <w:tabs>
          <w:tab w:val="left" w:pos="1260"/>
        </w:tabs>
        <w:ind w:left="1260" w:hanging="420"/>
      </w:pPr>
      <w:rPr>
        <w:rFonts w:hint="default" w:ascii="Wingdings" w:hAnsi="Wingdings"/>
      </w:rPr>
    </w:lvl>
    <w:lvl w:ilvl="3" w:tentative="0">
      <w:start w:val="1"/>
      <w:numFmt w:val="bullet"/>
      <w:lvlText w:val="l"/>
      <w:lvlJc w:val="left"/>
      <w:pPr>
        <w:tabs>
          <w:tab w:val="left" w:pos="1680"/>
        </w:tabs>
        <w:ind w:left="1680" w:hanging="420"/>
      </w:pPr>
      <w:rPr>
        <w:rFonts w:hint="default" w:ascii="Wingdings" w:hAnsi="Wingdings"/>
      </w:rPr>
    </w:lvl>
    <w:lvl w:ilvl="4" w:tentative="0">
      <w:start w:val="1"/>
      <w:numFmt w:val="bullet"/>
      <w:lvlText w:val="n"/>
      <w:lvlJc w:val="left"/>
      <w:pPr>
        <w:tabs>
          <w:tab w:val="left" w:pos="2100"/>
        </w:tabs>
        <w:ind w:left="2100" w:hanging="420"/>
      </w:pPr>
      <w:rPr>
        <w:rFonts w:hint="default" w:ascii="Wingdings" w:hAnsi="Wingdings"/>
      </w:rPr>
    </w:lvl>
    <w:lvl w:ilvl="5" w:tentative="0">
      <w:start w:val="1"/>
      <w:numFmt w:val="bullet"/>
      <w:lvlText w:val="u"/>
      <w:lvlJc w:val="left"/>
      <w:pPr>
        <w:tabs>
          <w:tab w:val="left" w:pos="2520"/>
        </w:tabs>
        <w:ind w:left="2520" w:hanging="420"/>
      </w:pPr>
      <w:rPr>
        <w:rFonts w:hint="default" w:ascii="Wingdings" w:hAnsi="Wingdings"/>
      </w:rPr>
    </w:lvl>
    <w:lvl w:ilvl="6" w:tentative="0">
      <w:start w:val="1"/>
      <w:numFmt w:val="bullet"/>
      <w:lvlText w:val="l"/>
      <w:lvlJc w:val="left"/>
      <w:pPr>
        <w:tabs>
          <w:tab w:val="left" w:pos="2940"/>
        </w:tabs>
        <w:ind w:left="2940" w:hanging="420"/>
      </w:pPr>
      <w:rPr>
        <w:rFonts w:hint="default" w:ascii="Wingdings" w:hAnsi="Wingdings"/>
      </w:rPr>
    </w:lvl>
    <w:lvl w:ilvl="7" w:tentative="0">
      <w:start w:val="1"/>
      <w:numFmt w:val="bullet"/>
      <w:lvlText w:val="n"/>
      <w:lvlJc w:val="left"/>
      <w:pPr>
        <w:tabs>
          <w:tab w:val="left" w:pos="3360"/>
        </w:tabs>
        <w:ind w:left="3360" w:hanging="420"/>
      </w:pPr>
      <w:rPr>
        <w:rFonts w:hint="default" w:ascii="Wingdings" w:hAnsi="Wingdings"/>
      </w:rPr>
    </w:lvl>
    <w:lvl w:ilvl="8" w:tentative="0">
      <w:start w:val="1"/>
      <w:numFmt w:val="bullet"/>
      <w:lvlText w:val="u"/>
      <w:lvlJc w:val="left"/>
      <w:pPr>
        <w:tabs>
          <w:tab w:val="left" w:pos="3780"/>
        </w:tabs>
        <w:ind w:left="3780" w:hanging="420"/>
      </w:pPr>
      <w:rPr>
        <w:rFonts w:hint="default" w:ascii="Wingdings" w:hAnsi="Wingdings"/>
      </w:rPr>
    </w:lvl>
  </w:abstractNum>
  <w:abstractNum w:abstractNumId="83">
    <w:nsid w:val="2F000054"/>
    <w:multiLevelType w:val="multilevel"/>
    <w:tmpl w:val="2F000054"/>
    <w:lvl w:ilvl="0" w:tentative="0">
      <w:start w:val="1"/>
      <w:numFmt w:val="decimal"/>
      <w:pStyle w:val="861"/>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569"/>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4">
    <w:nsid w:val="2F000055"/>
    <w:multiLevelType w:val="multilevel"/>
    <w:tmpl w:val="2F000055"/>
    <w:lvl w:ilvl="0" w:tentative="0">
      <w:start w:val="1"/>
      <w:numFmt w:val="bullet"/>
      <w:pStyle w:val="964"/>
      <w:lvlText w:val=""/>
      <w:lvlJc w:val="left"/>
      <w:pPr>
        <w:tabs>
          <w:tab w:val="left" w:pos="840"/>
        </w:tabs>
        <w:ind w:left="840" w:hanging="420"/>
      </w:pPr>
      <w:rPr>
        <w:rFonts w:hint="eastAsia"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5">
    <w:nsid w:val="2F000056"/>
    <w:multiLevelType w:val="multilevel"/>
    <w:tmpl w:val="2F000056"/>
    <w:lvl w:ilvl="0" w:tentative="0">
      <w:start w:val="1"/>
      <w:numFmt w:val="bullet"/>
      <w:pStyle w:val="928"/>
      <w:lvlText w:val="l"/>
      <w:lvlJc w:val="left"/>
      <w:pPr>
        <w:tabs>
          <w:tab w:val="left" w:pos="1300"/>
        </w:tabs>
        <w:ind w:left="1300" w:hanging="420"/>
      </w:pPr>
      <w:rPr>
        <w:rFonts w:hint="default" w:ascii="Wingdings" w:hAnsi="Wingdings"/>
      </w:rPr>
    </w:lvl>
    <w:lvl w:ilvl="1" w:tentative="0">
      <w:start w:val="1"/>
      <w:numFmt w:val="bullet"/>
      <w:lvlText w:val="n"/>
      <w:lvlJc w:val="left"/>
      <w:pPr>
        <w:tabs>
          <w:tab w:val="left" w:pos="1320"/>
        </w:tabs>
        <w:ind w:left="1320" w:hanging="420"/>
      </w:pPr>
      <w:rPr>
        <w:rFonts w:hint="default" w:ascii="Wingdings" w:hAnsi="Wingdings"/>
      </w:rPr>
    </w:lvl>
    <w:lvl w:ilvl="2" w:tentative="0">
      <w:start w:val="1"/>
      <w:numFmt w:val="bullet"/>
      <w:lvlText w:val="u"/>
      <w:lvlJc w:val="left"/>
      <w:pPr>
        <w:tabs>
          <w:tab w:val="left" w:pos="1740"/>
        </w:tabs>
        <w:ind w:left="1740" w:hanging="420"/>
      </w:pPr>
      <w:rPr>
        <w:rFonts w:hint="default" w:ascii="Wingdings" w:hAnsi="Wingdings"/>
      </w:rPr>
    </w:lvl>
    <w:lvl w:ilvl="3" w:tentative="0">
      <w:start w:val="1"/>
      <w:numFmt w:val="bullet"/>
      <w:lvlText w:val="l"/>
      <w:lvlJc w:val="left"/>
      <w:pPr>
        <w:tabs>
          <w:tab w:val="left" w:pos="2160"/>
        </w:tabs>
        <w:ind w:left="2160" w:hanging="420"/>
      </w:pPr>
      <w:rPr>
        <w:rFonts w:hint="default" w:ascii="Wingdings" w:hAnsi="Wingdings"/>
      </w:rPr>
    </w:lvl>
    <w:lvl w:ilvl="4" w:tentative="0">
      <w:start w:val="1"/>
      <w:numFmt w:val="bullet"/>
      <w:lvlText w:val="n"/>
      <w:lvlJc w:val="left"/>
      <w:pPr>
        <w:tabs>
          <w:tab w:val="left" w:pos="2580"/>
        </w:tabs>
        <w:ind w:left="2580" w:hanging="420"/>
      </w:pPr>
      <w:rPr>
        <w:rFonts w:hint="default" w:ascii="Wingdings" w:hAnsi="Wingdings"/>
      </w:rPr>
    </w:lvl>
    <w:lvl w:ilvl="5" w:tentative="0">
      <w:start w:val="1"/>
      <w:numFmt w:val="bullet"/>
      <w:lvlText w:val="u"/>
      <w:lvlJc w:val="left"/>
      <w:pPr>
        <w:tabs>
          <w:tab w:val="left" w:pos="3000"/>
        </w:tabs>
        <w:ind w:left="3000" w:hanging="420"/>
      </w:pPr>
      <w:rPr>
        <w:rFonts w:hint="default" w:ascii="Wingdings" w:hAnsi="Wingdings"/>
      </w:rPr>
    </w:lvl>
    <w:lvl w:ilvl="6" w:tentative="0">
      <w:start w:val="1"/>
      <w:numFmt w:val="bullet"/>
      <w:lvlText w:val="l"/>
      <w:lvlJc w:val="left"/>
      <w:pPr>
        <w:tabs>
          <w:tab w:val="left" w:pos="3420"/>
        </w:tabs>
        <w:ind w:left="3420" w:hanging="420"/>
      </w:pPr>
      <w:rPr>
        <w:rFonts w:hint="default" w:ascii="Wingdings" w:hAnsi="Wingdings"/>
      </w:rPr>
    </w:lvl>
    <w:lvl w:ilvl="7" w:tentative="0">
      <w:start w:val="1"/>
      <w:numFmt w:val="bullet"/>
      <w:lvlText w:val="n"/>
      <w:lvlJc w:val="left"/>
      <w:pPr>
        <w:tabs>
          <w:tab w:val="left" w:pos="3840"/>
        </w:tabs>
        <w:ind w:left="3840" w:hanging="420"/>
      </w:pPr>
      <w:rPr>
        <w:rFonts w:hint="default" w:ascii="Wingdings" w:hAnsi="Wingdings"/>
      </w:rPr>
    </w:lvl>
    <w:lvl w:ilvl="8" w:tentative="0">
      <w:start w:val="1"/>
      <w:numFmt w:val="bullet"/>
      <w:lvlText w:val="u"/>
      <w:lvlJc w:val="left"/>
      <w:pPr>
        <w:tabs>
          <w:tab w:val="left" w:pos="4260"/>
        </w:tabs>
        <w:ind w:left="4260" w:hanging="420"/>
      </w:pPr>
      <w:rPr>
        <w:rFonts w:hint="default" w:ascii="Wingdings" w:hAnsi="Wingdings"/>
      </w:rPr>
    </w:lvl>
  </w:abstractNum>
  <w:abstractNum w:abstractNumId="86">
    <w:nsid w:val="2F000057"/>
    <w:multiLevelType w:val="multilevel"/>
    <w:tmpl w:val="2F000057"/>
    <w:lvl w:ilvl="0" w:tentative="0">
      <w:start w:val="1"/>
      <w:numFmt w:val="decimal"/>
      <w:pStyle w:val="238"/>
      <w:lvlText w:val="（%1）"/>
      <w:lvlJc w:val="left"/>
      <w:pPr>
        <w:tabs>
          <w:tab w:val="left" w:pos="1302"/>
        </w:tabs>
        <w:ind w:left="168" w:firstLine="400"/>
      </w:pPr>
      <w:rPr>
        <w:rFonts w:hint="eastAsia"/>
        <w:sz w:val="24"/>
        <w:szCs w:val="24"/>
      </w:rPr>
    </w:lvl>
    <w:lvl w:ilvl="1" w:tentative="0">
      <w:start w:val="1"/>
      <w:numFmt w:val="lowerLetter"/>
      <w:lvlText w:val="%2)"/>
      <w:lvlJc w:val="left"/>
      <w:pPr>
        <w:tabs>
          <w:tab w:val="left" w:pos="928"/>
        </w:tabs>
        <w:ind w:left="928" w:hanging="420"/>
      </w:pPr>
    </w:lvl>
    <w:lvl w:ilvl="2" w:tentative="0">
      <w:start w:val="1"/>
      <w:numFmt w:val="lowerRoman"/>
      <w:lvlText w:val="%3."/>
      <w:lvlJc w:val="right"/>
      <w:pPr>
        <w:tabs>
          <w:tab w:val="left" w:pos="1348"/>
        </w:tabs>
        <w:ind w:left="1348" w:hanging="420"/>
      </w:pPr>
    </w:lvl>
    <w:lvl w:ilvl="3" w:tentative="0">
      <w:start w:val="1"/>
      <w:numFmt w:val="decimal"/>
      <w:lvlText w:val="%4."/>
      <w:lvlJc w:val="left"/>
      <w:pPr>
        <w:tabs>
          <w:tab w:val="left" w:pos="1768"/>
        </w:tabs>
        <w:ind w:left="1768" w:hanging="420"/>
      </w:pPr>
    </w:lvl>
    <w:lvl w:ilvl="4" w:tentative="0">
      <w:start w:val="1"/>
      <w:numFmt w:val="lowerLetter"/>
      <w:lvlText w:val="%5)"/>
      <w:lvlJc w:val="left"/>
      <w:pPr>
        <w:tabs>
          <w:tab w:val="left" w:pos="2188"/>
        </w:tabs>
        <w:ind w:left="2188" w:hanging="420"/>
      </w:pPr>
    </w:lvl>
    <w:lvl w:ilvl="5" w:tentative="0">
      <w:start w:val="1"/>
      <w:numFmt w:val="lowerRoman"/>
      <w:lvlText w:val="%6."/>
      <w:lvlJc w:val="right"/>
      <w:pPr>
        <w:tabs>
          <w:tab w:val="left" w:pos="2608"/>
        </w:tabs>
        <w:ind w:left="2608" w:hanging="420"/>
      </w:pPr>
    </w:lvl>
    <w:lvl w:ilvl="6" w:tentative="0">
      <w:start w:val="1"/>
      <w:numFmt w:val="decimal"/>
      <w:lvlText w:val="%7."/>
      <w:lvlJc w:val="left"/>
      <w:pPr>
        <w:tabs>
          <w:tab w:val="left" w:pos="3028"/>
        </w:tabs>
        <w:ind w:left="3028" w:hanging="420"/>
      </w:pPr>
    </w:lvl>
    <w:lvl w:ilvl="7" w:tentative="0">
      <w:start w:val="1"/>
      <w:numFmt w:val="lowerLetter"/>
      <w:lvlText w:val="%8)"/>
      <w:lvlJc w:val="left"/>
      <w:pPr>
        <w:tabs>
          <w:tab w:val="left" w:pos="3448"/>
        </w:tabs>
        <w:ind w:left="3448" w:hanging="420"/>
      </w:pPr>
    </w:lvl>
    <w:lvl w:ilvl="8" w:tentative="0">
      <w:start w:val="1"/>
      <w:numFmt w:val="lowerRoman"/>
      <w:lvlText w:val="%9."/>
      <w:lvlJc w:val="right"/>
      <w:pPr>
        <w:tabs>
          <w:tab w:val="left" w:pos="3868"/>
        </w:tabs>
        <w:ind w:left="3868" w:hanging="420"/>
      </w:pPr>
    </w:lvl>
  </w:abstractNum>
  <w:abstractNum w:abstractNumId="87">
    <w:nsid w:val="2F000058"/>
    <w:multiLevelType w:val="multilevel"/>
    <w:tmpl w:val="2F000058"/>
    <w:lvl w:ilvl="0" w:tentative="0">
      <w:start w:val="1"/>
      <w:numFmt w:val="bullet"/>
      <w:pStyle w:val="986"/>
      <w:lvlText w:val="l"/>
      <w:lvlJc w:val="left"/>
      <w:pPr>
        <w:tabs>
          <w:tab w:val="left" w:pos="567"/>
        </w:tabs>
        <w:ind w:left="567" w:hanging="567"/>
      </w:pPr>
      <w:rPr>
        <w:rFonts w:hint="default" w:ascii="Wingdings" w:hAnsi="Wingdings"/>
      </w:rPr>
    </w:lvl>
    <w:lvl w:ilvl="1" w:tentative="0">
      <w:start w:val="1"/>
      <w:numFmt w:val="bullet"/>
      <w:lvlText w:val="l"/>
      <w:lvlJc w:val="left"/>
      <w:pPr>
        <w:tabs>
          <w:tab w:val="left" w:pos="567"/>
        </w:tabs>
        <w:ind w:left="567" w:hanging="567"/>
      </w:pPr>
      <w:rPr>
        <w:rFonts w:hint="default" w:ascii="Wingdings" w:hAnsi="Wingdings"/>
      </w:rPr>
    </w:lvl>
    <w:lvl w:ilvl="2" w:tentative="0">
      <w:start w:val="1"/>
      <w:numFmt w:val="bullet"/>
      <w:lvlText w:val="l"/>
      <w:lvlJc w:val="left"/>
      <w:pPr>
        <w:tabs>
          <w:tab w:val="left" w:pos="567"/>
        </w:tabs>
        <w:ind w:left="567" w:hanging="567"/>
      </w:pPr>
      <w:rPr>
        <w:rFonts w:hint="default" w:ascii="Wingdings" w:hAnsi="Wingdings"/>
      </w:rPr>
    </w:lvl>
    <w:lvl w:ilvl="3" w:tentative="0">
      <w:start w:val="1"/>
      <w:numFmt w:val="bullet"/>
      <w:lvlText w:val="l"/>
      <w:lvlJc w:val="left"/>
      <w:pPr>
        <w:tabs>
          <w:tab w:val="left" w:pos="567"/>
        </w:tabs>
        <w:ind w:left="567" w:hanging="567"/>
      </w:pPr>
      <w:rPr>
        <w:rFonts w:hint="default" w:ascii="Wingdings" w:hAnsi="Wingdings"/>
      </w:rPr>
    </w:lvl>
    <w:lvl w:ilvl="4" w:tentative="0">
      <w:start w:val="1"/>
      <w:numFmt w:val="bullet"/>
      <w:lvlText w:val="l"/>
      <w:lvlJc w:val="left"/>
      <w:pPr>
        <w:tabs>
          <w:tab w:val="left" w:pos="567"/>
        </w:tabs>
        <w:ind w:left="567" w:hanging="567"/>
      </w:pPr>
      <w:rPr>
        <w:rFonts w:hint="default" w:ascii="Wingdings" w:hAnsi="Wingdings"/>
      </w:rPr>
    </w:lvl>
    <w:lvl w:ilvl="5" w:tentative="0">
      <w:start w:val="1"/>
      <w:numFmt w:val="bullet"/>
      <w:lvlText w:val="l"/>
      <w:lvlJc w:val="left"/>
      <w:pPr>
        <w:tabs>
          <w:tab w:val="left" w:pos="567"/>
        </w:tabs>
        <w:ind w:left="567" w:hanging="567"/>
      </w:pPr>
      <w:rPr>
        <w:rFonts w:hint="default" w:ascii="Wingdings" w:hAnsi="Wingdings"/>
      </w:rPr>
    </w:lvl>
    <w:lvl w:ilvl="6" w:tentative="0">
      <w:start w:val="1"/>
      <w:numFmt w:val="bullet"/>
      <w:lvlText w:val="l"/>
      <w:lvlJc w:val="left"/>
      <w:pPr>
        <w:tabs>
          <w:tab w:val="left" w:pos="567"/>
        </w:tabs>
        <w:ind w:left="567" w:hanging="567"/>
      </w:pPr>
      <w:rPr>
        <w:rFonts w:hint="default" w:ascii="Wingdings" w:hAnsi="Wingdings"/>
      </w:rPr>
    </w:lvl>
    <w:lvl w:ilvl="7" w:tentative="0">
      <w:start w:val="1"/>
      <w:numFmt w:val="bullet"/>
      <w:lvlText w:val="l"/>
      <w:lvlJc w:val="left"/>
      <w:pPr>
        <w:tabs>
          <w:tab w:val="left" w:pos="567"/>
        </w:tabs>
        <w:ind w:left="567" w:hanging="567"/>
      </w:pPr>
      <w:rPr>
        <w:rFonts w:hint="default" w:ascii="Wingdings" w:hAnsi="Wingdings"/>
      </w:rPr>
    </w:lvl>
    <w:lvl w:ilvl="8" w:tentative="0">
      <w:start w:val="1"/>
      <w:numFmt w:val="bullet"/>
      <w:lvlText w:val="l"/>
      <w:lvlJc w:val="left"/>
      <w:pPr>
        <w:tabs>
          <w:tab w:val="left" w:pos="567"/>
        </w:tabs>
        <w:ind w:left="567" w:hanging="567"/>
      </w:pPr>
      <w:rPr>
        <w:rFonts w:hint="default" w:ascii="Wingdings" w:hAnsi="Wingdings"/>
      </w:rPr>
    </w:lvl>
  </w:abstractNum>
  <w:abstractNum w:abstractNumId="88">
    <w:nsid w:val="2F00005B"/>
    <w:multiLevelType w:val="multilevel"/>
    <w:tmpl w:val="2F00005B"/>
    <w:lvl w:ilvl="0" w:tentative="0">
      <w:start w:val="1"/>
      <w:numFmt w:val="decimal"/>
      <w:pStyle w:val="800"/>
      <w:lvlText w:val="图%1"/>
      <w:lvlJc w:val="center"/>
      <w:pPr>
        <w:tabs>
          <w:tab w:val="left" w:pos="1701"/>
        </w:tabs>
        <w:ind w:left="1701" w:hanging="340"/>
      </w:pPr>
      <w:rPr>
        <w:rFonts w:hint="eastAsia" w:eastAsia="宋体"/>
        <w:b w:val="0"/>
        <w:i w:val="0"/>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9">
    <w:nsid w:val="318B5866"/>
    <w:multiLevelType w:val="multilevel"/>
    <w:tmpl w:val="318B5866"/>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0">
    <w:nsid w:val="365777D9"/>
    <w:multiLevelType w:val="multilevel"/>
    <w:tmpl w:val="365777D9"/>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1">
    <w:nsid w:val="396D3B13"/>
    <w:multiLevelType w:val="multilevel"/>
    <w:tmpl w:val="396D3B1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2">
    <w:nsid w:val="39DA281E"/>
    <w:multiLevelType w:val="multilevel"/>
    <w:tmpl w:val="39DA281E"/>
    <w:lvl w:ilvl="0" w:tentative="0">
      <w:start w:val="1"/>
      <w:numFmt w:val="decimal"/>
      <w:lvlText w:val="%1."/>
      <w:lvlJc w:val="left"/>
      <w:pPr>
        <w:ind w:left="360" w:hanging="360"/>
      </w:pPr>
      <w:rPr>
        <w:rFonts w:hint="default" w:ascii="宋体" w:hAnsi="宋体" w:eastAsia="宋体"/>
        <w:b w:val="0"/>
        <w:i w:val="0"/>
        <w:sz w:val="21"/>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3">
    <w:nsid w:val="3D4F506B"/>
    <w:multiLevelType w:val="multilevel"/>
    <w:tmpl w:val="3D4F506B"/>
    <w:lvl w:ilvl="0" w:tentative="0">
      <w:start w:val="1"/>
      <w:numFmt w:val="decimal"/>
      <w:lvlText w:val="（%1）"/>
      <w:lvlJc w:val="left"/>
      <w:pPr>
        <w:ind w:left="114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4">
    <w:nsid w:val="3FA25CB5"/>
    <w:multiLevelType w:val="multilevel"/>
    <w:tmpl w:val="3FA25CB5"/>
    <w:lvl w:ilvl="0" w:tentative="0">
      <w:start w:val="1"/>
      <w:numFmt w:val="decimal"/>
      <w:lvlText w:val="%1."/>
      <w:lvlJc w:val="left"/>
      <w:pPr>
        <w:ind w:left="360" w:hanging="360"/>
      </w:pPr>
      <w:rPr>
        <w:rFonts w:hint="default" w:ascii="宋体" w:hAnsi="宋体" w:eastAsia="宋体"/>
        <w:b w:val="0"/>
        <w:i w:val="0"/>
        <w:sz w:val="21"/>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5">
    <w:nsid w:val="4AC775F4"/>
    <w:multiLevelType w:val="multilevel"/>
    <w:tmpl w:val="4AC775F4"/>
    <w:lvl w:ilvl="0" w:tentative="0">
      <w:start w:val="1"/>
      <w:numFmt w:val="decimal"/>
      <w:lvlText w:val="%1."/>
      <w:lvlJc w:val="left"/>
      <w:pPr>
        <w:ind w:left="425" w:hanging="425"/>
      </w:pPr>
      <w:rPr>
        <w:rFonts w:hint="eastAsia" w:ascii="宋体" w:hAnsi="宋体" w:eastAsia="宋体"/>
        <w:b/>
        <w:sz w:val="28"/>
      </w:rPr>
    </w:lvl>
    <w:lvl w:ilvl="1" w:tentative="0">
      <w:start w:val="1"/>
      <w:numFmt w:val="decimal"/>
      <w:lvlText w:val="%1.%2"/>
      <w:lvlJc w:val="left"/>
      <w:pPr>
        <w:ind w:left="850" w:hanging="425"/>
      </w:pPr>
      <w:rPr>
        <w:rFonts w:hint="eastAsia" w:eastAsia="宋体"/>
        <w:b/>
        <w:i w:val="0"/>
        <w:sz w:val="24"/>
      </w:rPr>
    </w:lvl>
    <w:lvl w:ilvl="2" w:tentative="0">
      <w:start w:val="1"/>
      <w:numFmt w:val="decimal"/>
      <w:lvlText w:val="%1.%2.%3"/>
      <w:lvlJc w:val="left"/>
      <w:pPr>
        <w:ind w:left="1275" w:hanging="425"/>
      </w:pPr>
      <w:rPr>
        <w:rFonts w:hint="eastAsia" w:eastAsia="宋体"/>
        <w:b w:val="0"/>
        <w:i w:val="0"/>
        <w:sz w:val="21"/>
      </w:rPr>
    </w:lvl>
    <w:lvl w:ilvl="3" w:tentative="0">
      <w:start w:val="1"/>
      <w:numFmt w:val="decimal"/>
      <w:lvlText w:val="%1.%2.%3.%4"/>
      <w:lvlJc w:val="left"/>
      <w:pPr>
        <w:ind w:left="1700" w:hanging="425"/>
      </w:pPr>
      <w:rPr>
        <w:rFonts w:hint="eastAsia"/>
      </w:rPr>
    </w:lvl>
    <w:lvl w:ilvl="4" w:tentative="0">
      <w:start w:val="1"/>
      <w:numFmt w:val="decimal"/>
      <w:lvlText w:val="%1.%2.%3.%4.%5"/>
      <w:lvlJc w:val="left"/>
      <w:pPr>
        <w:ind w:left="2125" w:hanging="425"/>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96">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131"/>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97">
    <w:nsid w:val="64FB4BFD"/>
    <w:multiLevelType w:val="multilevel"/>
    <w:tmpl w:val="64FB4BF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8">
    <w:nsid w:val="669D69EA"/>
    <w:multiLevelType w:val="multilevel"/>
    <w:tmpl w:val="669D69EA"/>
    <w:lvl w:ilvl="0" w:tentative="0">
      <w:start w:val="1"/>
      <w:numFmt w:val="decimal"/>
      <w:lvlText w:val="%1."/>
      <w:lvlJc w:val="left"/>
      <w:pPr>
        <w:ind w:left="840" w:hanging="420"/>
      </w:pPr>
      <w:rPr>
        <w:rFonts w:hint="eastAsia" w:eastAsia="仿宋_GB2312"/>
        <w:color w:val="auto"/>
        <w:sz w:val="28"/>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113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9">
    <w:nsid w:val="6EDB18A8"/>
    <w:multiLevelType w:val="multilevel"/>
    <w:tmpl w:val="6EDB18A8"/>
    <w:lvl w:ilvl="0" w:tentative="0">
      <w:start w:val="1"/>
      <w:numFmt w:val="decimal"/>
      <w:lvlText w:val="%1."/>
      <w:lvlJc w:val="left"/>
      <w:pPr>
        <w:ind w:left="360" w:hanging="360"/>
      </w:pPr>
      <w:rPr>
        <w:rFonts w:hint="default" w:ascii="宋体" w:hAnsi="宋体" w:eastAsia="宋体"/>
        <w:b w:val="0"/>
        <w:i w:val="0"/>
        <w:sz w:val="21"/>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0">
    <w:nsid w:val="7FA36634"/>
    <w:multiLevelType w:val="multilevel"/>
    <w:tmpl w:val="7FA36634"/>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9"/>
  </w:num>
  <w:num w:numId="2">
    <w:abstractNumId w:val="18"/>
  </w:num>
  <w:num w:numId="3">
    <w:abstractNumId w:val="17"/>
  </w:num>
  <w:num w:numId="4">
    <w:abstractNumId w:val="16"/>
  </w:num>
  <w:num w:numId="5">
    <w:abstractNumId w:val="96"/>
  </w:num>
  <w:num w:numId="6">
    <w:abstractNumId w:val="59"/>
  </w:num>
  <w:num w:numId="7">
    <w:abstractNumId w:val="40"/>
  </w:num>
  <w:num w:numId="8">
    <w:abstractNumId w:val="86"/>
  </w:num>
  <w:num w:numId="9">
    <w:abstractNumId w:val="46"/>
  </w:num>
  <w:num w:numId="10">
    <w:abstractNumId w:val="77"/>
  </w:num>
  <w:num w:numId="11">
    <w:abstractNumId w:val="82"/>
  </w:num>
  <w:num w:numId="12">
    <w:abstractNumId w:val="45"/>
  </w:num>
  <w:num w:numId="13">
    <w:abstractNumId w:val="71"/>
  </w:num>
  <w:num w:numId="14">
    <w:abstractNumId w:val="68"/>
  </w:num>
  <w:num w:numId="15">
    <w:abstractNumId w:val="37"/>
  </w:num>
  <w:num w:numId="16">
    <w:abstractNumId w:val="57"/>
  </w:num>
  <w:num w:numId="17">
    <w:abstractNumId w:val="23"/>
  </w:num>
  <w:num w:numId="18">
    <w:abstractNumId w:val="74"/>
  </w:num>
  <w:num w:numId="19">
    <w:abstractNumId w:val="56"/>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7"/>
  </w:num>
  <w:num w:numId="21">
    <w:abstractNumId w:val="66"/>
  </w:num>
  <w:num w:numId="22">
    <w:abstractNumId w:val="43"/>
  </w:num>
  <w:num w:numId="23">
    <w:abstractNumId w:val="42"/>
  </w:num>
  <w:num w:numId="24">
    <w:abstractNumId w:val="20"/>
  </w:num>
  <w:num w:numId="25">
    <w:abstractNumId w:val="22"/>
  </w:num>
  <w:num w:numId="26">
    <w:abstractNumId w:val="28"/>
  </w:num>
  <w:num w:numId="27">
    <w:abstractNumId w:val="29"/>
  </w:num>
  <w:num w:numId="28">
    <w:abstractNumId w:val="27"/>
  </w:num>
  <w:num w:numId="29">
    <w:abstractNumId w:val="25"/>
  </w:num>
  <w:num w:numId="30">
    <w:abstractNumId w:val="24"/>
  </w:num>
  <w:num w:numId="31">
    <w:abstractNumId w:val="21"/>
  </w:num>
  <w:num w:numId="32">
    <w:abstractNumId w:val="26"/>
  </w:num>
  <w:num w:numId="33">
    <w:abstractNumId w:val="52"/>
  </w:num>
  <w:num w:numId="34">
    <w:abstractNumId w:val="54"/>
  </w:num>
  <w:num w:numId="35">
    <w:abstractNumId w:val="61"/>
    <w:lvlOverride w:ilvl="0">
      <w:startOverride w:val="1"/>
    </w:lvlOverride>
  </w:num>
  <w:num w:numId="36">
    <w:abstractNumId w:val="62"/>
  </w:num>
  <w:num w:numId="37">
    <w:abstractNumId w:val="81"/>
  </w:num>
  <w:num w:numId="38">
    <w:abstractNumId w:val="83"/>
  </w:num>
  <w:num w:numId="39">
    <w:abstractNumId w:val="75"/>
    <w:lvlOverride w:ilvl="0">
      <w:startOverride w:val="1"/>
    </w:lvlOverride>
  </w:num>
  <w:num w:numId="40">
    <w:abstractNumId w:val="63"/>
  </w:num>
  <w:num w:numId="41">
    <w:abstractNumId w:val="79"/>
  </w:num>
  <w:num w:numId="42">
    <w:abstractNumId w:val="64"/>
  </w:num>
  <w:num w:numId="43">
    <w:abstractNumId w:val="51"/>
  </w:num>
  <w:num w:numId="44">
    <w:abstractNumId w:val="76"/>
  </w:num>
  <w:num w:numId="45">
    <w:abstractNumId w:val="73"/>
  </w:num>
  <w:num w:numId="46">
    <w:abstractNumId w:val="70"/>
  </w:num>
  <w:num w:numId="47">
    <w:abstractNumId w:val="78"/>
  </w:num>
  <w:num w:numId="48">
    <w:abstractNumId w:val="36"/>
  </w:num>
  <w:num w:numId="49">
    <w:abstractNumId w:val="31"/>
  </w:num>
  <w:num w:numId="50">
    <w:abstractNumId w:val="60"/>
  </w:num>
  <w:num w:numId="51">
    <w:abstractNumId w:val="72"/>
  </w:num>
  <w:num w:numId="52">
    <w:abstractNumId w:val="69"/>
  </w:num>
  <w:num w:numId="53">
    <w:abstractNumId w:val="49"/>
  </w:num>
  <w:num w:numId="54">
    <w:abstractNumId w:val="33"/>
  </w:num>
  <w:num w:numId="55">
    <w:abstractNumId w:val="88"/>
  </w:num>
  <w:num w:numId="56">
    <w:abstractNumId w:val="80"/>
  </w:num>
  <w:num w:numId="57">
    <w:abstractNumId w:val="65"/>
  </w:num>
  <w:num w:numId="58">
    <w:abstractNumId w:val="53"/>
  </w:num>
  <w:num w:numId="59">
    <w:abstractNumId w:val="39"/>
  </w:num>
  <w:num w:numId="60">
    <w:abstractNumId w:val="35"/>
  </w:num>
  <w:num w:numId="61">
    <w:abstractNumId w:val="32"/>
  </w:num>
  <w:num w:numId="62">
    <w:abstractNumId w:val="58"/>
  </w:num>
  <w:num w:numId="63">
    <w:abstractNumId w:val="44"/>
  </w:num>
  <w:num w:numId="64">
    <w:abstractNumId w:val="85"/>
  </w:num>
  <w:num w:numId="65">
    <w:abstractNumId w:val="38"/>
  </w:num>
  <w:num w:numId="66">
    <w:abstractNumId w:val="30"/>
  </w:num>
  <w:num w:numId="67">
    <w:abstractNumId w:val="48"/>
  </w:num>
  <w:num w:numId="68">
    <w:abstractNumId w:val="55"/>
  </w:num>
  <w:num w:numId="69">
    <w:abstractNumId w:val="67"/>
  </w:num>
  <w:num w:numId="70">
    <w:abstractNumId w:val="84"/>
  </w:num>
  <w:num w:numId="71">
    <w:abstractNumId w:val="50"/>
  </w:num>
  <w:num w:numId="72">
    <w:abstractNumId w:val="41"/>
  </w:num>
  <w:num w:numId="73">
    <w:abstractNumId w:val="87"/>
  </w:num>
  <w:num w:numId="74">
    <w:abstractNumId w:val="34"/>
  </w:num>
  <w:num w:numId="75">
    <w:abstractNumId w:val="4"/>
  </w:num>
  <w:num w:numId="76">
    <w:abstractNumId w:val="9"/>
  </w:num>
  <w:num w:numId="77">
    <w:abstractNumId w:val="95"/>
  </w:num>
  <w:num w:numId="78">
    <w:abstractNumId w:val="95"/>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5"/>
    <w:lvlOverride w:ilvl="0">
      <w:startOverride w:val="1"/>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
  </w:num>
  <w:num w:numId="81">
    <w:abstractNumId w:val="89"/>
  </w:num>
  <w:num w:numId="82">
    <w:abstractNumId w:val="97"/>
  </w:num>
  <w:num w:numId="83">
    <w:abstractNumId w:val="95"/>
    <w:lvlOverride w:ilvl="0">
      <w:startOverride w:val="6"/>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3"/>
  </w:num>
  <w:num w:numId="86">
    <w:abstractNumId w:val="7"/>
  </w:num>
  <w:num w:numId="87">
    <w:abstractNumId w:val="14"/>
  </w:num>
  <w:num w:numId="88">
    <w:abstractNumId w:val="100"/>
  </w:num>
  <w:num w:numId="89">
    <w:abstractNumId w:val="2"/>
  </w:num>
  <w:num w:numId="90">
    <w:abstractNumId w:val="13"/>
  </w:num>
  <w:num w:numId="91">
    <w:abstractNumId w:val="1"/>
  </w:num>
  <w:num w:numId="92">
    <w:abstractNumId w:val="98"/>
  </w:num>
  <w:num w:numId="93">
    <w:abstractNumId w:val="8"/>
  </w:num>
  <w:num w:numId="94">
    <w:abstractNumId w:val="15"/>
  </w:num>
  <w:num w:numId="95">
    <w:abstractNumId w:val="6"/>
  </w:num>
  <w:num w:numId="96">
    <w:abstractNumId w:val="91"/>
  </w:num>
  <w:num w:numId="97">
    <w:abstractNumId w:val="0"/>
  </w:num>
  <w:num w:numId="98">
    <w:abstractNumId w:val="5"/>
  </w:num>
  <w:num w:numId="99">
    <w:abstractNumId w:val="90"/>
  </w:num>
  <w:num w:numId="100">
    <w:abstractNumId w:val="94"/>
  </w:num>
  <w:num w:numId="101">
    <w:abstractNumId w:val="92"/>
  </w:num>
  <w:num w:numId="102">
    <w:abstractNumId w:val="3"/>
  </w:num>
  <w:num w:numId="103">
    <w:abstractNumId w:val="11"/>
  </w:num>
  <w:num w:numId="104">
    <w:abstractNumId w:val="12"/>
  </w:num>
  <w:num w:numId="105">
    <w:abstractNumId w:val="9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hideSpellingErrors/>
  <w:hideGrammaticalErrors/>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4MjkyNGZiYzBlZTdmN2U4NTlmMzExZTYxOThiNDIifQ=="/>
  </w:docVars>
  <w:rsids>
    <w:rsidRoot w:val="006D1E24"/>
    <w:rsid w:val="0000107C"/>
    <w:rsid w:val="00001243"/>
    <w:rsid w:val="00001D14"/>
    <w:rsid w:val="00003939"/>
    <w:rsid w:val="000047AE"/>
    <w:rsid w:val="00004907"/>
    <w:rsid w:val="000057B9"/>
    <w:rsid w:val="00005869"/>
    <w:rsid w:val="0000597B"/>
    <w:rsid w:val="00007097"/>
    <w:rsid w:val="000075A0"/>
    <w:rsid w:val="000077AB"/>
    <w:rsid w:val="00010968"/>
    <w:rsid w:val="00011A09"/>
    <w:rsid w:val="000126F7"/>
    <w:rsid w:val="00012B5E"/>
    <w:rsid w:val="00013A07"/>
    <w:rsid w:val="00014A6B"/>
    <w:rsid w:val="00014F14"/>
    <w:rsid w:val="0001593D"/>
    <w:rsid w:val="00015A22"/>
    <w:rsid w:val="00015BF3"/>
    <w:rsid w:val="00015CF1"/>
    <w:rsid w:val="000164B5"/>
    <w:rsid w:val="0001659A"/>
    <w:rsid w:val="00016CB3"/>
    <w:rsid w:val="00016DEE"/>
    <w:rsid w:val="000202BD"/>
    <w:rsid w:val="000207D1"/>
    <w:rsid w:val="00020D9C"/>
    <w:rsid w:val="0002129D"/>
    <w:rsid w:val="00021A11"/>
    <w:rsid w:val="00021AA4"/>
    <w:rsid w:val="0002398D"/>
    <w:rsid w:val="000246FF"/>
    <w:rsid w:val="00024789"/>
    <w:rsid w:val="0002509A"/>
    <w:rsid w:val="00025960"/>
    <w:rsid w:val="0002606E"/>
    <w:rsid w:val="000265DB"/>
    <w:rsid w:val="0002661D"/>
    <w:rsid w:val="00027253"/>
    <w:rsid w:val="0002725B"/>
    <w:rsid w:val="000276E2"/>
    <w:rsid w:val="00027794"/>
    <w:rsid w:val="00030336"/>
    <w:rsid w:val="00030B3A"/>
    <w:rsid w:val="00030F0C"/>
    <w:rsid w:val="00032499"/>
    <w:rsid w:val="00032550"/>
    <w:rsid w:val="00033ED9"/>
    <w:rsid w:val="0003405B"/>
    <w:rsid w:val="00034D67"/>
    <w:rsid w:val="000357F1"/>
    <w:rsid w:val="0003775A"/>
    <w:rsid w:val="00037E1F"/>
    <w:rsid w:val="00041272"/>
    <w:rsid w:val="0004206C"/>
    <w:rsid w:val="0004255D"/>
    <w:rsid w:val="00042E7E"/>
    <w:rsid w:val="000437ED"/>
    <w:rsid w:val="0004453D"/>
    <w:rsid w:val="000445C6"/>
    <w:rsid w:val="00044AB7"/>
    <w:rsid w:val="00044D32"/>
    <w:rsid w:val="000466F9"/>
    <w:rsid w:val="00047CB9"/>
    <w:rsid w:val="00047DBE"/>
    <w:rsid w:val="00047E9C"/>
    <w:rsid w:val="0005066A"/>
    <w:rsid w:val="00050DC7"/>
    <w:rsid w:val="00051895"/>
    <w:rsid w:val="000519A8"/>
    <w:rsid w:val="00051CBD"/>
    <w:rsid w:val="00052288"/>
    <w:rsid w:val="00052F71"/>
    <w:rsid w:val="00053C97"/>
    <w:rsid w:val="00055DE2"/>
    <w:rsid w:val="000560BC"/>
    <w:rsid w:val="00056105"/>
    <w:rsid w:val="00057963"/>
    <w:rsid w:val="00060BF6"/>
    <w:rsid w:val="00061B23"/>
    <w:rsid w:val="00062473"/>
    <w:rsid w:val="000629D4"/>
    <w:rsid w:val="00062A74"/>
    <w:rsid w:val="00062C51"/>
    <w:rsid w:val="00062DCD"/>
    <w:rsid w:val="00063079"/>
    <w:rsid w:val="00063128"/>
    <w:rsid w:val="00064271"/>
    <w:rsid w:val="00064517"/>
    <w:rsid w:val="00064F84"/>
    <w:rsid w:val="00070114"/>
    <w:rsid w:val="00070C06"/>
    <w:rsid w:val="00070CDD"/>
    <w:rsid w:val="000717AA"/>
    <w:rsid w:val="000725D7"/>
    <w:rsid w:val="00073027"/>
    <w:rsid w:val="0007311E"/>
    <w:rsid w:val="00073E0B"/>
    <w:rsid w:val="00074167"/>
    <w:rsid w:val="0007475F"/>
    <w:rsid w:val="00074915"/>
    <w:rsid w:val="0007547C"/>
    <w:rsid w:val="00075B62"/>
    <w:rsid w:val="0007666A"/>
    <w:rsid w:val="000768CC"/>
    <w:rsid w:val="00077A51"/>
    <w:rsid w:val="00080E67"/>
    <w:rsid w:val="00081BE6"/>
    <w:rsid w:val="00081C20"/>
    <w:rsid w:val="0008220C"/>
    <w:rsid w:val="00083784"/>
    <w:rsid w:val="00085530"/>
    <w:rsid w:val="000855BF"/>
    <w:rsid w:val="00086296"/>
    <w:rsid w:val="000862FE"/>
    <w:rsid w:val="00087053"/>
    <w:rsid w:val="0008747D"/>
    <w:rsid w:val="000901AA"/>
    <w:rsid w:val="000903B0"/>
    <w:rsid w:val="00092670"/>
    <w:rsid w:val="0009287B"/>
    <w:rsid w:val="00093E50"/>
    <w:rsid w:val="00094678"/>
    <w:rsid w:val="000950F9"/>
    <w:rsid w:val="00095379"/>
    <w:rsid w:val="0009650A"/>
    <w:rsid w:val="00096BF6"/>
    <w:rsid w:val="000975BF"/>
    <w:rsid w:val="000A0EF5"/>
    <w:rsid w:val="000A1448"/>
    <w:rsid w:val="000A1D1F"/>
    <w:rsid w:val="000A1E34"/>
    <w:rsid w:val="000A2258"/>
    <w:rsid w:val="000A3AD8"/>
    <w:rsid w:val="000A3C0C"/>
    <w:rsid w:val="000A3D5D"/>
    <w:rsid w:val="000A4B36"/>
    <w:rsid w:val="000A5778"/>
    <w:rsid w:val="000A705A"/>
    <w:rsid w:val="000A71E6"/>
    <w:rsid w:val="000A77D5"/>
    <w:rsid w:val="000A7F41"/>
    <w:rsid w:val="000B04F2"/>
    <w:rsid w:val="000B079C"/>
    <w:rsid w:val="000B256E"/>
    <w:rsid w:val="000B5041"/>
    <w:rsid w:val="000B55EC"/>
    <w:rsid w:val="000B67FE"/>
    <w:rsid w:val="000B6EB8"/>
    <w:rsid w:val="000B6F97"/>
    <w:rsid w:val="000B731B"/>
    <w:rsid w:val="000C063A"/>
    <w:rsid w:val="000C09BF"/>
    <w:rsid w:val="000C0A9D"/>
    <w:rsid w:val="000C0F5A"/>
    <w:rsid w:val="000C1CD8"/>
    <w:rsid w:val="000C1E9B"/>
    <w:rsid w:val="000C228B"/>
    <w:rsid w:val="000C28C1"/>
    <w:rsid w:val="000C37EF"/>
    <w:rsid w:val="000C3B04"/>
    <w:rsid w:val="000C4244"/>
    <w:rsid w:val="000C4B42"/>
    <w:rsid w:val="000C52B4"/>
    <w:rsid w:val="000C56D3"/>
    <w:rsid w:val="000C6898"/>
    <w:rsid w:val="000D090B"/>
    <w:rsid w:val="000D14BD"/>
    <w:rsid w:val="000D16E4"/>
    <w:rsid w:val="000D1A2E"/>
    <w:rsid w:val="000D1C1F"/>
    <w:rsid w:val="000D204A"/>
    <w:rsid w:val="000D21AC"/>
    <w:rsid w:val="000D2C2A"/>
    <w:rsid w:val="000D3834"/>
    <w:rsid w:val="000D4D81"/>
    <w:rsid w:val="000D66AE"/>
    <w:rsid w:val="000D6E7B"/>
    <w:rsid w:val="000D7736"/>
    <w:rsid w:val="000D7B50"/>
    <w:rsid w:val="000E045B"/>
    <w:rsid w:val="000E1109"/>
    <w:rsid w:val="000E1C06"/>
    <w:rsid w:val="000E1EDF"/>
    <w:rsid w:val="000E1F04"/>
    <w:rsid w:val="000E25C5"/>
    <w:rsid w:val="000E28EF"/>
    <w:rsid w:val="000E2CF1"/>
    <w:rsid w:val="000E2DD2"/>
    <w:rsid w:val="000E33CC"/>
    <w:rsid w:val="000E4B58"/>
    <w:rsid w:val="000E4D61"/>
    <w:rsid w:val="000E579C"/>
    <w:rsid w:val="000E5DCA"/>
    <w:rsid w:val="000E5F8C"/>
    <w:rsid w:val="000E65C0"/>
    <w:rsid w:val="000E68A1"/>
    <w:rsid w:val="000F0563"/>
    <w:rsid w:val="000F1D30"/>
    <w:rsid w:val="000F2448"/>
    <w:rsid w:val="000F29B7"/>
    <w:rsid w:val="000F2A61"/>
    <w:rsid w:val="000F5530"/>
    <w:rsid w:val="000F6AD7"/>
    <w:rsid w:val="000F6C5A"/>
    <w:rsid w:val="000F6D4B"/>
    <w:rsid w:val="000F6F16"/>
    <w:rsid w:val="000F7DD6"/>
    <w:rsid w:val="00100E05"/>
    <w:rsid w:val="00102BE9"/>
    <w:rsid w:val="0010339A"/>
    <w:rsid w:val="0010374A"/>
    <w:rsid w:val="00104246"/>
    <w:rsid w:val="001043E8"/>
    <w:rsid w:val="001046B6"/>
    <w:rsid w:val="00104B75"/>
    <w:rsid w:val="00104E3E"/>
    <w:rsid w:val="001051DB"/>
    <w:rsid w:val="00106245"/>
    <w:rsid w:val="00106AAE"/>
    <w:rsid w:val="001075F9"/>
    <w:rsid w:val="00107748"/>
    <w:rsid w:val="00107807"/>
    <w:rsid w:val="00107991"/>
    <w:rsid w:val="00107E05"/>
    <w:rsid w:val="00107F69"/>
    <w:rsid w:val="00110A63"/>
    <w:rsid w:val="001112B6"/>
    <w:rsid w:val="001112C1"/>
    <w:rsid w:val="0011414A"/>
    <w:rsid w:val="0011621A"/>
    <w:rsid w:val="001162FB"/>
    <w:rsid w:val="00116CB4"/>
    <w:rsid w:val="00120CA5"/>
    <w:rsid w:val="00121624"/>
    <w:rsid w:val="00122DE5"/>
    <w:rsid w:val="0012392E"/>
    <w:rsid w:val="001241F1"/>
    <w:rsid w:val="0012492E"/>
    <w:rsid w:val="0012512B"/>
    <w:rsid w:val="0012524C"/>
    <w:rsid w:val="001253E8"/>
    <w:rsid w:val="001258A8"/>
    <w:rsid w:val="00125A7A"/>
    <w:rsid w:val="00126370"/>
    <w:rsid w:val="00127F1F"/>
    <w:rsid w:val="001306E5"/>
    <w:rsid w:val="00130BCA"/>
    <w:rsid w:val="00131518"/>
    <w:rsid w:val="001315EB"/>
    <w:rsid w:val="00131CD5"/>
    <w:rsid w:val="00133588"/>
    <w:rsid w:val="001337DF"/>
    <w:rsid w:val="00135350"/>
    <w:rsid w:val="001358FC"/>
    <w:rsid w:val="0013604E"/>
    <w:rsid w:val="00137021"/>
    <w:rsid w:val="001374C5"/>
    <w:rsid w:val="001400EC"/>
    <w:rsid w:val="001405FC"/>
    <w:rsid w:val="00140D89"/>
    <w:rsid w:val="00141291"/>
    <w:rsid w:val="00141358"/>
    <w:rsid w:val="001413DE"/>
    <w:rsid w:val="001413E9"/>
    <w:rsid w:val="00141474"/>
    <w:rsid w:val="00141EC9"/>
    <w:rsid w:val="001438EB"/>
    <w:rsid w:val="00143DC1"/>
    <w:rsid w:val="00143F8B"/>
    <w:rsid w:val="0014441E"/>
    <w:rsid w:val="00144944"/>
    <w:rsid w:val="00144E54"/>
    <w:rsid w:val="001464EC"/>
    <w:rsid w:val="001467A1"/>
    <w:rsid w:val="0014690F"/>
    <w:rsid w:val="00146A1E"/>
    <w:rsid w:val="00146A2C"/>
    <w:rsid w:val="001476AF"/>
    <w:rsid w:val="00151335"/>
    <w:rsid w:val="001521DF"/>
    <w:rsid w:val="00152C1A"/>
    <w:rsid w:val="00153BA2"/>
    <w:rsid w:val="00153DA1"/>
    <w:rsid w:val="0015477C"/>
    <w:rsid w:val="001558E8"/>
    <w:rsid w:val="001559C5"/>
    <w:rsid w:val="00156364"/>
    <w:rsid w:val="001567BD"/>
    <w:rsid w:val="00156AD9"/>
    <w:rsid w:val="0015713C"/>
    <w:rsid w:val="001603BD"/>
    <w:rsid w:val="0016072E"/>
    <w:rsid w:val="00160E7C"/>
    <w:rsid w:val="00160F5A"/>
    <w:rsid w:val="00162F41"/>
    <w:rsid w:val="00163380"/>
    <w:rsid w:val="0016398B"/>
    <w:rsid w:val="00165875"/>
    <w:rsid w:val="00165935"/>
    <w:rsid w:val="00165C45"/>
    <w:rsid w:val="00166608"/>
    <w:rsid w:val="001676BC"/>
    <w:rsid w:val="00167912"/>
    <w:rsid w:val="00167E66"/>
    <w:rsid w:val="00170340"/>
    <w:rsid w:val="00170507"/>
    <w:rsid w:val="0017070C"/>
    <w:rsid w:val="001712B8"/>
    <w:rsid w:val="001723AD"/>
    <w:rsid w:val="00172DC9"/>
    <w:rsid w:val="00173C41"/>
    <w:rsid w:val="00173C8F"/>
    <w:rsid w:val="001742CB"/>
    <w:rsid w:val="00174F8F"/>
    <w:rsid w:val="001753BA"/>
    <w:rsid w:val="00175694"/>
    <w:rsid w:val="001757E4"/>
    <w:rsid w:val="001759D8"/>
    <w:rsid w:val="00176123"/>
    <w:rsid w:val="00176386"/>
    <w:rsid w:val="00176B74"/>
    <w:rsid w:val="00177428"/>
    <w:rsid w:val="00177531"/>
    <w:rsid w:val="00180C55"/>
    <w:rsid w:val="00180FCE"/>
    <w:rsid w:val="00181017"/>
    <w:rsid w:val="00182766"/>
    <w:rsid w:val="001830EA"/>
    <w:rsid w:val="001845D4"/>
    <w:rsid w:val="001848F1"/>
    <w:rsid w:val="00184C8A"/>
    <w:rsid w:val="00184F2C"/>
    <w:rsid w:val="001851E3"/>
    <w:rsid w:val="0018551F"/>
    <w:rsid w:val="001861E0"/>
    <w:rsid w:val="00186411"/>
    <w:rsid w:val="00186424"/>
    <w:rsid w:val="0018646D"/>
    <w:rsid w:val="00190050"/>
    <w:rsid w:val="00190437"/>
    <w:rsid w:val="001916FE"/>
    <w:rsid w:val="00191A7D"/>
    <w:rsid w:val="00192158"/>
    <w:rsid w:val="00193C2A"/>
    <w:rsid w:val="001945B8"/>
    <w:rsid w:val="00194691"/>
    <w:rsid w:val="001946E9"/>
    <w:rsid w:val="001949A4"/>
    <w:rsid w:val="00195240"/>
    <w:rsid w:val="00195A65"/>
    <w:rsid w:val="00196397"/>
    <w:rsid w:val="00196607"/>
    <w:rsid w:val="001978BE"/>
    <w:rsid w:val="00197B12"/>
    <w:rsid w:val="001A0B00"/>
    <w:rsid w:val="001A1122"/>
    <w:rsid w:val="001A15F3"/>
    <w:rsid w:val="001A1B0A"/>
    <w:rsid w:val="001A1B30"/>
    <w:rsid w:val="001A2791"/>
    <w:rsid w:val="001A4B06"/>
    <w:rsid w:val="001A714E"/>
    <w:rsid w:val="001A7B9F"/>
    <w:rsid w:val="001A7C37"/>
    <w:rsid w:val="001B0149"/>
    <w:rsid w:val="001B041E"/>
    <w:rsid w:val="001B0424"/>
    <w:rsid w:val="001B05F6"/>
    <w:rsid w:val="001B1E47"/>
    <w:rsid w:val="001B2099"/>
    <w:rsid w:val="001B2883"/>
    <w:rsid w:val="001B2C64"/>
    <w:rsid w:val="001B30FF"/>
    <w:rsid w:val="001B3CFD"/>
    <w:rsid w:val="001B3DD5"/>
    <w:rsid w:val="001B3F0F"/>
    <w:rsid w:val="001B4730"/>
    <w:rsid w:val="001B79BF"/>
    <w:rsid w:val="001C0B43"/>
    <w:rsid w:val="001C1069"/>
    <w:rsid w:val="001C161E"/>
    <w:rsid w:val="001C162C"/>
    <w:rsid w:val="001C1E3D"/>
    <w:rsid w:val="001C2082"/>
    <w:rsid w:val="001C2649"/>
    <w:rsid w:val="001C2B03"/>
    <w:rsid w:val="001C2C69"/>
    <w:rsid w:val="001C3C89"/>
    <w:rsid w:val="001C3F5C"/>
    <w:rsid w:val="001C5177"/>
    <w:rsid w:val="001C538A"/>
    <w:rsid w:val="001C5464"/>
    <w:rsid w:val="001C560E"/>
    <w:rsid w:val="001C59FC"/>
    <w:rsid w:val="001C5D49"/>
    <w:rsid w:val="001C6081"/>
    <w:rsid w:val="001C651B"/>
    <w:rsid w:val="001C6674"/>
    <w:rsid w:val="001C7EA9"/>
    <w:rsid w:val="001D0DDC"/>
    <w:rsid w:val="001D1275"/>
    <w:rsid w:val="001D1438"/>
    <w:rsid w:val="001D17BA"/>
    <w:rsid w:val="001D17F2"/>
    <w:rsid w:val="001D201F"/>
    <w:rsid w:val="001D2C1F"/>
    <w:rsid w:val="001D320A"/>
    <w:rsid w:val="001D3A09"/>
    <w:rsid w:val="001D433D"/>
    <w:rsid w:val="001D4673"/>
    <w:rsid w:val="001D5A14"/>
    <w:rsid w:val="001D618A"/>
    <w:rsid w:val="001D64E0"/>
    <w:rsid w:val="001D6D30"/>
    <w:rsid w:val="001D7E6B"/>
    <w:rsid w:val="001E0048"/>
    <w:rsid w:val="001E0AF4"/>
    <w:rsid w:val="001E10D9"/>
    <w:rsid w:val="001E15DC"/>
    <w:rsid w:val="001E2A0A"/>
    <w:rsid w:val="001E324D"/>
    <w:rsid w:val="001E39E7"/>
    <w:rsid w:val="001E4D7B"/>
    <w:rsid w:val="001E5758"/>
    <w:rsid w:val="001E6112"/>
    <w:rsid w:val="001E6416"/>
    <w:rsid w:val="001E6C97"/>
    <w:rsid w:val="001E724F"/>
    <w:rsid w:val="001E7788"/>
    <w:rsid w:val="001E7991"/>
    <w:rsid w:val="001F145D"/>
    <w:rsid w:val="001F2D6E"/>
    <w:rsid w:val="001F2F59"/>
    <w:rsid w:val="001F3539"/>
    <w:rsid w:val="001F3853"/>
    <w:rsid w:val="001F3FDC"/>
    <w:rsid w:val="001F5418"/>
    <w:rsid w:val="001F603D"/>
    <w:rsid w:val="001F74E8"/>
    <w:rsid w:val="001F7C23"/>
    <w:rsid w:val="00200002"/>
    <w:rsid w:val="002010F2"/>
    <w:rsid w:val="002017B3"/>
    <w:rsid w:val="0020216F"/>
    <w:rsid w:val="00203AA9"/>
    <w:rsid w:val="0020431E"/>
    <w:rsid w:val="0020456B"/>
    <w:rsid w:val="00205C2E"/>
    <w:rsid w:val="00207B4E"/>
    <w:rsid w:val="00210392"/>
    <w:rsid w:val="002109CC"/>
    <w:rsid w:val="00210D4C"/>
    <w:rsid w:val="00210ECA"/>
    <w:rsid w:val="00212626"/>
    <w:rsid w:val="00213454"/>
    <w:rsid w:val="002135C7"/>
    <w:rsid w:val="00213E35"/>
    <w:rsid w:val="002141B5"/>
    <w:rsid w:val="0021467C"/>
    <w:rsid w:val="00214844"/>
    <w:rsid w:val="00214972"/>
    <w:rsid w:val="002149F3"/>
    <w:rsid w:val="0021517D"/>
    <w:rsid w:val="002151BA"/>
    <w:rsid w:val="0021636E"/>
    <w:rsid w:val="00216461"/>
    <w:rsid w:val="0021752B"/>
    <w:rsid w:val="002177C0"/>
    <w:rsid w:val="00217911"/>
    <w:rsid w:val="002179C0"/>
    <w:rsid w:val="002200BC"/>
    <w:rsid w:val="002200D7"/>
    <w:rsid w:val="00220906"/>
    <w:rsid w:val="0022246C"/>
    <w:rsid w:val="0022262F"/>
    <w:rsid w:val="00222817"/>
    <w:rsid w:val="002233EC"/>
    <w:rsid w:val="00223FA3"/>
    <w:rsid w:val="002250A6"/>
    <w:rsid w:val="002255BE"/>
    <w:rsid w:val="00225FC3"/>
    <w:rsid w:val="0022705A"/>
    <w:rsid w:val="002314D3"/>
    <w:rsid w:val="0023172D"/>
    <w:rsid w:val="0023206B"/>
    <w:rsid w:val="00232E61"/>
    <w:rsid w:val="002336F3"/>
    <w:rsid w:val="002342E9"/>
    <w:rsid w:val="002346FB"/>
    <w:rsid w:val="00234EA4"/>
    <w:rsid w:val="00235D5D"/>
    <w:rsid w:val="0023604B"/>
    <w:rsid w:val="002363D4"/>
    <w:rsid w:val="002370E6"/>
    <w:rsid w:val="002379D0"/>
    <w:rsid w:val="0024082B"/>
    <w:rsid w:val="00240D2D"/>
    <w:rsid w:val="0024288D"/>
    <w:rsid w:val="002434D9"/>
    <w:rsid w:val="002439BE"/>
    <w:rsid w:val="00243FA4"/>
    <w:rsid w:val="0024569C"/>
    <w:rsid w:val="00246597"/>
    <w:rsid w:val="00247BC5"/>
    <w:rsid w:val="00250068"/>
    <w:rsid w:val="00250163"/>
    <w:rsid w:val="002507CF"/>
    <w:rsid w:val="00250A85"/>
    <w:rsid w:val="00250E3E"/>
    <w:rsid w:val="002514C8"/>
    <w:rsid w:val="00252D35"/>
    <w:rsid w:val="0025344E"/>
    <w:rsid w:val="0025470E"/>
    <w:rsid w:val="00254C4F"/>
    <w:rsid w:val="00254DD5"/>
    <w:rsid w:val="002551D4"/>
    <w:rsid w:val="00255BC7"/>
    <w:rsid w:val="002560C5"/>
    <w:rsid w:val="00257217"/>
    <w:rsid w:val="002576AF"/>
    <w:rsid w:val="00257772"/>
    <w:rsid w:val="00257BC2"/>
    <w:rsid w:val="00257D1F"/>
    <w:rsid w:val="00257EA3"/>
    <w:rsid w:val="002603F5"/>
    <w:rsid w:val="00260A7C"/>
    <w:rsid w:val="00260CC4"/>
    <w:rsid w:val="002611A6"/>
    <w:rsid w:val="00261D39"/>
    <w:rsid w:val="00261D82"/>
    <w:rsid w:val="00262517"/>
    <w:rsid w:val="002627E3"/>
    <w:rsid w:val="00263504"/>
    <w:rsid w:val="00263A42"/>
    <w:rsid w:val="00263CAB"/>
    <w:rsid w:val="00263D8B"/>
    <w:rsid w:val="00264F8F"/>
    <w:rsid w:val="0026596A"/>
    <w:rsid w:val="00265D3C"/>
    <w:rsid w:val="0026626A"/>
    <w:rsid w:val="00266376"/>
    <w:rsid w:val="0026656B"/>
    <w:rsid w:val="00266F33"/>
    <w:rsid w:val="002677AA"/>
    <w:rsid w:val="0027044A"/>
    <w:rsid w:val="002709E5"/>
    <w:rsid w:val="00271B1A"/>
    <w:rsid w:val="00272C88"/>
    <w:rsid w:val="00273253"/>
    <w:rsid w:val="002734E5"/>
    <w:rsid w:val="0027535D"/>
    <w:rsid w:val="00276068"/>
    <w:rsid w:val="00276B75"/>
    <w:rsid w:val="00276C1D"/>
    <w:rsid w:val="00277184"/>
    <w:rsid w:val="00277897"/>
    <w:rsid w:val="00277C54"/>
    <w:rsid w:val="002809A3"/>
    <w:rsid w:val="00280A92"/>
    <w:rsid w:val="00280BCA"/>
    <w:rsid w:val="00280E8F"/>
    <w:rsid w:val="0028126D"/>
    <w:rsid w:val="00281520"/>
    <w:rsid w:val="00281EDF"/>
    <w:rsid w:val="0028282F"/>
    <w:rsid w:val="002829E2"/>
    <w:rsid w:val="00283714"/>
    <w:rsid w:val="00284F5F"/>
    <w:rsid w:val="002864CD"/>
    <w:rsid w:val="00287999"/>
    <w:rsid w:val="00287A8C"/>
    <w:rsid w:val="00287C55"/>
    <w:rsid w:val="00290DEE"/>
    <w:rsid w:val="00290E4B"/>
    <w:rsid w:val="00291EFA"/>
    <w:rsid w:val="00293313"/>
    <w:rsid w:val="00294153"/>
    <w:rsid w:val="00294BC9"/>
    <w:rsid w:val="00294E02"/>
    <w:rsid w:val="00295D81"/>
    <w:rsid w:val="00296112"/>
    <w:rsid w:val="0029705C"/>
    <w:rsid w:val="00297C27"/>
    <w:rsid w:val="002A0EA0"/>
    <w:rsid w:val="002A0F0A"/>
    <w:rsid w:val="002A184A"/>
    <w:rsid w:val="002A305B"/>
    <w:rsid w:val="002A411E"/>
    <w:rsid w:val="002A5964"/>
    <w:rsid w:val="002A5F03"/>
    <w:rsid w:val="002A5F78"/>
    <w:rsid w:val="002A679C"/>
    <w:rsid w:val="002A6E2F"/>
    <w:rsid w:val="002B06CB"/>
    <w:rsid w:val="002B0B9F"/>
    <w:rsid w:val="002B1672"/>
    <w:rsid w:val="002B292F"/>
    <w:rsid w:val="002B3064"/>
    <w:rsid w:val="002B3D3C"/>
    <w:rsid w:val="002B4238"/>
    <w:rsid w:val="002B636F"/>
    <w:rsid w:val="002B6A65"/>
    <w:rsid w:val="002B6C61"/>
    <w:rsid w:val="002C01C6"/>
    <w:rsid w:val="002C06C9"/>
    <w:rsid w:val="002C17E2"/>
    <w:rsid w:val="002C21E8"/>
    <w:rsid w:val="002C264F"/>
    <w:rsid w:val="002C2734"/>
    <w:rsid w:val="002C2BEF"/>
    <w:rsid w:val="002C3215"/>
    <w:rsid w:val="002C364D"/>
    <w:rsid w:val="002C3771"/>
    <w:rsid w:val="002C3D47"/>
    <w:rsid w:val="002C4699"/>
    <w:rsid w:val="002C46B7"/>
    <w:rsid w:val="002C51B3"/>
    <w:rsid w:val="002C5FE2"/>
    <w:rsid w:val="002C6439"/>
    <w:rsid w:val="002C6C4D"/>
    <w:rsid w:val="002D09E0"/>
    <w:rsid w:val="002D164B"/>
    <w:rsid w:val="002D1C4F"/>
    <w:rsid w:val="002D2EAE"/>
    <w:rsid w:val="002D3C08"/>
    <w:rsid w:val="002D44B5"/>
    <w:rsid w:val="002D4DD1"/>
    <w:rsid w:val="002D5059"/>
    <w:rsid w:val="002D5396"/>
    <w:rsid w:val="002D557F"/>
    <w:rsid w:val="002D5862"/>
    <w:rsid w:val="002D67CA"/>
    <w:rsid w:val="002D6970"/>
    <w:rsid w:val="002D70B3"/>
    <w:rsid w:val="002D74A0"/>
    <w:rsid w:val="002D74A6"/>
    <w:rsid w:val="002D7600"/>
    <w:rsid w:val="002D794D"/>
    <w:rsid w:val="002E0056"/>
    <w:rsid w:val="002E0B98"/>
    <w:rsid w:val="002E2A86"/>
    <w:rsid w:val="002E2C80"/>
    <w:rsid w:val="002E2C94"/>
    <w:rsid w:val="002E2DDD"/>
    <w:rsid w:val="002E31E7"/>
    <w:rsid w:val="002E32AA"/>
    <w:rsid w:val="002E4F50"/>
    <w:rsid w:val="002E543A"/>
    <w:rsid w:val="002E635F"/>
    <w:rsid w:val="002E65D3"/>
    <w:rsid w:val="002E6A25"/>
    <w:rsid w:val="002E6B3F"/>
    <w:rsid w:val="002E71A2"/>
    <w:rsid w:val="002E782D"/>
    <w:rsid w:val="002E792F"/>
    <w:rsid w:val="002F037F"/>
    <w:rsid w:val="002F19DB"/>
    <w:rsid w:val="002F2670"/>
    <w:rsid w:val="002F4305"/>
    <w:rsid w:val="002F4560"/>
    <w:rsid w:val="002F67EF"/>
    <w:rsid w:val="002F6DA5"/>
    <w:rsid w:val="002F6F77"/>
    <w:rsid w:val="002F738D"/>
    <w:rsid w:val="0030008E"/>
    <w:rsid w:val="00300CCB"/>
    <w:rsid w:val="00301D3B"/>
    <w:rsid w:val="00302333"/>
    <w:rsid w:val="00302486"/>
    <w:rsid w:val="003026E9"/>
    <w:rsid w:val="00304EF4"/>
    <w:rsid w:val="0030594D"/>
    <w:rsid w:val="00306EB1"/>
    <w:rsid w:val="00310005"/>
    <w:rsid w:val="00310515"/>
    <w:rsid w:val="0031082E"/>
    <w:rsid w:val="00310C54"/>
    <w:rsid w:val="003116CF"/>
    <w:rsid w:val="00311EA8"/>
    <w:rsid w:val="00312426"/>
    <w:rsid w:val="00313C13"/>
    <w:rsid w:val="00314152"/>
    <w:rsid w:val="00314673"/>
    <w:rsid w:val="00315047"/>
    <w:rsid w:val="003156AE"/>
    <w:rsid w:val="0031734A"/>
    <w:rsid w:val="00317641"/>
    <w:rsid w:val="00317B40"/>
    <w:rsid w:val="00320956"/>
    <w:rsid w:val="003211E6"/>
    <w:rsid w:val="00321A82"/>
    <w:rsid w:val="00322D96"/>
    <w:rsid w:val="00324AB3"/>
    <w:rsid w:val="00325313"/>
    <w:rsid w:val="00325834"/>
    <w:rsid w:val="003258B7"/>
    <w:rsid w:val="00325C11"/>
    <w:rsid w:val="00325E0C"/>
    <w:rsid w:val="0032602E"/>
    <w:rsid w:val="00326B73"/>
    <w:rsid w:val="00327187"/>
    <w:rsid w:val="00331E14"/>
    <w:rsid w:val="003324BB"/>
    <w:rsid w:val="003330C2"/>
    <w:rsid w:val="00333637"/>
    <w:rsid w:val="00333D0C"/>
    <w:rsid w:val="00335493"/>
    <w:rsid w:val="00335DCD"/>
    <w:rsid w:val="00335F8A"/>
    <w:rsid w:val="00336072"/>
    <w:rsid w:val="00337135"/>
    <w:rsid w:val="00337148"/>
    <w:rsid w:val="00337612"/>
    <w:rsid w:val="00340F8B"/>
    <w:rsid w:val="00340FFB"/>
    <w:rsid w:val="00341BDD"/>
    <w:rsid w:val="00342C93"/>
    <w:rsid w:val="00346703"/>
    <w:rsid w:val="00346E58"/>
    <w:rsid w:val="00347031"/>
    <w:rsid w:val="00347290"/>
    <w:rsid w:val="00347C15"/>
    <w:rsid w:val="00350628"/>
    <w:rsid w:val="003522DC"/>
    <w:rsid w:val="00352761"/>
    <w:rsid w:val="00353146"/>
    <w:rsid w:val="00353469"/>
    <w:rsid w:val="003551B4"/>
    <w:rsid w:val="003551F9"/>
    <w:rsid w:val="00355398"/>
    <w:rsid w:val="0035559A"/>
    <w:rsid w:val="00355C67"/>
    <w:rsid w:val="0035637A"/>
    <w:rsid w:val="003567AB"/>
    <w:rsid w:val="00356B01"/>
    <w:rsid w:val="003576E6"/>
    <w:rsid w:val="00357AF4"/>
    <w:rsid w:val="003620DF"/>
    <w:rsid w:val="00362590"/>
    <w:rsid w:val="003628BF"/>
    <w:rsid w:val="00363085"/>
    <w:rsid w:val="00363850"/>
    <w:rsid w:val="0036458A"/>
    <w:rsid w:val="00366A80"/>
    <w:rsid w:val="00366EEC"/>
    <w:rsid w:val="00367328"/>
    <w:rsid w:val="00367944"/>
    <w:rsid w:val="00367E08"/>
    <w:rsid w:val="00370B51"/>
    <w:rsid w:val="003718C3"/>
    <w:rsid w:val="00372139"/>
    <w:rsid w:val="003725AE"/>
    <w:rsid w:val="003726A9"/>
    <w:rsid w:val="0037276D"/>
    <w:rsid w:val="003728E8"/>
    <w:rsid w:val="00372D5B"/>
    <w:rsid w:val="003739A8"/>
    <w:rsid w:val="00373F09"/>
    <w:rsid w:val="00373F68"/>
    <w:rsid w:val="0037478D"/>
    <w:rsid w:val="00375967"/>
    <w:rsid w:val="00375A09"/>
    <w:rsid w:val="003766B2"/>
    <w:rsid w:val="0037723F"/>
    <w:rsid w:val="00380463"/>
    <w:rsid w:val="00381A65"/>
    <w:rsid w:val="00381BC0"/>
    <w:rsid w:val="00381C0C"/>
    <w:rsid w:val="00381F10"/>
    <w:rsid w:val="003823FC"/>
    <w:rsid w:val="00382E91"/>
    <w:rsid w:val="00382FA4"/>
    <w:rsid w:val="003843B7"/>
    <w:rsid w:val="00384578"/>
    <w:rsid w:val="00384735"/>
    <w:rsid w:val="00384FAB"/>
    <w:rsid w:val="00385140"/>
    <w:rsid w:val="00386842"/>
    <w:rsid w:val="003869B6"/>
    <w:rsid w:val="00387BF5"/>
    <w:rsid w:val="00387DB2"/>
    <w:rsid w:val="0039040B"/>
    <w:rsid w:val="00391035"/>
    <w:rsid w:val="00391A80"/>
    <w:rsid w:val="003920D0"/>
    <w:rsid w:val="00392919"/>
    <w:rsid w:val="00393E78"/>
    <w:rsid w:val="00394DFC"/>
    <w:rsid w:val="003970A0"/>
    <w:rsid w:val="00397BE2"/>
    <w:rsid w:val="003A0849"/>
    <w:rsid w:val="003A0DEE"/>
    <w:rsid w:val="003A12E8"/>
    <w:rsid w:val="003A25CE"/>
    <w:rsid w:val="003A2C0F"/>
    <w:rsid w:val="003A2C28"/>
    <w:rsid w:val="003A3957"/>
    <w:rsid w:val="003A395A"/>
    <w:rsid w:val="003A4DEB"/>
    <w:rsid w:val="003A4F08"/>
    <w:rsid w:val="003A500C"/>
    <w:rsid w:val="003A58B6"/>
    <w:rsid w:val="003A5FC8"/>
    <w:rsid w:val="003A6245"/>
    <w:rsid w:val="003B02AA"/>
    <w:rsid w:val="003B0EA3"/>
    <w:rsid w:val="003B1653"/>
    <w:rsid w:val="003B16A0"/>
    <w:rsid w:val="003B18CA"/>
    <w:rsid w:val="003B1BFF"/>
    <w:rsid w:val="003B1D68"/>
    <w:rsid w:val="003B34FF"/>
    <w:rsid w:val="003B3511"/>
    <w:rsid w:val="003B3CC3"/>
    <w:rsid w:val="003B4BCB"/>
    <w:rsid w:val="003B57AA"/>
    <w:rsid w:val="003B6288"/>
    <w:rsid w:val="003B654E"/>
    <w:rsid w:val="003B73CB"/>
    <w:rsid w:val="003B79B5"/>
    <w:rsid w:val="003C0EF7"/>
    <w:rsid w:val="003C1184"/>
    <w:rsid w:val="003C2639"/>
    <w:rsid w:val="003C3666"/>
    <w:rsid w:val="003C3983"/>
    <w:rsid w:val="003C4099"/>
    <w:rsid w:val="003C74B2"/>
    <w:rsid w:val="003D0544"/>
    <w:rsid w:val="003D0D46"/>
    <w:rsid w:val="003D2EE1"/>
    <w:rsid w:val="003D3AA9"/>
    <w:rsid w:val="003D42E7"/>
    <w:rsid w:val="003D578B"/>
    <w:rsid w:val="003D6685"/>
    <w:rsid w:val="003D672C"/>
    <w:rsid w:val="003D7D57"/>
    <w:rsid w:val="003E0626"/>
    <w:rsid w:val="003E205A"/>
    <w:rsid w:val="003E42C6"/>
    <w:rsid w:val="003E4BD8"/>
    <w:rsid w:val="003E5236"/>
    <w:rsid w:val="003E52F2"/>
    <w:rsid w:val="003E5604"/>
    <w:rsid w:val="003E6406"/>
    <w:rsid w:val="003E6A09"/>
    <w:rsid w:val="003E6B2C"/>
    <w:rsid w:val="003E709C"/>
    <w:rsid w:val="003E717C"/>
    <w:rsid w:val="003E7CA0"/>
    <w:rsid w:val="003F0BEA"/>
    <w:rsid w:val="003F0C44"/>
    <w:rsid w:val="003F171D"/>
    <w:rsid w:val="003F3580"/>
    <w:rsid w:val="003F360D"/>
    <w:rsid w:val="003F486E"/>
    <w:rsid w:val="003F4D30"/>
    <w:rsid w:val="003F5459"/>
    <w:rsid w:val="003F5AED"/>
    <w:rsid w:val="003F5E5E"/>
    <w:rsid w:val="003F6657"/>
    <w:rsid w:val="003F6DE6"/>
    <w:rsid w:val="003F6F4B"/>
    <w:rsid w:val="003F75FF"/>
    <w:rsid w:val="003F7856"/>
    <w:rsid w:val="004006EB"/>
    <w:rsid w:val="00400B3E"/>
    <w:rsid w:val="0040109A"/>
    <w:rsid w:val="00401104"/>
    <w:rsid w:val="00401A3C"/>
    <w:rsid w:val="00402110"/>
    <w:rsid w:val="00403219"/>
    <w:rsid w:val="00405E56"/>
    <w:rsid w:val="004062F8"/>
    <w:rsid w:val="004069FB"/>
    <w:rsid w:val="00406D8F"/>
    <w:rsid w:val="0040745D"/>
    <w:rsid w:val="00407F26"/>
    <w:rsid w:val="00410896"/>
    <w:rsid w:val="0041140F"/>
    <w:rsid w:val="00413265"/>
    <w:rsid w:val="00413770"/>
    <w:rsid w:val="00413A24"/>
    <w:rsid w:val="00413A88"/>
    <w:rsid w:val="00414AF7"/>
    <w:rsid w:val="004159C7"/>
    <w:rsid w:val="00416AF9"/>
    <w:rsid w:val="00420736"/>
    <w:rsid w:val="004217D4"/>
    <w:rsid w:val="00422955"/>
    <w:rsid w:val="00422D1C"/>
    <w:rsid w:val="00423302"/>
    <w:rsid w:val="0042339D"/>
    <w:rsid w:val="004238F0"/>
    <w:rsid w:val="00423DC5"/>
    <w:rsid w:val="00424B9D"/>
    <w:rsid w:val="00424CF0"/>
    <w:rsid w:val="00424E25"/>
    <w:rsid w:val="00424EC0"/>
    <w:rsid w:val="00425096"/>
    <w:rsid w:val="00425128"/>
    <w:rsid w:val="00426094"/>
    <w:rsid w:val="00426B48"/>
    <w:rsid w:val="00426F8C"/>
    <w:rsid w:val="00427135"/>
    <w:rsid w:val="004272BF"/>
    <w:rsid w:val="0043002E"/>
    <w:rsid w:val="0043039F"/>
    <w:rsid w:val="00431173"/>
    <w:rsid w:val="00431278"/>
    <w:rsid w:val="0043196A"/>
    <w:rsid w:val="00431DCB"/>
    <w:rsid w:val="00431EED"/>
    <w:rsid w:val="00432010"/>
    <w:rsid w:val="00432C26"/>
    <w:rsid w:val="00434873"/>
    <w:rsid w:val="004359B6"/>
    <w:rsid w:val="00436072"/>
    <w:rsid w:val="004362FE"/>
    <w:rsid w:val="0043650B"/>
    <w:rsid w:val="00436A44"/>
    <w:rsid w:val="00436FE1"/>
    <w:rsid w:val="00437817"/>
    <w:rsid w:val="00440CC5"/>
    <w:rsid w:val="004418C5"/>
    <w:rsid w:val="004437B5"/>
    <w:rsid w:val="00444ADD"/>
    <w:rsid w:val="00444C20"/>
    <w:rsid w:val="0044504E"/>
    <w:rsid w:val="004451C2"/>
    <w:rsid w:val="004453FA"/>
    <w:rsid w:val="00445D76"/>
    <w:rsid w:val="00446220"/>
    <w:rsid w:val="00446C3E"/>
    <w:rsid w:val="00447FE3"/>
    <w:rsid w:val="00452229"/>
    <w:rsid w:val="0045388A"/>
    <w:rsid w:val="004539CD"/>
    <w:rsid w:val="00453F4D"/>
    <w:rsid w:val="004545D0"/>
    <w:rsid w:val="00454D2C"/>
    <w:rsid w:val="0045530D"/>
    <w:rsid w:val="00455413"/>
    <w:rsid w:val="004555EE"/>
    <w:rsid w:val="0045600E"/>
    <w:rsid w:val="00456ADD"/>
    <w:rsid w:val="00456C5A"/>
    <w:rsid w:val="00456CE8"/>
    <w:rsid w:val="0045728D"/>
    <w:rsid w:val="00457DB3"/>
    <w:rsid w:val="004604D3"/>
    <w:rsid w:val="004610D6"/>
    <w:rsid w:val="004613BF"/>
    <w:rsid w:val="0046259F"/>
    <w:rsid w:val="004628DF"/>
    <w:rsid w:val="00463A3A"/>
    <w:rsid w:val="00463CF7"/>
    <w:rsid w:val="00463E6B"/>
    <w:rsid w:val="0046422B"/>
    <w:rsid w:val="00464D06"/>
    <w:rsid w:val="004650FF"/>
    <w:rsid w:val="0046568F"/>
    <w:rsid w:val="00465D58"/>
    <w:rsid w:val="00466026"/>
    <w:rsid w:val="004669FC"/>
    <w:rsid w:val="0046735C"/>
    <w:rsid w:val="004679FC"/>
    <w:rsid w:val="00467C8B"/>
    <w:rsid w:val="004706A5"/>
    <w:rsid w:val="00470BBF"/>
    <w:rsid w:val="00471B9B"/>
    <w:rsid w:val="00474A74"/>
    <w:rsid w:val="0047520A"/>
    <w:rsid w:val="00480B0F"/>
    <w:rsid w:val="00480EF6"/>
    <w:rsid w:val="004817CC"/>
    <w:rsid w:val="0048232D"/>
    <w:rsid w:val="00483139"/>
    <w:rsid w:val="00484350"/>
    <w:rsid w:val="00484D35"/>
    <w:rsid w:val="0048504C"/>
    <w:rsid w:val="00485FDC"/>
    <w:rsid w:val="00486C53"/>
    <w:rsid w:val="0048715D"/>
    <w:rsid w:val="004876D5"/>
    <w:rsid w:val="00487AD0"/>
    <w:rsid w:val="004903DE"/>
    <w:rsid w:val="004908F9"/>
    <w:rsid w:val="004918F4"/>
    <w:rsid w:val="004923F7"/>
    <w:rsid w:val="00492A9C"/>
    <w:rsid w:val="00492AB2"/>
    <w:rsid w:val="00493539"/>
    <w:rsid w:val="00493D0F"/>
    <w:rsid w:val="00493D14"/>
    <w:rsid w:val="00494DEE"/>
    <w:rsid w:val="004951C8"/>
    <w:rsid w:val="0049521E"/>
    <w:rsid w:val="004975C0"/>
    <w:rsid w:val="00497BB3"/>
    <w:rsid w:val="004A0251"/>
    <w:rsid w:val="004A061A"/>
    <w:rsid w:val="004A0902"/>
    <w:rsid w:val="004A09A6"/>
    <w:rsid w:val="004A1847"/>
    <w:rsid w:val="004A194C"/>
    <w:rsid w:val="004A1D2D"/>
    <w:rsid w:val="004A1EFB"/>
    <w:rsid w:val="004A23A1"/>
    <w:rsid w:val="004A24B1"/>
    <w:rsid w:val="004A486F"/>
    <w:rsid w:val="004A48B7"/>
    <w:rsid w:val="004A4C51"/>
    <w:rsid w:val="004A5604"/>
    <w:rsid w:val="004A596D"/>
    <w:rsid w:val="004A59D9"/>
    <w:rsid w:val="004A677E"/>
    <w:rsid w:val="004A701D"/>
    <w:rsid w:val="004A7BD9"/>
    <w:rsid w:val="004A7D86"/>
    <w:rsid w:val="004A7F16"/>
    <w:rsid w:val="004B0624"/>
    <w:rsid w:val="004B0CAD"/>
    <w:rsid w:val="004B3376"/>
    <w:rsid w:val="004B33FE"/>
    <w:rsid w:val="004B5AEC"/>
    <w:rsid w:val="004B614C"/>
    <w:rsid w:val="004B7085"/>
    <w:rsid w:val="004B7F86"/>
    <w:rsid w:val="004C0425"/>
    <w:rsid w:val="004C06B7"/>
    <w:rsid w:val="004C17E1"/>
    <w:rsid w:val="004C1CF8"/>
    <w:rsid w:val="004C38A7"/>
    <w:rsid w:val="004C3BF4"/>
    <w:rsid w:val="004C498B"/>
    <w:rsid w:val="004C5909"/>
    <w:rsid w:val="004C5FA8"/>
    <w:rsid w:val="004C64C2"/>
    <w:rsid w:val="004C68E6"/>
    <w:rsid w:val="004D013F"/>
    <w:rsid w:val="004D0289"/>
    <w:rsid w:val="004D0596"/>
    <w:rsid w:val="004D07CA"/>
    <w:rsid w:val="004D0FA8"/>
    <w:rsid w:val="004D1731"/>
    <w:rsid w:val="004D22F4"/>
    <w:rsid w:val="004D27D7"/>
    <w:rsid w:val="004D3245"/>
    <w:rsid w:val="004D3318"/>
    <w:rsid w:val="004D3F7F"/>
    <w:rsid w:val="004D760E"/>
    <w:rsid w:val="004E0227"/>
    <w:rsid w:val="004E0866"/>
    <w:rsid w:val="004E0925"/>
    <w:rsid w:val="004E166E"/>
    <w:rsid w:val="004E1970"/>
    <w:rsid w:val="004E1D43"/>
    <w:rsid w:val="004E2339"/>
    <w:rsid w:val="004E24B8"/>
    <w:rsid w:val="004E24FF"/>
    <w:rsid w:val="004E3223"/>
    <w:rsid w:val="004E3E10"/>
    <w:rsid w:val="004E4708"/>
    <w:rsid w:val="004E4714"/>
    <w:rsid w:val="004E49BC"/>
    <w:rsid w:val="004E5C03"/>
    <w:rsid w:val="004E5F93"/>
    <w:rsid w:val="004E617C"/>
    <w:rsid w:val="004E6DBF"/>
    <w:rsid w:val="004E70C5"/>
    <w:rsid w:val="004E7D6B"/>
    <w:rsid w:val="004F0227"/>
    <w:rsid w:val="004F0949"/>
    <w:rsid w:val="004F1DAF"/>
    <w:rsid w:val="004F340A"/>
    <w:rsid w:val="004F36FE"/>
    <w:rsid w:val="004F45BA"/>
    <w:rsid w:val="004F4877"/>
    <w:rsid w:val="004F4901"/>
    <w:rsid w:val="004F538E"/>
    <w:rsid w:val="0050069D"/>
    <w:rsid w:val="005013C1"/>
    <w:rsid w:val="00502370"/>
    <w:rsid w:val="00503B90"/>
    <w:rsid w:val="00504011"/>
    <w:rsid w:val="00504025"/>
    <w:rsid w:val="0050766F"/>
    <w:rsid w:val="005079C9"/>
    <w:rsid w:val="00510268"/>
    <w:rsid w:val="00510982"/>
    <w:rsid w:val="005112A3"/>
    <w:rsid w:val="00511D96"/>
    <w:rsid w:val="00512735"/>
    <w:rsid w:val="00512749"/>
    <w:rsid w:val="00513E0F"/>
    <w:rsid w:val="00514261"/>
    <w:rsid w:val="00514617"/>
    <w:rsid w:val="005148AC"/>
    <w:rsid w:val="005152B9"/>
    <w:rsid w:val="005157D9"/>
    <w:rsid w:val="00515EB1"/>
    <w:rsid w:val="00515F9D"/>
    <w:rsid w:val="00516EDF"/>
    <w:rsid w:val="00517237"/>
    <w:rsid w:val="00517960"/>
    <w:rsid w:val="00520559"/>
    <w:rsid w:val="00520659"/>
    <w:rsid w:val="00521172"/>
    <w:rsid w:val="00521792"/>
    <w:rsid w:val="005227F2"/>
    <w:rsid w:val="00523504"/>
    <w:rsid w:val="005242CA"/>
    <w:rsid w:val="005245FA"/>
    <w:rsid w:val="00525402"/>
    <w:rsid w:val="00526A9E"/>
    <w:rsid w:val="00527B39"/>
    <w:rsid w:val="00530697"/>
    <w:rsid w:val="00530B70"/>
    <w:rsid w:val="00530CB7"/>
    <w:rsid w:val="00531093"/>
    <w:rsid w:val="0053210D"/>
    <w:rsid w:val="00533130"/>
    <w:rsid w:val="005331E6"/>
    <w:rsid w:val="00533A19"/>
    <w:rsid w:val="00533E29"/>
    <w:rsid w:val="00534354"/>
    <w:rsid w:val="0053445B"/>
    <w:rsid w:val="00534666"/>
    <w:rsid w:val="005348FF"/>
    <w:rsid w:val="00535D4C"/>
    <w:rsid w:val="005379C2"/>
    <w:rsid w:val="00537F1B"/>
    <w:rsid w:val="00537F4F"/>
    <w:rsid w:val="00540348"/>
    <w:rsid w:val="0054148D"/>
    <w:rsid w:val="00541765"/>
    <w:rsid w:val="00541840"/>
    <w:rsid w:val="00542212"/>
    <w:rsid w:val="00542516"/>
    <w:rsid w:val="00542E33"/>
    <w:rsid w:val="00543CA0"/>
    <w:rsid w:val="00543E79"/>
    <w:rsid w:val="005442B4"/>
    <w:rsid w:val="00544A93"/>
    <w:rsid w:val="00545839"/>
    <w:rsid w:val="00545F85"/>
    <w:rsid w:val="005462BF"/>
    <w:rsid w:val="00546DC8"/>
    <w:rsid w:val="005471CF"/>
    <w:rsid w:val="005473AE"/>
    <w:rsid w:val="00547AE6"/>
    <w:rsid w:val="005505F9"/>
    <w:rsid w:val="00550E70"/>
    <w:rsid w:val="005514A7"/>
    <w:rsid w:val="00551806"/>
    <w:rsid w:val="00551DCE"/>
    <w:rsid w:val="00553505"/>
    <w:rsid w:val="005541A7"/>
    <w:rsid w:val="005547C4"/>
    <w:rsid w:val="005548D5"/>
    <w:rsid w:val="00554BF2"/>
    <w:rsid w:val="00555398"/>
    <w:rsid w:val="005554FE"/>
    <w:rsid w:val="00555C79"/>
    <w:rsid w:val="0055626D"/>
    <w:rsid w:val="00556EB1"/>
    <w:rsid w:val="0055775A"/>
    <w:rsid w:val="005605AE"/>
    <w:rsid w:val="0056313B"/>
    <w:rsid w:val="0056394F"/>
    <w:rsid w:val="005642D6"/>
    <w:rsid w:val="0056494C"/>
    <w:rsid w:val="00564D16"/>
    <w:rsid w:val="00564D46"/>
    <w:rsid w:val="00564E88"/>
    <w:rsid w:val="00565324"/>
    <w:rsid w:val="00565790"/>
    <w:rsid w:val="00565B1F"/>
    <w:rsid w:val="0056663D"/>
    <w:rsid w:val="0056789E"/>
    <w:rsid w:val="00567C88"/>
    <w:rsid w:val="0057179D"/>
    <w:rsid w:val="00571BE7"/>
    <w:rsid w:val="00572028"/>
    <w:rsid w:val="005726B3"/>
    <w:rsid w:val="00572AB8"/>
    <w:rsid w:val="00573490"/>
    <w:rsid w:val="00573876"/>
    <w:rsid w:val="00573F83"/>
    <w:rsid w:val="00574FA4"/>
    <w:rsid w:val="00575101"/>
    <w:rsid w:val="00575687"/>
    <w:rsid w:val="00575968"/>
    <w:rsid w:val="00575A64"/>
    <w:rsid w:val="00575FB9"/>
    <w:rsid w:val="00576A85"/>
    <w:rsid w:val="0057736F"/>
    <w:rsid w:val="00577639"/>
    <w:rsid w:val="00577B4A"/>
    <w:rsid w:val="00577ED9"/>
    <w:rsid w:val="0058074A"/>
    <w:rsid w:val="005809A2"/>
    <w:rsid w:val="00580D19"/>
    <w:rsid w:val="00581003"/>
    <w:rsid w:val="0058173A"/>
    <w:rsid w:val="005819BF"/>
    <w:rsid w:val="00581A41"/>
    <w:rsid w:val="00581A88"/>
    <w:rsid w:val="0058203B"/>
    <w:rsid w:val="0058321C"/>
    <w:rsid w:val="00583ADB"/>
    <w:rsid w:val="00583FB6"/>
    <w:rsid w:val="0058411E"/>
    <w:rsid w:val="00587191"/>
    <w:rsid w:val="00587874"/>
    <w:rsid w:val="00590013"/>
    <w:rsid w:val="00590CE4"/>
    <w:rsid w:val="00590F87"/>
    <w:rsid w:val="00595349"/>
    <w:rsid w:val="00596E23"/>
    <w:rsid w:val="00596F75"/>
    <w:rsid w:val="00597CE0"/>
    <w:rsid w:val="00597D79"/>
    <w:rsid w:val="005A0F69"/>
    <w:rsid w:val="005A1497"/>
    <w:rsid w:val="005A1C47"/>
    <w:rsid w:val="005A1FEB"/>
    <w:rsid w:val="005A2FE6"/>
    <w:rsid w:val="005A4107"/>
    <w:rsid w:val="005A457B"/>
    <w:rsid w:val="005A49A5"/>
    <w:rsid w:val="005A4A80"/>
    <w:rsid w:val="005A4F3C"/>
    <w:rsid w:val="005A5C85"/>
    <w:rsid w:val="005A6616"/>
    <w:rsid w:val="005B10BA"/>
    <w:rsid w:val="005B11C8"/>
    <w:rsid w:val="005B157C"/>
    <w:rsid w:val="005B1654"/>
    <w:rsid w:val="005B1F45"/>
    <w:rsid w:val="005B200A"/>
    <w:rsid w:val="005B29D0"/>
    <w:rsid w:val="005B45CF"/>
    <w:rsid w:val="005B4A4F"/>
    <w:rsid w:val="005B51B6"/>
    <w:rsid w:val="005B59C8"/>
    <w:rsid w:val="005B6BB6"/>
    <w:rsid w:val="005B6FE1"/>
    <w:rsid w:val="005B79AD"/>
    <w:rsid w:val="005B79E3"/>
    <w:rsid w:val="005C070C"/>
    <w:rsid w:val="005C0710"/>
    <w:rsid w:val="005C0987"/>
    <w:rsid w:val="005C0C2F"/>
    <w:rsid w:val="005C3035"/>
    <w:rsid w:val="005C31D0"/>
    <w:rsid w:val="005C3429"/>
    <w:rsid w:val="005C3992"/>
    <w:rsid w:val="005C3CBA"/>
    <w:rsid w:val="005C3CF1"/>
    <w:rsid w:val="005C4ED6"/>
    <w:rsid w:val="005C5893"/>
    <w:rsid w:val="005C5A60"/>
    <w:rsid w:val="005C5B43"/>
    <w:rsid w:val="005C6D06"/>
    <w:rsid w:val="005C743A"/>
    <w:rsid w:val="005C7CDE"/>
    <w:rsid w:val="005C7F0D"/>
    <w:rsid w:val="005D1015"/>
    <w:rsid w:val="005D2321"/>
    <w:rsid w:val="005D26BE"/>
    <w:rsid w:val="005D2801"/>
    <w:rsid w:val="005D40D7"/>
    <w:rsid w:val="005D483E"/>
    <w:rsid w:val="005D4C85"/>
    <w:rsid w:val="005D4CF7"/>
    <w:rsid w:val="005D4DE3"/>
    <w:rsid w:val="005D6187"/>
    <w:rsid w:val="005D6440"/>
    <w:rsid w:val="005D6842"/>
    <w:rsid w:val="005D6AAD"/>
    <w:rsid w:val="005D6AD1"/>
    <w:rsid w:val="005D6BDC"/>
    <w:rsid w:val="005D6EE0"/>
    <w:rsid w:val="005D6FA4"/>
    <w:rsid w:val="005E1359"/>
    <w:rsid w:val="005E14E9"/>
    <w:rsid w:val="005E2223"/>
    <w:rsid w:val="005E23ED"/>
    <w:rsid w:val="005E2F6E"/>
    <w:rsid w:val="005E2FF9"/>
    <w:rsid w:val="005E4392"/>
    <w:rsid w:val="005E5AE7"/>
    <w:rsid w:val="005E68C1"/>
    <w:rsid w:val="005E6B27"/>
    <w:rsid w:val="005E71D6"/>
    <w:rsid w:val="005E7C2F"/>
    <w:rsid w:val="005E7F32"/>
    <w:rsid w:val="005F0E36"/>
    <w:rsid w:val="005F1A22"/>
    <w:rsid w:val="005F1BA7"/>
    <w:rsid w:val="005F216C"/>
    <w:rsid w:val="005F23ED"/>
    <w:rsid w:val="005F2F82"/>
    <w:rsid w:val="005F3889"/>
    <w:rsid w:val="005F3BAC"/>
    <w:rsid w:val="005F42C7"/>
    <w:rsid w:val="005F4B13"/>
    <w:rsid w:val="005F4BAA"/>
    <w:rsid w:val="005F5265"/>
    <w:rsid w:val="005F5614"/>
    <w:rsid w:val="005F58F6"/>
    <w:rsid w:val="005F622E"/>
    <w:rsid w:val="005F6314"/>
    <w:rsid w:val="006010F7"/>
    <w:rsid w:val="0060299F"/>
    <w:rsid w:val="00602F50"/>
    <w:rsid w:val="006041B3"/>
    <w:rsid w:val="006042C3"/>
    <w:rsid w:val="00604320"/>
    <w:rsid w:val="00605194"/>
    <w:rsid w:val="006058B2"/>
    <w:rsid w:val="0060594D"/>
    <w:rsid w:val="00605C8D"/>
    <w:rsid w:val="00605FF8"/>
    <w:rsid w:val="00606456"/>
    <w:rsid w:val="0060653B"/>
    <w:rsid w:val="00606580"/>
    <w:rsid w:val="00606B8B"/>
    <w:rsid w:val="006075EC"/>
    <w:rsid w:val="00610022"/>
    <w:rsid w:val="00610077"/>
    <w:rsid w:val="0061030D"/>
    <w:rsid w:val="00610411"/>
    <w:rsid w:val="00610E5B"/>
    <w:rsid w:val="006115FF"/>
    <w:rsid w:val="0061178A"/>
    <w:rsid w:val="00611CC4"/>
    <w:rsid w:val="00611F3B"/>
    <w:rsid w:val="00612A4F"/>
    <w:rsid w:val="00612B87"/>
    <w:rsid w:val="006133BE"/>
    <w:rsid w:val="0061347B"/>
    <w:rsid w:val="00613D5A"/>
    <w:rsid w:val="006146A5"/>
    <w:rsid w:val="006148C6"/>
    <w:rsid w:val="00615E3B"/>
    <w:rsid w:val="00616743"/>
    <w:rsid w:val="00616E1D"/>
    <w:rsid w:val="00616F5E"/>
    <w:rsid w:val="006174BE"/>
    <w:rsid w:val="00617691"/>
    <w:rsid w:val="006201D6"/>
    <w:rsid w:val="00620EFD"/>
    <w:rsid w:val="00620FCD"/>
    <w:rsid w:val="0062129D"/>
    <w:rsid w:val="00621791"/>
    <w:rsid w:val="00621798"/>
    <w:rsid w:val="0062227C"/>
    <w:rsid w:val="006228A0"/>
    <w:rsid w:val="006239FF"/>
    <w:rsid w:val="00624B97"/>
    <w:rsid w:val="006256CE"/>
    <w:rsid w:val="006259A5"/>
    <w:rsid w:val="006300D3"/>
    <w:rsid w:val="006310C0"/>
    <w:rsid w:val="00631B00"/>
    <w:rsid w:val="00631CAC"/>
    <w:rsid w:val="00631EA6"/>
    <w:rsid w:val="0063212B"/>
    <w:rsid w:val="006321E1"/>
    <w:rsid w:val="00632ADA"/>
    <w:rsid w:val="006336B2"/>
    <w:rsid w:val="00633D61"/>
    <w:rsid w:val="00633E3E"/>
    <w:rsid w:val="00634288"/>
    <w:rsid w:val="00634D47"/>
    <w:rsid w:val="006350C2"/>
    <w:rsid w:val="00635155"/>
    <w:rsid w:val="0063515E"/>
    <w:rsid w:val="00635AA4"/>
    <w:rsid w:val="00637451"/>
    <w:rsid w:val="00637896"/>
    <w:rsid w:val="00637FAB"/>
    <w:rsid w:val="00640175"/>
    <w:rsid w:val="006406F6"/>
    <w:rsid w:val="00641002"/>
    <w:rsid w:val="006414E6"/>
    <w:rsid w:val="00641FAE"/>
    <w:rsid w:val="00641FBF"/>
    <w:rsid w:val="00643401"/>
    <w:rsid w:val="006437D0"/>
    <w:rsid w:val="0064454A"/>
    <w:rsid w:val="006453C1"/>
    <w:rsid w:val="00646BEA"/>
    <w:rsid w:val="0064737A"/>
    <w:rsid w:val="006479D9"/>
    <w:rsid w:val="00647B9C"/>
    <w:rsid w:val="00651325"/>
    <w:rsid w:val="00651E13"/>
    <w:rsid w:val="00652523"/>
    <w:rsid w:val="00654D65"/>
    <w:rsid w:val="006558F9"/>
    <w:rsid w:val="006568E6"/>
    <w:rsid w:val="00656F1A"/>
    <w:rsid w:val="006570F2"/>
    <w:rsid w:val="00657242"/>
    <w:rsid w:val="006572AA"/>
    <w:rsid w:val="00660A19"/>
    <w:rsid w:val="00660E38"/>
    <w:rsid w:val="00661073"/>
    <w:rsid w:val="00661B3F"/>
    <w:rsid w:val="00662741"/>
    <w:rsid w:val="00662CD5"/>
    <w:rsid w:val="00662F8A"/>
    <w:rsid w:val="006644C0"/>
    <w:rsid w:val="00666BDC"/>
    <w:rsid w:val="00666E08"/>
    <w:rsid w:val="0066720A"/>
    <w:rsid w:val="00667E25"/>
    <w:rsid w:val="00667EEF"/>
    <w:rsid w:val="0067119F"/>
    <w:rsid w:val="006723C6"/>
    <w:rsid w:val="00675206"/>
    <w:rsid w:val="00675300"/>
    <w:rsid w:val="0067638A"/>
    <w:rsid w:val="00676A57"/>
    <w:rsid w:val="00676D62"/>
    <w:rsid w:val="00677A55"/>
    <w:rsid w:val="00677E41"/>
    <w:rsid w:val="00680700"/>
    <w:rsid w:val="00680D0B"/>
    <w:rsid w:val="00680E77"/>
    <w:rsid w:val="006825FC"/>
    <w:rsid w:val="0068278C"/>
    <w:rsid w:val="00682D93"/>
    <w:rsid w:val="00682F06"/>
    <w:rsid w:val="00683ED3"/>
    <w:rsid w:val="00683FF5"/>
    <w:rsid w:val="00685206"/>
    <w:rsid w:val="0068537B"/>
    <w:rsid w:val="00686547"/>
    <w:rsid w:val="006868C0"/>
    <w:rsid w:val="00687482"/>
    <w:rsid w:val="00687BB7"/>
    <w:rsid w:val="00690C12"/>
    <w:rsid w:val="00690E1D"/>
    <w:rsid w:val="006912DA"/>
    <w:rsid w:val="00691F3C"/>
    <w:rsid w:val="00692DA8"/>
    <w:rsid w:val="00693415"/>
    <w:rsid w:val="00693838"/>
    <w:rsid w:val="00694432"/>
    <w:rsid w:val="00694AAE"/>
    <w:rsid w:val="00695990"/>
    <w:rsid w:val="00695BE5"/>
    <w:rsid w:val="0069643C"/>
    <w:rsid w:val="00697097"/>
    <w:rsid w:val="006979BF"/>
    <w:rsid w:val="00697E9A"/>
    <w:rsid w:val="006A22EF"/>
    <w:rsid w:val="006A281F"/>
    <w:rsid w:val="006A3C17"/>
    <w:rsid w:val="006A4920"/>
    <w:rsid w:val="006A61E8"/>
    <w:rsid w:val="006A6BDA"/>
    <w:rsid w:val="006A758F"/>
    <w:rsid w:val="006A78FB"/>
    <w:rsid w:val="006A7B52"/>
    <w:rsid w:val="006B126E"/>
    <w:rsid w:val="006B3E32"/>
    <w:rsid w:val="006B404C"/>
    <w:rsid w:val="006B4649"/>
    <w:rsid w:val="006B4EA7"/>
    <w:rsid w:val="006B5212"/>
    <w:rsid w:val="006B530D"/>
    <w:rsid w:val="006B7401"/>
    <w:rsid w:val="006B79D0"/>
    <w:rsid w:val="006B7EE6"/>
    <w:rsid w:val="006C0F11"/>
    <w:rsid w:val="006C1BEB"/>
    <w:rsid w:val="006C213E"/>
    <w:rsid w:val="006C2339"/>
    <w:rsid w:val="006C327F"/>
    <w:rsid w:val="006C35BA"/>
    <w:rsid w:val="006C35DB"/>
    <w:rsid w:val="006C3739"/>
    <w:rsid w:val="006C379B"/>
    <w:rsid w:val="006C3A0D"/>
    <w:rsid w:val="006C3DAC"/>
    <w:rsid w:val="006C432A"/>
    <w:rsid w:val="006C4D0E"/>
    <w:rsid w:val="006C57D3"/>
    <w:rsid w:val="006C5E01"/>
    <w:rsid w:val="006C6524"/>
    <w:rsid w:val="006C6D3A"/>
    <w:rsid w:val="006C6F1E"/>
    <w:rsid w:val="006C7204"/>
    <w:rsid w:val="006C7506"/>
    <w:rsid w:val="006C7FDE"/>
    <w:rsid w:val="006D021D"/>
    <w:rsid w:val="006D041A"/>
    <w:rsid w:val="006D0C6C"/>
    <w:rsid w:val="006D149F"/>
    <w:rsid w:val="006D1E24"/>
    <w:rsid w:val="006D2AEA"/>
    <w:rsid w:val="006D2B09"/>
    <w:rsid w:val="006D3574"/>
    <w:rsid w:val="006D3759"/>
    <w:rsid w:val="006D3969"/>
    <w:rsid w:val="006D73B0"/>
    <w:rsid w:val="006E013D"/>
    <w:rsid w:val="006E10E6"/>
    <w:rsid w:val="006E1566"/>
    <w:rsid w:val="006E19CE"/>
    <w:rsid w:val="006E3C97"/>
    <w:rsid w:val="006E3CF4"/>
    <w:rsid w:val="006E4152"/>
    <w:rsid w:val="006E4607"/>
    <w:rsid w:val="006E4787"/>
    <w:rsid w:val="006E49E2"/>
    <w:rsid w:val="006E4FF8"/>
    <w:rsid w:val="006E56A0"/>
    <w:rsid w:val="006E5E48"/>
    <w:rsid w:val="006E6CDA"/>
    <w:rsid w:val="006E7C96"/>
    <w:rsid w:val="006F0D6F"/>
    <w:rsid w:val="006F14B0"/>
    <w:rsid w:val="006F2060"/>
    <w:rsid w:val="006F270D"/>
    <w:rsid w:val="006F296F"/>
    <w:rsid w:val="006F3705"/>
    <w:rsid w:val="006F5F84"/>
    <w:rsid w:val="006F702F"/>
    <w:rsid w:val="006F79E9"/>
    <w:rsid w:val="006F7C6A"/>
    <w:rsid w:val="006F7C99"/>
    <w:rsid w:val="006F7F3B"/>
    <w:rsid w:val="00701E8C"/>
    <w:rsid w:val="00702560"/>
    <w:rsid w:val="00704F0D"/>
    <w:rsid w:val="007066E0"/>
    <w:rsid w:val="00706D50"/>
    <w:rsid w:val="00707506"/>
    <w:rsid w:val="007076CD"/>
    <w:rsid w:val="007116E4"/>
    <w:rsid w:val="00711852"/>
    <w:rsid w:val="00711A02"/>
    <w:rsid w:val="007127CA"/>
    <w:rsid w:val="007149EE"/>
    <w:rsid w:val="00714B33"/>
    <w:rsid w:val="00714CAB"/>
    <w:rsid w:val="00714DD9"/>
    <w:rsid w:val="00714F6F"/>
    <w:rsid w:val="00715952"/>
    <w:rsid w:val="0071665A"/>
    <w:rsid w:val="0071698C"/>
    <w:rsid w:val="00720978"/>
    <w:rsid w:val="00721215"/>
    <w:rsid w:val="00721820"/>
    <w:rsid w:val="007218C3"/>
    <w:rsid w:val="0072333F"/>
    <w:rsid w:val="00723DF5"/>
    <w:rsid w:val="00723EF1"/>
    <w:rsid w:val="007240D6"/>
    <w:rsid w:val="007243F8"/>
    <w:rsid w:val="0072595E"/>
    <w:rsid w:val="00726C5A"/>
    <w:rsid w:val="00726C79"/>
    <w:rsid w:val="00726FEA"/>
    <w:rsid w:val="00727A04"/>
    <w:rsid w:val="00730E04"/>
    <w:rsid w:val="00731043"/>
    <w:rsid w:val="00731105"/>
    <w:rsid w:val="007317A0"/>
    <w:rsid w:val="00731A6A"/>
    <w:rsid w:val="0073252E"/>
    <w:rsid w:val="00732D8D"/>
    <w:rsid w:val="007332BC"/>
    <w:rsid w:val="0073380F"/>
    <w:rsid w:val="00733BE0"/>
    <w:rsid w:val="007341CF"/>
    <w:rsid w:val="0073452E"/>
    <w:rsid w:val="0073456F"/>
    <w:rsid w:val="00734EED"/>
    <w:rsid w:val="00740A08"/>
    <w:rsid w:val="00742795"/>
    <w:rsid w:val="00743CFC"/>
    <w:rsid w:val="00743E0F"/>
    <w:rsid w:val="0074406A"/>
    <w:rsid w:val="007454E8"/>
    <w:rsid w:val="00746A22"/>
    <w:rsid w:val="00746EE9"/>
    <w:rsid w:val="00747016"/>
    <w:rsid w:val="00747293"/>
    <w:rsid w:val="00750597"/>
    <w:rsid w:val="00750AC6"/>
    <w:rsid w:val="00750AC8"/>
    <w:rsid w:val="00750D13"/>
    <w:rsid w:val="00751618"/>
    <w:rsid w:val="00751AE2"/>
    <w:rsid w:val="00753151"/>
    <w:rsid w:val="00753505"/>
    <w:rsid w:val="00753960"/>
    <w:rsid w:val="0075459F"/>
    <w:rsid w:val="0075594E"/>
    <w:rsid w:val="00756A6E"/>
    <w:rsid w:val="00756BD8"/>
    <w:rsid w:val="00757B89"/>
    <w:rsid w:val="00757E64"/>
    <w:rsid w:val="007600D6"/>
    <w:rsid w:val="0076103F"/>
    <w:rsid w:val="00761074"/>
    <w:rsid w:val="007618AD"/>
    <w:rsid w:val="00761BA2"/>
    <w:rsid w:val="007623EA"/>
    <w:rsid w:val="0076273A"/>
    <w:rsid w:val="00763061"/>
    <w:rsid w:val="007637FC"/>
    <w:rsid w:val="00764525"/>
    <w:rsid w:val="00765290"/>
    <w:rsid w:val="0076560B"/>
    <w:rsid w:val="00766B60"/>
    <w:rsid w:val="00767448"/>
    <w:rsid w:val="00770409"/>
    <w:rsid w:val="00770C6D"/>
    <w:rsid w:val="007716B6"/>
    <w:rsid w:val="00771E0A"/>
    <w:rsid w:val="00771F86"/>
    <w:rsid w:val="007728A2"/>
    <w:rsid w:val="007744AD"/>
    <w:rsid w:val="00774828"/>
    <w:rsid w:val="00774C21"/>
    <w:rsid w:val="00775590"/>
    <w:rsid w:val="00775641"/>
    <w:rsid w:val="00777504"/>
    <w:rsid w:val="0078172C"/>
    <w:rsid w:val="0078188A"/>
    <w:rsid w:val="007822E2"/>
    <w:rsid w:val="007825AF"/>
    <w:rsid w:val="00782FEE"/>
    <w:rsid w:val="0078382B"/>
    <w:rsid w:val="0078394C"/>
    <w:rsid w:val="00783F4B"/>
    <w:rsid w:val="007845F3"/>
    <w:rsid w:val="007845FA"/>
    <w:rsid w:val="00784F97"/>
    <w:rsid w:val="0078701A"/>
    <w:rsid w:val="007877D5"/>
    <w:rsid w:val="00787972"/>
    <w:rsid w:val="0079163B"/>
    <w:rsid w:val="00791AB2"/>
    <w:rsid w:val="00791CFD"/>
    <w:rsid w:val="0079240F"/>
    <w:rsid w:val="007929B4"/>
    <w:rsid w:val="00793370"/>
    <w:rsid w:val="00793F98"/>
    <w:rsid w:val="00794614"/>
    <w:rsid w:val="007A0B87"/>
    <w:rsid w:val="007A1A6B"/>
    <w:rsid w:val="007A1A9F"/>
    <w:rsid w:val="007A361F"/>
    <w:rsid w:val="007A4AA7"/>
    <w:rsid w:val="007A4D64"/>
    <w:rsid w:val="007A4D87"/>
    <w:rsid w:val="007A5619"/>
    <w:rsid w:val="007A5BD2"/>
    <w:rsid w:val="007A5F97"/>
    <w:rsid w:val="007A66C1"/>
    <w:rsid w:val="007A69CE"/>
    <w:rsid w:val="007A6AE8"/>
    <w:rsid w:val="007A6F06"/>
    <w:rsid w:val="007A70D1"/>
    <w:rsid w:val="007A75FE"/>
    <w:rsid w:val="007A78A8"/>
    <w:rsid w:val="007A7B62"/>
    <w:rsid w:val="007B02C1"/>
    <w:rsid w:val="007B0491"/>
    <w:rsid w:val="007B057B"/>
    <w:rsid w:val="007B1AA6"/>
    <w:rsid w:val="007B2FB5"/>
    <w:rsid w:val="007B3149"/>
    <w:rsid w:val="007B317E"/>
    <w:rsid w:val="007B42E1"/>
    <w:rsid w:val="007B4CB3"/>
    <w:rsid w:val="007B5036"/>
    <w:rsid w:val="007B5541"/>
    <w:rsid w:val="007B6419"/>
    <w:rsid w:val="007B6786"/>
    <w:rsid w:val="007B6FE9"/>
    <w:rsid w:val="007B703A"/>
    <w:rsid w:val="007B7131"/>
    <w:rsid w:val="007C00CB"/>
    <w:rsid w:val="007C07A8"/>
    <w:rsid w:val="007C2585"/>
    <w:rsid w:val="007C3369"/>
    <w:rsid w:val="007C4225"/>
    <w:rsid w:val="007C442F"/>
    <w:rsid w:val="007C4C1C"/>
    <w:rsid w:val="007C5044"/>
    <w:rsid w:val="007C65D7"/>
    <w:rsid w:val="007C6D91"/>
    <w:rsid w:val="007C7411"/>
    <w:rsid w:val="007C7480"/>
    <w:rsid w:val="007C78A5"/>
    <w:rsid w:val="007D0B9F"/>
    <w:rsid w:val="007D20BD"/>
    <w:rsid w:val="007D420D"/>
    <w:rsid w:val="007D4699"/>
    <w:rsid w:val="007D5C07"/>
    <w:rsid w:val="007D627B"/>
    <w:rsid w:val="007D772E"/>
    <w:rsid w:val="007E072B"/>
    <w:rsid w:val="007E0769"/>
    <w:rsid w:val="007E11EF"/>
    <w:rsid w:val="007E2149"/>
    <w:rsid w:val="007E3C41"/>
    <w:rsid w:val="007E46B2"/>
    <w:rsid w:val="007E53BC"/>
    <w:rsid w:val="007E6200"/>
    <w:rsid w:val="007E6E00"/>
    <w:rsid w:val="007E7009"/>
    <w:rsid w:val="007E757D"/>
    <w:rsid w:val="007E7E11"/>
    <w:rsid w:val="007F10B1"/>
    <w:rsid w:val="007F169F"/>
    <w:rsid w:val="007F22D7"/>
    <w:rsid w:val="007F306F"/>
    <w:rsid w:val="007F4C77"/>
    <w:rsid w:val="007F617D"/>
    <w:rsid w:val="007F6535"/>
    <w:rsid w:val="007F6962"/>
    <w:rsid w:val="007F6996"/>
    <w:rsid w:val="007F6AEA"/>
    <w:rsid w:val="0080007B"/>
    <w:rsid w:val="00800580"/>
    <w:rsid w:val="008009FF"/>
    <w:rsid w:val="00800C71"/>
    <w:rsid w:val="0080185D"/>
    <w:rsid w:val="0080254C"/>
    <w:rsid w:val="00802716"/>
    <w:rsid w:val="0080277F"/>
    <w:rsid w:val="008028B8"/>
    <w:rsid w:val="00802F8F"/>
    <w:rsid w:val="00803606"/>
    <w:rsid w:val="0080428E"/>
    <w:rsid w:val="008052A1"/>
    <w:rsid w:val="00805396"/>
    <w:rsid w:val="008055E1"/>
    <w:rsid w:val="008060BB"/>
    <w:rsid w:val="0080646B"/>
    <w:rsid w:val="0080680E"/>
    <w:rsid w:val="0080721A"/>
    <w:rsid w:val="0080792F"/>
    <w:rsid w:val="00807BC2"/>
    <w:rsid w:val="00810E84"/>
    <w:rsid w:val="0081178E"/>
    <w:rsid w:val="00812942"/>
    <w:rsid w:val="00812B5D"/>
    <w:rsid w:val="00812E6B"/>
    <w:rsid w:val="00813CE0"/>
    <w:rsid w:val="00813ECF"/>
    <w:rsid w:val="00814331"/>
    <w:rsid w:val="0081484E"/>
    <w:rsid w:val="00814D87"/>
    <w:rsid w:val="00815713"/>
    <w:rsid w:val="008163A1"/>
    <w:rsid w:val="00816614"/>
    <w:rsid w:val="00816620"/>
    <w:rsid w:val="00817B73"/>
    <w:rsid w:val="008218C8"/>
    <w:rsid w:val="00822871"/>
    <w:rsid w:val="00823F13"/>
    <w:rsid w:val="00824927"/>
    <w:rsid w:val="008251D7"/>
    <w:rsid w:val="00825839"/>
    <w:rsid w:val="00826295"/>
    <w:rsid w:val="008264FB"/>
    <w:rsid w:val="0082728A"/>
    <w:rsid w:val="00830214"/>
    <w:rsid w:val="00830AA3"/>
    <w:rsid w:val="00830B76"/>
    <w:rsid w:val="00830CA3"/>
    <w:rsid w:val="00832641"/>
    <w:rsid w:val="008328B7"/>
    <w:rsid w:val="008337BD"/>
    <w:rsid w:val="0083474E"/>
    <w:rsid w:val="00834DD2"/>
    <w:rsid w:val="00837ECC"/>
    <w:rsid w:val="008403A6"/>
    <w:rsid w:val="00841166"/>
    <w:rsid w:val="00841A62"/>
    <w:rsid w:val="0084207A"/>
    <w:rsid w:val="00842159"/>
    <w:rsid w:val="008424FC"/>
    <w:rsid w:val="00842856"/>
    <w:rsid w:val="00843D83"/>
    <w:rsid w:val="00843EE0"/>
    <w:rsid w:val="00844557"/>
    <w:rsid w:val="008448EA"/>
    <w:rsid w:val="00844CFA"/>
    <w:rsid w:val="0084526A"/>
    <w:rsid w:val="00845F89"/>
    <w:rsid w:val="00846062"/>
    <w:rsid w:val="0084705D"/>
    <w:rsid w:val="00850AC3"/>
    <w:rsid w:val="00851069"/>
    <w:rsid w:val="008522E2"/>
    <w:rsid w:val="008523AE"/>
    <w:rsid w:val="00852484"/>
    <w:rsid w:val="00852CB2"/>
    <w:rsid w:val="00852D1A"/>
    <w:rsid w:val="00855FA8"/>
    <w:rsid w:val="00857F7C"/>
    <w:rsid w:val="00860C7B"/>
    <w:rsid w:val="008610DC"/>
    <w:rsid w:val="00861AA1"/>
    <w:rsid w:val="00861F84"/>
    <w:rsid w:val="0086307B"/>
    <w:rsid w:val="00863311"/>
    <w:rsid w:val="00863E1B"/>
    <w:rsid w:val="008655AD"/>
    <w:rsid w:val="00865702"/>
    <w:rsid w:val="00866FEA"/>
    <w:rsid w:val="00867961"/>
    <w:rsid w:val="008679CA"/>
    <w:rsid w:val="008705ED"/>
    <w:rsid w:val="00870C59"/>
    <w:rsid w:val="008719C2"/>
    <w:rsid w:val="00871C3F"/>
    <w:rsid w:val="008722E5"/>
    <w:rsid w:val="00872C61"/>
    <w:rsid w:val="00873067"/>
    <w:rsid w:val="00873903"/>
    <w:rsid w:val="00875204"/>
    <w:rsid w:val="00875BDB"/>
    <w:rsid w:val="00875D54"/>
    <w:rsid w:val="00875DC7"/>
    <w:rsid w:val="0087689A"/>
    <w:rsid w:val="008768D5"/>
    <w:rsid w:val="008778A2"/>
    <w:rsid w:val="00877936"/>
    <w:rsid w:val="0088000D"/>
    <w:rsid w:val="00880BE2"/>
    <w:rsid w:val="00880DBE"/>
    <w:rsid w:val="008818BD"/>
    <w:rsid w:val="00881E40"/>
    <w:rsid w:val="008820FE"/>
    <w:rsid w:val="00883071"/>
    <w:rsid w:val="008830CD"/>
    <w:rsid w:val="00883791"/>
    <w:rsid w:val="008837BA"/>
    <w:rsid w:val="008849BF"/>
    <w:rsid w:val="008856C7"/>
    <w:rsid w:val="00885AA6"/>
    <w:rsid w:val="00885DDC"/>
    <w:rsid w:val="0088616C"/>
    <w:rsid w:val="00886805"/>
    <w:rsid w:val="008878FF"/>
    <w:rsid w:val="00887F75"/>
    <w:rsid w:val="008901DD"/>
    <w:rsid w:val="00890477"/>
    <w:rsid w:val="00890BCD"/>
    <w:rsid w:val="00892E00"/>
    <w:rsid w:val="00893678"/>
    <w:rsid w:val="00893B10"/>
    <w:rsid w:val="0089494D"/>
    <w:rsid w:val="00895DA3"/>
    <w:rsid w:val="008965FE"/>
    <w:rsid w:val="008966EE"/>
    <w:rsid w:val="0089678B"/>
    <w:rsid w:val="00897F9B"/>
    <w:rsid w:val="008A028F"/>
    <w:rsid w:val="008A1733"/>
    <w:rsid w:val="008A20D2"/>
    <w:rsid w:val="008A44F2"/>
    <w:rsid w:val="008A4667"/>
    <w:rsid w:val="008B0D35"/>
    <w:rsid w:val="008B14BF"/>
    <w:rsid w:val="008B2445"/>
    <w:rsid w:val="008B3CB1"/>
    <w:rsid w:val="008B6145"/>
    <w:rsid w:val="008B6EFA"/>
    <w:rsid w:val="008C02EA"/>
    <w:rsid w:val="008C0C59"/>
    <w:rsid w:val="008C178B"/>
    <w:rsid w:val="008C1BC7"/>
    <w:rsid w:val="008C2617"/>
    <w:rsid w:val="008C2A4D"/>
    <w:rsid w:val="008C3840"/>
    <w:rsid w:val="008C3DCF"/>
    <w:rsid w:val="008C42E6"/>
    <w:rsid w:val="008C4A72"/>
    <w:rsid w:val="008C4B6B"/>
    <w:rsid w:val="008C4E7D"/>
    <w:rsid w:val="008C51A4"/>
    <w:rsid w:val="008C51EC"/>
    <w:rsid w:val="008C5B00"/>
    <w:rsid w:val="008C6D3F"/>
    <w:rsid w:val="008D03E0"/>
    <w:rsid w:val="008D0E03"/>
    <w:rsid w:val="008D2E7D"/>
    <w:rsid w:val="008D4F13"/>
    <w:rsid w:val="008D7090"/>
    <w:rsid w:val="008E05A3"/>
    <w:rsid w:val="008E19C7"/>
    <w:rsid w:val="008E36FF"/>
    <w:rsid w:val="008E3BE6"/>
    <w:rsid w:val="008E43A2"/>
    <w:rsid w:val="008E4A4D"/>
    <w:rsid w:val="008E5122"/>
    <w:rsid w:val="008E532D"/>
    <w:rsid w:val="008E53AD"/>
    <w:rsid w:val="008E617E"/>
    <w:rsid w:val="008E7A23"/>
    <w:rsid w:val="008F19CE"/>
    <w:rsid w:val="008F4E02"/>
    <w:rsid w:val="008F4F88"/>
    <w:rsid w:val="008F56EC"/>
    <w:rsid w:val="008F5B84"/>
    <w:rsid w:val="008F6A4B"/>
    <w:rsid w:val="008F7728"/>
    <w:rsid w:val="008F7BC3"/>
    <w:rsid w:val="0090023A"/>
    <w:rsid w:val="00900307"/>
    <w:rsid w:val="0090060E"/>
    <w:rsid w:val="009009DE"/>
    <w:rsid w:val="00901F62"/>
    <w:rsid w:val="00902408"/>
    <w:rsid w:val="0090455A"/>
    <w:rsid w:val="00904E9C"/>
    <w:rsid w:val="00905370"/>
    <w:rsid w:val="00906250"/>
    <w:rsid w:val="00906586"/>
    <w:rsid w:val="009077FF"/>
    <w:rsid w:val="00907D61"/>
    <w:rsid w:val="00911701"/>
    <w:rsid w:val="00911BA0"/>
    <w:rsid w:val="00912EC1"/>
    <w:rsid w:val="00913781"/>
    <w:rsid w:val="00913D4F"/>
    <w:rsid w:val="00914033"/>
    <w:rsid w:val="00916209"/>
    <w:rsid w:val="00916E62"/>
    <w:rsid w:val="009172C9"/>
    <w:rsid w:val="00917EC6"/>
    <w:rsid w:val="0092084A"/>
    <w:rsid w:val="00920926"/>
    <w:rsid w:val="00921A7D"/>
    <w:rsid w:val="00923AF7"/>
    <w:rsid w:val="00924B9A"/>
    <w:rsid w:val="00924E42"/>
    <w:rsid w:val="0092582F"/>
    <w:rsid w:val="00926EC8"/>
    <w:rsid w:val="0092765B"/>
    <w:rsid w:val="00927A63"/>
    <w:rsid w:val="0093020A"/>
    <w:rsid w:val="009304CD"/>
    <w:rsid w:val="009308AC"/>
    <w:rsid w:val="0093163B"/>
    <w:rsid w:val="00931B57"/>
    <w:rsid w:val="00931DEB"/>
    <w:rsid w:val="00932E32"/>
    <w:rsid w:val="00932FA6"/>
    <w:rsid w:val="009337A1"/>
    <w:rsid w:val="00933EDE"/>
    <w:rsid w:val="0093574B"/>
    <w:rsid w:val="0093704C"/>
    <w:rsid w:val="00937277"/>
    <w:rsid w:val="00937F94"/>
    <w:rsid w:val="0094141C"/>
    <w:rsid w:val="009416B1"/>
    <w:rsid w:val="009419A5"/>
    <w:rsid w:val="00941B15"/>
    <w:rsid w:val="009426CC"/>
    <w:rsid w:val="00942A13"/>
    <w:rsid w:val="00942B29"/>
    <w:rsid w:val="0094375B"/>
    <w:rsid w:val="00943A82"/>
    <w:rsid w:val="00944355"/>
    <w:rsid w:val="00944E35"/>
    <w:rsid w:val="00945982"/>
    <w:rsid w:val="00945A2F"/>
    <w:rsid w:val="00945F08"/>
    <w:rsid w:val="0094774A"/>
    <w:rsid w:val="00947CFC"/>
    <w:rsid w:val="00950E31"/>
    <w:rsid w:val="00951461"/>
    <w:rsid w:val="00951846"/>
    <w:rsid w:val="00951DE5"/>
    <w:rsid w:val="00952287"/>
    <w:rsid w:val="00952643"/>
    <w:rsid w:val="009528AF"/>
    <w:rsid w:val="00952D13"/>
    <w:rsid w:val="00953E28"/>
    <w:rsid w:val="00957742"/>
    <w:rsid w:val="009601AE"/>
    <w:rsid w:val="00963ED1"/>
    <w:rsid w:val="00964E27"/>
    <w:rsid w:val="0096527E"/>
    <w:rsid w:val="00965B53"/>
    <w:rsid w:val="00965DEC"/>
    <w:rsid w:val="00966853"/>
    <w:rsid w:val="00966AE6"/>
    <w:rsid w:val="00966B34"/>
    <w:rsid w:val="00967C8E"/>
    <w:rsid w:val="00967DC9"/>
    <w:rsid w:val="00967F4E"/>
    <w:rsid w:val="00970886"/>
    <w:rsid w:val="00973793"/>
    <w:rsid w:val="00974B38"/>
    <w:rsid w:val="00974FE6"/>
    <w:rsid w:val="00975F5B"/>
    <w:rsid w:val="00976D44"/>
    <w:rsid w:val="0097735A"/>
    <w:rsid w:val="00977EA2"/>
    <w:rsid w:val="00977ED6"/>
    <w:rsid w:val="00980DBD"/>
    <w:rsid w:val="00980F02"/>
    <w:rsid w:val="009810B1"/>
    <w:rsid w:val="00981150"/>
    <w:rsid w:val="00981EF2"/>
    <w:rsid w:val="00983180"/>
    <w:rsid w:val="00983556"/>
    <w:rsid w:val="00983604"/>
    <w:rsid w:val="00983F5A"/>
    <w:rsid w:val="00984F6F"/>
    <w:rsid w:val="0098572E"/>
    <w:rsid w:val="0098629F"/>
    <w:rsid w:val="0098690A"/>
    <w:rsid w:val="00987137"/>
    <w:rsid w:val="009876B2"/>
    <w:rsid w:val="00987BC9"/>
    <w:rsid w:val="009902F9"/>
    <w:rsid w:val="009903DB"/>
    <w:rsid w:val="00990F1C"/>
    <w:rsid w:val="00991447"/>
    <w:rsid w:val="0099189E"/>
    <w:rsid w:val="00991ABB"/>
    <w:rsid w:val="009934E6"/>
    <w:rsid w:val="00993795"/>
    <w:rsid w:val="00994596"/>
    <w:rsid w:val="0099463C"/>
    <w:rsid w:val="00994D5D"/>
    <w:rsid w:val="00994D79"/>
    <w:rsid w:val="0099524C"/>
    <w:rsid w:val="00995DD2"/>
    <w:rsid w:val="009A0DAC"/>
    <w:rsid w:val="009A0EE5"/>
    <w:rsid w:val="009A176D"/>
    <w:rsid w:val="009A184D"/>
    <w:rsid w:val="009A2F08"/>
    <w:rsid w:val="009A36DB"/>
    <w:rsid w:val="009A479F"/>
    <w:rsid w:val="009A4D37"/>
    <w:rsid w:val="009A5DB0"/>
    <w:rsid w:val="009A5E40"/>
    <w:rsid w:val="009A69FE"/>
    <w:rsid w:val="009A6D66"/>
    <w:rsid w:val="009A7438"/>
    <w:rsid w:val="009B0E77"/>
    <w:rsid w:val="009B1E34"/>
    <w:rsid w:val="009B2108"/>
    <w:rsid w:val="009B213E"/>
    <w:rsid w:val="009B239E"/>
    <w:rsid w:val="009B2AF9"/>
    <w:rsid w:val="009B3198"/>
    <w:rsid w:val="009B33ED"/>
    <w:rsid w:val="009B3539"/>
    <w:rsid w:val="009B47A3"/>
    <w:rsid w:val="009B5028"/>
    <w:rsid w:val="009B5479"/>
    <w:rsid w:val="009B5597"/>
    <w:rsid w:val="009B5C78"/>
    <w:rsid w:val="009B6748"/>
    <w:rsid w:val="009B6E42"/>
    <w:rsid w:val="009B7BB9"/>
    <w:rsid w:val="009C0BC2"/>
    <w:rsid w:val="009C1103"/>
    <w:rsid w:val="009C1319"/>
    <w:rsid w:val="009C14C4"/>
    <w:rsid w:val="009C171E"/>
    <w:rsid w:val="009C1E4B"/>
    <w:rsid w:val="009C34CC"/>
    <w:rsid w:val="009C37E7"/>
    <w:rsid w:val="009C40B7"/>
    <w:rsid w:val="009C436E"/>
    <w:rsid w:val="009C6CA1"/>
    <w:rsid w:val="009C6D2A"/>
    <w:rsid w:val="009D1CC4"/>
    <w:rsid w:val="009D2154"/>
    <w:rsid w:val="009D289C"/>
    <w:rsid w:val="009D2B2D"/>
    <w:rsid w:val="009D3239"/>
    <w:rsid w:val="009D3253"/>
    <w:rsid w:val="009D326A"/>
    <w:rsid w:val="009D4757"/>
    <w:rsid w:val="009D4A1E"/>
    <w:rsid w:val="009D4D93"/>
    <w:rsid w:val="009D4E4B"/>
    <w:rsid w:val="009D5EB7"/>
    <w:rsid w:val="009D5FDA"/>
    <w:rsid w:val="009D640C"/>
    <w:rsid w:val="009D67FF"/>
    <w:rsid w:val="009D6DA4"/>
    <w:rsid w:val="009D7270"/>
    <w:rsid w:val="009D7598"/>
    <w:rsid w:val="009E0668"/>
    <w:rsid w:val="009E122C"/>
    <w:rsid w:val="009E274F"/>
    <w:rsid w:val="009E3AD6"/>
    <w:rsid w:val="009E3FD7"/>
    <w:rsid w:val="009E3FF2"/>
    <w:rsid w:val="009E614F"/>
    <w:rsid w:val="009E687D"/>
    <w:rsid w:val="009E6B4E"/>
    <w:rsid w:val="009E7330"/>
    <w:rsid w:val="009E7F0E"/>
    <w:rsid w:val="009E7FB1"/>
    <w:rsid w:val="009F08FF"/>
    <w:rsid w:val="009F0DDF"/>
    <w:rsid w:val="009F0DFE"/>
    <w:rsid w:val="009F10A1"/>
    <w:rsid w:val="009F14BB"/>
    <w:rsid w:val="009F1D55"/>
    <w:rsid w:val="009F27DE"/>
    <w:rsid w:val="009F2931"/>
    <w:rsid w:val="009F2DF8"/>
    <w:rsid w:val="009F34D1"/>
    <w:rsid w:val="009F3619"/>
    <w:rsid w:val="009F40EB"/>
    <w:rsid w:val="009F5386"/>
    <w:rsid w:val="009F60E9"/>
    <w:rsid w:val="009F6275"/>
    <w:rsid w:val="009F6285"/>
    <w:rsid w:val="009F698A"/>
    <w:rsid w:val="009F6B73"/>
    <w:rsid w:val="009F7268"/>
    <w:rsid w:val="009F7F8B"/>
    <w:rsid w:val="009F7FB6"/>
    <w:rsid w:val="00A00023"/>
    <w:rsid w:val="00A00623"/>
    <w:rsid w:val="00A01093"/>
    <w:rsid w:val="00A016AA"/>
    <w:rsid w:val="00A03872"/>
    <w:rsid w:val="00A03EAC"/>
    <w:rsid w:val="00A03FB7"/>
    <w:rsid w:val="00A0451D"/>
    <w:rsid w:val="00A0582E"/>
    <w:rsid w:val="00A05B26"/>
    <w:rsid w:val="00A05C83"/>
    <w:rsid w:val="00A06708"/>
    <w:rsid w:val="00A06878"/>
    <w:rsid w:val="00A0760D"/>
    <w:rsid w:val="00A07917"/>
    <w:rsid w:val="00A11824"/>
    <w:rsid w:val="00A14013"/>
    <w:rsid w:val="00A146D0"/>
    <w:rsid w:val="00A14D2B"/>
    <w:rsid w:val="00A15525"/>
    <w:rsid w:val="00A15649"/>
    <w:rsid w:val="00A16360"/>
    <w:rsid w:val="00A17508"/>
    <w:rsid w:val="00A175E9"/>
    <w:rsid w:val="00A17969"/>
    <w:rsid w:val="00A17BBC"/>
    <w:rsid w:val="00A17E0B"/>
    <w:rsid w:val="00A20358"/>
    <w:rsid w:val="00A21041"/>
    <w:rsid w:val="00A211C7"/>
    <w:rsid w:val="00A216BD"/>
    <w:rsid w:val="00A21D17"/>
    <w:rsid w:val="00A22964"/>
    <w:rsid w:val="00A238D7"/>
    <w:rsid w:val="00A240BB"/>
    <w:rsid w:val="00A24819"/>
    <w:rsid w:val="00A24B66"/>
    <w:rsid w:val="00A24B75"/>
    <w:rsid w:val="00A25E98"/>
    <w:rsid w:val="00A26BE2"/>
    <w:rsid w:val="00A2703A"/>
    <w:rsid w:val="00A2705E"/>
    <w:rsid w:val="00A27D28"/>
    <w:rsid w:val="00A30FAC"/>
    <w:rsid w:val="00A3195D"/>
    <w:rsid w:val="00A31A42"/>
    <w:rsid w:val="00A339BF"/>
    <w:rsid w:val="00A33B45"/>
    <w:rsid w:val="00A3444D"/>
    <w:rsid w:val="00A347D7"/>
    <w:rsid w:val="00A35833"/>
    <w:rsid w:val="00A35FAA"/>
    <w:rsid w:val="00A401FD"/>
    <w:rsid w:val="00A4051C"/>
    <w:rsid w:val="00A418D0"/>
    <w:rsid w:val="00A447E1"/>
    <w:rsid w:val="00A44BCB"/>
    <w:rsid w:val="00A45888"/>
    <w:rsid w:val="00A46470"/>
    <w:rsid w:val="00A46C53"/>
    <w:rsid w:val="00A46DD8"/>
    <w:rsid w:val="00A50EB0"/>
    <w:rsid w:val="00A512FC"/>
    <w:rsid w:val="00A526BC"/>
    <w:rsid w:val="00A52BE4"/>
    <w:rsid w:val="00A5477D"/>
    <w:rsid w:val="00A554C4"/>
    <w:rsid w:val="00A55531"/>
    <w:rsid w:val="00A56309"/>
    <w:rsid w:val="00A565A3"/>
    <w:rsid w:val="00A569D4"/>
    <w:rsid w:val="00A56D09"/>
    <w:rsid w:val="00A5743C"/>
    <w:rsid w:val="00A613AC"/>
    <w:rsid w:val="00A61431"/>
    <w:rsid w:val="00A6177B"/>
    <w:rsid w:val="00A61D1C"/>
    <w:rsid w:val="00A6371D"/>
    <w:rsid w:val="00A63754"/>
    <w:rsid w:val="00A63AAC"/>
    <w:rsid w:val="00A64D9D"/>
    <w:rsid w:val="00A65011"/>
    <w:rsid w:val="00A6565C"/>
    <w:rsid w:val="00A657F5"/>
    <w:rsid w:val="00A66724"/>
    <w:rsid w:val="00A66FA9"/>
    <w:rsid w:val="00A70CA2"/>
    <w:rsid w:val="00A70DC6"/>
    <w:rsid w:val="00A71DE1"/>
    <w:rsid w:val="00A737C8"/>
    <w:rsid w:val="00A739B0"/>
    <w:rsid w:val="00A73B0D"/>
    <w:rsid w:val="00A73B72"/>
    <w:rsid w:val="00A7458C"/>
    <w:rsid w:val="00A748C4"/>
    <w:rsid w:val="00A74ADB"/>
    <w:rsid w:val="00A75430"/>
    <w:rsid w:val="00A75A97"/>
    <w:rsid w:val="00A764FA"/>
    <w:rsid w:val="00A80230"/>
    <w:rsid w:val="00A802C3"/>
    <w:rsid w:val="00A80D16"/>
    <w:rsid w:val="00A81304"/>
    <w:rsid w:val="00A813E1"/>
    <w:rsid w:val="00A8173C"/>
    <w:rsid w:val="00A82432"/>
    <w:rsid w:val="00A8248A"/>
    <w:rsid w:val="00A84359"/>
    <w:rsid w:val="00A84B9D"/>
    <w:rsid w:val="00A8580B"/>
    <w:rsid w:val="00A8604B"/>
    <w:rsid w:val="00A86199"/>
    <w:rsid w:val="00A86B2C"/>
    <w:rsid w:val="00A9034A"/>
    <w:rsid w:val="00A9183D"/>
    <w:rsid w:val="00A91B2B"/>
    <w:rsid w:val="00A91EAD"/>
    <w:rsid w:val="00A925C1"/>
    <w:rsid w:val="00A931DC"/>
    <w:rsid w:val="00A935E3"/>
    <w:rsid w:val="00A93F61"/>
    <w:rsid w:val="00A9429D"/>
    <w:rsid w:val="00A9501E"/>
    <w:rsid w:val="00A9521C"/>
    <w:rsid w:val="00A9540A"/>
    <w:rsid w:val="00A95E37"/>
    <w:rsid w:val="00A960E3"/>
    <w:rsid w:val="00A969FA"/>
    <w:rsid w:val="00A97D85"/>
    <w:rsid w:val="00AA018E"/>
    <w:rsid w:val="00AA028F"/>
    <w:rsid w:val="00AA0FDE"/>
    <w:rsid w:val="00AA1084"/>
    <w:rsid w:val="00AA1554"/>
    <w:rsid w:val="00AA1ECF"/>
    <w:rsid w:val="00AA25C2"/>
    <w:rsid w:val="00AA2601"/>
    <w:rsid w:val="00AA3501"/>
    <w:rsid w:val="00AA40AD"/>
    <w:rsid w:val="00AA40AF"/>
    <w:rsid w:val="00AA5754"/>
    <w:rsid w:val="00AA6689"/>
    <w:rsid w:val="00AA68F4"/>
    <w:rsid w:val="00AA7105"/>
    <w:rsid w:val="00AA74A7"/>
    <w:rsid w:val="00AB0588"/>
    <w:rsid w:val="00AB0ED9"/>
    <w:rsid w:val="00AB1F15"/>
    <w:rsid w:val="00AB22D3"/>
    <w:rsid w:val="00AB24E4"/>
    <w:rsid w:val="00AB3932"/>
    <w:rsid w:val="00AB4709"/>
    <w:rsid w:val="00AB5271"/>
    <w:rsid w:val="00AB575D"/>
    <w:rsid w:val="00AB6499"/>
    <w:rsid w:val="00AB671B"/>
    <w:rsid w:val="00AB674A"/>
    <w:rsid w:val="00AB693A"/>
    <w:rsid w:val="00AB720C"/>
    <w:rsid w:val="00AB797C"/>
    <w:rsid w:val="00AB797F"/>
    <w:rsid w:val="00AB7B5E"/>
    <w:rsid w:val="00AB7EDE"/>
    <w:rsid w:val="00AC0B5F"/>
    <w:rsid w:val="00AC1FB9"/>
    <w:rsid w:val="00AC2032"/>
    <w:rsid w:val="00AC2066"/>
    <w:rsid w:val="00AC2BE1"/>
    <w:rsid w:val="00AC3B4A"/>
    <w:rsid w:val="00AC50FF"/>
    <w:rsid w:val="00AC5358"/>
    <w:rsid w:val="00AC543A"/>
    <w:rsid w:val="00AC5B03"/>
    <w:rsid w:val="00AC7065"/>
    <w:rsid w:val="00AC7E69"/>
    <w:rsid w:val="00AD01F7"/>
    <w:rsid w:val="00AD0E17"/>
    <w:rsid w:val="00AD132B"/>
    <w:rsid w:val="00AD13DA"/>
    <w:rsid w:val="00AD1D93"/>
    <w:rsid w:val="00AD3529"/>
    <w:rsid w:val="00AD392E"/>
    <w:rsid w:val="00AD3E40"/>
    <w:rsid w:val="00AD3E68"/>
    <w:rsid w:val="00AD4488"/>
    <w:rsid w:val="00AD5925"/>
    <w:rsid w:val="00AD5E85"/>
    <w:rsid w:val="00AD6093"/>
    <w:rsid w:val="00AD67FC"/>
    <w:rsid w:val="00AD7A06"/>
    <w:rsid w:val="00AD7B3E"/>
    <w:rsid w:val="00AD7D70"/>
    <w:rsid w:val="00AD7EEF"/>
    <w:rsid w:val="00AE01BD"/>
    <w:rsid w:val="00AE0566"/>
    <w:rsid w:val="00AE090C"/>
    <w:rsid w:val="00AE1341"/>
    <w:rsid w:val="00AE137B"/>
    <w:rsid w:val="00AE16E4"/>
    <w:rsid w:val="00AE3FFF"/>
    <w:rsid w:val="00AE4499"/>
    <w:rsid w:val="00AE50A6"/>
    <w:rsid w:val="00AE52A6"/>
    <w:rsid w:val="00AE5389"/>
    <w:rsid w:val="00AE5B64"/>
    <w:rsid w:val="00AE7451"/>
    <w:rsid w:val="00AE756C"/>
    <w:rsid w:val="00AF0BAC"/>
    <w:rsid w:val="00AF172F"/>
    <w:rsid w:val="00AF2B45"/>
    <w:rsid w:val="00AF3454"/>
    <w:rsid w:val="00AF3F35"/>
    <w:rsid w:val="00AF4481"/>
    <w:rsid w:val="00AF4715"/>
    <w:rsid w:val="00AF4726"/>
    <w:rsid w:val="00AF4FEF"/>
    <w:rsid w:val="00AF679B"/>
    <w:rsid w:val="00AF7EA9"/>
    <w:rsid w:val="00B004F4"/>
    <w:rsid w:val="00B00D84"/>
    <w:rsid w:val="00B0239E"/>
    <w:rsid w:val="00B032A1"/>
    <w:rsid w:val="00B03F5B"/>
    <w:rsid w:val="00B05C2D"/>
    <w:rsid w:val="00B05D1E"/>
    <w:rsid w:val="00B06B80"/>
    <w:rsid w:val="00B07424"/>
    <w:rsid w:val="00B078B8"/>
    <w:rsid w:val="00B07C09"/>
    <w:rsid w:val="00B11587"/>
    <w:rsid w:val="00B13203"/>
    <w:rsid w:val="00B13A54"/>
    <w:rsid w:val="00B13B22"/>
    <w:rsid w:val="00B13CB7"/>
    <w:rsid w:val="00B13D4A"/>
    <w:rsid w:val="00B1427A"/>
    <w:rsid w:val="00B152B8"/>
    <w:rsid w:val="00B1568C"/>
    <w:rsid w:val="00B15ACE"/>
    <w:rsid w:val="00B17C1E"/>
    <w:rsid w:val="00B20442"/>
    <w:rsid w:val="00B20569"/>
    <w:rsid w:val="00B21B31"/>
    <w:rsid w:val="00B21C42"/>
    <w:rsid w:val="00B23364"/>
    <w:rsid w:val="00B2344E"/>
    <w:rsid w:val="00B2362D"/>
    <w:rsid w:val="00B23EA6"/>
    <w:rsid w:val="00B24183"/>
    <w:rsid w:val="00B249FB"/>
    <w:rsid w:val="00B24B71"/>
    <w:rsid w:val="00B25905"/>
    <w:rsid w:val="00B30492"/>
    <w:rsid w:val="00B3124F"/>
    <w:rsid w:val="00B31EAA"/>
    <w:rsid w:val="00B3247B"/>
    <w:rsid w:val="00B33588"/>
    <w:rsid w:val="00B3411C"/>
    <w:rsid w:val="00B342EB"/>
    <w:rsid w:val="00B34B29"/>
    <w:rsid w:val="00B35147"/>
    <w:rsid w:val="00B36266"/>
    <w:rsid w:val="00B3659D"/>
    <w:rsid w:val="00B37948"/>
    <w:rsid w:val="00B405CE"/>
    <w:rsid w:val="00B41F9E"/>
    <w:rsid w:val="00B42EEC"/>
    <w:rsid w:val="00B441DE"/>
    <w:rsid w:val="00B45D45"/>
    <w:rsid w:val="00B45DFA"/>
    <w:rsid w:val="00B4723C"/>
    <w:rsid w:val="00B5088B"/>
    <w:rsid w:val="00B53D7C"/>
    <w:rsid w:val="00B53FB6"/>
    <w:rsid w:val="00B54BA5"/>
    <w:rsid w:val="00B54D01"/>
    <w:rsid w:val="00B54F70"/>
    <w:rsid w:val="00B550B9"/>
    <w:rsid w:val="00B55674"/>
    <w:rsid w:val="00B55D5C"/>
    <w:rsid w:val="00B56CEB"/>
    <w:rsid w:val="00B57FC2"/>
    <w:rsid w:val="00B602E0"/>
    <w:rsid w:val="00B606C1"/>
    <w:rsid w:val="00B607F1"/>
    <w:rsid w:val="00B614B8"/>
    <w:rsid w:val="00B62853"/>
    <w:rsid w:val="00B62EED"/>
    <w:rsid w:val="00B63E15"/>
    <w:rsid w:val="00B63EF0"/>
    <w:rsid w:val="00B65A77"/>
    <w:rsid w:val="00B65D23"/>
    <w:rsid w:val="00B66093"/>
    <w:rsid w:val="00B668A7"/>
    <w:rsid w:val="00B671B6"/>
    <w:rsid w:val="00B673B0"/>
    <w:rsid w:val="00B673D5"/>
    <w:rsid w:val="00B704F8"/>
    <w:rsid w:val="00B705EE"/>
    <w:rsid w:val="00B7092F"/>
    <w:rsid w:val="00B70F37"/>
    <w:rsid w:val="00B71039"/>
    <w:rsid w:val="00B71AFA"/>
    <w:rsid w:val="00B71D6D"/>
    <w:rsid w:val="00B7272C"/>
    <w:rsid w:val="00B72F43"/>
    <w:rsid w:val="00B736A2"/>
    <w:rsid w:val="00B7450F"/>
    <w:rsid w:val="00B74869"/>
    <w:rsid w:val="00B76609"/>
    <w:rsid w:val="00B776DB"/>
    <w:rsid w:val="00B77F15"/>
    <w:rsid w:val="00B806E3"/>
    <w:rsid w:val="00B81F62"/>
    <w:rsid w:val="00B83C6E"/>
    <w:rsid w:val="00B83E14"/>
    <w:rsid w:val="00B846B4"/>
    <w:rsid w:val="00B8534D"/>
    <w:rsid w:val="00B85408"/>
    <w:rsid w:val="00B858F4"/>
    <w:rsid w:val="00B86232"/>
    <w:rsid w:val="00B87253"/>
    <w:rsid w:val="00B90AE7"/>
    <w:rsid w:val="00B91DF4"/>
    <w:rsid w:val="00B9216D"/>
    <w:rsid w:val="00B92BAF"/>
    <w:rsid w:val="00B93660"/>
    <w:rsid w:val="00B93FC6"/>
    <w:rsid w:val="00B942BF"/>
    <w:rsid w:val="00B9448A"/>
    <w:rsid w:val="00B951FD"/>
    <w:rsid w:val="00B95419"/>
    <w:rsid w:val="00B959E5"/>
    <w:rsid w:val="00BA0B0F"/>
    <w:rsid w:val="00BA0F3E"/>
    <w:rsid w:val="00BA2C08"/>
    <w:rsid w:val="00BA4C68"/>
    <w:rsid w:val="00BA560E"/>
    <w:rsid w:val="00BA5662"/>
    <w:rsid w:val="00BA5874"/>
    <w:rsid w:val="00BA5CA0"/>
    <w:rsid w:val="00BA5F09"/>
    <w:rsid w:val="00BA6128"/>
    <w:rsid w:val="00BA7051"/>
    <w:rsid w:val="00BA7C71"/>
    <w:rsid w:val="00BA7D9D"/>
    <w:rsid w:val="00BB041A"/>
    <w:rsid w:val="00BB0975"/>
    <w:rsid w:val="00BB1691"/>
    <w:rsid w:val="00BB1970"/>
    <w:rsid w:val="00BB41F3"/>
    <w:rsid w:val="00BB6429"/>
    <w:rsid w:val="00BB6C5B"/>
    <w:rsid w:val="00BB6E65"/>
    <w:rsid w:val="00BB73BA"/>
    <w:rsid w:val="00BB7CE5"/>
    <w:rsid w:val="00BB7F6B"/>
    <w:rsid w:val="00BC025B"/>
    <w:rsid w:val="00BC0741"/>
    <w:rsid w:val="00BC2519"/>
    <w:rsid w:val="00BC25EB"/>
    <w:rsid w:val="00BC2876"/>
    <w:rsid w:val="00BC36CB"/>
    <w:rsid w:val="00BC52F4"/>
    <w:rsid w:val="00BC5FA0"/>
    <w:rsid w:val="00BC6487"/>
    <w:rsid w:val="00BC6679"/>
    <w:rsid w:val="00BC68BA"/>
    <w:rsid w:val="00BC6F1E"/>
    <w:rsid w:val="00BD0762"/>
    <w:rsid w:val="00BD0E95"/>
    <w:rsid w:val="00BD13B2"/>
    <w:rsid w:val="00BD2CA3"/>
    <w:rsid w:val="00BD3651"/>
    <w:rsid w:val="00BD3C7A"/>
    <w:rsid w:val="00BD4526"/>
    <w:rsid w:val="00BD4ABD"/>
    <w:rsid w:val="00BD4E90"/>
    <w:rsid w:val="00BD51C5"/>
    <w:rsid w:val="00BD6CB7"/>
    <w:rsid w:val="00BD72A3"/>
    <w:rsid w:val="00BD72B1"/>
    <w:rsid w:val="00BD7A9C"/>
    <w:rsid w:val="00BE0819"/>
    <w:rsid w:val="00BE0B3B"/>
    <w:rsid w:val="00BE1DFF"/>
    <w:rsid w:val="00BE2884"/>
    <w:rsid w:val="00BE342F"/>
    <w:rsid w:val="00BE531A"/>
    <w:rsid w:val="00BE5740"/>
    <w:rsid w:val="00BE63E9"/>
    <w:rsid w:val="00BE6936"/>
    <w:rsid w:val="00BE7095"/>
    <w:rsid w:val="00BE75CE"/>
    <w:rsid w:val="00BE78B4"/>
    <w:rsid w:val="00BE79D4"/>
    <w:rsid w:val="00BF004D"/>
    <w:rsid w:val="00BF10B0"/>
    <w:rsid w:val="00BF2371"/>
    <w:rsid w:val="00BF2FBA"/>
    <w:rsid w:val="00BF35C3"/>
    <w:rsid w:val="00BF3BA8"/>
    <w:rsid w:val="00BF3E01"/>
    <w:rsid w:val="00BF5E1C"/>
    <w:rsid w:val="00BF6187"/>
    <w:rsid w:val="00BF6455"/>
    <w:rsid w:val="00BF6CBA"/>
    <w:rsid w:val="00BF6E6F"/>
    <w:rsid w:val="00BF76E6"/>
    <w:rsid w:val="00BF7A38"/>
    <w:rsid w:val="00BF7E11"/>
    <w:rsid w:val="00C001DE"/>
    <w:rsid w:val="00C00EB6"/>
    <w:rsid w:val="00C010C2"/>
    <w:rsid w:val="00C011D2"/>
    <w:rsid w:val="00C01273"/>
    <w:rsid w:val="00C0187E"/>
    <w:rsid w:val="00C020D1"/>
    <w:rsid w:val="00C042F1"/>
    <w:rsid w:val="00C05300"/>
    <w:rsid w:val="00C055D8"/>
    <w:rsid w:val="00C069B0"/>
    <w:rsid w:val="00C06BA3"/>
    <w:rsid w:val="00C0723D"/>
    <w:rsid w:val="00C078C2"/>
    <w:rsid w:val="00C10007"/>
    <w:rsid w:val="00C101FE"/>
    <w:rsid w:val="00C112EA"/>
    <w:rsid w:val="00C113C5"/>
    <w:rsid w:val="00C12D62"/>
    <w:rsid w:val="00C13214"/>
    <w:rsid w:val="00C1455E"/>
    <w:rsid w:val="00C14A06"/>
    <w:rsid w:val="00C14DF4"/>
    <w:rsid w:val="00C14F73"/>
    <w:rsid w:val="00C15623"/>
    <w:rsid w:val="00C15EDC"/>
    <w:rsid w:val="00C169C1"/>
    <w:rsid w:val="00C16AA8"/>
    <w:rsid w:val="00C16D42"/>
    <w:rsid w:val="00C2051A"/>
    <w:rsid w:val="00C205E8"/>
    <w:rsid w:val="00C21496"/>
    <w:rsid w:val="00C228D1"/>
    <w:rsid w:val="00C22CE3"/>
    <w:rsid w:val="00C232C3"/>
    <w:rsid w:val="00C23B89"/>
    <w:rsid w:val="00C23C79"/>
    <w:rsid w:val="00C2478D"/>
    <w:rsid w:val="00C249E9"/>
    <w:rsid w:val="00C24E26"/>
    <w:rsid w:val="00C24EE9"/>
    <w:rsid w:val="00C25075"/>
    <w:rsid w:val="00C25259"/>
    <w:rsid w:val="00C26CB0"/>
    <w:rsid w:val="00C2738A"/>
    <w:rsid w:val="00C27A7F"/>
    <w:rsid w:val="00C316BC"/>
    <w:rsid w:val="00C31D22"/>
    <w:rsid w:val="00C33E43"/>
    <w:rsid w:val="00C350EB"/>
    <w:rsid w:val="00C35491"/>
    <w:rsid w:val="00C358D0"/>
    <w:rsid w:val="00C36B6F"/>
    <w:rsid w:val="00C37028"/>
    <w:rsid w:val="00C40214"/>
    <w:rsid w:val="00C404BB"/>
    <w:rsid w:val="00C406D4"/>
    <w:rsid w:val="00C40D09"/>
    <w:rsid w:val="00C40F7C"/>
    <w:rsid w:val="00C41A3D"/>
    <w:rsid w:val="00C41BA0"/>
    <w:rsid w:val="00C42F56"/>
    <w:rsid w:val="00C44839"/>
    <w:rsid w:val="00C45915"/>
    <w:rsid w:val="00C46689"/>
    <w:rsid w:val="00C46E3F"/>
    <w:rsid w:val="00C47153"/>
    <w:rsid w:val="00C4789D"/>
    <w:rsid w:val="00C47A25"/>
    <w:rsid w:val="00C47C59"/>
    <w:rsid w:val="00C47C80"/>
    <w:rsid w:val="00C47D8C"/>
    <w:rsid w:val="00C50747"/>
    <w:rsid w:val="00C50E9B"/>
    <w:rsid w:val="00C516EC"/>
    <w:rsid w:val="00C535ED"/>
    <w:rsid w:val="00C53E65"/>
    <w:rsid w:val="00C53ECB"/>
    <w:rsid w:val="00C55C0B"/>
    <w:rsid w:val="00C55CFF"/>
    <w:rsid w:val="00C56044"/>
    <w:rsid w:val="00C5765E"/>
    <w:rsid w:val="00C57887"/>
    <w:rsid w:val="00C61666"/>
    <w:rsid w:val="00C63A64"/>
    <w:rsid w:val="00C63DFB"/>
    <w:rsid w:val="00C64609"/>
    <w:rsid w:val="00C6586D"/>
    <w:rsid w:val="00C65D27"/>
    <w:rsid w:val="00C65DC8"/>
    <w:rsid w:val="00C6617C"/>
    <w:rsid w:val="00C6724E"/>
    <w:rsid w:val="00C7007A"/>
    <w:rsid w:val="00C70909"/>
    <w:rsid w:val="00C71660"/>
    <w:rsid w:val="00C71806"/>
    <w:rsid w:val="00C71A39"/>
    <w:rsid w:val="00C72E98"/>
    <w:rsid w:val="00C73093"/>
    <w:rsid w:val="00C73A63"/>
    <w:rsid w:val="00C73D5E"/>
    <w:rsid w:val="00C74827"/>
    <w:rsid w:val="00C74E4B"/>
    <w:rsid w:val="00C752E7"/>
    <w:rsid w:val="00C763A3"/>
    <w:rsid w:val="00C778E5"/>
    <w:rsid w:val="00C77DE9"/>
    <w:rsid w:val="00C807BA"/>
    <w:rsid w:val="00C811A3"/>
    <w:rsid w:val="00C81948"/>
    <w:rsid w:val="00C822CF"/>
    <w:rsid w:val="00C823BB"/>
    <w:rsid w:val="00C8325A"/>
    <w:rsid w:val="00C83FDD"/>
    <w:rsid w:val="00C8504B"/>
    <w:rsid w:val="00C855D9"/>
    <w:rsid w:val="00C8639E"/>
    <w:rsid w:val="00C868E5"/>
    <w:rsid w:val="00C87427"/>
    <w:rsid w:val="00C875A9"/>
    <w:rsid w:val="00C87EC4"/>
    <w:rsid w:val="00C90856"/>
    <w:rsid w:val="00C91390"/>
    <w:rsid w:val="00C91C85"/>
    <w:rsid w:val="00C91FA6"/>
    <w:rsid w:val="00C92388"/>
    <w:rsid w:val="00C9250E"/>
    <w:rsid w:val="00C927F4"/>
    <w:rsid w:val="00C92EEE"/>
    <w:rsid w:val="00C92FA0"/>
    <w:rsid w:val="00C93545"/>
    <w:rsid w:val="00C93E70"/>
    <w:rsid w:val="00C941A1"/>
    <w:rsid w:val="00C94864"/>
    <w:rsid w:val="00C955E3"/>
    <w:rsid w:val="00C96D8C"/>
    <w:rsid w:val="00C970F3"/>
    <w:rsid w:val="00C97925"/>
    <w:rsid w:val="00CA0343"/>
    <w:rsid w:val="00CA034C"/>
    <w:rsid w:val="00CA2E53"/>
    <w:rsid w:val="00CA4625"/>
    <w:rsid w:val="00CA53B1"/>
    <w:rsid w:val="00CA5C62"/>
    <w:rsid w:val="00CA6AFE"/>
    <w:rsid w:val="00CB0469"/>
    <w:rsid w:val="00CB08FC"/>
    <w:rsid w:val="00CB0C82"/>
    <w:rsid w:val="00CB109F"/>
    <w:rsid w:val="00CB22D8"/>
    <w:rsid w:val="00CB4332"/>
    <w:rsid w:val="00CB5C83"/>
    <w:rsid w:val="00CC2798"/>
    <w:rsid w:val="00CC37AC"/>
    <w:rsid w:val="00CC3C0D"/>
    <w:rsid w:val="00CC4B21"/>
    <w:rsid w:val="00CC5670"/>
    <w:rsid w:val="00CC6075"/>
    <w:rsid w:val="00CC7467"/>
    <w:rsid w:val="00CC7968"/>
    <w:rsid w:val="00CD0E17"/>
    <w:rsid w:val="00CD31BA"/>
    <w:rsid w:val="00CD3BC0"/>
    <w:rsid w:val="00CD4285"/>
    <w:rsid w:val="00CD5D74"/>
    <w:rsid w:val="00CD62BE"/>
    <w:rsid w:val="00CD6D08"/>
    <w:rsid w:val="00CD7302"/>
    <w:rsid w:val="00CD768F"/>
    <w:rsid w:val="00CE25F0"/>
    <w:rsid w:val="00CE36C9"/>
    <w:rsid w:val="00CE4D9B"/>
    <w:rsid w:val="00CE55D3"/>
    <w:rsid w:val="00CE5A8C"/>
    <w:rsid w:val="00CE5ABD"/>
    <w:rsid w:val="00CE5EA9"/>
    <w:rsid w:val="00CE78E9"/>
    <w:rsid w:val="00CF0066"/>
    <w:rsid w:val="00CF05EF"/>
    <w:rsid w:val="00CF20FC"/>
    <w:rsid w:val="00CF3035"/>
    <w:rsid w:val="00CF3327"/>
    <w:rsid w:val="00CF36EF"/>
    <w:rsid w:val="00CF3761"/>
    <w:rsid w:val="00CF3A17"/>
    <w:rsid w:val="00CF54A7"/>
    <w:rsid w:val="00CF55A0"/>
    <w:rsid w:val="00CF6020"/>
    <w:rsid w:val="00CF6253"/>
    <w:rsid w:val="00CF6DB9"/>
    <w:rsid w:val="00CF7286"/>
    <w:rsid w:val="00CF7487"/>
    <w:rsid w:val="00D00AD5"/>
    <w:rsid w:val="00D00C53"/>
    <w:rsid w:val="00D01BC1"/>
    <w:rsid w:val="00D0208E"/>
    <w:rsid w:val="00D025AE"/>
    <w:rsid w:val="00D02712"/>
    <w:rsid w:val="00D050A4"/>
    <w:rsid w:val="00D05260"/>
    <w:rsid w:val="00D05A0B"/>
    <w:rsid w:val="00D06B19"/>
    <w:rsid w:val="00D075A5"/>
    <w:rsid w:val="00D07BBD"/>
    <w:rsid w:val="00D07C1E"/>
    <w:rsid w:val="00D11D22"/>
    <w:rsid w:val="00D11D38"/>
    <w:rsid w:val="00D11E89"/>
    <w:rsid w:val="00D1291B"/>
    <w:rsid w:val="00D1396C"/>
    <w:rsid w:val="00D13E87"/>
    <w:rsid w:val="00D14875"/>
    <w:rsid w:val="00D15976"/>
    <w:rsid w:val="00D162D9"/>
    <w:rsid w:val="00D163D6"/>
    <w:rsid w:val="00D167F9"/>
    <w:rsid w:val="00D178E8"/>
    <w:rsid w:val="00D17F5D"/>
    <w:rsid w:val="00D17F79"/>
    <w:rsid w:val="00D200E4"/>
    <w:rsid w:val="00D2030E"/>
    <w:rsid w:val="00D203C7"/>
    <w:rsid w:val="00D21A25"/>
    <w:rsid w:val="00D224EF"/>
    <w:rsid w:val="00D2336D"/>
    <w:rsid w:val="00D23BB0"/>
    <w:rsid w:val="00D250AD"/>
    <w:rsid w:val="00D258BB"/>
    <w:rsid w:val="00D25D63"/>
    <w:rsid w:val="00D25F76"/>
    <w:rsid w:val="00D26152"/>
    <w:rsid w:val="00D26F6B"/>
    <w:rsid w:val="00D2735E"/>
    <w:rsid w:val="00D27BBB"/>
    <w:rsid w:val="00D30380"/>
    <w:rsid w:val="00D3075E"/>
    <w:rsid w:val="00D30A5B"/>
    <w:rsid w:val="00D30D55"/>
    <w:rsid w:val="00D31049"/>
    <w:rsid w:val="00D31607"/>
    <w:rsid w:val="00D317EB"/>
    <w:rsid w:val="00D32BD9"/>
    <w:rsid w:val="00D32DD7"/>
    <w:rsid w:val="00D3320D"/>
    <w:rsid w:val="00D33431"/>
    <w:rsid w:val="00D346D4"/>
    <w:rsid w:val="00D34855"/>
    <w:rsid w:val="00D35EA4"/>
    <w:rsid w:val="00D36FBF"/>
    <w:rsid w:val="00D371C9"/>
    <w:rsid w:val="00D37B6F"/>
    <w:rsid w:val="00D425D7"/>
    <w:rsid w:val="00D42C9A"/>
    <w:rsid w:val="00D4362F"/>
    <w:rsid w:val="00D43824"/>
    <w:rsid w:val="00D43AD9"/>
    <w:rsid w:val="00D444E0"/>
    <w:rsid w:val="00D45617"/>
    <w:rsid w:val="00D475BC"/>
    <w:rsid w:val="00D47974"/>
    <w:rsid w:val="00D47F86"/>
    <w:rsid w:val="00D47FA5"/>
    <w:rsid w:val="00D5014D"/>
    <w:rsid w:val="00D507B0"/>
    <w:rsid w:val="00D50A33"/>
    <w:rsid w:val="00D50E09"/>
    <w:rsid w:val="00D510DA"/>
    <w:rsid w:val="00D5188E"/>
    <w:rsid w:val="00D521BE"/>
    <w:rsid w:val="00D52AF0"/>
    <w:rsid w:val="00D52E3B"/>
    <w:rsid w:val="00D53511"/>
    <w:rsid w:val="00D55322"/>
    <w:rsid w:val="00D57D01"/>
    <w:rsid w:val="00D57EB9"/>
    <w:rsid w:val="00D57FDC"/>
    <w:rsid w:val="00D6035D"/>
    <w:rsid w:val="00D6111F"/>
    <w:rsid w:val="00D61ACA"/>
    <w:rsid w:val="00D62B98"/>
    <w:rsid w:val="00D62CEE"/>
    <w:rsid w:val="00D637C2"/>
    <w:rsid w:val="00D6525B"/>
    <w:rsid w:val="00D6546D"/>
    <w:rsid w:val="00D65716"/>
    <w:rsid w:val="00D65D0D"/>
    <w:rsid w:val="00D664C7"/>
    <w:rsid w:val="00D70726"/>
    <w:rsid w:val="00D7187F"/>
    <w:rsid w:val="00D727D8"/>
    <w:rsid w:val="00D73B08"/>
    <w:rsid w:val="00D73FC3"/>
    <w:rsid w:val="00D74237"/>
    <w:rsid w:val="00D742E6"/>
    <w:rsid w:val="00D74B5C"/>
    <w:rsid w:val="00D74CBB"/>
    <w:rsid w:val="00D75B39"/>
    <w:rsid w:val="00D75E7A"/>
    <w:rsid w:val="00D7676A"/>
    <w:rsid w:val="00D80F19"/>
    <w:rsid w:val="00D8104F"/>
    <w:rsid w:val="00D81119"/>
    <w:rsid w:val="00D81EEC"/>
    <w:rsid w:val="00D825B8"/>
    <w:rsid w:val="00D829CE"/>
    <w:rsid w:val="00D83E1B"/>
    <w:rsid w:val="00D83F05"/>
    <w:rsid w:val="00D84297"/>
    <w:rsid w:val="00D84E48"/>
    <w:rsid w:val="00D864C1"/>
    <w:rsid w:val="00D8739E"/>
    <w:rsid w:val="00D90A82"/>
    <w:rsid w:val="00D915B9"/>
    <w:rsid w:val="00D9288B"/>
    <w:rsid w:val="00D92A1F"/>
    <w:rsid w:val="00D9367A"/>
    <w:rsid w:val="00D94194"/>
    <w:rsid w:val="00D945ED"/>
    <w:rsid w:val="00D95382"/>
    <w:rsid w:val="00D96A88"/>
    <w:rsid w:val="00D96C52"/>
    <w:rsid w:val="00D9750E"/>
    <w:rsid w:val="00DA0534"/>
    <w:rsid w:val="00DA180B"/>
    <w:rsid w:val="00DA1DE2"/>
    <w:rsid w:val="00DA3647"/>
    <w:rsid w:val="00DA3AAD"/>
    <w:rsid w:val="00DA45E9"/>
    <w:rsid w:val="00DA4696"/>
    <w:rsid w:val="00DA48CC"/>
    <w:rsid w:val="00DA560D"/>
    <w:rsid w:val="00DA6441"/>
    <w:rsid w:val="00DA6853"/>
    <w:rsid w:val="00DA6A25"/>
    <w:rsid w:val="00DB1CC9"/>
    <w:rsid w:val="00DB1CD9"/>
    <w:rsid w:val="00DB289B"/>
    <w:rsid w:val="00DB2BC7"/>
    <w:rsid w:val="00DB2D41"/>
    <w:rsid w:val="00DB30B6"/>
    <w:rsid w:val="00DB312B"/>
    <w:rsid w:val="00DB337C"/>
    <w:rsid w:val="00DB3E96"/>
    <w:rsid w:val="00DB421F"/>
    <w:rsid w:val="00DB4804"/>
    <w:rsid w:val="00DB4ACD"/>
    <w:rsid w:val="00DB5234"/>
    <w:rsid w:val="00DB558C"/>
    <w:rsid w:val="00DB605B"/>
    <w:rsid w:val="00DB6102"/>
    <w:rsid w:val="00DB6354"/>
    <w:rsid w:val="00DB6D48"/>
    <w:rsid w:val="00DB751A"/>
    <w:rsid w:val="00DB7669"/>
    <w:rsid w:val="00DB7919"/>
    <w:rsid w:val="00DB7D9F"/>
    <w:rsid w:val="00DB7DB5"/>
    <w:rsid w:val="00DC0529"/>
    <w:rsid w:val="00DC0BF4"/>
    <w:rsid w:val="00DC12A4"/>
    <w:rsid w:val="00DC1552"/>
    <w:rsid w:val="00DC2D0C"/>
    <w:rsid w:val="00DC4684"/>
    <w:rsid w:val="00DC6749"/>
    <w:rsid w:val="00DC7069"/>
    <w:rsid w:val="00DC7704"/>
    <w:rsid w:val="00DC7815"/>
    <w:rsid w:val="00DD036F"/>
    <w:rsid w:val="00DD0CB0"/>
    <w:rsid w:val="00DD101B"/>
    <w:rsid w:val="00DD1922"/>
    <w:rsid w:val="00DD2062"/>
    <w:rsid w:val="00DD2ED9"/>
    <w:rsid w:val="00DD3A82"/>
    <w:rsid w:val="00DD3ABF"/>
    <w:rsid w:val="00DD485C"/>
    <w:rsid w:val="00DD493C"/>
    <w:rsid w:val="00DD4B67"/>
    <w:rsid w:val="00DD5923"/>
    <w:rsid w:val="00DD59A2"/>
    <w:rsid w:val="00DD5FB3"/>
    <w:rsid w:val="00DD71B2"/>
    <w:rsid w:val="00DD72E5"/>
    <w:rsid w:val="00DD79C6"/>
    <w:rsid w:val="00DE0DC5"/>
    <w:rsid w:val="00DE18A6"/>
    <w:rsid w:val="00DE21F1"/>
    <w:rsid w:val="00DE291B"/>
    <w:rsid w:val="00DE33B3"/>
    <w:rsid w:val="00DE4198"/>
    <w:rsid w:val="00DE4492"/>
    <w:rsid w:val="00DE644C"/>
    <w:rsid w:val="00DE6A7A"/>
    <w:rsid w:val="00DE722E"/>
    <w:rsid w:val="00DE763A"/>
    <w:rsid w:val="00DE7B53"/>
    <w:rsid w:val="00DF178B"/>
    <w:rsid w:val="00DF20DB"/>
    <w:rsid w:val="00DF2AE1"/>
    <w:rsid w:val="00DF2C5A"/>
    <w:rsid w:val="00DF3798"/>
    <w:rsid w:val="00DF43C6"/>
    <w:rsid w:val="00DF5A4E"/>
    <w:rsid w:val="00DF6A02"/>
    <w:rsid w:val="00DF6AAA"/>
    <w:rsid w:val="00DF76B4"/>
    <w:rsid w:val="00DF77CC"/>
    <w:rsid w:val="00E00046"/>
    <w:rsid w:val="00E00719"/>
    <w:rsid w:val="00E00B04"/>
    <w:rsid w:val="00E01E69"/>
    <w:rsid w:val="00E01EFE"/>
    <w:rsid w:val="00E01FC9"/>
    <w:rsid w:val="00E0201C"/>
    <w:rsid w:val="00E033D7"/>
    <w:rsid w:val="00E044EC"/>
    <w:rsid w:val="00E0469C"/>
    <w:rsid w:val="00E04DDD"/>
    <w:rsid w:val="00E050BD"/>
    <w:rsid w:val="00E05491"/>
    <w:rsid w:val="00E061EB"/>
    <w:rsid w:val="00E06598"/>
    <w:rsid w:val="00E067A6"/>
    <w:rsid w:val="00E0786D"/>
    <w:rsid w:val="00E079CE"/>
    <w:rsid w:val="00E1015E"/>
    <w:rsid w:val="00E1095A"/>
    <w:rsid w:val="00E128C3"/>
    <w:rsid w:val="00E14E14"/>
    <w:rsid w:val="00E1575C"/>
    <w:rsid w:val="00E15B3C"/>
    <w:rsid w:val="00E161D2"/>
    <w:rsid w:val="00E16263"/>
    <w:rsid w:val="00E169F4"/>
    <w:rsid w:val="00E16ECE"/>
    <w:rsid w:val="00E16F2A"/>
    <w:rsid w:val="00E16F9E"/>
    <w:rsid w:val="00E20045"/>
    <w:rsid w:val="00E22335"/>
    <w:rsid w:val="00E227AF"/>
    <w:rsid w:val="00E228B8"/>
    <w:rsid w:val="00E237D6"/>
    <w:rsid w:val="00E23FE3"/>
    <w:rsid w:val="00E25422"/>
    <w:rsid w:val="00E256C0"/>
    <w:rsid w:val="00E26030"/>
    <w:rsid w:val="00E26462"/>
    <w:rsid w:val="00E27FF5"/>
    <w:rsid w:val="00E30389"/>
    <w:rsid w:val="00E30443"/>
    <w:rsid w:val="00E30A6F"/>
    <w:rsid w:val="00E32226"/>
    <w:rsid w:val="00E33384"/>
    <w:rsid w:val="00E33CAE"/>
    <w:rsid w:val="00E347A1"/>
    <w:rsid w:val="00E348C6"/>
    <w:rsid w:val="00E34D08"/>
    <w:rsid w:val="00E3584C"/>
    <w:rsid w:val="00E36363"/>
    <w:rsid w:val="00E3721B"/>
    <w:rsid w:val="00E37370"/>
    <w:rsid w:val="00E40332"/>
    <w:rsid w:val="00E40F03"/>
    <w:rsid w:val="00E41213"/>
    <w:rsid w:val="00E4124B"/>
    <w:rsid w:val="00E418CE"/>
    <w:rsid w:val="00E41AD1"/>
    <w:rsid w:val="00E421AB"/>
    <w:rsid w:val="00E42515"/>
    <w:rsid w:val="00E428D5"/>
    <w:rsid w:val="00E42CED"/>
    <w:rsid w:val="00E438B9"/>
    <w:rsid w:val="00E43FC0"/>
    <w:rsid w:val="00E447D0"/>
    <w:rsid w:val="00E44B02"/>
    <w:rsid w:val="00E45989"/>
    <w:rsid w:val="00E45FC0"/>
    <w:rsid w:val="00E46620"/>
    <w:rsid w:val="00E4670A"/>
    <w:rsid w:val="00E50C51"/>
    <w:rsid w:val="00E5107A"/>
    <w:rsid w:val="00E52B1C"/>
    <w:rsid w:val="00E52C84"/>
    <w:rsid w:val="00E54A0B"/>
    <w:rsid w:val="00E55C5B"/>
    <w:rsid w:val="00E56DCD"/>
    <w:rsid w:val="00E57807"/>
    <w:rsid w:val="00E6015E"/>
    <w:rsid w:val="00E60815"/>
    <w:rsid w:val="00E60AA3"/>
    <w:rsid w:val="00E61D18"/>
    <w:rsid w:val="00E61EC7"/>
    <w:rsid w:val="00E63CF3"/>
    <w:rsid w:val="00E644F2"/>
    <w:rsid w:val="00E64A75"/>
    <w:rsid w:val="00E6516A"/>
    <w:rsid w:val="00E65370"/>
    <w:rsid w:val="00E65D09"/>
    <w:rsid w:val="00E67E9F"/>
    <w:rsid w:val="00E70EA2"/>
    <w:rsid w:val="00E715FF"/>
    <w:rsid w:val="00E71E0E"/>
    <w:rsid w:val="00E71E66"/>
    <w:rsid w:val="00E72CEC"/>
    <w:rsid w:val="00E737F4"/>
    <w:rsid w:val="00E73A9B"/>
    <w:rsid w:val="00E73BC9"/>
    <w:rsid w:val="00E742BE"/>
    <w:rsid w:val="00E745E4"/>
    <w:rsid w:val="00E746D0"/>
    <w:rsid w:val="00E74D61"/>
    <w:rsid w:val="00E75630"/>
    <w:rsid w:val="00E75909"/>
    <w:rsid w:val="00E75BA3"/>
    <w:rsid w:val="00E76634"/>
    <w:rsid w:val="00E76EC2"/>
    <w:rsid w:val="00E772EB"/>
    <w:rsid w:val="00E77A1A"/>
    <w:rsid w:val="00E77C41"/>
    <w:rsid w:val="00E8015D"/>
    <w:rsid w:val="00E81D2C"/>
    <w:rsid w:val="00E83653"/>
    <w:rsid w:val="00E839D1"/>
    <w:rsid w:val="00E83A88"/>
    <w:rsid w:val="00E83EE6"/>
    <w:rsid w:val="00E846DA"/>
    <w:rsid w:val="00E8521D"/>
    <w:rsid w:val="00E85BEA"/>
    <w:rsid w:val="00E8697F"/>
    <w:rsid w:val="00E86C94"/>
    <w:rsid w:val="00E8714A"/>
    <w:rsid w:val="00E87A53"/>
    <w:rsid w:val="00E90CC2"/>
    <w:rsid w:val="00E90D5D"/>
    <w:rsid w:val="00E9176A"/>
    <w:rsid w:val="00E91954"/>
    <w:rsid w:val="00E91E2D"/>
    <w:rsid w:val="00E92493"/>
    <w:rsid w:val="00E931E9"/>
    <w:rsid w:val="00E9385F"/>
    <w:rsid w:val="00E94621"/>
    <w:rsid w:val="00E964F9"/>
    <w:rsid w:val="00E96A32"/>
    <w:rsid w:val="00E96C8E"/>
    <w:rsid w:val="00E96D31"/>
    <w:rsid w:val="00E97B4B"/>
    <w:rsid w:val="00EA0668"/>
    <w:rsid w:val="00EA116D"/>
    <w:rsid w:val="00EA1279"/>
    <w:rsid w:val="00EA1457"/>
    <w:rsid w:val="00EA1523"/>
    <w:rsid w:val="00EA2D11"/>
    <w:rsid w:val="00EA30A6"/>
    <w:rsid w:val="00EA4E24"/>
    <w:rsid w:val="00EA50FF"/>
    <w:rsid w:val="00EA59BF"/>
    <w:rsid w:val="00EA6172"/>
    <w:rsid w:val="00EA69B6"/>
    <w:rsid w:val="00EA6DF1"/>
    <w:rsid w:val="00EA7007"/>
    <w:rsid w:val="00EA7699"/>
    <w:rsid w:val="00EA7891"/>
    <w:rsid w:val="00EB0C6C"/>
    <w:rsid w:val="00EB48A8"/>
    <w:rsid w:val="00EB4AA8"/>
    <w:rsid w:val="00EB5E79"/>
    <w:rsid w:val="00EB651D"/>
    <w:rsid w:val="00EB7374"/>
    <w:rsid w:val="00EB77D0"/>
    <w:rsid w:val="00EC0244"/>
    <w:rsid w:val="00EC179E"/>
    <w:rsid w:val="00EC1998"/>
    <w:rsid w:val="00EC2928"/>
    <w:rsid w:val="00EC30CC"/>
    <w:rsid w:val="00EC604A"/>
    <w:rsid w:val="00EC6701"/>
    <w:rsid w:val="00EC7E71"/>
    <w:rsid w:val="00ED1A60"/>
    <w:rsid w:val="00ED1AD1"/>
    <w:rsid w:val="00ED21E7"/>
    <w:rsid w:val="00ED2B55"/>
    <w:rsid w:val="00ED3481"/>
    <w:rsid w:val="00ED3AFE"/>
    <w:rsid w:val="00ED4FF0"/>
    <w:rsid w:val="00ED5FB0"/>
    <w:rsid w:val="00ED646E"/>
    <w:rsid w:val="00ED741E"/>
    <w:rsid w:val="00ED78C9"/>
    <w:rsid w:val="00EE0AB3"/>
    <w:rsid w:val="00EE1B1A"/>
    <w:rsid w:val="00EE2311"/>
    <w:rsid w:val="00EE247D"/>
    <w:rsid w:val="00EE27EF"/>
    <w:rsid w:val="00EE33D7"/>
    <w:rsid w:val="00EE378B"/>
    <w:rsid w:val="00EE3D18"/>
    <w:rsid w:val="00EE3D69"/>
    <w:rsid w:val="00EE5820"/>
    <w:rsid w:val="00EE6793"/>
    <w:rsid w:val="00EE6B66"/>
    <w:rsid w:val="00EE6BEE"/>
    <w:rsid w:val="00EE775F"/>
    <w:rsid w:val="00EF018D"/>
    <w:rsid w:val="00EF071F"/>
    <w:rsid w:val="00EF1AA8"/>
    <w:rsid w:val="00EF245C"/>
    <w:rsid w:val="00EF24F7"/>
    <w:rsid w:val="00EF2B48"/>
    <w:rsid w:val="00EF422C"/>
    <w:rsid w:val="00EF4978"/>
    <w:rsid w:val="00EF4FAA"/>
    <w:rsid w:val="00EF54D8"/>
    <w:rsid w:val="00EF5979"/>
    <w:rsid w:val="00EF6038"/>
    <w:rsid w:val="00EF64C9"/>
    <w:rsid w:val="00EF64EA"/>
    <w:rsid w:val="00EF6A30"/>
    <w:rsid w:val="00EF6FD5"/>
    <w:rsid w:val="00EF7106"/>
    <w:rsid w:val="00EF7684"/>
    <w:rsid w:val="00EF77D4"/>
    <w:rsid w:val="00EF78D1"/>
    <w:rsid w:val="00EF7BF0"/>
    <w:rsid w:val="00F00209"/>
    <w:rsid w:val="00F00252"/>
    <w:rsid w:val="00F05C6D"/>
    <w:rsid w:val="00F0642A"/>
    <w:rsid w:val="00F06CAC"/>
    <w:rsid w:val="00F07504"/>
    <w:rsid w:val="00F07567"/>
    <w:rsid w:val="00F077DB"/>
    <w:rsid w:val="00F10354"/>
    <w:rsid w:val="00F11F5D"/>
    <w:rsid w:val="00F12DB1"/>
    <w:rsid w:val="00F13133"/>
    <w:rsid w:val="00F13E3E"/>
    <w:rsid w:val="00F14002"/>
    <w:rsid w:val="00F142AF"/>
    <w:rsid w:val="00F16D7B"/>
    <w:rsid w:val="00F2009A"/>
    <w:rsid w:val="00F2021C"/>
    <w:rsid w:val="00F20439"/>
    <w:rsid w:val="00F215D2"/>
    <w:rsid w:val="00F21AD6"/>
    <w:rsid w:val="00F2262D"/>
    <w:rsid w:val="00F22998"/>
    <w:rsid w:val="00F22B0A"/>
    <w:rsid w:val="00F230B4"/>
    <w:rsid w:val="00F24196"/>
    <w:rsid w:val="00F24265"/>
    <w:rsid w:val="00F25896"/>
    <w:rsid w:val="00F26A54"/>
    <w:rsid w:val="00F27207"/>
    <w:rsid w:val="00F3188B"/>
    <w:rsid w:val="00F31F43"/>
    <w:rsid w:val="00F3260D"/>
    <w:rsid w:val="00F32638"/>
    <w:rsid w:val="00F33931"/>
    <w:rsid w:val="00F33B93"/>
    <w:rsid w:val="00F34633"/>
    <w:rsid w:val="00F346A3"/>
    <w:rsid w:val="00F3478F"/>
    <w:rsid w:val="00F35549"/>
    <w:rsid w:val="00F363EE"/>
    <w:rsid w:val="00F36BB5"/>
    <w:rsid w:val="00F37829"/>
    <w:rsid w:val="00F40B5B"/>
    <w:rsid w:val="00F40F79"/>
    <w:rsid w:val="00F41009"/>
    <w:rsid w:val="00F417CB"/>
    <w:rsid w:val="00F41AEF"/>
    <w:rsid w:val="00F427FC"/>
    <w:rsid w:val="00F428B7"/>
    <w:rsid w:val="00F42B59"/>
    <w:rsid w:val="00F44135"/>
    <w:rsid w:val="00F449FC"/>
    <w:rsid w:val="00F44D3B"/>
    <w:rsid w:val="00F45808"/>
    <w:rsid w:val="00F45C63"/>
    <w:rsid w:val="00F45DF4"/>
    <w:rsid w:val="00F4659C"/>
    <w:rsid w:val="00F47CD7"/>
    <w:rsid w:val="00F50D4B"/>
    <w:rsid w:val="00F511FC"/>
    <w:rsid w:val="00F513DD"/>
    <w:rsid w:val="00F5168C"/>
    <w:rsid w:val="00F529C1"/>
    <w:rsid w:val="00F52C9D"/>
    <w:rsid w:val="00F53566"/>
    <w:rsid w:val="00F53E97"/>
    <w:rsid w:val="00F5404C"/>
    <w:rsid w:val="00F540E8"/>
    <w:rsid w:val="00F54532"/>
    <w:rsid w:val="00F5458A"/>
    <w:rsid w:val="00F54B0F"/>
    <w:rsid w:val="00F54CE3"/>
    <w:rsid w:val="00F54CEE"/>
    <w:rsid w:val="00F559C7"/>
    <w:rsid w:val="00F57C20"/>
    <w:rsid w:val="00F60611"/>
    <w:rsid w:val="00F6189B"/>
    <w:rsid w:val="00F63B32"/>
    <w:rsid w:val="00F63C70"/>
    <w:rsid w:val="00F64D6C"/>
    <w:rsid w:val="00F65482"/>
    <w:rsid w:val="00F67356"/>
    <w:rsid w:val="00F67A8C"/>
    <w:rsid w:val="00F702DD"/>
    <w:rsid w:val="00F71C23"/>
    <w:rsid w:val="00F72A3A"/>
    <w:rsid w:val="00F736B3"/>
    <w:rsid w:val="00F73AAD"/>
    <w:rsid w:val="00F74F93"/>
    <w:rsid w:val="00F75557"/>
    <w:rsid w:val="00F76061"/>
    <w:rsid w:val="00F767DF"/>
    <w:rsid w:val="00F76C94"/>
    <w:rsid w:val="00F77459"/>
    <w:rsid w:val="00F808F3"/>
    <w:rsid w:val="00F81816"/>
    <w:rsid w:val="00F8251B"/>
    <w:rsid w:val="00F82907"/>
    <w:rsid w:val="00F84219"/>
    <w:rsid w:val="00F8506F"/>
    <w:rsid w:val="00F852DA"/>
    <w:rsid w:val="00F853B2"/>
    <w:rsid w:val="00F854A7"/>
    <w:rsid w:val="00F866A8"/>
    <w:rsid w:val="00F87284"/>
    <w:rsid w:val="00F872CC"/>
    <w:rsid w:val="00F87F8F"/>
    <w:rsid w:val="00F905F0"/>
    <w:rsid w:val="00F90996"/>
    <w:rsid w:val="00F91159"/>
    <w:rsid w:val="00F925F2"/>
    <w:rsid w:val="00F93BE5"/>
    <w:rsid w:val="00F9417B"/>
    <w:rsid w:val="00F9441C"/>
    <w:rsid w:val="00F9550A"/>
    <w:rsid w:val="00F960BD"/>
    <w:rsid w:val="00F970FF"/>
    <w:rsid w:val="00F976D6"/>
    <w:rsid w:val="00FA0183"/>
    <w:rsid w:val="00FA14C0"/>
    <w:rsid w:val="00FA376B"/>
    <w:rsid w:val="00FA4436"/>
    <w:rsid w:val="00FA4E84"/>
    <w:rsid w:val="00FA5B70"/>
    <w:rsid w:val="00FA5F16"/>
    <w:rsid w:val="00FA6913"/>
    <w:rsid w:val="00FA6954"/>
    <w:rsid w:val="00FA6D4F"/>
    <w:rsid w:val="00FA6F95"/>
    <w:rsid w:val="00FB0D51"/>
    <w:rsid w:val="00FB13E7"/>
    <w:rsid w:val="00FB1A4A"/>
    <w:rsid w:val="00FB32C2"/>
    <w:rsid w:val="00FB4608"/>
    <w:rsid w:val="00FB503C"/>
    <w:rsid w:val="00FB5B3F"/>
    <w:rsid w:val="00FB7358"/>
    <w:rsid w:val="00FB7409"/>
    <w:rsid w:val="00FB76BA"/>
    <w:rsid w:val="00FC1396"/>
    <w:rsid w:val="00FC1DB0"/>
    <w:rsid w:val="00FC22A6"/>
    <w:rsid w:val="00FC39D5"/>
    <w:rsid w:val="00FC3C97"/>
    <w:rsid w:val="00FC41F3"/>
    <w:rsid w:val="00FC59B4"/>
    <w:rsid w:val="00FC686F"/>
    <w:rsid w:val="00FC701E"/>
    <w:rsid w:val="00FC7955"/>
    <w:rsid w:val="00FD09CF"/>
    <w:rsid w:val="00FD196D"/>
    <w:rsid w:val="00FD1D94"/>
    <w:rsid w:val="00FD230A"/>
    <w:rsid w:val="00FD24C3"/>
    <w:rsid w:val="00FD2D64"/>
    <w:rsid w:val="00FD3D2F"/>
    <w:rsid w:val="00FD3ECB"/>
    <w:rsid w:val="00FD50CA"/>
    <w:rsid w:val="00FD5723"/>
    <w:rsid w:val="00FD65C9"/>
    <w:rsid w:val="00FD6A18"/>
    <w:rsid w:val="00FE005E"/>
    <w:rsid w:val="00FE062A"/>
    <w:rsid w:val="00FE0C38"/>
    <w:rsid w:val="00FE1755"/>
    <w:rsid w:val="00FE1B91"/>
    <w:rsid w:val="00FE30AA"/>
    <w:rsid w:val="00FE3104"/>
    <w:rsid w:val="00FE54B3"/>
    <w:rsid w:val="00FE6B12"/>
    <w:rsid w:val="00FE7413"/>
    <w:rsid w:val="00FE780D"/>
    <w:rsid w:val="00FE7D09"/>
    <w:rsid w:val="00FF033C"/>
    <w:rsid w:val="00FF2016"/>
    <w:rsid w:val="00FF2649"/>
    <w:rsid w:val="00FF2AA4"/>
    <w:rsid w:val="00FF2D06"/>
    <w:rsid w:val="00FF424C"/>
    <w:rsid w:val="00FF4521"/>
    <w:rsid w:val="00FF4DE0"/>
    <w:rsid w:val="00FF5524"/>
    <w:rsid w:val="00FF5DAB"/>
    <w:rsid w:val="00FF64F2"/>
    <w:rsid w:val="00FF6B23"/>
    <w:rsid w:val="00FF6F58"/>
    <w:rsid w:val="00FF748B"/>
    <w:rsid w:val="011A30DE"/>
    <w:rsid w:val="012C6743"/>
    <w:rsid w:val="013B0DE8"/>
    <w:rsid w:val="015A1FF0"/>
    <w:rsid w:val="02A53353"/>
    <w:rsid w:val="02CB7E75"/>
    <w:rsid w:val="02CC6D73"/>
    <w:rsid w:val="03393105"/>
    <w:rsid w:val="04DD011B"/>
    <w:rsid w:val="055211C9"/>
    <w:rsid w:val="05992C9D"/>
    <w:rsid w:val="05AE125F"/>
    <w:rsid w:val="05C3448B"/>
    <w:rsid w:val="064F0DC8"/>
    <w:rsid w:val="06581505"/>
    <w:rsid w:val="072C62C7"/>
    <w:rsid w:val="07632D76"/>
    <w:rsid w:val="07EA773E"/>
    <w:rsid w:val="08923B7D"/>
    <w:rsid w:val="09A82F4A"/>
    <w:rsid w:val="0A2D217F"/>
    <w:rsid w:val="0B945F6F"/>
    <w:rsid w:val="0C7A06E4"/>
    <w:rsid w:val="0C8C56A3"/>
    <w:rsid w:val="0CCC5595"/>
    <w:rsid w:val="0D124909"/>
    <w:rsid w:val="0D185287"/>
    <w:rsid w:val="0D603B13"/>
    <w:rsid w:val="0D616980"/>
    <w:rsid w:val="0E0A2EC4"/>
    <w:rsid w:val="0E0E55CA"/>
    <w:rsid w:val="0E61787B"/>
    <w:rsid w:val="0E8A76E7"/>
    <w:rsid w:val="0E8C2BEA"/>
    <w:rsid w:val="0ED71A24"/>
    <w:rsid w:val="0EDE4BF3"/>
    <w:rsid w:val="0EF23E25"/>
    <w:rsid w:val="0F9F0794"/>
    <w:rsid w:val="0FA80E23"/>
    <w:rsid w:val="101319EE"/>
    <w:rsid w:val="105A4668"/>
    <w:rsid w:val="105E4E09"/>
    <w:rsid w:val="115536C4"/>
    <w:rsid w:val="11F93B8B"/>
    <w:rsid w:val="11FF5A95"/>
    <w:rsid w:val="127C10B4"/>
    <w:rsid w:val="12D578C4"/>
    <w:rsid w:val="12F85CAD"/>
    <w:rsid w:val="1350772B"/>
    <w:rsid w:val="138D080F"/>
    <w:rsid w:val="13E708C4"/>
    <w:rsid w:val="144C19E4"/>
    <w:rsid w:val="144C729A"/>
    <w:rsid w:val="14511761"/>
    <w:rsid w:val="14820EB5"/>
    <w:rsid w:val="14997957"/>
    <w:rsid w:val="14C50C9C"/>
    <w:rsid w:val="16A51FB6"/>
    <w:rsid w:val="16F44C8F"/>
    <w:rsid w:val="18216F24"/>
    <w:rsid w:val="18427D94"/>
    <w:rsid w:val="18725A29"/>
    <w:rsid w:val="19A370D2"/>
    <w:rsid w:val="19E91868"/>
    <w:rsid w:val="19FB0CBC"/>
    <w:rsid w:val="1BA40A59"/>
    <w:rsid w:val="1C1D4D13"/>
    <w:rsid w:val="1C940F54"/>
    <w:rsid w:val="1CF64669"/>
    <w:rsid w:val="1D9A6CC9"/>
    <w:rsid w:val="1E5C3AED"/>
    <w:rsid w:val="1E730468"/>
    <w:rsid w:val="1E8C6612"/>
    <w:rsid w:val="1EEC0BCC"/>
    <w:rsid w:val="1F32252A"/>
    <w:rsid w:val="1F5A7995"/>
    <w:rsid w:val="1FCF29CF"/>
    <w:rsid w:val="201C198C"/>
    <w:rsid w:val="202C6073"/>
    <w:rsid w:val="203019E4"/>
    <w:rsid w:val="206C4F63"/>
    <w:rsid w:val="219914E7"/>
    <w:rsid w:val="21D65D10"/>
    <w:rsid w:val="21EC6631"/>
    <w:rsid w:val="222E182C"/>
    <w:rsid w:val="229009C2"/>
    <w:rsid w:val="22BD058C"/>
    <w:rsid w:val="22D80135"/>
    <w:rsid w:val="22DC716D"/>
    <w:rsid w:val="230B4F32"/>
    <w:rsid w:val="23152B1B"/>
    <w:rsid w:val="233F1C1A"/>
    <w:rsid w:val="23621DAC"/>
    <w:rsid w:val="236553F8"/>
    <w:rsid w:val="23B73EA6"/>
    <w:rsid w:val="23FB5A15"/>
    <w:rsid w:val="244B3B25"/>
    <w:rsid w:val="24F55E48"/>
    <w:rsid w:val="26B6584E"/>
    <w:rsid w:val="26CD37AF"/>
    <w:rsid w:val="28694A73"/>
    <w:rsid w:val="288F719F"/>
    <w:rsid w:val="28DD7712"/>
    <w:rsid w:val="29E7118D"/>
    <w:rsid w:val="2A07545B"/>
    <w:rsid w:val="2A2D0B20"/>
    <w:rsid w:val="2A3240E3"/>
    <w:rsid w:val="2A3B3459"/>
    <w:rsid w:val="2A471CA1"/>
    <w:rsid w:val="2A513E7B"/>
    <w:rsid w:val="2AB12953"/>
    <w:rsid w:val="2B002D1A"/>
    <w:rsid w:val="2B493179"/>
    <w:rsid w:val="2B6129BD"/>
    <w:rsid w:val="2BA74800"/>
    <w:rsid w:val="2BA95732"/>
    <w:rsid w:val="2C0931CD"/>
    <w:rsid w:val="2C393D1C"/>
    <w:rsid w:val="2CD23AFF"/>
    <w:rsid w:val="2D323F34"/>
    <w:rsid w:val="2DCF1834"/>
    <w:rsid w:val="2DDC48AC"/>
    <w:rsid w:val="2E204E3C"/>
    <w:rsid w:val="2EDA1FF8"/>
    <w:rsid w:val="2F2F34F7"/>
    <w:rsid w:val="2F6A4E58"/>
    <w:rsid w:val="2F6F3887"/>
    <w:rsid w:val="346045FB"/>
    <w:rsid w:val="34F32864"/>
    <w:rsid w:val="35D8578F"/>
    <w:rsid w:val="366A7ED3"/>
    <w:rsid w:val="369938DF"/>
    <w:rsid w:val="36E820E6"/>
    <w:rsid w:val="379D2F5B"/>
    <w:rsid w:val="3816377F"/>
    <w:rsid w:val="38263584"/>
    <w:rsid w:val="38B91661"/>
    <w:rsid w:val="394D0C9D"/>
    <w:rsid w:val="397273BD"/>
    <w:rsid w:val="3A4C6DAB"/>
    <w:rsid w:val="3A6F486B"/>
    <w:rsid w:val="3A740CF3"/>
    <w:rsid w:val="3ABE088E"/>
    <w:rsid w:val="3B231504"/>
    <w:rsid w:val="3B2D5F23"/>
    <w:rsid w:val="3BD258C9"/>
    <w:rsid w:val="3D46040E"/>
    <w:rsid w:val="3D584BE3"/>
    <w:rsid w:val="3DFD4F05"/>
    <w:rsid w:val="3F115164"/>
    <w:rsid w:val="3FCD67B6"/>
    <w:rsid w:val="40374367"/>
    <w:rsid w:val="41CC4333"/>
    <w:rsid w:val="41D8176C"/>
    <w:rsid w:val="41EC1732"/>
    <w:rsid w:val="42B93E9D"/>
    <w:rsid w:val="43423065"/>
    <w:rsid w:val="4389705D"/>
    <w:rsid w:val="440305EA"/>
    <w:rsid w:val="44D426B2"/>
    <w:rsid w:val="45C8129C"/>
    <w:rsid w:val="463A65C6"/>
    <w:rsid w:val="46B240CE"/>
    <w:rsid w:val="472E3BD0"/>
    <w:rsid w:val="47350903"/>
    <w:rsid w:val="47536F09"/>
    <w:rsid w:val="476B0980"/>
    <w:rsid w:val="4836790F"/>
    <w:rsid w:val="4889130E"/>
    <w:rsid w:val="489B34E7"/>
    <w:rsid w:val="49394B08"/>
    <w:rsid w:val="493D634C"/>
    <w:rsid w:val="4A176B9D"/>
    <w:rsid w:val="4A6400B9"/>
    <w:rsid w:val="4AA62536"/>
    <w:rsid w:val="4AB25380"/>
    <w:rsid w:val="4BFC604B"/>
    <w:rsid w:val="4DA17BAE"/>
    <w:rsid w:val="4DC014CE"/>
    <w:rsid w:val="4E047B7B"/>
    <w:rsid w:val="4E480FF0"/>
    <w:rsid w:val="4EE924B9"/>
    <w:rsid w:val="4F2E14C6"/>
    <w:rsid w:val="4F730D1A"/>
    <w:rsid w:val="4FAC5BC3"/>
    <w:rsid w:val="505D59E6"/>
    <w:rsid w:val="51510BE7"/>
    <w:rsid w:val="51542485"/>
    <w:rsid w:val="51B52EE5"/>
    <w:rsid w:val="51BA2C30"/>
    <w:rsid w:val="523A78CD"/>
    <w:rsid w:val="526606C2"/>
    <w:rsid w:val="53AB0D9E"/>
    <w:rsid w:val="55BE1FBB"/>
    <w:rsid w:val="55EF7AA2"/>
    <w:rsid w:val="56150435"/>
    <w:rsid w:val="565D5CBC"/>
    <w:rsid w:val="570B4649"/>
    <w:rsid w:val="57EC2C4F"/>
    <w:rsid w:val="59096D0F"/>
    <w:rsid w:val="5935668E"/>
    <w:rsid w:val="59A16797"/>
    <w:rsid w:val="59D70C1E"/>
    <w:rsid w:val="5A0709C0"/>
    <w:rsid w:val="5A0D34CB"/>
    <w:rsid w:val="5B5A5DEF"/>
    <w:rsid w:val="5BD62414"/>
    <w:rsid w:val="5D0C6EAC"/>
    <w:rsid w:val="5D147813"/>
    <w:rsid w:val="5D682100"/>
    <w:rsid w:val="5D751961"/>
    <w:rsid w:val="5E4F1DB4"/>
    <w:rsid w:val="5E872145"/>
    <w:rsid w:val="5F6D7207"/>
    <w:rsid w:val="6004325A"/>
    <w:rsid w:val="60053F36"/>
    <w:rsid w:val="616C4524"/>
    <w:rsid w:val="61D66A13"/>
    <w:rsid w:val="61FD68D7"/>
    <w:rsid w:val="6212058F"/>
    <w:rsid w:val="623779B1"/>
    <w:rsid w:val="63107694"/>
    <w:rsid w:val="63DE0B99"/>
    <w:rsid w:val="643F5B88"/>
    <w:rsid w:val="64C4295D"/>
    <w:rsid w:val="652627C5"/>
    <w:rsid w:val="6545060B"/>
    <w:rsid w:val="66C20165"/>
    <w:rsid w:val="66E005EB"/>
    <w:rsid w:val="679C300B"/>
    <w:rsid w:val="67E64C66"/>
    <w:rsid w:val="68F64A63"/>
    <w:rsid w:val="68F71FC3"/>
    <w:rsid w:val="69255090"/>
    <w:rsid w:val="69EE74C3"/>
    <w:rsid w:val="6A07186C"/>
    <w:rsid w:val="6A3573AB"/>
    <w:rsid w:val="6A450C62"/>
    <w:rsid w:val="6AAE6F15"/>
    <w:rsid w:val="6B2036AC"/>
    <w:rsid w:val="6BE97060"/>
    <w:rsid w:val="6C01543E"/>
    <w:rsid w:val="6C03456A"/>
    <w:rsid w:val="6C2C1F11"/>
    <w:rsid w:val="6C7E3B0E"/>
    <w:rsid w:val="6CE0261F"/>
    <w:rsid w:val="6D70425D"/>
    <w:rsid w:val="6D8952C5"/>
    <w:rsid w:val="6D8A73D2"/>
    <w:rsid w:val="6DB41733"/>
    <w:rsid w:val="6E11368A"/>
    <w:rsid w:val="6E372E5F"/>
    <w:rsid w:val="6E3B25AB"/>
    <w:rsid w:val="6E6D3EF3"/>
    <w:rsid w:val="6E80463B"/>
    <w:rsid w:val="6E997680"/>
    <w:rsid w:val="6EF46D1E"/>
    <w:rsid w:val="6F241291"/>
    <w:rsid w:val="6F685621"/>
    <w:rsid w:val="702412CF"/>
    <w:rsid w:val="70460641"/>
    <w:rsid w:val="704F5C80"/>
    <w:rsid w:val="70A5120A"/>
    <w:rsid w:val="70B62CD5"/>
    <w:rsid w:val="70BF76CF"/>
    <w:rsid w:val="71394751"/>
    <w:rsid w:val="713A21D2"/>
    <w:rsid w:val="71500A63"/>
    <w:rsid w:val="71DE4AF8"/>
    <w:rsid w:val="72241F34"/>
    <w:rsid w:val="72393B34"/>
    <w:rsid w:val="723A1D75"/>
    <w:rsid w:val="729D3AAD"/>
    <w:rsid w:val="72A20E4A"/>
    <w:rsid w:val="730701C4"/>
    <w:rsid w:val="730E33D2"/>
    <w:rsid w:val="734114D4"/>
    <w:rsid w:val="737048A7"/>
    <w:rsid w:val="73BE7F06"/>
    <w:rsid w:val="73CD470A"/>
    <w:rsid w:val="740718AD"/>
    <w:rsid w:val="741C0275"/>
    <w:rsid w:val="74352E35"/>
    <w:rsid w:val="743D52CE"/>
    <w:rsid w:val="74B70E55"/>
    <w:rsid w:val="751402A4"/>
    <w:rsid w:val="752D7B49"/>
    <w:rsid w:val="7535051A"/>
    <w:rsid w:val="756372ED"/>
    <w:rsid w:val="756F664D"/>
    <w:rsid w:val="75C238C0"/>
    <w:rsid w:val="75CF09D8"/>
    <w:rsid w:val="75E066F3"/>
    <w:rsid w:val="75F76041"/>
    <w:rsid w:val="764F4AAF"/>
    <w:rsid w:val="76C02CA8"/>
    <w:rsid w:val="76F1060D"/>
    <w:rsid w:val="77242776"/>
    <w:rsid w:val="77344062"/>
    <w:rsid w:val="778744A6"/>
    <w:rsid w:val="77A71211"/>
    <w:rsid w:val="78437287"/>
    <w:rsid w:val="79801D50"/>
    <w:rsid w:val="79CC23A6"/>
    <w:rsid w:val="7A926A27"/>
    <w:rsid w:val="7AD24B02"/>
    <w:rsid w:val="7B277532"/>
    <w:rsid w:val="7C704BA0"/>
    <w:rsid w:val="7C785C63"/>
    <w:rsid w:val="7CE502B1"/>
    <w:rsid w:val="7D126A3A"/>
    <w:rsid w:val="7D360E20"/>
    <w:rsid w:val="7D3B6123"/>
    <w:rsid w:val="7D987C19"/>
    <w:rsid w:val="7DCC33E6"/>
    <w:rsid w:val="7F640A13"/>
    <w:rsid w:val="7F9A6A74"/>
    <w:rsid w:val="7FA03AC5"/>
    <w:rsid w:val="7FB07016"/>
    <w:rsid w:val="7FDA27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iPriority="99"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18"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qFormat="1"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2"/>
    <w:qFormat/>
    <w:uiPriority w:val="0"/>
    <w:pPr>
      <w:keepNext/>
      <w:keepLines/>
      <w:spacing w:before="340" w:after="330" w:line="578" w:lineRule="auto"/>
      <w:outlineLvl w:val="0"/>
    </w:pPr>
    <w:rPr>
      <w:b/>
      <w:bCs/>
      <w:kern w:val="44"/>
      <w:sz w:val="44"/>
      <w:szCs w:val="44"/>
    </w:rPr>
  </w:style>
  <w:style w:type="paragraph" w:styleId="4">
    <w:name w:val="heading 2"/>
    <w:basedOn w:val="3"/>
    <w:next w:val="1"/>
    <w:link w:val="105"/>
    <w:qFormat/>
    <w:uiPriority w:val="0"/>
    <w:pPr>
      <w:keepNext/>
      <w:keepLines/>
      <w:spacing w:before="260" w:after="260" w:line="416" w:lineRule="auto"/>
      <w:outlineLvl w:val="1"/>
    </w:pPr>
    <w:rPr>
      <w:rFonts w:ascii="Arial" w:hAnsi="Arial" w:eastAsia="黑体"/>
      <w:sz w:val="32"/>
      <w:szCs w:val="32"/>
    </w:rPr>
  </w:style>
  <w:style w:type="paragraph" w:styleId="5">
    <w:name w:val="heading 3"/>
    <w:basedOn w:val="1"/>
    <w:next w:val="1"/>
    <w:link w:val="106"/>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107"/>
    <w:qFormat/>
    <w:uiPriority w:val="0"/>
    <w:pPr>
      <w:keepNext/>
      <w:outlineLvl w:val="3"/>
    </w:pPr>
    <w:rPr>
      <w:sz w:val="28"/>
      <w:szCs w:val="20"/>
    </w:rPr>
  </w:style>
  <w:style w:type="paragraph" w:styleId="7">
    <w:name w:val="heading 5"/>
    <w:basedOn w:val="1"/>
    <w:next w:val="1"/>
    <w:link w:val="108"/>
    <w:qFormat/>
    <w:uiPriority w:val="0"/>
    <w:pPr>
      <w:keepNext/>
      <w:keepLines/>
      <w:spacing w:before="280" w:after="290" w:line="376" w:lineRule="auto"/>
      <w:outlineLvl w:val="4"/>
    </w:pPr>
    <w:rPr>
      <w:b/>
      <w:bCs/>
      <w:sz w:val="28"/>
      <w:szCs w:val="28"/>
    </w:rPr>
  </w:style>
  <w:style w:type="paragraph" w:styleId="8">
    <w:name w:val="heading 6"/>
    <w:basedOn w:val="1"/>
    <w:next w:val="1"/>
    <w:link w:val="109"/>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110"/>
    <w:qFormat/>
    <w:uiPriority w:val="0"/>
    <w:pPr>
      <w:keepNext/>
      <w:keepLines/>
      <w:spacing w:before="240" w:after="64" w:line="320" w:lineRule="auto"/>
      <w:outlineLvl w:val="6"/>
    </w:pPr>
    <w:rPr>
      <w:b/>
      <w:bCs/>
      <w:sz w:val="24"/>
    </w:rPr>
  </w:style>
  <w:style w:type="paragraph" w:styleId="10">
    <w:name w:val="heading 8"/>
    <w:basedOn w:val="1"/>
    <w:next w:val="1"/>
    <w:link w:val="11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112"/>
    <w:qFormat/>
    <w:uiPriority w:val="0"/>
    <w:pPr>
      <w:keepNext/>
      <w:keepLines/>
      <w:spacing w:before="240" w:after="64" w:line="320" w:lineRule="auto"/>
      <w:outlineLvl w:val="8"/>
    </w:pPr>
    <w:rPr>
      <w:rFonts w:ascii="Arial" w:hAnsi="Arial" w:eastAsia="黑体"/>
      <w:szCs w:val="21"/>
    </w:rPr>
  </w:style>
  <w:style w:type="character" w:default="1" w:styleId="89">
    <w:name w:val="Default Paragraph Font"/>
    <w:semiHidden/>
    <w:unhideWhenUsed/>
    <w:qFormat/>
    <w:uiPriority w:val="1"/>
  </w:style>
  <w:style w:type="table" w:default="1" w:styleId="85">
    <w:name w:val="Normal Table"/>
    <w:semiHidden/>
    <w:unhideWhenUsed/>
    <w:qFormat/>
    <w:uiPriority w:val="99"/>
    <w:tblPr>
      <w:tblCellMar>
        <w:top w:w="0" w:type="dxa"/>
        <w:left w:w="108" w:type="dxa"/>
        <w:bottom w:w="0" w:type="dxa"/>
        <w:right w:w="108" w:type="dxa"/>
      </w:tblCellMar>
    </w:tblPr>
  </w:style>
  <w:style w:type="paragraph" w:styleId="2">
    <w:name w:val="macro"/>
    <w:link w:val="160"/>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sz w:val="24"/>
      <w:szCs w:val="24"/>
      <w:lang w:val="en-US" w:eastAsia="zh-CN" w:bidi="ar-SA"/>
    </w:rPr>
  </w:style>
  <w:style w:type="paragraph" w:styleId="12">
    <w:name w:val="List 3"/>
    <w:basedOn w:val="1"/>
    <w:qFormat/>
    <w:uiPriority w:val="0"/>
    <w:pPr>
      <w:widowControl/>
      <w:spacing w:before="120" w:line="360" w:lineRule="exact"/>
      <w:ind w:left="100" w:leftChars="-100" w:hanging="200"/>
    </w:pPr>
    <w:rPr>
      <w:rFonts w:ascii="Garamond" w:hAnsi="Garamond" w:eastAsia="楷体_GB2312"/>
      <w:kern w:val="0"/>
      <w:sz w:val="24"/>
    </w:rPr>
  </w:style>
  <w:style w:type="paragraph" w:styleId="13">
    <w:name w:val="toc 7"/>
    <w:basedOn w:val="1"/>
    <w:next w:val="1"/>
    <w:unhideWhenUsed/>
    <w:qFormat/>
    <w:uiPriority w:val="39"/>
    <w:pPr>
      <w:ind w:left="2520" w:leftChars="1200"/>
    </w:pPr>
    <w:rPr>
      <w:rFonts w:ascii="Calibri" w:hAnsi="Calibri"/>
      <w:szCs w:val="22"/>
    </w:rPr>
  </w:style>
  <w:style w:type="paragraph" w:styleId="14">
    <w:name w:val="List Number 2"/>
    <w:basedOn w:val="1"/>
    <w:qFormat/>
    <w:uiPriority w:val="0"/>
    <w:pPr>
      <w:widowControl/>
      <w:autoSpaceDE w:val="0"/>
      <w:autoSpaceDN w:val="0"/>
    </w:pPr>
    <w:rPr>
      <w:rFonts w:ascii="仿宋体" w:hAnsi="MS Sans Serif" w:eastAsia="仿宋体"/>
      <w:kern w:val="0"/>
      <w:sz w:val="24"/>
      <w:lang w:eastAsia="zh-TW"/>
    </w:rPr>
  </w:style>
  <w:style w:type="paragraph" w:styleId="15">
    <w:name w:val="table of authorities"/>
    <w:basedOn w:val="1"/>
    <w:next w:val="1"/>
    <w:qFormat/>
    <w:uiPriority w:val="0"/>
    <w:pPr>
      <w:widowControl/>
      <w:spacing w:before="120" w:line="360" w:lineRule="exact"/>
      <w:ind w:left="420" w:leftChars="420"/>
    </w:pPr>
    <w:rPr>
      <w:rFonts w:ascii="Garamond" w:hAnsi="Garamond" w:eastAsia="楷体_GB2312"/>
      <w:kern w:val="0"/>
      <w:sz w:val="24"/>
    </w:rPr>
  </w:style>
  <w:style w:type="paragraph" w:styleId="16">
    <w:name w:val="Note Heading"/>
    <w:next w:val="1"/>
    <w:link w:val="161"/>
    <w:qFormat/>
    <w:uiPriority w:val="0"/>
    <w:pPr>
      <w:tabs>
        <w:tab w:val="left" w:pos="720"/>
      </w:tabs>
      <w:wordWrap w:val="0"/>
      <w:snapToGrid w:val="0"/>
      <w:jc w:val="center"/>
    </w:pPr>
    <w:rPr>
      <w:rFonts w:ascii="宋体" w:hAnsiTheme="minorHAnsi" w:eastAsiaTheme="minorEastAsia" w:cstheme="minorBidi"/>
      <w:b/>
      <w:sz w:val="24"/>
      <w:szCs w:val="24"/>
      <w:lang w:val="en-US" w:eastAsia="zh-CN" w:bidi="ar-SA"/>
    </w:rPr>
  </w:style>
  <w:style w:type="paragraph" w:styleId="17">
    <w:name w:val="List Bullet 4"/>
    <w:qFormat/>
    <w:uiPriority w:val="0"/>
    <w:pPr>
      <w:tabs>
        <w:tab w:val="left" w:pos="748"/>
        <w:tab w:val="left" w:pos="2061"/>
        <w:tab w:val="left" w:pos="3240"/>
        <w:tab w:val="left" w:pos="4320"/>
        <w:tab w:val="left" w:pos="5400"/>
        <w:tab w:val="left" w:pos="6480"/>
        <w:tab w:val="left" w:pos="7560"/>
      </w:tabs>
      <w:spacing w:line="360" w:lineRule="exact"/>
      <w:ind w:left="2061" w:hanging="360"/>
    </w:pPr>
    <w:rPr>
      <w:rFonts w:ascii="Garamond" w:hAnsi="Garamond" w:eastAsia="宋体" w:cs="Times New Roman"/>
      <w:sz w:val="24"/>
      <w:szCs w:val="24"/>
      <w:lang w:val="en-US" w:eastAsia="zh-CN" w:bidi="ar-SA"/>
    </w:rPr>
  </w:style>
  <w:style w:type="paragraph" w:styleId="18">
    <w:name w:val="index 8"/>
    <w:basedOn w:val="1"/>
    <w:next w:val="1"/>
    <w:qFormat/>
    <w:uiPriority w:val="0"/>
    <w:pPr>
      <w:widowControl/>
      <w:tabs>
        <w:tab w:val="right" w:leader="dot" w:pos="4320"/>
      </w:tabs>
      <w:spacing w:line="240" w:lineRule="atLeast"/>
      <w:ind w:left="1600" w:hanging="200"/>
      <w:jc w:val="left"/>
    </w:pPr>
    <w:rPr>
      <w:rFonts w:ascii="宋体"/>
      <w:kern w:val="0"/>
      <w:sz w:val="20"/>
      <w:szCs w:val="20"/>
    </w:rPr>
  </w:style>
  <w:style w:type="paragraph" w:styleId="19">
    <w:name w:val="E-mail Signature"/>
    <w:basedOn w:val="1"/>
    <w:link w:val="162"/>
    <w:qFormat/>
    <w:uiPriority w:val="0"/>
    <w:pPr>
      <w:widowControl/>
      <w:spacing w:before="120" w:line="360" w:lineRule="exact"/>
    </w:pPr>
    <w:rPr>
      <w:rFonts w:ascii="Garamond" w:hAnsi="Garamond" w:eastAsia="楷体_GB2312"/>
      <w:kern w:val="0"/>
      <w:sz w:val="24"/>
    </w:rPr>
  </w:style>
  <w:style w:type="paragraph" w:styleId="20">
    <w:name w:val="List Number"/>
    <w:basedOn w:val="1"/>
    <w:link w:val="812"/>
    <w:qFormat/>
    <w:uiPriority w:val="0"/>
    <w:pPr>
      <w:widowControl/>
      <w:numPr>
        <w:ilvl w:val="0"/>
        <w:numId w:val="1"/>
      </w:numPr>
      <w:spacing w:line="360" w:lineRule="auto"/>
    </w:pPr>
    <w:rPr>
      <w:kern w:val="0"/>
      <w:sz w:val="24"/>
    </w:rPr>
  </w:style>
  <w:style w:type="paragraph" w:styleId="21">
    <w:name w:val="Normal Indent"/>
    <w:basedOn w:val="1"/>
    <w:link w:val="232"/>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22">
    <w:name w:val="caption"/>
    <w:basedOn w:val="1"/>
    <w:next w:val="1"/>
    <w:link w:val="427"/>
    <w:unhideWhenUsed/>
    <w:qFormat/>
    <w:uiPriority w:val="0"/>
    <w:rPr>
      <w:rFonts w:ascii="Cambria" w:hAnsi="Cambria" w:eastAsia="黑体"/>
      <w:sz w:val="20"/>
      <w:szCs w:val="20"/>
    </w:rPr>
  </w:style>
  <w:style w:type="paragraph" w:styleId="23">
    <w:name w:val="index 5"/>
    <w:basedOn w:val="1"/>
    <w:next w:val="1"/>
    <w:qFormat/>
    <w:uiPriority w:val="0"/>
    <w:pPr>
      <w:widowControl/>
      <w:tabs>
        <w:tab w:val="right" w:leader="dot" w:pos="4320"/>
      </w:tabs>
      <w:spacing w:line="240" w:lineRule="atLeast"/>
      <w:ind w:left="1000" w:hanging="200"/>
      <w:jc w:val="left"/>
    </w:pPr>
    <w:rPr>
      <w:rFonts w:ascii="宋体"/>
      <w:kern w:val="0"/>
      <w:sz w:val="20"/>
      <w:szCs w:val="20"/>
    </w:rPr>
  </w:style>
  <w:style w:type="paragraph" w:styleId="24">
    <w:name w:val="List Bullet"/>
    <w:basedOn w:val="1"/>
    <w:qFormat/>
    <w:uiPriority w:val="0"/>
    <w:pPr>
      <w:widowControl/>
      <w:tabs>
        <w:tab w:val="left" w:pos="748"/>
      </w:tabs>
      <w:spacing w:line="360" w:lineRule="auto"/>
      <w:ind w:left="748"/>
    </w:pPr>
    <w:rPr>
      <w:kern w:val="0"/>
      <w:szCs w:val="21"/>
    </w:rPr>
  </w:style>
  <w:style w:type="paragraph" w:styleId="25">
    <w:name w:val="envelope address"/>
    <w:basedOn w:val="1"/>
    <w:qFormat/>
    <w:uiPriority w:val="0"/>
    <w:pPr>
      <w:widowControl/>
      <w:snapToGrid w:val="0"/>
      <w:spacing w:before="120" w:line="360" w:lineRule="exact"/>
      <w:ind w:left="100" w:leftChars="100"/>
    </w:pPr>
    <w:rPr>
      <w:rFonts w:ascii="Arial" w:hAnsi="Arial" w:eastAsia="楷体_GB2312" w:cs="Arial"/>
      <w:kern w:val="0"/>
      <w:sz w:val="24"/>
    </w:rPr>
  </w:style>
  <w:style w:type="paragraph" w:styleId="26">
    <w:name w:val="Document Map"/>
    <w:basedOn w:val="1"/>
    <w:link w:val="117"/>
    <w:qFormat/>
    <w:uiPriority w:val="0"/>
    <w:rPr>
      <w:rFonts w:ascii="宋体"/>
      <w:sz w:val="18"/>
      <w:szCs w:val="18"/>
    </w:rPr>
  </w:style>
  <w:style w:type="paragraph" w:styleId="27">
    <w:name w:val="toa heading"/>
    <w:basedOn w:val="1"/>
    <w:next w:val="1"/>
    <w:qFormat/>
    <w:uiPriority w:val="0"/>
    <w:pPr>
      <w:widowControl/>
      <w:spacing w:before="120" w:line="360" w:lineRule="exact"/>
    </w:pPr>
    <w:rPr>
      <w:rFonts w:ascii="Arial" w:hAnsi="Arial" w:cs="Arial"/>
      <w:kern w:val="0"/>
      <w:sz w:val="24"/>
    </w:rPr>
  </w:style>
  <w:style w:type="paragraph" w:styleId="28">
    <w:name w:val="annotation text"/>
    <w:basedOn w:val="1"/>
    <w:link w:val="115"/>
    <w:unhideWhenUsed/>
    <w:qFormat/>
    <w:uiPriority w:val="0"/>
    <w:pPr>
      <w:jc w:val="left"/>
    </w:pPr>
  </w:style>
  <w:style w:type="paragraph" w:styleId="29">
    <w:name w:val="index 6"/>
    <w:basedOn w:val="1"/>
    <w:next w:val="1"/>
    <w:qFormat/>
    <w:uiPriority w:val="0"/>
    <w:pPr>
      <w:widowControl/>
      <w:tabs>
        <w:tab w:val="right" w:leader="dot" w:pos="4320"/>
      </w:tabs>
      <w:spacing w:line="240" w:lineRule="atLeast"/>
      <w:ind w:left="1200" w:hanging="200"/>
      <w:jc w:val="left"/>
    </w:pPr>
    <w:rPr>
      <w:rFonts w:ascii="宋体"/>
      <w:kern w:val="0"/>
      <w:sz w:val="20"/>
      <w:szCs w:val="20"/>
    </w:rPr>
  </w:style>
  <w:style w:type="paragraph" w:styleId="30">
    <w:name w:val="Salutation"/>
    <w:basedOn w:val="1"/>
    <w:next w:val="1"/>
    <w:link w:val="163"/>
    <w:qFormat/>
    <w:uiPriority w:val="0"/>
    <w:pPr>
      <w:widowControl/>
      <w:spacing w:before="120" w:line="360" w:lineRule="exact"/>
    </w:pPr>
    <w:rPr>
      <w:rFonts w:ascii="Garamond" w:hAnsi="Garamond" w:eastAsia="楷体_GB2312"/>
      <w:kern w:val="0"/>
      <w:sz w:val="24"/>
    </w:rPr>
  </w:style>
  <w:style w:type="paragraph" w:styleId="31">
    <w:name w:val="Body Text 3"/>
    <w:basedOn w:val="1"/>
    <w:link w:val="140"/>
    <w:unhideWhenUsed/>
    <w:qFormat/>
    <w:uiPriority w:val="99"/>
    <w:pPr>
      <w:spacing w:after="120"/>
    </w:pPr>
    <w:rPr>
      <w:sz w:val="16"/>
      <w:szCs w:val="16"/>
    </w:rPr>
  </w:style>
  <w:style w:type="paragraph" w:styleId="32">
    <w:name w:val="Closing"/>
    <w:basedOn w:val="1"/>
    <w:link w:val="164"/>
    <w:qFormat/>
    <w:uiPriority w:val="0"/>
    <w:pPr>
      <w:widowControl/>
      <w:ind w:left="4320"/>
      <w:jc w:val="right"/>
    </w:pPr>
    <w:rPr>
      <w:rFonts w:ascii="Arial" w:hAnsi="Arial"/>
      <w:kern w:val="0"/>
      <w:sz w:val="24"/>
      <w:lang w:val="en-GB" w:eastAsia="en-US"/>
    </w:rPr>
  </w:style>
  <w:style w:type="paragraph" w:styleId="33">
    <w:name w:val="List Bullet 3"/>
    <w:basedOn w:val="1"/>
    <w:qFormat/>
    <w:uiPriority w:val="0"/>
    <w:pPr>
      <w:widowControl/>
      <w:numPr>
        <w:ilvl w:val="0"/>
        <w:numId w:val="2"/>
      </w:numPr>
      <w:spacing w:line="360" w:lineRule="auto"/>
    </w:pPr>
    <w:rPr>
      <w:kern w:val="0"/>
      <w:sz w:val="24"/>
    </w:rPr>
  </w:style>
  <w:style w:type="paragraph" w:styleId="34">
    <w:name w:val="Body Text"/>
    <w:basedOn w:val="1"/>
    <w:link w:val="118"/>
    <w:qFormat/>
    <w:uiPriority w:val="0"/>
    <w:rPr>
      <w:sz w:val="28"/>
      <w:szCs w:val="20"/>
    </w:rPr>
  </w:style>
  <w:style w:type="paragraph" w:styleId="35">
    <w:name w:val="Body Text Indent"/>
    <w:basedOn w:val="1"/>
    <w:link w:val="119"/>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36">
    <w:name w:val="List Number 3"/>
    <w:basedOn w:val="20"/>
    <w:qFormat/>
    <w:uiPriority w:val="0"/>
    <w:pPr>
      <w:numPr>
        <w:ilvl w:val="0"/>
        <w:numId w:val="0"/>
      </w:numPr>
      <w:tabs>
        <w:tab w:val="left" w:pos="1696"/>
      </w:tabs>
      <w:spacing w:line="360" w:lineRule="exact"/>
      <w:ind w:left="1696" w:hanging="420"/>
    </w:pPr>
    <w:rPr>
      <w:rFonts w:ascii="Garamond" w:hAnsi="Garamond"/>
    </w:r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widowControl/>
      <w:spacing w:before="120" w:after="120" w:line="360" w:lineRule="exact"/>
      <w:ind w:left="420" w:leftChars="420"/>
    </w:pPr>
    <w:rPr>
      <w:rFonts w:ascii="Garamond" w:hAnsi="Garamond" w:eastAsia="楷体_GB2312"/>
      <w:kern w:val="0"/>
      <w:sz w:val="24"/>
    </w:rPr>
  </w:style>
  <w:style w:type="paragraph" w:styleId="39">
    <w:name w:val="Block Text"/>
    <w:basedOn w:val="1"/>
    <w:qFormat/>
    <w:uiPriority w:val="0"/>
    <w:pPr>
      <w:widowControl/>
      <w:spacing w:before="120" w:after="120" w:line="360" w:lineRule="exact"/>
      <w:ind w:left="1440" w:leftChars="1440" w:right="1440"/>
    </w:pPr>
    <w:rPr>
      <w:rFonts w:ascii="Garamond" w:hAnsi="Garamond" w:eastAsia="楷体_GB2312"/>
      <w:kern w:val="0"/>
      <w:sz w:val="24"/>
    </w:rPr>
  </w:style>
  <w:style w:type="paragraph" w:styleId="40">
    <w:name w:val="List Bullet 2"/>
    <w:basedOn w:val="1"/>
    <w:link w:val="231"/>
    <w:qFormat/>
    <w:uiPriority w:val="0"/>
    <w:pPr>
      <w:widowControl/>
      <w:tabs>
        <w:tab w:val="left" w:pos="1302"/>
      </w:tabs>
      <w:spacing w:line="360" w:lineRule="auto"/>
      <w:ind w:left="168" w:firstLine="400"/>
    </w:pPr>
    <w:rPr>
      <w:kern w:val="0"/>
      <w:sz w:val="24"/>
    </w:rPr>
  </w:style>
  <w:style w:type="paragraph" w:styleId="41">
    <w:name w:val="HTML Address"/>
    <w:basedOn w:val="1"/>
    <w:link w:val="165"/>
    <w:qFormat/>
    <w:uiPriority w:val="0"/>
    <w:pPr>
      <w:widowControl/>
      <w:spacing w:before="120" w:line="360" w:lineRule="exact"/>
    </w:pPr>
    <w:rPr>
      <w:rFonts w:ascii="Garamond" w:hAnsi="Garamond" w:eastAsia="楷体_GB2312"/>
      <w:i/>
      <w:kern w:val="0"/>
      <w:sz w:val="24"/>
    </w:rPr>
  </w:style>
  <w:style w:type="paragraph" w:styleId="42">
    <w:name w:val="index 4"/>
    <w:basedOn w:val="1"/>
    <w:next w:val="1"/>
    <w:qFormat/>
    <w:uiPriority w:val="0"/>
    <w:pPr>
      <w:widowControl/>
      <w:tabs>
        <w:tab w:val="right" w:leader="dot" w:pos="4320"/>
      </w:tabs>
      <w:spacing w:line="240" w:lineRule="atLeast"/>
      <w:ind w:left="800" w:hanging="200"/>
      <w:jc w:val="left"/>
    </w:pPr>
    <w:rPr>
      <w:rFonts w:ascii="宋体"/>
      <w:kern w:val="0"/>
      <w:sz w:val="20"/>
      <w:szCs w:val="20"/>
    </w:rPr>
  </w:style>
  <w:style w:type="paragraph" w:styleId="43">
    <w:name w:val="toc 5"/>
    <w:basedOn w:val="1"/>
    <w:next w:val="1"/>
    <w:unhideWhenUsed/>
    <w:qFormat/>
    <w:uiPriority w:val="39"/>
    <w:pPr>
      <w:ind w:left="1680" w:leftChars="800"/>
    </w:pPr>
    <w:rPr>
      <w:rFonts w:ascii="Calibri" w:hAnsi="Calibri"/>
      <w:szCs w:val="22"/>
    </w:rPr>
  </w:style>
  <w:style w:type="paragraph" w:styleId="44">
    <w:name w:val="toc 3"/>
    <w:basedOn w:val="1"/>
    <w:next w:val="1"/>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45">
    <w:name w:val="Plain Text"/>
    <w:basedOn w:val="1"/>
    <w:link w:val="120"/>
    <w:qFormat/>
    <w:uiPriority w:val="0"/>
    <w:rPr>
      <w:rFonts w:ascii="宋体" w:hAnsi="Courier New"/>
      <w:szCs w:val="20"/>
    </w:rPr>
  </w:style>
  <w:style w:type="paragraph" w:styleId="46">
    <w:name w:val="List Bullet 5"/>
    <w:basedOn w:val="1"/>
    <w:qFormat/>
    <w:uiPriority w:val="0"/>
    <w:pPr>
      <w:widowControl/>
      <w:numPr>
        <w:ilvl w:val="0"/>
        <w:numId w:val="3"/>
      </w:numPr>
      <w:spacing w:after="120" w:line="240" w:lineRule="atLeast"/>
    </w:pPr>
    <w:rPr>
      <w:rFonts w:ascii="宋体" w:hAnsi="宋体"/>
      <w:kern w:val="0"/>
      <w:sz w:val="24"/>
      <w:lang w:val="en-GB"/>
    </w:rPr>
  </w:style>
  <w:style w:type="paragraph" w:styleId="47">
    <w:name w:val="List Number 4"/>
    <w:basedOn w:val="1"/>
    <w:qFormat/>
    <w:uiPriority w:val="0"/>
    <w:pPr>
      <w:widowControl/>
      <w:numPr>
        <w:ilvl w:val="0"/>
        <w:numId w:val="4"/>
      </w:numPr>
      <w:tabs>
        <w:tab w:val="left" w:pos="360"/>
        <w:tab w:val="clear" w:pos="1620"/>
      </w:tabs>
      <w:spacing w:after="80"/>
      <w:ind w:left="340" w:leftChars="0" w:hanging="340"/>
      <w:jc w:val="left"/>
    </w:pPr>
    <w:rPr>
      <w:kern w:val="0"/>
      <w:sz w:val="20"/>
      <w:szCs w:val="20"/>
      <w:lang w:eastAsia="en-US"/>
    </w:rPr>
  </w:style>
  <w:style w:type="paragraph" w:styleId="48">
    <w:name w:val="toc 8"/>
    <w:basedOn w:val="1"/>
    <w:next w:val="1"/>
    <w:unhideWhenUsed/>
    <w:qFormat/>
    <w:uiPriority w:val="39"/>
    <w:pPr>
      <w:ind w:left="2940" w:leftChars="1400"/>
    </w:pPr>
    <w:rPr>
      <w:rFonts w:ascii="Calibri" w:hAnsi="Calibri"/>
      <w:szCs w:val="22"/>
    </w:rPr>
  </w:style>
  <w:style w:type="paragraph" w:styleId="49">
    <w:name w:val="index 3"/>
    <w:basedOn w:val="1"/>
    <w:next w:val="1"/>
    <w:qFormat/>
    <w:uiPriority w:val="0"/>
    <w:pPr>
      <w:widowControl/>
      <w:tabs>
        <w:tab w:val="right" w:leader="dot" w:pos="4320"/>
      </w:tabs>
      <w:spacing w:line="240" w:lineRule="atLeast"/>
      <w:ind w:left="600" w:hanging="200"/>
      <w:jc w:val="left"/>
    </w:pPr>
    <w:rPr>
      <w:rFonts w:ascii="宋体"/>
      <w:kern w:val="0"/>
      <w:sz w:val="20"/>
      <w:szCs w:val="20"/>
    </w:rPr>
  </w:style>
  <w:style w:type="paragraph" w:styleId="50">
    <w:name w:val="Date"/>
    <w:basedOn w:val="1"/>
    <w:next w:val="1"/>
    <w:link w:val="121"/>
    <w:qFormat/>
    <w:uiPriority w:val="0"/>
    <w:pPr>
      <w:ind w:left="100" w:leftChars="2500"/>
    </w:pPr>
    <w:rPr>
      <w:szCs w:val="20"/>
    </w:rPr>
  </w:style>
  <w:style w:type="paragraph" w:styleId="51">
    <w:name w:val="Body Text Indent 2"/>
    <w:basedOn w:val="1"/>
    <w:link w:val="122"/>
    <w:qFormat/>
    <w:uiPriority w:val="0"/>
    <w:pPr>
      <w:spacing w:line="480" w:lineRule="auto"/>
      <w:ind w:firstLine="480" w:firstLineChars="200"/>
    </w:pPr>
    <w:rPr>
      <w:rFonts w:ascii="仿宋_GB2312" w:hAnsi="宋体" w:eastAsia="仿宋_GB2312"/>
      <w:sz w:val="24"/>
    </w:rPr>
  </w:style>
  <w:style w:type="paragraph" w:styleId="52">
    <w:name w:val="endnote text"/>
    <w:basedOn w:val="1"/>
    <w:link w:val="166"/>
    <w:qFormat/>
    <w:uiPriority w:val="0"/>
    <w:pPr>
      <w:widowControl/>
      <w:snapToGrid w:val="0"/>
      <w:spacing w:line="360" w:lineRule="auto"/>
      <w:ind w:firstLine="200"/>
      <w:jc w:val="left"/>
    </w:pPr>
    <w:rPr>
      <w:kern w:val="0"/>
      <w:sz w:val="24"/>
    </w:rPr>
  </w:style>
  <w:style w:type="paragraph" w:styleId="53">
    <w:name w:val="Balloon Text"/>
    <w:basedOn w:val="1"/>
    <w:link w:val="103"/>
    <w:unhideWhenUsed/>
    <w:qFormat/>
    <w:uiPriority w:val="0"/>
    <w:rPr>
      <w:sz w:val="18"/>
      <w:szCs w:val="18"/>
    </w:rPr>
  </w:style>
  <w:style w:type="paragraph" w:styleId="54">
    <w:name w:val="footer"/>
    <w:basedOn w:val="1"/>
    <w:link w:val="114"/>
    <w:unhideWhenUsed/>
    <w:qFormat/>
    <w:uiPriority w:val="99"/>
    <w:pPr>
      <w:tabs>
        <w:tab w:val="center" w:pos="4153"/>
        <w:tab w:val="right" w:pos="8306"/>
      </w:tabs>
      <w:snapToGrid w:val="0"/>
      <w:jc w:val="left"/>
    </w:pPr>
    <w:rPr>
      <w:sz w:val="18"/>
      <w:szCs w:val="18"/>
    </w:rPr>
  </w:style>
  <w:style w:type="paragraph" w:styleId="55">
    <w:name w:val="envelope return"/>
    <w:basedOn w:val="1"/>
    <w:qFormat/>
    <w:uiPriority w:val="0"/>
    <w:pPr>
      <w:widowControl/>
      <w:snapToGrid w:val="0"/>
    </w:pPr>
    <w:rPr>
      <w:rFonts w:ascii="Arial" w:hAnsi="Arial" w:eastAsia="仿宋_GB2312"/>
      <w:kern w:val="0"/>
      <w:szCs w:val="21"/>
    </w:rPr>
  </w:style>
  <w:style w:type="paragraph" w:styleId="56">
    <w:name w:val="header"/>
    <w:basedOn w:val="1"/>
    <w:link w:val="113"/>
    <w:unhideWhenUsed/>
    <w:qFormat/>
    <w:uiPriority w:val="0"/>
    <w:pPr>
      <w:pBdr>
        <w:bottom w:val="single" w:color="auto" w:sz="6" w:space="1"/>
      </w:pBdr>
      <w:tabs>
        <w:tab w:val="center" w:pos="4153"/>
        <w:tab w:val="right" w:pos="8306"/>
      </w:tabs>
      <w:snapToGrid w:val="0"/>
      <w:jc w:val="center"/>
    </w:pPr>
    <w:rPr>
      <w:sz w:val="18"/>
      <w:szCs w:val="18"/>
    </w:rPr>
  </w:style>
  <w:style w:type="paragraph" w:styleId="57">
    <w:name w:val="Signature"/>
    <w:basedOn w:val="1"/>
    <w:link w:val="167"/>
    <w:qFormat/>
    <w:uiPriority w:val="0"/>
    <w:pPr>
      <w:widowControl/>
      <w:spacing w:before="120" w:line="360" w:lineRule="exact"/>
      <w:ind w:left="100" w:leftChars="100"/>
    </w:pPr>
    <w:rPr>
      <w:rFonts w:ascii="Garamond" w:hAnsi="Garamond" w:eastAsia="楷体_GB2312"/>
      <w:kern w:val="0"/>
      <w:sz w:val="24"/>
    </w:rPr>
  </w:style>
  <w:style w:type="paragraph" w:styleId="58">
    <w:name w:val="toc 1"/>
    <w:basedOn w:val="1"/>
    <w:next w:val="1"/>
    <w:qFormat/>
    <w:uiPriority w:val="39"/>
    <w:pPr>
      <w:tabs>
        <w:tab w:val="left" w:pos="567"/>
        <w:tab w:val="left" w:pos="709"/>
        <w:tab w:val="right" w:leader="dot" w:pos="8505"/>
      </w:tabs>
      <w:snapToGrid w:val="0"/>
      <w:spacing w:line="440" w:lineRule="exact"/>
      <w:jc w:val="left"/>
    </w:pPr>
    <w:rPr>
      <w:rFonts w:ascii="宋体" w:hAnsi="宋体"/>
    </w:rPr>
  </w:style>
  <w:style w:type="paragraph" w:styleId="59">
    <w:name w:val="toc 4"/>
    <w:basedOn w:val="1"/>
    <w:next w:val="1"/>
    <w:unhideWhenUsed/>
    <w:qFormat/>
    <w:uiPriority w:val="39"/>
    <w:pPr>
      <w:ind w:left="1260" w:leftChars="600"/>
    </w:pPr>
    <w:rPr>
      <w:rFonts w:ascii="Calibri" w:hAnsi="Calibri"/>
      <w:szCs w:val="22"/>
    </w:rPr>
  </w:style>
  <w:style w:type="paragraph" w:styleId="60">
    <w:name w:val="index heading"/>
    <w:basedOn w:val="1"/>
    <w:next w:val="61"/>
    <w:qFormat/>
    <w:uiPriority w:val="0"/>
    <w:pPr>
      <w:widowControl/>
      <w:spacing w:line="240" w:lineRule="atLeast"/>
      <w:jc w:val="left"/>
    </w:pPr>
    <w:rPr>
      <w:rFonts w:ascii="宋体"/>
      <w:kern w:val="0"/>
      <w:sz w:val="20"/>
      <w:szCs w:val="20"/>
    </w:rPr>
  </w:style>
  <w:style w:type="paragraph" w:styleId="61">
    <w:name w:val="index 1"/>
    <w:basedOn w:val="1"/>
    <w:next w:val="1"/>
    <w:qFormat/>
    <w:uiPriority w:val="0"/>
    <w:pPr>
      <w:spacing w:line="220" w:lineRule="exact"/>
      <w:jc w:val="center"/>
    </w:pPr>
    <w:rPr>
      <w:rFonts w:ascii="仿宋_GB2312" w:eastAsia="仿宋_GB2312"/>
      <w:szCs w:val="21"/>
    </w:rPr>
  </w:style>
  <w:style w:type="paragraph" w:styleId="62">
    <w:name w:val="Subtitle"/>
    <w:basedOn w:val="1"/>
    <w:next w:val="1"/>
    <w:link w:val="123"/>
    <w:qFormat/>
    <w:uiPriority w:val="0"/>
    <w:pPr>
      <w:spacing w:before="240" w:after="60" w:line="312" w:lineRule="auto"/>
      <w:jc w:val="center"/>
      <w:outlineLvl w:val="1"/>
    </w:pPr>
    <w:rPr>
      <w:rFonts w:ascii="Cambria" w:hAnsi="Cambria" w:cs="黑体"/>
      <w:b/>
      <w:bCs/>
      <w:kern w:val="28"/>
      <w:sz w:val="32"/>
      <w:szCs w:val="32"/>
    </w:rPr>
  </w:style>
  <w:style w:type="paragraph" w:styleId="63">
    <w:name w:val="List"/>
    <w:basedOn w:val="1"/>
    <w:qFormat/>
    <w:uiPriority w:val="0"/>
    <w:pPr>
      <w:widowControl/>
      <w:tabs>
        <w:tab w:val="left" w:pos="720"/>
      </w:tabs>
      <w:spacing w:line="360" w:lineRule="auto"/>
      <w:ind w:left="720" w:hanging="720"/>
    </w:pPr>
    <w:rPr>
      <w:rFonts w:ascii="宋体" w:hAnsi="Arial"/>
      <w:kern w:val="0"/>
      <w:sz w:val="24"/>
    </w:rPr>
  </w:style>
  <w:style w:type="paragraph" w:styleId="64">
    <w:name w:val="footnote text"/>
    <w:basedOn w:val="1"/>
    <w:link w:val="152"/>
    <w:unhideWhenUsed/>
    <w:qFormat/>
    <w:uiPriority w:val="0"/>
    <w:pPr>
      <w:adjustRightInd w:val="0"/>
      <w:spacing w:line="312" w:lineRule="atLeast"/>
      <w:jc w:val="left"/>
    </w:pPr>
    <w:rPr>
      <w:kern w:val="0"/>
      <w:sz w:val="18"/>
      <w:szCs w:val="20"/>
      <w:lang w:val="zh-CN"/>
    </w:rPr>
  </w:style>
  <w:style w:type="paragraph" w:styleId="65">
    <w:name w:val="toc 6"/>
    <w:basedOn w:val="1"/>
    <w:next w:val="1"/>
    <w:unhideWhenUsed/>
    <w:qFormat/>
    <w:uiPriority w:val="39"/>
    <w:pPr>
      <w:ind w:left="2100" w:leftChars="1000"/>
    </w:pPr>
    <w:rPr>
      <w:rFonts w:ascii="Calibri" w:hAnsi="Calibri"/>
      <w:szCs w:val="22"/>
    </w:rPr>
  </w:style>
  <w:style w:type="paragraph" w:styleId="66">
    <w:name w:val="List 5"/>
    <w:basedOn w:val="1"/>
    <w:qFormat/>
    <w:uiPriority w:val="0"/>
    <w:pPr>
      <w:widowControl/>
      <w:spacing w:before="120" w:line="360" w:lineRule="exact"/>
      <w:ind w:left="100" w:leftChars="-100" w:hanging="200"/>
    </w:pPr>
    <w:rPr>
      <w:rFonts w:ascii="Garamond" w:hAnsi="Garamond" w:eastAsia="楷体_GB2312"/>
      <w:kern w:val="0"/>
      <w:sz w:val="24"/>
    </w:rPr>
  </w:style>
  <w:style w:type="paragraph" w:styleId="67">
    <w:name w:val="Body Text Indent 3"/>
    <w:basedOn w:val="1"/>
    <w:link w:val="124"/>
    <w:qFormat/>
    <w:uiPriority w:val="0"/>
    <w:pPr>
      <w:spacing w:after="120" w:line="360" w:lineRule="atLeast"/>
      <w:ind w:firstLine="720" w:firstLineChars="300"/>
    </w:pPr>
    <w:rPr>
      <w:sz w:val="24"/>
      <w:szCs w:val="20"/>
    </w:rPr>
  </w:style>
  <w:style w:type="paragraph" w:styleId="68">
    <w:name w:val="index 7"/>
    <w:basedOn w:val="1"/>
    <w:next w:val="1"/>
    <w:qFormat/>
    <w:uiPriority w:val="0"/>
    <w:pPr>
      <w:widowControl/>
      <w:tabs>
        <w:tab w:val="right" w:leader="dot" w:pos="4320"/>
      </w:tabs>
      <w:spacing w:line="240" w:lineRule="atLeast"/>
      <w:ind w:left="1400" w:hanging="200"/>
      <w:jc w:val="left"/>
    </w:pPr>
    <w:rPr>
      <w:rFonts w:ascii="宋体"/>
      <w:kern w:val="0"/>
      <w:sz w:val="20"/>
      <w:szCs w:val="20"/>
    </w:rPr>
  </w:style>
  <w:style w:type="paragraph" w:styleId="69">
    <w:name w:val="index 9"/>
    <w:basedOn w:val="1"/>
    <w:next w:val="1"/>
    <w:qFormat/>
    <w:uiPriority w:val="0"/>
    <w:pPr>
      <w:widowControl/>
      <w:tabs>
        <w:tab w:val="right" w:leader="dot" w:pos="4320"/>
      </w:tabs>
      <w:spacing w:line="240" w:lineRule="atLeast"/>
      <w:ind w:left="1800" w:hanging="200"/>
      <w:jc w:val="left"/>
    </w:pPr>
    <w:rPr>
      <w:rFonts w:ascii="宋体"/>
      <w:kern w:val="0"/>
      <w:sz w:val="20"/>
      <w:szCs w:val="20"/>
    </w:rPr>
  </w:style>
  <w:style w:type="paragraph" w:styleId="70">
    <w:name w:val="table of figures"/>
    <w:basedOn w:val="1"/>
    <w:next w:val="1"/>
    <w:qFormat/>
    <w:uiPriority w:val="0"/>
    <w:pPr>
      <w:widowControl/>
      <w:spacing w:line="360" w:lineRule="auto"/>
      <w:ind w:left="840" w:leftChars="420" w:hanging="420"/>
    </w:pPr>
    <w:rPr>
      <w:kern w:val="0"/>
      <w:sz w:val="24"/>
    </w:rPr>
  </w:style>
  <w:style w:type="paragraph" w:styleId="71">
    <w:name w:val="toc 2"/>
    <w:basedOn w:val="1"/>
    <w:next w:val="1"/>
    <w:qFormat/>
    <w:uiPriority w:val="39"/>
    <w:pPr>
      <w:tabs>
        <w:tab w:val="left" w:pos="567"/>
        <w:tab w:val="right" w:leader="dot" w:pos="8505"/>
        <w:tab w:val="right" w:leader="dot" w:pos="9628"/>
      </w:tabs>
      <w:spacing w:line="440" w:lineRule="exact"/>
    </w:pPr>
  </w:style>
  <w:style w:type="paragraph" w:styleId="72">
    <w:name w:val="toc 9"/>
    <w:basedOn w:val="1"/>
    <w:next w:val="1"/>
    <w:unhideWhenUsed/>
    <w:qFormat/>
    <w:uiPriority w:val="39"/>
    <w:pPr>
      <w:ind w:left="3360" w:leftChars="1600"/>
    </w:pPr>
    <w:rPr>
      <w:rFonts w:ascii="Calibri" w:hAnsi="Calibri"/>
      <w:szCs w:val="22"/>
    </w:rPr>
  </w:style>
  <w:style w:type="paragraph" w:styleId="73">
    <w:name w:val="Body Text 2"/>
    <w:basedOn w:val="1"/>
    <w:link w:val="168"/>
    <w:qFormat/>
    <w:uiPriority w:val="0"/>
    <w:pPr>
      <w:widowControl/>
      <w:spacing w:line="360" w:lineRule="auto"/>
    </w:pPr>
    <w:rPr>
      <w:color w:val="3366FF"/>
      <w:kern w:val="0"/>
      <w:sz w:val="24"/>
    </w:rPr>
  </w:style>
  <w:style w:type="paragraph" w:styleId="74">
    <w:name w:val="List 4"/>
    <w:basedOn w:val="1"/>
    <w:qFormat/>
    <w:uiPriority w:val="0"/>
    <w:pPr>
      <w:widowControl/>
      <w:spacing w:before="120" w:line="360" w:lineRule="exact"/>
      <w:ind w:left="100" w:leftChars="-100" w:hanging="200"/>
    </w:pPr>
    <w:rPr>
      <w:rFonts w:ascii="Garamond" w:hAnsi="Garamond" w:eastAsia="楷体_GB2312"/>
      <w:kern w:val="0"/>
      <w:sz w:val="24"/>
    </w:rPr>
  </w:style>
  <w:style w:type="paragraph" w:styleId="75">
    <w:name w:val="List Continue 2"/>
    <w:basedOn w:val="1"/>
    <w:qFormat/>
    <w:uiPriority w:val="0"/>
    <w:pPr>
      <w:widowControl/>
      <w:spacing w:before="120" w:after="120" w:line="360" w:lineRule="exact"/>
      <w:ind w:left="840" w:leftChars="840"/>
    </w:pPr>
    <w:rPr>
      <w:rFonts w:ascii="Garamond" w:hAnsi="Garamond" w:eastAsia="楷体_GB2312"/>
      <w:kern w:val="0"/>
      <w:sz w:val="24"/>
    </w:rPr>
  </w:style>
  <w:style w:type="paragraph" w:styleId="76">
    <w:name w:val="Message Header"/>
    <w:basedOn w:val="1"/>
    <w:link w:val="169"/>
    <w:qFormat/>
    <w:uiPriority w:val="0"/>
    <w:pPr>
      <w:widowControl/>
      <w:pBdr>
        <w:top w:val="single" w:color="000000" w:sz="6" w:space="1"/>
        <w:left w:val="single" w:color="000000" w:sz="6" w:space="1"/>
        <w:bottom w:val="single" w:color="000000" w:sz="6" w:space="1"/>
        <w:right w:val="single" w:color="000000" w:sz="6" w:space="1"/>
      </w:pBdr>
      <w:shd w:val="pct20" w:color="000000" w:fill="auto"/>
      <w:spacing w:before="120" w:line="360" w:lineRule="exact"/>
      <w:ind w:left="1080" w:hanging="1080"/>
    </w:pPr>
    <w:rPr>
      <w:rFonts w:ascii="Arial" w:hAnsi="Arial" w:eastAsia="楷体_GB2312" w:cs="Arial"/>
      <w:kern w:val="0"/>
      <w:sz w:val="24"/>
    </w:rPr>
  </w:style>
  <w:style w:type="paragraph" w:styleId="77">
    <w:name w:val="HTML Preformatted"/>
    <w:basedOn w:val="1"/>
    <w:link w:val="17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color w:val="000000"/>
      <w:kern w:val="0"/>
      <w:szCs w:val="21"/>
    </w:rPr>
  </w:style>
  <w:style w:type="paragraph" w:styleId="78">
    <w:name w:val="Normal (Web)"/>
    <w:basedOn w:val="1"/>
    <w:unhideWhenUsed/>
    <w:qFormat/>
    <w:uiPriority w:val="99"/>
    <w:pPr>
      <w:widowControl/>
      <w:spacing w:before="100" w:beforeAutospacing="1" w:after="100" w:afterAutospacing="1"/>
      <w:jc w:val="left"/>
    </w:pPr>
    <w:rPr>
      <w:rFonts w:ascii="ˎ̥" w:hAnsi="ˎ̥" w:cs="宋体"/>
      <w:kern w:val="0"/>
      <w:sz w:val="24"/>
    </w:rPr>
  </w:style>
  <w:style w:type="paragraph" w:styleId="79">
    <w:name w:val="List Continue 3"/>
    <w:basedOn w:val="1"/>
    <w:qFormat/>
    <w:uiPriority w:val="0"/>
    <w:pPr>
      <w:widowControl/>
      <w:spacing w:before="120" w:after="120" w:line="360" w:lineRule="exact"/>
      <w:ind w:left="1260" w:leftChars="1260"/>
    </w:pPr>
    <w:rPr>
      <w:rFonts w:ascii="Garamond" w:hAnsi="Garamond" w:eastAsia="楷体_GB2312"/>
      <w:kern w:val="0"/>
      <w:sz w:val="24"/>
    </w:rPr>
  </w:style>
  <w:style w:type="paragraph" w:styleId="80">
    <w:name w:val="index 2"/>
    <w:basedOn w:val="1"/>
    <w:next w:val="1"/>
    <w:qFormat/>
    <w:uiPriority w:val="0"/>
    <w:pPr>
      <w:widowControl/>
      <w:tabs>
        <w:tab w:val="right" w:leader="dot" w:pos="4320"/>
      </w:tabs>
      <w:spacing w:line="240" w:lineRule="atLeast"/>
      <w:ind w:left="400" w:hanging="200"/>
      <w:jc w:val="left"/>
    </w:pPr>
    <w:rPr>
      <w:rFonts w:ascii="宋体"/>
      <w:kern w:val="0"/>
      <w:sz w:val="20"/>
      <w:szCs w:val="20"/>
    </w:rPr>
  </w:style>
  <w:style w:type="paragraph" w:styleId="81">
    <w:name w:val="Title"/>
    <w:basedOn w:val="1"/>
    <w:next w:val="1"/>
    <w:link w:val="125"/>
    <w:qFormat/>
    <w:uiPriority w:val="10"/>
    <w:pPr>
      <w:spacing w:before="240" w:after="60"/>
      <w:jc w:val="center"/>
      <w:outlineLvl w:val="0"/>
    </w:pPr>
    <w:rPr>
      <w:rFonts w:ascii="Cambria" w:hAnsi="Cambria"/>
      <w:b/>
      <w:bCs/>
      <w:sz w:val="32"/>
      <w:szCs w:val="32"/>
    </w:rPr>
  </w:style>
  <w:style w:type="paragraph" w:styleId="82">
    <w:name w:val="annotation subject"/>
    <w:basedOn w:val="28"/>
    <w:next w:val="28"/>
    <w:link w:val="116"/>
    <w:qFormat/>
    <w:uiPriority w:val="0"/>
    <w:rPr>
      <w:b/>
      <w:bCs/>
      <w:szCs w:val="20"/>
    </w:rPr>
  </w:style>
  <w:style w:type="paragraph" w:styleId="83">
    <w:name w:val="Body Text First Indent"/>
    <w:basedOn w:val="34"/>
    <w:link w:val="171"/>
    <w:qFormat/>
    <w:uiPriority w:val="0"/>
    <w:pPr>
      <w:widowControl/>
      <w:tabs>
        <w:tab w:val="left" w:pos="1361"/>
      </w:tabs>
      <w:spacing w:after="120" w:line="360" w:lineRule="auto"/>
      <w:ind w:left="1361" w:firstLine="100"/>
    </w:pPr>
    <w:rPr>
      <w:kern w:val="0"/>
      <w:sz w:val="24"/>
      <w:szCs w:val="24"/>
    </w:rPr>
  </w:style>
  <w:style w:type="paragraph" w:styleId="84">
    <w:name w:val="Body Text First Indent 2"/>
    <w:basedOn w:val="35"/>
    <w:link w:val="172"/>
    <w:qFormat/>
    <w:uiPriority w:val="0"/>
    <w:pPr>
      <w:widowControl/>
      <w:autoSpaceDE/>
      <w:autoSpaceDN/>
      <w:adjustRightInd/>
      <w:spacing w:line="240" w:lineRule="auto"/>
      <w:ind w:left="420" w:leftChars="420" w:firstLine="420"/>
    </w:pPr>
    <w:rPr>
      <w:rFonts w:ascii="Times New Roman" w:eastAsia="宋体"/>
      <w:sz w:val="21"/>
      <w:szCs w:val="21"/>
    </w:rPr>
  </w:style>
  <w:style w:type="table" w:styleId="86">
    <w:name w:val="Table Grid"/>
    <w:basedOn w:val="8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7">
    <w:name w:val="Table Theme"/>
    <w:basedOn w:val="85"/>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Professional"/>
    <w:basedOn w:val="85"/>
    <w:qFormat/>
    <w:uiPriority w:val="0"/>
    <w:pPr>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000000" w:fill="auto"/>
    </w:tcPr>
    <w:tblStylePr w:type="firstRow">
      <w:rPr>
        <w:b/>
        <w:color w:val="auto"/>
      </w:rPr>
      <w:tblPr/>
      <w:tcPr>
        <w:tcBorders>
          <w:tl2br w:val="nil"/>
          <w:tr2bl w:val="nil"/>
        </w:tcBorders>
        <w:shd w:val="solid" w:color="000000" w:fill="FFFFFF"/>
      </w:tcPr>
    </w:tblStylePr>
  </w:style>
  <w:style w:type="character" w:styleId="90">
    <w:name w:val="Strong"/>
    <w:qFormat/>
    <w:uiPriority w:val="22"/>
    <w:rPr>
      <w:b/>
      <w:bCs/>
    </w:rPr>
  </w:style>
  <w:style w:type="character" w:styleId="91">
    <w:name w:val="page number"/>
    <w:basedOn w:val="89"/>
    <w:qFormat/>
    <w:uiPriority w:val="0"/>
  </w:style>
  <w:style w:type="character" w:styleId="92">
    <w:name w:val="FollowedHyperlink"/>
    <w:qFormat/>
    <w:uiPriority w:val="0"/>
    <w:rPr>
      <w:color w:val="800080"/>
      <w:u w:val="single"/>
    </w:rPr>
  </w:style>
  <w:style w:type="character" w:styleId="93">
    <w:name w:val="Emphasis"/>
    <w:qFormat/>
    <w:uiPriority w:val="18"/>
    <w:rPr>
      <w:rFonts w:ascii="宋体" w:hAnsi="宋体" w:eastAsia="宋体"/>
      <w:color w:val="CC0000"/>
      <w:sz w:val="22"/>
      <w:szCs w:val="22"/>
      <w:lang w:val="en-US" w:eastAsia="zh-CN" w:bidi="ar-SA"/>
    </w:rPr>
  </w:style>
  <w:style w:type="character" w:styleId="94">
    <w:name w:val="line number"/>
    <w:qFormat/>
    <w:uiPriority w:val="0"/>
  </w:style>
  <w:style w:type="character" w:styleId="95">
    <w:name w:val="Hyperlink"/>
    <w:qFormat/>
    <w:uiPriority w:val="99"/>
    <w:rPr>
      <w:color w:val="0000FF"/>
      <w:u w:val="single"/>
    </w:rPr>
  </w:style>
  <w:style w:type="character" w:styleId="96">
    <w:name w:val="annotation reference"/>
    <w:qFormat/>
    <w:uiPriority w:val="0"/>
    <w:rPr>
      <w:sz w:val="21"/>
      <w:szCs w:val="21"/>
    </w:rPr>
  </w:style>
  <w:style w:type="character" w:styleId="97">
    <w:name w:val="footnote reference"/>
    <w:qFormat/>
    <w:uiPriority w:val="0"/>
    <w:rPr>
      <w:vertAlign w:val="superscript"/>
    </w:rPr>
  </w:style>
  <w:style w:type="paragraph" w:customStyle="1" w:styleId="98">
    <w:name w:val="Default"/>
    <w:link w:val="72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9">
    <w:name w:val="正文一"/>
    <w:basedOn w:val="1"/>
    <w:link w:val="544"/>
    <w:qFormat/>
    <w:uiPriority w:val="0"/>
    <w:pPr>
      <w:widowControl/>
      <w:ind w:firstLine="200"/>
    </w:pPr>
    <w:rPr>
      <w:rFonts w:ascii="宋体" w:hAnsi="宋体"/>
      <w:kern w:val="0"/>
      <w:sz w:val="28"/>
      <w:szCs w:val="28"/>
    </w:rPr>
  </w:style>
  <w:style w:type="paragraph" w:customStyle="1" w:styleId="100">
    <w:name w:val="bt1bt1"/>
    <w:basedOn w:val="3"/>
    <w:qFormat/>
    <w:uiPriority w:val="0"/>
    <w:pPr>
      <w:spacing w:line="240" w:lineRule="auto"/>
      <w:jc w:val="center"/>
    </w:pPr>
    <w:rPr>
      <w:rFonts w:ascii="黑体" w:eastAsia="黑体"/>
      <w:b w:val="0"/>
      <w:sz w:val="36"/>
      <w:szCs w:val="36"/>
    </w:rPr>
  </w:style>
  <w:style w:type="paragraph" w:styleId="101">
    <w:name w:val="List Paragraph"/>
    <w:basedOn w:val="1"/>
    <w:link w:val="156"/>
    <w:unhideWhenUsed/>
    <w:qFormat/>
    <w:uiPriority w:val="34"/>
    <w:pPr>
      <w:ind w:firstLine="420" w:firstLineChars="200"/>
    </w:pPr>
  </w:style>
  <w:style w:type="character" w:customStyle="1" w:styleId="102">
    <w:name w:val="标题 1 字符"/>
    <w:basedOn w:val="89"/>
    <w:link w:val="3"/>
    <w:qFormat/>
    <w:uiPriority w:val="0"/>
    <w:rPr>
      <w:rFonts w:ascii="Times New Roman" w:hAnsi="Times New Roman" w:eastAsia="宋体" w:cs="Times New Roman"/>
      <w:b/>
      <w:bCs/>
      <w:kern w:val="44"/>
      <w:sz w:val="44"/>
      <w:szCs w:val="44"/>
    </w:rPr>
  </w:style>
  <w:style w:type="character" w:customStyle="1" w:styleId="103">
    <w:name w:val="批注框文本 字符"/>
    <w:basedOn w:val="89"/>
    <w:link w:val="53"/>
    <w:qFormat/>
    <w:uiPriority w:val="0"/>
    <w:rPr>
      <w:rFonts w:ascii="Times New Roman" w:hAnsi="Times New Roman" w:eastAsia="宋体" w:cs="Times New Roman"/>
      <w:sz w:val="18"/>
      <w:szCs w:val="18"/>
    </w:rPr>
  </w:style>
  <w:style w:type="paragraph" w:customStyle="1" w:styleId="10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5">
    <w:name w:val="标题 2 字符"/>
    <w:basedOn w:val="89"/>
    <w:link w:val="4"/>
    <w:qFormat/>
    <w:uiPriority w:val="9"/>
    <w:rPr>
      <w:rFonts w:ascii="Arial" w:hAnsi="Arial" w:eastAsia="黑体" w:cs="Times New Roman"/>
      <w:b/>
      <w:bCs/>
      <w:sz w:val="32"/>
      <w:szCs w:val="32"/>
    </w:rPr>
  </w:style>
  <w:style w:type="character" w:customStyle="1" w:styleId="106">
    <w:name w:val="标题 3 字符"/>
    <w:basedOn w:val="89"/>
    <w:link w:val="5"/>
    <w:qFormat/>
    <w:uiPriority w:val="0"/>
    <w:rPr>
      <w:rFonts w:ascii="黑体" w:hAnsi="Times New Roman" w:eastAsia="黑体" w:cs="Times New Roman"/>
      <w:kern w:val="0"/>
      <w:sz w:val="28"/>
      <w:szCs w:val="20"/>
    </w:rPr>
  </w:style>
  <w:style w:type="character" w:customStyle="1" w:styleId="107">
    <w:name w:val="标题 4 字符"/>
    <w:basedOn w:val="89"/>
    <w:link w:val="6"/>
    <w:qFormat/>
    <w:uiPriority w:val="0"/>
    <w:rPr>
      <w:rFonts w:ascii="Times New Roman" w:hAnsi="Times New Roman" w:eastAsia="宋体" w:cs="Times New Roman"/>
      <w:sz w:val="28"/>
      <w:szCs w:val="20"/>
    </w:rPr>
  </w:style>
  <w:style w:type="character" w:customStyle="1" w:styleId="108">
    <w:name w:val="标题 5 字符"/>
    <w:basedOn w:val="89"/>
    <w:link w:val="7"/>
    <w:qFormat/>
    <w:uiPriority w:val="0"/>
    <w:rPr>
      <w:rFonts w:ascii="Times New Roman" w:hAnsi="Times New Roman" w:eastAsia="宋体" w:cs="Times New Roman"/>
      <w:b/>
      <w:bCs/>
      <w:sz w:val="28"/>
      <w:szCs w:val="28"/>
    </w:rPr>
  </w:style>
  <w:style w:type="character" w:customStyle="1" w:styleId="109">
    <w:name w:val="标题 6 字符"/>
    <w:basedOn w:val="89"/>
    <w:link w:val="8"/>
    <w:qFormat/>
    <w:uiPriority w:val="0"/>
    <w:rPr>
      <w:rFonts w:ascii="Arial" w:hAnsi="Arial" w:eastAsia="黑体" w:cs="Times New Roman"/>
      <w:b/>
      <w:bCs/>
      <w:sz w:val="24"/>
      <w:szCs w:val="24"/>
    </w:rPr>
  </w:style>
  <w:style w:type="character" w:customStyle="1" w:styleId="110">
    <w:name w:val="标题 7 字符"/>
    <w:basedOn w:val="89"/>
    <w:link w:val="9"/>
    <w:qFormat/>
    <w:uiPriority w:val="0"/>
    <w:rPr>
      <w:rFonts w:ascii="Times New Roman" w:hAnsi="Times New Roman" w:eastAsia="宋体" w:cs="Times New Roman"/>
      <w:b/>
      <w:bCs/>
      <w:sz w:val="24"/>
      <w:szCs w:val="24"/>
    </w:rPr>
  </w:style>
  <w:style w:type="character" w:customStyle="1" w:styleId="111">
    <w:name w:val="标题 8 字符"/>
    <w:basedOn w:val="89"/>
    <w:link w:val="10"/>
    <w:qFormat/>
    <w:uiPriority w:val="0"/>
    <w:rPr>
      <w:rFonts w:ascii="Arial" w:hAnsi="Arial" w:eastAsia="黑体" w:cs="Times New Roman"/>
      <w:sz w:val="24"/>
      <w:szCs w:val="24"/>
    </w:rPr>
  </w:style>
  <w:style w:type="character" w:customStyle="1" w:styleId="112">
    <w:name w:val="标题 9 字符"/>
    <w:basedOn w:val="89"/>
    <w:link w:val="11"/>
    <w:qFormat/>
    <w:uiPriority w:val="0"/>
    <w:rPr>
      <w:rFonts w:ascii="Arial" w:hAnsi="Arial" w:eastAsia="黑体" w:cs="Times New Roman"/>
      <w:szCs w:val="21"/>
    </w:rPr>
  </w:style>
  <w:style w:type="character" w:customStyle="1" w:styleId="113">
    <w:name w:val="页眉 字符"/>
    <w:basedOn w:val="89"/>
    <w:link w:val="56"/>
    <w:qFormat/>
    <w:uiPriority w:val="0"/>
    <w:rPr>
      <w:rFonts w:ascii="Times New Roman" w:hAnsi="Times New Roman" w:eastAsia="宋体" w:cs="Times New Roman"/>
      <w:sz w:val="18"/>
      <w:szCs w:val="18"/>
    </w:rPr>
  </w:style>
  <w:style w:type="character" w:customStyle="1" w:styleId="114">
    <w:name w:val="页脚 字符"/>
    <w:basedOn w:val="89"/>
    <w:link w:val="54"/>
    <w:qFormat/>
    <w:uiPriority w:val="99"/>
    <w:rPr>
      <w:rFonts w:ascii="Times New Roman" w:hAnsi="Times New Roman" w:eastAsia="宋体" w:cs="Times New Roman"/>
      <w:sz w:val="18"/>
      <w:szCs w:val="18"/>
    </w:rPr>
  </w:style>
  <w:style w:type="character" w:customStyle="1" w:styleId="115">
    <w:name w:val="批注文字 字符"/>
    <w:basedOn w:val="89"/>
    <w:link w:val="28"/>
    <w:qFormat/>
    <w:uiPriority w:val="0"/>
    <w:rPr>
      <w:rFonts w:ascii="Times New Roman" w:hAnsi="Times New Roman" w:eastAsia="宋体" w:cs="Times New Roman"/>
      <w:szCs w:val="24"/>
    </w:rPr>
  </w:style>
  <w:style w:type="character" w:customStyle="1" w:styleId="116">
    <w:name w:val="批注主题 字符"/>
    <w:basedOn w:val="115"/>
    <w:link w:val="82"/>
    <w:qFormat/>
    <w:uiPriority w:val="0"/>
    <w:rPr>
      <w:rFonts w:ascii="Times New Roman" w:hAnsi="Times New Roman" w:eastAsia="宋体" w:cs="Times New Roman"/>
      <w:b/>
      <w:bCs/>
      <w:szCs w:val="20"/>
    </w:rPr>
  </w:style>
  <w:style w:type="character" w:customStyle="1" w:styleId="117">
    <w:name w:val="文档结构图 字符"/>
    <w:basedOn w:val="89"/>
    <w:link w:val="26"/>
    <w:qFormat/>
    <w:uiPriority w:val="0"/>
    <w:rPr>
      <w:rFonts w:ascii="宋体" w:hAnsi="Times New Roman" w:eastAsia="宋体" w:cs="Times New Roman"/>
      <w:sz w:val="18"/>
      <w:szCs w:val="18"/>
    </w:rPr>
  </w:style>
  <w:style w:type="character" w:customStyle="1" w:styleId="118">
    <w:name w:val="正文文本 字符"/>
    <w:basedOn w:val="89"/>
    <w:link w:val="34"/>
    <w:qFormat/>
    <w:uiPriority w:val="0"/>
    <w:rPr>
      <w:rFonts w:ascii="Times New Roman" w:hAnsi="Times New Roman" w:eastAsia="宋体" w:cs="Times New Roman"/>
      <w:sz w:val="28"/>
      <w:szCs w:val="20"/>
    </w:rPr>
  </w:style>
  <w:style w:type="character" w:customStyle="1" w:styleId="119">
    <w:name w:val="正文文本缩进 字符"/>
    <w:basedOn w:val="89"/>
    <w:link w:val="35"/>
    <w:qFormat/>
    <w:uiPriority w:val="0"/>
    <w:rPr>
      <w:rFonts w:ascii="楷体_GB2312" w:hAnsi="Times New Roman" w:eastAsia="楷体_GB2312" w:cs="Times New Roman"/>
      <w:kern w:val="0"/>
      <w:sz w:val="28"/>
      <w:szCs w:val="20"/>
    </w:rPr>
  </w:style>
  <w:style w:type="character" w:customStyle="1" w:styleId="120">
    <w:name w:val="纯文本 字符"/>
    <w:basedOn w:val="89"/>
    <w:link w:val="45"/>
    <w:qFormat/>
    <w:uiPriority w:val="0"/>
    <w:rPr>
      <w:rFonts w:ascii="宋体" w:hAnsi="Courier New" w:eastAsia="宋体" w:cs="Times New Roman"/>
      <w:szCs w:val="20"/>
    </w:rPr>
  </w:style>
  <w:style w:type="character" w:customStyle="1" w:styleId="121">
    <w:name w:val="日期 字符"/>
    <w:basedOn w:val="89"/>
    <w:link w:val="50"/>
    <w:qFormat/>
    <w:uiPriority w:val="0"/>
    <w:rPr>
      <w:rFonts w:ascii="Times New Roman" w:hAnsi="Times New Roman" w:eastAsia="宋体" w:cs="Times New Roman"/>
      <w:szCs w:val="20"/>
    </w:rPr>
  </w:style>
  <w:style w:type="character" w:customStyle="1" w:styleId="122">
    <w:name w:val="正文文本缩进 2 字符"/>
    <w:basedOn w:val="89"/>
    <w:link w:val="51"/>
    <w:qFormat/>
    <w:uiPriority w:val="0"/>
    <w:rPr>
      <w:rFonts w:ascii="仿宋_GB2312" w:hAnsi="宋体" w:eastAsia="仿宋_GB2312" w:cs="Times New Roman"/>
      <w:sz w:val="24"/>
      <w:szCs w:val="24"/>
    </w:rPr>
  </w:style>
  <w:style w:type="character" w:customStyle="1" w:styleId="123">
    <w:name w:val="副标题 字符"/>
    <w:basedOn w:val="89"/>
    <w:link w:val="62"/>
    <w:qFormat/>
    <w:uiPriority w:val="0"/>
    <w:rPr>
      <w:rFonts w:ascii="Cambria" w:hAnsi="Cambria" w:eastAsia="宋体" w:cs="黑体"/>
      <w:b/>
      <w:bCs/>
      <w:kern w:val="28"/>
      <w:sz w:val="32"/>
      <w:szCs w:val="32"/>
    </w:rPr>
  </w:style>
  <w:style w:type="character" w:customStyle="1" w:styleId="124">
    <w:name w:val="正文文本缩进 3 字符"/>
    <w:basedOn w:val="89"/>
    <w:link w:val="67"/>
    <w:qFormat/>
    <w:uiPriority w:val="0"/>
    <w:rPr>
      <w:rFonts w:ascii="Times New Roman" w:hAnsi="Times New Roman" w:eastAsia="宋体" w:cs="Times New Roman"/>
      <w:sz w:val="24"/>
      <w:szCs w:val="20"/>
    </w:rPr>
  </w:style>
  <w:style w:type="character" w:customStyle="1" w:styleId="125">
    <w:name w:val="标题 字符"/>
    <w:basedOn w:val="89"/>
    <w:link w:val="81"/>
    <w:qFormat/>
    <w:uiPriority w:val="10"/>
    <w:rPr>
      <w:rFonts w:ascii="Cambria" w:hAnsi="Cambria" w:eastAsia="宋体" w:cs="Times New Roman"/>
      <w:b/>
      <w:bCs/>
      <w:sz w:val="32"/>
      <w:szCs w:val="32"/>
    </w:rPr>
  </w:style>
  <w:style w:type="paragraph" w:customStyle="1" w:styleId="126">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7">
    <w:name w:val="_Style 36"/>
    <w:basedOn w:val="1"/>
    <w:qFormat/>
    <w:uiPriority w:val="34"/>
    <w:pPr>
      <w:ind w:firstLine="420" w:firstLineChars="200"/>
    </w:pPr>
    <w:rPr>
      <w:szCs w:val="20"/>
    </w:rPr>
  </w:style>
  <w:style w:type="paragraph" w:customStyle="1" w:styleId="128">
    <w:name w:val="Char Char Char Char Char Char Char Char Char Char Char Char Char"/>
    <w:basedOn w:val="26"/>
    <w:qFormat/>
    <w:uiPriority w:val="0"/>
    <w:pPr>
      <w:shd w:val="clear" w:color="auto" w:fill="000080"/>
    </w:pPr>
    <w:rPr>
      <w:rFonts w:ascii="Tahoma" w:hAnsi="Tahoma"/>
      <w:sz w:val="24"/>
      <w:szCs w:val="24"/>
    </w:rPr>
  </w:style>
  <w:style w:type="paragraph" w:customStyle="1" w:styleId="12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30">
    <w:name w:val="新定义正文"/>
    <w:basedOn w:val="1"/>
    <w:qFormat/>
    <w:uiPriority w:val="0"/>
    <w:pPr>
      <w:widowControl/>
    </w:pPr>
    <w:rPr>
      <w:color w:val="000000"/>
      <w:szCs w:val="21"/>
    </w:rPr>
  </w:style>
  <w:style w:type="paragraph" w:customStyle="1" w:styleId="131">
    <w:name w:val="节"/>
    <w:basedOn w:val="4"/>
    <w:qFormat/>
    <w:uiPriority w:val="0"/>
    <w:pPr>
      <w:numPr>
        <w:ilvl w:val="1"/>
        <w:numId w:val="5"/>
      </w:numPr>
      <w:tabs>
        <w:tab w:val="left" w:pos="432"/>
      </w:tabs>
      <w:spacing w:line="240" w:lineRule="auto"/>
    </w:pPr>
    <w:rPr>
      <w:rFonts w:ascii="黑体"/>
      <w:b w:val="0"/>
      <w:sz w:val="28"/>
      <w:szCs w:val="28"/>
    </w:rPr>
  </w:style>
  <w:style w:type="paragraph" w:customStyle="1" w:styleId="132">
    <w:name w:val="TOC 标题2"/>
    <w:basedOn w:val="3"/>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133">
    <w:name w:val="列出段落1"/>
    <w:basedOn w:val="1"/>
    <w:link w:val="586"/>
    <w:qFormat/>
    <w:uiPriority w:val="0"/>
    <w:pPr>
      <w:ind w:firstLine="420" w:firstLineChars="200"/>
    </w:pPr>
    <w:rPr>
      <w:szCs w:val="20"/>
    </w:rPr>
  </w:style>
  <w:style w:type="paragraph" w:customStyle="1" w:styleId="13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35">
    <w:name w:val="Char Char1"/>
    <w:qFormat/>
    <w:uiPriority w:val="0"/>
    <w:rPr>
      <w:rFonts w:ascii="楷体_GB2312" w:eastAsia="楷体_GB2312"/>
      <w:sz w:val="28"/>
    </w:rPr>
  </w:style>
  <w:style w:type="character" w:customStyle="1" w:styleId="136">
    <w:name w:val="Char Char"/>
    <w:qFormat/>
    <w:uiPriority w:val="0"/>
    <w:rPr>
      <w:rFonts w:ascii="宋体"/>
      <w:kern w:val="2"/>
      <w:sz w:val="18"/>
      <w:szCs w:val="18"/>
    </w:rPr>
  </w:style>
  <w:style w:type="paragraph" w:customStyle="1" w:styleId="137">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38">
    <w:name w:val="样式 标题 3 + (中文) 黑体 小四 非加粗 段前: 7.8 磅 段后: 0 磅 行距: 固定值 20 磅"/>
    <w:basedOn w:val="5"/>
    <w:qFormat/>
    <w:uiPriority w:val="0"/>
    <w:pPr>
      <w:autoSpaceDE/>
      <w:autoSpaceDN/>
      <w:adjustRightInd/>
      <w:spacing w:before="0" w:after="0" w:line="400" w:lineRule="exact"/>
    </w:pPr>
    <w:rPr>
      <w:rFonts w:ascii="Times New Roman" w:cs="宋体"/>
      <w:kern w:val="2"/>
      <w:sz w:val="24"/>
    </w:rPr>
  </w:style>
  <w:style w:type="character" w:customStyle="1" w:styleId="139">
    <w:name w:val="批注文字 Char1"/>
    <w:qFormat/>
    <w:uiPriority w:val="99"/>
    <w:rPr>
      <w:kern w:val="2"/>
      <w:sz w:val="21"/>
    </w:rPr>
  </w:style>
  <w:style w:type="character" w:customStyle="1" w:styleId="140">
    <w:name w:val="正文文本 3 字符"/>
    <w:basedOn w:val="89"/>
    <w:link w:val="31"/>
    <w:qFormat/>
    <w:uiPriority w:val="99"/>
    <w:rPr>
      <w:rFonts w:ascii="Times New Roman" w:hAnsi="Times New Roman" w:eastAsia="宋体" w:cs="Times New Roman"/>
      <w:sz w:val="16"/>
      <w:szCs w:val="16"/>
    </w:rPr>
  </w:style>
  <w:style w:type="paragraph" w:customStyle="1" w:styleId="14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42">
    <w:name w:val="正文00"/>
    <w:basedOn w:val="1"/>
    <w:qFormat/>
    <w:uiPriority w:val="0"/>
    <w:pPr>
      <w:topLinePunct/>
      <w:spacing w:line="360" w:lineRule="auto"/>
      <w:ind w:firstLine="200" w:firstLineChars="200"/>
    </w:pPr>
    <w:rPr>
      <w:sz w:val="24"/>
      <w:szCs w:val="21"/>
    </w:rPr>
  </w:style>
  <w:style w:type="paragraph" w:customStyle="1" w:styleId="143">
    <w:name w:val="正文1"/>
    <w:link w:val="4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4">
    <w:name w:val="TOC 标题3"/>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145">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146">
    <w:name w:val="font161"/>
    <w:qFormat/>
    <w:uiPriority w:val="0"/>
    <w:rPr>
      <w:b/>
      <w:bCs/>
      <w:sz w:val="32"/>
      <w:szCs w:val="32"/>
    </w:rPr>
  </w:style>
  <w:style w:type="paragraph" w:customStyle="1" w:styleId="147">
    <w:name w:val="表格"/>
    <w:basedOn w:val="1"/>
    <w:link w:val="378"/>
    <w:qFormat/>
    <w:uiPriority w:val="0"/>
    <w:pPr>
      <w:jc w:val="center"/>
      <w:textAlignment w:val="center"/>
    </w:pPr>
    <w:rPr>
      <w:rFonts w:ascii="华文细黑" w:hAnsi="华文细黑"/>
      <w:kern w:val="0"/>
      <w:szCs w:val="20"/>
    </w:rPr>
  </w:style>
  <w:style w:type="paragraph" w:customStyle="1" w:styleId="148">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49">
    <w:name w:val="1"/>
    <w:basedOn w:val="1"/>
    <w:next w:val="1"/>
    <w:qFormat/>
    <w:uiPriority w:val="0"/>
  </w:style>
  <w:style w:type="paragraph" w:customStyle="1" w:styleId="15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51">
    <w:name w:val="表格文字"/>
    <w:basedOn w:val="1"/>
    <w:qFormat/>
    <w:uiPriority w:val="0"/>
    <w:pPr>
      <w:adjustRightInd w:val="0"/>
      <w:spacing w:line="420" w:lineRule="atLeast"/>
      <w:jc w:val="left"/>
      <w:textAlignment w:val="baseline"/>
    </w:pPr>
    <w:rPr>
      <w:kern w:val="0"/>
      <w:szCs w:val="20"/>
    </w:rPr>
  </w:style>
  <w:style w:type="character" w:customStyle="1" w:styleId="152">
    <w:name w:val="脚注文本 字符"/>
    <w:basedOn w:val="89"/>
    <w:link w:val="64"/>
    <w:qFormat/>
    <w:uiPriority w:val="0"/>
    <w:rPr>
      <w:rFonts w:ascii="Times New Roman" w:hAnsi="Times New Roman" w:eastAsia="宋体" w:cs="Times New Roman"/>
      <w:sz w:val="18"/>
      <w:lang w:val="zh-CN" w:eastAsia="zh-CN"/>
    </w:rPr>
  </w:style>
  <w:style w:type="paragraph" w:styleId="153">
    <w:name w:val="No Spacing"/>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table" w:customStyle="1" w:styleId="154">
    <w:name w:val="Table Normal"/>
    <w:semiHidden/>
    <w:unhideWhenUsed/>
    <w:qFormat/>
    <w:uiPriority w:val="0"/>
    <w:tblPr>
      <w:tblCellMar>
        <w:top w:w="0" w:type="dxa"/>
        <w:left w:w="0" w:type="dxa"/>
        <w:bottom w:w="0" w:type="dxa"/>
        <w:right w:w="0" w:type="dxa"/>
      </w:tblCellMar>
    </w:tblPr>
  </w:style>
  <w:style w:type="paragraph" w:customStyle="1" w:styleId="155">
    <w:name w:val="Table Text"/>
    <w:basedOn w:val="1"/>
    <w:qFormat/>
    <w:uiPriority w:val="0"/>
    <w:rPr>
      <w:rFonts w:ascii="仿宋" w:hAnsi="仿宋" w:eastAsia="仿宋" w:cs="仿宋"/>
      <w:sz w:val="18"/>
      <w:szCs w:val="18"/>
      <w:lang w:eastAsia="en-US"/>
    </w:rPr>
  </w:style>
  <w:style w:type="character" w:customStyle="1" w:styleId="156">
    <w:name w:val="列表段落 字符"/>
    <w:link w:val="101"/>
    <w:qFormat/>
    <w:uiPriority w:val="34"/>
    <w:rPr>
      <w:kern w:val="2"/>
      <w:sz w:val="21"/>
      <w:szCs w:val="24"/>
    </w:rPr>
  </w:style>
  <w:style w:type="paragraph" w:customStyle="1" w:styleId="157">
    <w:name w:val="自定义段落"/>
    <w:basedOn w:val="1"/>
    <w:next w:val="101"/>
    <w:qFormat/>
    <w:uiPriority w:val="99"/>
    <w:pPr>
      <w:ind w:firstLine="420" w:firstLineChars="200"/>
    </w:pPr>
    <w:rPr>
      <w:kern w:val="0"/>
      <w:sz w:val="24"/>
    </w:rPr>
  </w:style>
  <w:style w:type="character" w:customStyle="1" w:styleId="158">
    <w:name w:val="font01"/>
    <w:basedOn w:val="89"/>
    <w:qFormat/>
    <w:uiPriority w:val="0"/>
    <w:rPr>
      <w:rFonts w:hint="eastAsia" w:ascii="宋体" w:hAnsi="宋体" w:eastAsia="宋体" w:cs="宋体"/>
      <w:color w:val="00CCFF"/>
      <w:sz w:val="20"/>
      <w:szCs w:val="20"/>
      <w:u w:val="none"/>
    </w:rPr>
  </w:style>
  <w:style w:type="character" w:customStyle="1" w:styleId="159">
    <w:name w:val="font21"/>
    <w:basedOn w:val="89"/>
    <w:qFormat/>
    <w:uiPriority w:val="0"/>
    <w:rPr>
      <w:rFonts w:hint="eastAsia" w:ascii="宋体" w:hAnsi="宋体" w:eastAsia="宋体" w:cs="宋体"/>
      <w:color w:val="000000"/>
      <w:sz w:val="20"/>
      <w:szCs w:val="20"/>
      <w:u w:val="none"/>
    </w:rPr>
  </w:style>
  <w:style w:type="character" w:customStyle="1" w:styleId="160">
    <w:name w:val="宏文本 字符"/>
    <w:basedOn w:val="89"/>
    <w:link w:val="2"/>
    <w:qFormat/>
    <w:uiPriority w:val="0"/>
    <w:rPr>
      <w:rFonts w:ascii="Courier New" w:hAnsi="Courier New" w:eastAsiaTheme="minorEastAsia" w:cstheme="minorBidi"/>
      <w:sz w:val="24"/>
      <w:szCs w:val="24"/>
    </w:rPr>
  </w:style>
  <w:style w:type="character" w:customStyle="1" w:styleId="161">
    <w:name w:val="注释标题 字符"/>
    <w:basedOn w:val="89"/>
    <w:link w:val="16"/>
    <w:qFormat/>
    <w:uiPriority w:val="0"/>
    <w:rPr>
      <w:rFonts w:ascii="宋体" w:hAnsiTheme="minorHAnsi" w:eastAsiaTheme="minorEastAsia" w:cstheme="minorBidi"/>
      <w:b/>
      <w:sz w:val="24"/>
      <w:szCs w:val="24"/>
    </w:rPr>
  </w:style>
  <w:style w:type="character" w:customStyle="1" w:styleId="162">
    <w:name w:val="电子邮件签名 字符"/>
    <w:basedOn w:val="89"/>
    <w:link w:val="19"/>
    <w:qFormat/>
    <w:uiPriority w:val="0"/>
    <w:rPr>
      <w:rFonts w:ascii="Garamond" w:hAnsi="Garamond" w:eastAsia="楷体_GB2312"/>
      <w:sz w:val="24"/>
      <w:szCs w:val="24"/>
    </w:rPr>
  </w:style>
  <w:style w:type="character" w:customStyle="1" w:styleId="163">
    <w:name w:val="称呼 字符"/>
    <w:basedOn w:val="89"/>
    <w:link w:val="30"/>
    <w:qFormat/>
    <w:uiPriority w:val="0"/>
    <w:rPr>
      <w:rFonts w:ascii="Garamond" w:hAnsi="Garamond" w:eastAsia="楷体_GB2312"/>
      <w:sz w:val="24"/>
      <w:szCs w:val="24"/>
    </w:rPr>
  </w:style>
  <w:style w:type="character" w:customStyle="1" w:styleId="164">
    <w:name w:val="结束语 字符"/>
    <w:basedOn w:val="89"/>
    <w:link w:val="32"/>
    <w:qFormat/>
    <w:uiPriority w:val="0"/>
    <w:rPr>
      <w:rFonts w:ascii="Arial" w:hAnsi="Arial"/>
      <w:sz w:val="24"/>
      <w:szCs w:val="24"/>
      <w:lang w:val="en-GB" w:eastAsia="en-US"/>
    </w:rPr>
  </w:style>
  <w:style w:type="character" w:customStyle="1" w:styleId="165">
    <w:name w:val="HTML 地址 字符"/>
    <w:basedOn w:val="89"/>
    <w:link w:val="41"/>
    <w:qFormat/>
    <w:uiPriority w:val="0"/>
    <w:rPr>
      <w:rFonts w:ascii="Garamond" w:hAnsi="Garamond" w:eastAsia="楷体_GB2312"/>
      <w:i/>
      <w:sz w:val="24"/>
      <w:szCs w:val="24"/>
    </w:rPr>
  </w:style>
  <w:style w:type="character" w:customStyle="1" w:styleId="166">
    <w:name w:val="尾注文本 字符"/>
    <w:basedOn w:val="89"/>
    <w:link w:val="52"/>
    <w:qFormat/>
    <w:uiPriority w:val="0"/>
    <w:rPr>
      <w:sz w:val="24"/>
      <w:szCs w:val="24"/>
    </w:rPr>
  </w:style>
  <w:style w:type="character" w:customStyle="1" w:styleId="167">
    <w:name w:val="签名 字符"/>
    <w:basedOn w:val="89"/>
    <w:link w:val="57"/>
    <w:qFormat/>
    <w:uiPriority w:val="0"/>
    <w:rPr>
      <w:rFonts w:ascii="Garamond" w:hAnsi="Garamond" w:eastAsia="楷体_GB2312"/>
      <w:sz w:val="24"/>
      <w:szCs w:val="24"/>
    </w:rPr>
  </w:style>
  <w:style w:type="character" w:customStyle="1" w:styleId="168">
    <w:name w:val="正文文本 2 字符"/>
    <w:basedOn w:val="89"/>
    <w:link w:val="73"/>
    <w:qFormat/>
    <w:uiPriority w:val="0"/>
    <w:rPr>
      <w:color w:val="3366FF"/>
      <w:sz w:val="24"/>
      <w:szCs w:val="24"/>
    </w:rPr>
  </w:style>
  <w:style w:type="character" w:customStyle="1" w:styleId="169">
    <w:name w:val="信息标题 字符"/>
    <w:basedOn w:val="89"/>
    <w:link w:val="76"/>
    <w:qFormat/>
    <w:uiPriority w:val="0"/>
    <w:rPr>
      <w:rFonts w:ascii="Arial" w:hAnsi="Arial" w:eastAsia="楷体_GB2312" w:cs="Arial"/>
      <w:sz w:val="24"/>
      <w:szCs w:val="24"/>
      <w:shd w:val="pct20" w:color="000000" w:fill="auto"/>
    </w:rPr>
  </w:style>
  <w:style w:type="character" w:customStyle="1" w:styleId="170">
    <w:name w:val="HTML 预设格式 字符"/>
    <w:basedOn w:val="89"/>
    <w:link w:val="77"/>
    <w:qFormat/>
    <w:uiPriority w:val="0"/>
    <w:rPr>
      <w:rFonts w:ascii="Arial Unicode MS" w:hAnsi="Arial Unicode MS" w:eastAsia="Arial Unicode MS" w:cs="Arial Unicode MS"/>
      <w:color w:val="000000"/>
      <w:sz w:val="21"/>
      <w:szCs w:val="21"/>
    </w:rPr>
  </w:style>
  <w:style w:type="character" w:customStyle="1" w:styleId="171">
    <w:name w:val="正文文本首行缩进 字符"/>
    <w:basedOn w:val="118"/>
    <w:link w:val="83"/>
    <w:qFormat/>
    <w:uiPriority w:val="0"/>
    <w:rPr>
      <w:rFonts w:ascii="Times New Roman" w:hAnsi="Times New Roman" w:eastAsia="宋体" w:cs="Times New Roman"/>
      <w:sz w:val="24"/>
      <w:szCs w:val="24"/>
    </w:rPr>
  </w:style>
  <w:style w:type="character" w:customStyle="1" w:styleId="172">
    <w:name w:val="正文文本首行缩进 2 字符"/>
    <w:basedOn w:val="119"/>
    <w:link w:val="84"/>
    <w:qFormat/>
    <w:uiPriority w:val="0"/>
    <w:rPr>
      <w:rFonts w:ascii="楷体_GB2312" w:hAnsi="Times New Roman" w:eastAsia="楷体_GB2312" w:cs="Times New Roman"/>
      <w:kern w:val="0"/>
      <w:sz w:val="21"/>
      <w:szCs w:val="21"/>
    </w:rPr>
  </w:style>
  <w:style w:type="table" w:customStyle="1" w:styleId="173">
    <w:name w:val="网格型1"/>
    <w:basedOn w:val="85"/>
    <w:qFormat/>
    <w:uiPriority w:val="37"/>
    <w:pPr>
      <w:spacing w:line="560" w:lineRule="exact"/>
      <w:ind w:firstLine="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
    <w:name w:val="首行缩进"/>
    <w:basedOn w:val="1"/>
    <w:unhideWhenUsed/>
    <w:qFormat/>
    <w:uiPriority w:val="0"/>
    <w:pPr>
      <w:widowControl/>
      <w:spacing w:line="360" w:lineRule="auto"/>
      <w:ind w:firstLine="200"/>
    </w:pPr>
    <w:rPr>
      <w:kern w:val="0"/>
      <w:sz w:val="24"/>
      <w:szCs w:val="20"/>
      <w:lang w:val="zh-CN"/>
    </w:rPr>
  </w:style>
  <w:style w:type="paragraph" w:customStyle="1" w:styleId="175">
    <w:name w:val="List Paragraph1"/>
    <w:basedOn w:val="1"/>
    <w:qFormat/>
    <w:uiPriority w:val="0"/>
    <w:pPr>
      <w:widowControl/>
      <w:spacing w:line="360" w:lineRule="auto"/>
      <w:ind w:firstLine="200"/>
    </w:pPr>
    <w:rPr>
      <w:rFonts w:ascii="Calibri" w:hAnsi="Calibri" w:cs="黑体"/>
      <w:kern w:val="0"/>
      <w:sz w:val="24"/>
    </w:rPr>
  </w:style>
  <w:style w:type="paragraph" w:customStyle="1" w:styleId="176">
    <w:name w:val="列表段落1"/>
    <w:basedOn w:val="1"/>
    <w:qFormat/>
    <w:uiPriority w:val="26"/>
    <w:pPr>
      <w:widowControl/>
      <w:spacing w:line="360" w:lineRule="auto"/>
      <w:ind w:firstLine="200"/>
    </w:pPr>
    <w:rPr>
      <w:kern w:val="0"/>
      <w:sz w:val="24"/>
    </w:rPr>
  </w:style>
  <w:style w:type="character" w:customStyle="1" w:styleId="177">
    <w:name w:val="标题 9 Char"/>
    <w:basedOn w:val="89"/>
    <w:qFormat/>
    <w:uiPriority w:val="0"/>
    <w:rPr>
      <w:rFonts w:asciiTheme="majorHAnsi" w:hAnsiTheme="majorHAnsi" w:eastAsiaTheme="majorEastAsia" w:cstheme="minorBidi"/>
    </w:rPr>
  </w:style>
  <w:style w:type="paragraph" w:customStyle="1" w:styleId="178">
    <w:name w:val="Char"/>
    <w:basedOn w:val="26"/>
    <w:qFormat/>
    <w:uiPriority w:val="0"/>
    <w:pPr>
      <w:widowControl/>
      <w:shd w:val="clear" w:color="000000" w:fill="000080"/>
      <w:ind w:left="1400" w:leftChars="1400" w:firstLine="454"/>
      <w:jc w:val="left"/>
    </w:pPr>
    <w:rPr>
      <w:rFonts w:ascii="Tahoma" w:hAnsi="Tahoma" w:cs="宋体"/>
      <w:kern w:val="0"/>
      <w:sz w:val="21"/>
      <w:szCs w:val="21"/>
    </w:rPr>
  </w:style>
  <w:style w:type="paragraph" w:customStyle="1" w:styleId="179">
    <w:name w:val="Char Char Char Char Char"/>
    <w:basedOn w:val="1"/>
    <w:semiHidden/>
    <w:qFormat/>
    <w:uiPriority w:val="0"/>
    <w:pPr>
      <w:widowControl/>
      <w:spacing w:line="360" w:lineRule="auto"/>
    </w:pPr>
    <w:rPr>
      <w:rFonts w:ascii="宋体" w:hAnsi="宋体"/>
      <w:kern w:val="0"/>
      <w:sz w:val="22"/>
      <w:szCs w:val="22"/>
    </w:rPr>
  </w:style>
  <w:style w:type="paragraph" w:customStyle="1" w:styleId="180">
    <w:name w:val="Char Char Char Char Char Char"/>
    <w:basedOn w:val="26"/>
    <w:semiHidden/>
    <w:qFormat/>
    <w:uiPriority w:val="0"/>
    <w:pPr>
      <w:widowControl/>
      <w:shd w:val="clear" w:color="000000" w:fill="000080"/>
      <w:ind w:left="1400" w:leftChars="1400"/>
    </w:pPr>
    <w:rPr>
      <w:rFonts w:ascii="Tahoma" w:hAnsi="Tahoma"/>
      <w:kern w:val="0"/>
      <w:sz w:val="24"/>
      <w:szCs w:val="24"/>
    </w:rPr>
  </w:style>
  <w:style w:type="paragraph" w:customStyle="1" w:styleId="181">
    <w:name w:val="Char Char Char Char Char Char Char3"/>
    <w:basedOn w:val="1"/>
    <w:semiHidden/>
    <w:qFormat/>
    <w:uiPriority w:val="0"/>
    <w:pPr>
      <w:widowControl/>
      <w:spacing w:line="360" w:lineRule="auto"/>
    </w:pPr>
    <w:rPr>
      <w:rFonts w:ascii="Tahoma" w:hAnsi="Tahoma"/>
      <w:kern w:val="0"/>
      <w:sz w:val="24"/>
    </w:rPr>
  </w:style>
  <w:style w:type="paragraph" w:customStyle="1" w:styleId="182">
    <w:name w:val="Char Char1 Char Char1 Char Char1"/>
    <w:basedOn w:val="1"/>
    <w:semiHidden/>
    <w:qFormat/>
    <w:uiPriority w:val="0"/>
    <w:pPr>
      <w:widowControl/>
    </w:pPr>
    <w:rPr>
      <w:rFonts w:ascii="Tahoma" w:hAnsi="Tahoma"/>
      <w:kern w:val="0"/>
      <w:sz w:val="24"/>
    </w:rPr>
  </w:style>
  <w:style w:type="paragraph" w:customStyle="1" w:styleId="183">
    <w:name w:val="Char1"/>
    <w:basedOn w:val="1"/>
    <w:qFormat/>
    <w:uiPriority w:val="0"/>
    <w:pPr>
      <w:widowControl/>
      <w:spacing w:line="360" w:lineRule="auto"/>
      <w:ind w:firstLine="196"/>
    </w:pPr>
    <w:rPr>
      <w:rFonts w:ascii="宋体" w:hAnsi="宋体"/>
      <w:b/>
      <w:kern w:val="0"/>
      <w:sz w:val="24"/>
    </w:rPr>
  </w:style>
  <w:style w:type="paragraph" w:customStyle="1" w:styleId="184">
    <w:name w:val="Char1 Char Char Char Char Char Char Char Char Char Char Char Char Char Char Char"/>
    <w:basedOn w:val="1"/>
    <w:semiHidden/>
    <w:qFormat/>
    <w:uiPriority w:val="0"/>
    <w:pPr>
      <w:widowControl/>
    </w:pPr>
    <w:rPr>
      <w:rFonts w:ascii="Tahoma" w:hAnsi="Tahoma"/>
      <w:kern w:val="0"/>
      <w:sz w:val="24"/>
    </w:rPr>
  </w:style>
  <w:style w:type="paragraph" w:customStyle="1" w:styleId="185">
    <w:name w:val="[列表1]"/>
    <w:basedOn w:val="1"/>
    <w:qFormat/>
    <w:uiPriority w:val="0"/>
    <w:pPr>
      <w:widowControl/>
      <w:tabs>
        <w:tab w:val="left" w:pos="1554"/>
      </w:tabs>
      <w:spacing w:line="360" w:lineRule="auto"/>
      <w:ind w:left="1554"/>
    </w:pPr>
    <w:rPr>
      <w:rFonts w:ascii="宋体" w:hAnsi="ˎ̥"/>
      <w:kern w:val="0"/>
      <w:sz w:val="24"/>
    </w:rPr>
  </w:style>
  <w:style w:type="paragraph" w:customStyle="1" w:styleId="186">
    <w:name w:val="[列表2]"/>
    <w:basedOn w:val="1"/>
    <w:qFormat/>
    <w:uiPriority w:val="0"/>
    <w:pPr>
      <w:widowControl/>
      <w:spacing w:line="360" w:lineRule="auto"/>
    </w:pPr>
    <w:rPr>
      <w:rFonts w:ascii="宋体"/>
      <w:kern w:val="0"/>
      <w:sz w:val="24"/>
    </w:rPr>
  </w:style>
  <w:style w:type="paragraph" w:customStyle="1" w:styleId="187">
    <w:name w:val="[正文不缩]"/>
    <w:basedOn w:val="1"/>
    <w:semiHidden/>
    <w:qFormat/>
    <w:uiPriority w:val="0"/>
    <w:pPr>
      <w:widowControl/>
      <w:snapToGrid w:val="0"/>
      <w:spacing w:before="80" w:after="80" w:line="360" w:lineRule="auto"/>
    </w:pPr>
    <w:rPr>
      <w:rFonts w:ascii="宋体"/>
      <w:kern w:val="0"/>
      <w:sz w:val="24"/>
    </w:rPr>
  </w:style>
  <w:style w:type="paragraph" w:customStyle="1" w:styleId="188">
    <w:name w:val="[正文行首缩进]"/>
    <w:semiHidden/>
    <w:qFormat/>
    <w:uiPriority w:val="0"/>
    <w:pPr>
      <w:spacing w:line="360" w:lineRule="auto"/>
      <w:ind w:firstLine="200"/>
    </w:pPr>
    <w:rPr>
      <w:rFonts w:ascii="宋体" w:hAnsi="宋体" w:eastAsia="宋体" w:cs="Times New Roman"/>
      <w:sz w:val="24"/>
      <w:szCs w:val="24"/>
      <w:lang w:val="en-US" w:eastAsia="zh-CN" w:bidi="ar-SA"/>
    </w:rPr>
  </w:style>
  <w:style w:type="paragraph" w:customStyle="1" w:styleId="189">
    <w:name w:val="Char Char Char Char"/>
    <w:basedOn w:val="26"/>
    <w:semiHidden/>
    <w:qFormat/>
    <w:uiPriority w:val="0"/>
    <w:pPr>
      <w:widowControl/>
      <w:shd w:val="clear" w:color="000000" w:fill="000080"/>
      <w:ind w:left="1400" w:leftChars="1400"/>
      <w:jc w:val="left"/>
    </w:pPr>
    <w:rPr>
      <w:rFonts w:ascii="Tahoma" w:hAnsi="Tahoma" w:cs="宋体"/>
      <w:kern w:val="0"/>
      <w:sz w:val="24"/>
      <w:szCs w:val="24"/>
    </w:rPr>
  </w:style>
  <w:style w:type="paragraph" w:customStyle="1" w:styleId="190">
    <w:name w:val="表格(五号)"/>
    <w:basedOn w:val="1"/>
    <w:qFormat/>
    <w:uiPriority w:val="0"/>
    <w:pPr>
      <w:widowControl/>
      <w:spacing w:before="60" w:after="60"/>
      <w:ind w:left="11"/>
      <w:jc w:val="center"/>
    </w:pPr>
    <w:rPr>
      <w:color w:val="FF00FF"/>
      <w:kern w:val="0"/>
      <w:sz w:val="18"/>
      <w:szCs w:val="18"/>
    </w:rPr>
  </w:style>
  <w:style w:type="paragraph" w:customStyle="1" w:styleId="191">
    <w:name w:val="表格标题(居中)"/>
    <w:basedOn w:val="1"/>
    <w:qFormat/>
    <w:uiPriority w:val="0"/>
    <w:pPr>
      <w:widowControl/>
      <w:autoSpaceDE w:val="0"/>
      <w:autoSpaceDN w:val="0"/>
      <w:snapToGrid w:val="0"/>
      <w:jc w:val="center"/>
    </w:pPr>
    <w:rPr>
      <w:b/>
      <w:kern w:val="0"/>
      <w:szCs w:val="21"/>
    </w:rPr>
  </w:style>
  <w:style w:type="paragraph" w:customStyle="1" w:styleId="192">
    <w:name w:val="表格表头（表编号居中）"/>
    <w:basedOn w:val="1"/>
    <w:next w:val="21"/>
    <w:qFormat/>
    <w:uiPriority w:val="0"/>
    <w:pPr>
      <w:widowControl/>
      <w:jc w:val="center"/>
    </w:pPr>
    <w:rPr>
      <w:kern w:val="0"/>
      <w:szCs w:val="21"/>
    </w:rPr>
  </w:style>
  <w:style w:type="paragraph" w:customStyle="1" w:styleId="193">
    <w:name w:val="表格首行"/>
    <w:basedOn w:val="1"/>
    <w:semiHidden/>
    <w:qFormat/>
    <w:uiPriority w:val="0"/>
    <w:pPr>
      <w:widowControl/>
      <w:jc w:val="center"/>
    </w:pPr>
    <w:rPr>
      <w:rFonts w:ascii="宋体" w:hAnsi="宋体"/>
      <w:kern w:val="0"/>
      <w:szCs w:val="21"/>
    </w:rPr>
  </w:style>
  <w:style w:type="paragraph" w:customStyle="1" w:styleId="194">
    <w:name w:val="表格文本"/>
    <w:basedOn w:val="1"/>
    <w:qFormat/>
    <w:uiPriority w:val="0"/>
    <w:pPr>
      <w:widowControl/>
      <w:tabs>
        <w:tab w:val="decimal" w:pos="0"/>
      </w:tabs>
      <w:autoSpaceDE w:val="0"/>
      <w:autoSpaceDN w:val="0"/>
      <w:jc w:val="left"/>
    </w:pPr>
    <w:rPr>
      <w:rFonts w:ascii="Arial" w:hAnsi="Arial"/>
      <w:kern w:val="0"/>
      <w:szCs w:val="21"/>
    </w:rPr>
  </w:style>
  <w:style w:type="paragraph" w:customStyle="1" w:styleId="195">
    <w:name w:val="表格项目符号"/>
    <w:basedOn w:val="24"/>
    <w:semiHidden/>
    <w:qFormat/>
    <w:uiPriority w:val="0"/>
    <w:pPr>
      <w:tabs>
        <w:tab w:val="left" w:pos="249"/>
        <w:tab w:val="left" w:pos="780"/>
      </w:tabs>
      <w:snapToGrid w:val="0"/>
      <w:spacing w:line="300" w:lineRule="auto"/>
      <w:ind w:left="672" w:hanging="252"/>
    </w:pPr>
  </w:style>
  <w:style w:type="table" w:customStyle="1" w:styleId="196">
    <w:name w:val="表格样式"/>
    <w:basedOn w:val="85"/>
    <w:semiHidden/>
    <w:qFormat/>
    <w:uiPriority w:val="0"/>
    <w:pPr>
      <w:spacing w:after="120" w:line="360" w:lineRule="auto"/>
      <w:jc w:val="both"/>
    </w:pPr>
    <w:tblPr>
      <w:tblBorders>
        <w:top w:val="single" w:color="008000" w:sz="12" w:space="0"/>
        <w:left w:val="single" w:color="008000" w:sz="12" w:space="0"/>
        <w:bottom w:val="single" w:color="008000" w:sz="12" w:space="0"/>
        <w:right w:val="single" w:color="008000" w:sz="12" w:space="0"/>
        <w:insideH w:val="single" w:color="008000" w:sz="2" w:space="0"/>
        <w:insideV w:val="single" w:color="008000" w:sz="2" w:space="0"/>
      </w:tblBorders>
    </w:tblPr>
    <w:tcPr>
      <w:shd w:val="clear" w:color="000000" w:fill="auto"/>
    </w:tcPr>
    <w:tblStylePr w:type="firstRow">
      <w:rPr>
        <w:b w:val="0"/>
      </w:rPr>
      <w:tcPr>
        <w:tcBorders>
          <w:bottom w:val="single" w:color="008000" w:sz="6" w:space="0"/>
          <w:tl2br w:val="nil"/>
          <w:tr2bl w:val="nil"/>
        </w:tcBorders>
        <w:shd w:val="clear" w:color="000000" w:fill="E6E6E6"/>
      </w:tcPr>
    </w:tblStylePr>
    <w:tblStylePr w:type="lastRow">
      <w:tcPr>
        <w:tcBorders>
          <w:top w:val="single" w:color="008000" w:sz="6" w:space="0"/>
          <w:tl2br w:val="nil"/>
          <w:tr2bl w:val="nil"/>
        </w:tcBorders>
      </w:tcPr>
    </w:tblStylePr>
  </w:style>
  <w:style w:type="paragraph" w:customStyle="1" w:styleId="197">
    <w:name w:val="表格正文"/>
    <w:basedOn w:val="1"/>
    <w:qFormat/>
    <w:uiPriority w:val="0"/>
    <w:pPr>
      <w:widowControl/>
      <w:snapToGrid w:val="0"/>
      <w:spacing w:line="300" w:lineRule="auto"/>
    </w:pPr>
    <w:rPr>
      <w:kern w:val="0"/>
      <w:szCs w:val="21"/>
    </w:rPr>
  </w:style>
  <w:style w:type="paragraph" w:customStyle="1" w:styleId="198">
    <w:name w:val="表内容"/>
    <w:basedOn w:val="1"/>
    <w:semiHidden/>
    <w:qFormat/>
    <w:uiPriority w:val="0"/>
    <w:pPr>
      <w:widowControl/>
      <w:tabs>
        <w:tab w:val="right" w:pos="9180"/>
      </w:tabs>
      <w:autoSpaceDE w:val="0"/>
      <w:autoSpaceDN w:val="0"/>
      <w:jc w:val="center"/>
    </w:pPr>
    <w:rPr>
      <w:kern w:val="0"/>
      <w:sz w:val="20"/>
      <w:szCs w:val="20"/>
    </w:rPr>
  </w:style>
  <w:style w:type="paragraph" w:customStyle="1" w:styleId="199">
    <w:name w:val="段"/>
    <w:link w:val="351"/>
    <w:qFormat/>
    <w:uiPriority w:val="0"/>
    <w:pPr>
      <w:autoSpaceDE w:val="0"/>
      <w:autoSpaceDN w:val="0"/>
      <w:ind w:firstLine="200"/>
      <w:jc w:val="both"/>
    </w:pPr>
    <w:rPr>
      <w:rFonts w:ascii="宋体" w:hAnsi="Times New Roman" w:eastAsia="宋体" w:cs="Times New Roman"/>
      <w:sz w:val="21"/>
      <w:szCs w:val="21"/>
      <w:lang w:val="en-US" w:eastAsia="zh-CN" w:bidi="ar-SA"/>
    </w:rPr>
  </w:style>
  <w:style w:type="paragraph" w:customStyle="1" w:styleId="200">
    <w:name w:val="附录标识"/>
    <w:basedOn w:val="1"/>
    <w:semiHidden/>
    <w:qFormat/>
    <w:uiPriority w:val="0"/>
    <w:pPr>
      <w:widowControl/>
      <w:shd w:val="clear" w:color="FFFFFF" w:fill="FFFFFF"/>
      <w:tabs>
        <w:tab w:val="left" w:pos="6405"/>
      </w:tabs>
      <w:spacing w:before="640" w:after="200" w:line="360" w:lineRule="auto"/>
      <w:jc w:val="left"/>
      <w:outlineLvl w:val="0"/>
    </w:pPr>
    <w:rPr>
      <w:rFonts w:ascii="黑体" w:eastAsia="黑体"/>
      <w:kern w:val="0"/>
      <w:sz w:val="36"/>
      <w:szCs w:val="36"/>
    </w:rPr>
  </w:style>
  <w:style w:type="paragraph" w:customStyle="1" w:styleId="201">
    <w:name w:val="附录二级条标题"/>
    <w:next w:val="1"/>
    <w:semiHidden/>
    <w:qFormat/>
    <w:uiPriority w:val="0"/>
    <w:pPr>
      <w:ind w:left="720"/>
      <w:outlineLvl w:val="3"/>
    </w:pPr>
    <w:rPr>
      <w:rFonts w:ascii="Times New Roman" w:hAnsi="Times New Roman" w:eastAsia="宋体" w:cs="Times New Roman"/>
      <w:lang w:val="en-US" w:eastAsia="zh-CN" w:bidi="ar-SA"/>
    </w:rPr>
  </w:style>
  <w:style w:type="paragraph" w:customStyle="1" w:styleId="202">
    <w:name w:val="附录一级条标题"/>
    <w:next w:val="1"/>
    <w:semiHidden/>
    <w:qFormat/>
    <w:uiPriority w:val="0"/>
    <w:pPr>
      <w:autoSpaceDN w:val="0"/>
      <w:outlineLvl w:val="2"/>
    </w:pPr>
    <w:rPr>
      <w:rFonts w:ascii="Times New Roman" w:hAnsi="Times New Roman" w:eastAsia="宋体" w:cs="Times New Roman"/>
      <w:lang w:val="en-US" w:eastAsia="zh-CN" w:bidi="ar-SA"/>
    </w:rPr>
  </w:style>
  <w:style w:type="paragraph" w:customStyle="1" w:styleId="203">
    <w:name w:val="附录章标题"/>
    <w:next w:val="1"/>
    <w:semiHidden/>
    <w:qFormat/>
    <w:uiPriority w:val="0"/>
    <w:pPr>
      <w:wordWrap w:val="0"/>
      <w:overflowPunct w:val="0"/>
      <w:autoSpaceDE w:val="0"/>
      <w:spacing w:before="120" w:after="120"/>
      <w:jc w:val="both"/>
      <w:outlineLvl w:val="1"/>
    </w:pPr>
    <w:rPr>
      <w:rFonts w:ascii="黑体" w:hAnsi="Times New Roman" w:eastAsia="黑体" w:cs="Times New Roman"/>
      <w:b/>
      <w:sz w:val="32"/>
      <w:szCs w:val="32"/>
      <w:lang w:val="en-US" w:eastAsia="zh-CN" w:bidi="ar-SA"/>
    </w:rPr>
  </w:style>
  <w:style w:type="paragraph" w:customStyle="1" w:styleId="204">
    <w:name w:val="附录三级条标题"/>
    <w:basedOn w:val="201"/>
    <w:next w:val="1"/>
    <w:semiHidden/>
    <w:qFormat/>
    <w:uiPriority w:val="0"/>
    <w:pPr>
      <w:ind w:left="1620"/>
      <w:outlineLvl w:val="4"/>
    </w:pPr>
  </w:style>
  <w:style w:type="paragraph" w:customStyle="1" w:styleId="205">
    <w:name w:val="附录四级条标题"/>
    <w:basedOn w:val="204"/>
    <w:next w:val="1"/>
    <w:semiHidden/>
    <w:qFormat/>
    <w:uiPriority w:val="0"/>
    <w:pPr>
      <w:ind w:left="0"/>
      <w:outlineLvl w:val="5"/>
    </w:pPr>
  </w:style>
  <w:style w:type="paragraph" w:customStyle="1" w:styleId="206">
    <w:name w:val="附录五级条标题"/>
    <w:basedOn w:val="205"/>
    <w:next w:val="1"/>
    <w:semiHidden/>
    <w:qFormat/>
    <w:uiPriority w:val="0"/>
    <w:pPr>
      <w:outlineLvl w:val="6"/>
    </w:pPr>
  </w:style>
  <w:style w:type="paragraph" w:customStyle="1" w:styleId="207">
    <w:name w:val="附图标题（图编号居中）"/>
    <w:next w:val="21"/>
    <w:link w:val="373"/>
    <w:qFormat/>
    <w:uiPriority w:val="0"/>
    <w:pPr>
      <w:spacing w:after="240"/>
    </w:pPr>
    <w:rPr>
      <w:rFonts w:ascii="Arial" w:hAnsi="Arial" w:eastAsia="宋体" w:cs="Times New Roman"/>
      <w:lang w:val="en-US" w:eastAsia="zh-CN" w:bidi="ar-SA"/>
    </w:rPr>
  </w:style>
  <w:style w:type="paragraph" w:customStyle="1" w:styleId="208">
    <w:name w:val="附图居中"/>
    <w:basedOn w:val="1"/>
    <w:next w:val="207"/>
    <w:link w:val="372"/>
    <w:qFormat/>
    <w:uiPriority w:val="0"/>
    <w:pPr>
      <w:widowControl/>
      <w:jc w:val="center"/>
    </w:pPr>
    <w:rPr>
      <w:kern w:val="0"/>
      <w:szCs w:val="21"/>
    </w:rPr>
  </w:style>
  <w:style w:type="paragraph" w:customStyle="1" w:styleId="209">
    <w:name w:val="默认段落字体 Para Char"/>
    <w:basedOn w:val="1"/>
    <w:semiHidden/>
    <w:qFormat/>
    <w:uiPriority w:val="0"/>
    <w:pPr>
      <w:widowControl/>
      <w:autoSpaceDE w:val="0"/>
      <w:autoSpaceDN w:val="0"/>
      <w:jc w:val="left"/>
    </w:pPr>
    <w:rPr>
      <w:kern w:val="0"/>
      <w:sz w:val="20"/>
      <w:szCs w:val="20"/>
    </w:rPr>
  </w:style>
  <w:style w:type="paragraph" w:customStyle="1" w:styleId="210">
    <w:name w:val="默认段落字体 Para Char Char Char Char Char Char Char Char Char Char Char Char Char Char"/>
    <w:next w:val="1"/>
    <w:qFormat/>
    <w:uiPriority w:val="0"/>
    <w:pPr>
      <w:tabs>
        <w:tab w:val="left" w:pos="3920"/>
      </w:tabs>
      <w:spacing w:before="240" w:after="240"/>
      <w:ind w:left="3920" w:hanging="420"/>
      <w:outlineLvl w:val="7"/>
    </w:pPr>
    <w:rPr>
      <w:rFonts w:ascii="Arial" w:hAnsi="Arial" w:eastAsia="黑体" w:cs="Arial"/>
      <w:sz w:val="21"/>
      <w:szCs w:val="21"/>
      <w:lang w:val="en-US" w:eastAsia="zh-CN" w:bidi="ar-SA"/>
    </w:rPr>
  </w:style>
  <w:style w:type="paragraph" w:customStyle="1" w:styleId="211">
    <w:name w:val="缩进 Char Char Char Char"/>
    <w:basedOn w:val="21"/>
    <w:semiHidden/>
    <w:qFormat/>
    <w:uiPriority w:val="0"/>
    <w:pPr>
      <w:widowControl/>
      <w:autoSpaceDE/>
      <w:autoSpaceDN/>
      <w:adjustRightInd/>
      <w:spacing w:before="120" w:after="120" w:line="360" w:lineRule="auto"/>
      <w:ind w:firstLine="480"/>
      <w:jc w:val="both"/>
    </w:pPr>
    <w:rPr>
      <w:rFonts w:ascii="Tahoma" w:hAnsi="Tahoma" w:eastAsia="宋体"/>
      <w:sz w:val="24"/>
      <w:szCs w:val="24"/>
    </w:rPr>
  </w:style>
  <w:style w:type="paragraph" w:customStyle="1" w:styleId="212">
    <w:name w:val="文档正文（封面底）"/>
    <w:basedOn w:val="1"/>
    <w:qFormat/>
    <w:uiPriority w:val="0"/>
    <w:pPr>
      <w:widowControl/>
      <w:spacing w:line="360" w:lineRule="auto"/>
      <w:jc w:val="center"/>
    </w:pPr>
    <w:rPr>
      <w:rFonts w:ascii="长城仿宋"/>
      <w:b/>
      <w:kern w:val="0"/>
      <w:sz w:val="28"/>
      <w:szCs w:val="28"/>
    </w:rPr>
  </w:style>
  <w:style w:type="paragraph" w:customStyle="1" w:styleId="213">
    <w:name w:val="文档正文 Char Char Char"/>
    <w:basedOn w:val="1"/>
    <w:semiHidden/>
    <w:qFormat/>
    <w:uiPriority w:val="0"/>
    <w:pPr>
      <w:widowControl/>
      <w:spacing w:line="360" w:lineRule="auto"/>
      <w:ind w:firstLine="567"/>
    </w:pPr>
    <w:rPr>
      <w:rFonts w:ascii="宋体" w:hAnsi="宋体"/>
      <w:kern w:val="0"/>
      <w:sz w:val="24"/>
    </w:rPr>
  </w:style>
  <w:style w:type="paragraph" w:customStyle="1" w:styleId="214">
    <w:name w:val="样式 标题 3h:3h3H3Kop 3Vl3Level 3 Headheading 3h31.1.1 Hea..."/>
    <w:basedOn w:val="5"/>
    <w:semiHidden/>
    <w:qFormat/>
    <w:uiPriority w:val="0"/>
    <w:pPr>
      <w:keepNext w:val="0"/>
      <w:keepLines w:val="0"/>
      <w:widowControl/>
      <w:autoSpaceDE/>
      <w:autoSpaceDN/>
      <w:adjustRightInd/>
      <w:spacing w:before="0" w:after="0" w:line="360" w:lineRule="auto"/>
    </w:pPr>
    <w:rPr>
      <w:rFonts w:ascii="Times New Roman" w:eastAsia="宋体" w:cs="宋体"/>
      <w:b/>
      <w:szCs w:val="28"/>
    </w:rPr>
  </w:style>
  <w:style w:type="paragraph" w:customStyle="1" w:styleId="215">
    <w:name w:val="样式 标题 3h:3h3H3Kop 3Vl3Level 3 Headheading 3h31.1.1 Hea...1"/>
    <w:basedOn w:val="5"/>
    <w:semiHidden/>
    <w:qFormat/>
    <w:uiPriority w:val="0"/>
    <w:pPr>
      <w:keepNext w:val="0"/>
      <w:keepLines w:val="0"/>
      <w:widowControl/>
      <w:autoSpaceDE/>
      <w:autoSpaceDN/>
      <w:adjustRightInd/>
      <w:spacing w:before="0" w:line="240" w:lineRule="exact"/>
    </w:pPr>
    <w:rPr>
      <w:rFonts w:ascii="Times New Roman" w:eastAsia="宋体" w:cs="宋体"/>
      <w:b/>
      <w:szCs w:val="28"/>
    </w:rPr>
  </w:style>
  <w:style w:type="paragraph" w:customStyle="1" w:styleId="216">
    <w:name w:val="样式 标题 3h:3h3H3Kop 3Vl3Level 3 Headheading 3h31.1.1 Hea...2"/>
    <w:basedOn w:val="5"/>
    <w:semiHidden/>
    <w:qFormat/>
    <w:uiPriority w:val="0"/>
    <w:pPr>
      <w:keepNext w:val="0"/>
      <w:keepLines w:val="0"/>
      <w:widowControl/>
      <w:autoSpaceDE/>
      <w:autoSpaceDN/>
      <w:adjustRightInd/>
      <w:spacing w:before="0" w:after="0" w:line="360" w:lineRule="auto"/>
    </w:pPr>
    <w:rPr>
      <w:rFonts w:ascii="Times New Roman" w:eastAsia="宋体" w:cs="宋体"/>
      <w:b/>
      <w:szCs w:val="28"/>
    </w:rPr>
  </w:style>
  <w:style w:type="paragraph" w:customStyle="1" w:styleId="217">
    <w:name w:val="样式 标题 3h:3h3H3Kop 3Vl3Level 3 Headheading 3h31.1.1 Hea...3"/>
    <w:basedOn w:val="5"/>
    <w:semiHidden/>
    <w:qFormat/>
    <w:uiPriority w:val="0"/>
    <w:pPr>
      <w:keepNext w:val="0"/>
      <w:keepLines w:val="0"/>
      <w:widowControl/>
      <w:autoSpaceDE/>
      <w:autoSpaceDN/>
      <w:adjustRightInd/>
      <w:spacing w:before="0" w:after="0" w:line="360" w:lineRule="auto"/>
    </w:pPr>
    <w:rPr>
      <w:rFonts w:ascii="Times New Roman" w:eastAsia="宋体" w:cs="宋体"/>
      <w:szCs w:val="28"/>
    </w:rPr>
  </w:style>
  <w:style w:type="paragraph" w:customStyle="1" w:styleId="218">
    <w:name w:val="样式 标题 4h4H4PIM 41.1.1.1 Heading 4bulletblbb4Alt+4H41h..."/>
    <w:basedOn w:val="6"/>
    <w:semiHidden/>
    <w:qFormat/>
    <w:uiPriority w:val="0"/>
    <w:pPr>
      <w:keepNext w:val="0"/>
      <w:widowControl/>
      <w:autoSpaceDE w:val="0"/>
      <w:autoSpaceDN w:val="0"/>
      <w:spacing w:line="360" w:lineRule="auto"/>
      <w:jc w:val="left"/>
    </w:pPr>
    <w:rPr>
      <w:rFonts w:cs="宋体"/>
      <w:b/>
      <w:kern w:val="0"/>
      <w:sz w:val="24"/>
      <w:szCs w:val="24"/>
    </w:rPr>
  </w:style>
  <w:style w:type="paragraph" w:customStyle="1" w:styleId="219">
    <w:name w:val="样式 首行缩进:  2.57 字符"/>
    <w:basedOn w:val="1"/>
    <w:semiHidden/>
    <w:qFormat/>
    <w:uiPriority w:val="0"/>
    <w:pPr>
      <w:widowControl/>
      <w:numPr>
        <w:ilvl w:val="0"/>
        <w:numId w:val="6"/>
      </w:numPr>
      <w:spacing w:line="360" w:lineRule="auto"/>
    </w:pPr>
    <w:rPr>
      <w:kern w:val="0"/>
      <w:sz w:val="24"/>
    </w:rPr>
  </w:style>
  <w:style w:type="paragraph" w:customStyle="1" w:styleId="220">
    <w:name w:val="正文（表格）"/>
    <w:basedOn w:val="1"/>
    <w:semiHidden/>
    <w:qFormat/>
    <w:uiPriority w:val="0"/>
    <w:pPr>
      <w:widowControl/>
    </w:pPr>
    <w:rPr>
      <w:kern w:val="0"/>
      <w:sz w:val="24"/>
    </w:rPr>
  </w:style>
  <w:style w:type="paragraph" w:customStyle="1" w:styleId="221">
    <w:name w:val="标准正文一"/>
    <w:basedOn w:val="1"/>
    <w:qFormat/>
    <w:uiPriority w:val="0"/>
    <w:pPr>
      <w:widowControl/>
      <w:spacing w:line="480" w:lineRule="atLeast"/>
      <w:ind w:firstLine="225"/>
    </w:pPr>
    <w:rPr>
      <w:kern w:val="0"/>
      <w:sz w:val="24"/>
    </w:rPr>
  </w:style>
  <w:style w:type="paragraph" w:customStyle="1" w:styleId="222">
    <w:name w:val="样式 文档正文 Char + (西文) 宋体 (中文) 宋体 小四 黑色"/>
    <w:basedOn w:val="1"/>
    <w:link w:val="230"/>
    <w:qFormat/>
    <w:uiPriority w:val="0"/>
    <w:pPr>
      <w:widowControl/>
      <w:snapToGrid w:val="0"/>
      <w:spacing w:line="360" w:lineRule="auto"/>
    </w:pPr>
    <w:rPr>
      <w:rFonts w:ascii="宋体" w:hAnsi="宋体"/>
      <w:color w:val="000000"/>
      <w:kern w:val="0"/>
      <w:sz w:val="24"/>
    </w:rPr>
  </w:style>
  <w:style w:type="paragraph" w:customStyle="1" w:styleId="223">
    <w:name w:val="小项目"/>
    <w:basedOn w:val="1"/>
    <w:qFormat/>
    <w:uiPriority w:val="0"/>
    <w:pPr>
      <w:widowControl/>
      <w:numPr>
        <w:ilvl w:val="0"/>
        <w:numId w:val="7"/>
      </w:numPr>
      <w:spacing w:line="360" w:lineRule="auto"/>
    </w:pPr>
    <w:rPr>
      <w:kern w:val="0"/>
      <w:sz w:val="24"/>
    </w:rPr>
  </w:style>
  <w:style w:type="paragraph" w:customStyle="1" w:styleId="224">
    <w:name w:val="样式 标题 4h4heading 4PIM 4H4bulletblbbsect 1.2.3.4Ref Head..."/>
    <w:basedOn w:val="6"/>
    <w:qFormat/>
    <w:uiPriority w:val="0"/>
    <w:pPr>
      <w:keepNext w:val="0"/>
      <w:widowControl/>
      <w:tabs>
        <w:tab w:val="left" w:pos="1080"/>
      </w:tabs>
      <w:autoSpaceDE w:val="0"/>
      <w:autoSpaceDN w:val="0"/>
      <w:spacing w:after="120" w:line="360" w:lineRule="auto"/>
      <w:ind w:left="864" w:hanging="864"/>
    </w:pPr>
    <w:rPr>
      <w:rFonts w:cs="宋体"/>
      <w:b/>
      <w:kern w:val="0"/>
      <w:sz w:val="24"/>
      <w:szCs w:val="24"/>
    </w:rPr>
  </w:style>
  <w:style w:type="paragraph" w:customStyle="1" w:styleId="225">
    <w:name w:val="正文样式"/>
    <w:basedOn w:val="1"/>
    <w:link w:val="226"/>
    <w:qFormat/>
    <w:uiPriority w:val="0"/>
    <w:pPr>
      <w:widowControl/>
      <w:spacing w:line="360" w:lineRule="auto"/>
      <w:ind w:firstLine="200"/>
    </w:pPr>
    <w:rPr>
      <w:rFonts w:cs="宋体"/>
      <w:b/>
      <w:kern w:val="0"/>
      <w:sz w:val="24"/>
    </w:rPr>
  </w:style>
  <w:style w:type="character" w:customStyle="1" w:styleId="226">
    <w:name w:val="正文样式 Char"/>
    <w:link w:val="225"/>
    <w:qFormat/>
    <w:uiPriority w:val="0"/>
    <w:rPr>
      <w:rFonts w:cs="宋体"/>
      <w:b/>
      <w:sz w:val="24"/>
      <w:szCs w:val="24"/>
    </w:rPr>
  </w:style>
  <w:style w:type="paragraph" w:customStyle="1" w:styleId="227">
    <w:name w:val="文档正文（人）"/>
    <w:basedOn w:val="1"/>
    <w:link w:val="229"/>
    <w:qFormat/>
    <w:uiPriority w:val="0"/>
    <w:pPr>
      <w:widowControl/>
      <w:spacing w:line="360" w:lineRule="auto"/>
      <w:ind w:firstLine="800"/>
      <w:jc w:val="left"/>
    </w:pPr>
    <w:rPr>
      <w:rFonts w:ascii="仿宋_GB2312"/>
      <w:b/>
      <w:kern w:val="0"/>
      <w:sz w:val="28"/>
      <w:szCs w:val="28"/>
    </w:rPr>
  </w:style>
  <w:style w:type="paragraph" w:customStyle="1" w:styleId="228">
    <w:name w:val="样式 标题 3h3Heading 3 - oldLevel 3 HeadH3level_3PIM 3sect1.2..."/>
    <w:basedOn w:val="5"/>
    <w:qFormat/>
    <w:uiPriority w:val="0"/>
    <w:pPr>
      <w:keepNext w:val="0"/>
      <w:keepLines w:val="0"/>
      <w:widowControl/>
      <w:tabs>
        <w:tab w:val="left" w:pos="720"/>
      </w:tabs>
      <w:autoSpaceDE/>
      <w:autoSpaceDN/>
      <w:adjustRightInd/>
      <w:spacing w:before="0" w:after="0" w:line="415" w:lineRule="auto"/>
      <w:ind w:left="720" w:hanging="720"/>
    </w:pPr>
    <w:rPr>
      <w:rFonts w:ascii="Times New Roman" w:eastAsia="宋体"/>
      <w:b/>
      <w:szCs w:val="28"/>
    </w:rPr>
  </w:style>
  <w:style w:type="character" w:customStyle="1" w:styleId="229">
    <w:name w:val="文档正文（人） Char Char"/>
    <w:link w:val="227"/>
    <w:qFormat/>
    <w:uiPriority w:val="0"/>
    <w:rPr>
      <w:rFonts w:ascii="仿宋_GB2312"/>
      <w:b/>
      <w:sz w:val="28"/>
      <w:szCs w:val="28"/>
    </w:rPr>
  </w:style>
  <w:style w:type="character" w:customStyle="1" w:styleId="230">
    <w:name w:val="样式 文档正文 Char + (西文) 宋体 (中文) 宋体 小四 黑色 Char"/>
    <w:link w:val="222"/>
    <w:qFormat/>
    <w:uiPriority w:val="0"/>
    <w:rPr>
      <w:rFonts w:ascii="宋体" w:hAnsi="宋体"/>
      <w:color w:val="000000"/>
      <w:sz w:val="24"/>
      <w:szCs w:val="24"/>
    </w:rPr>
  </w:style>
  <w:style w:type="character" w:customStyle="1" w:styleId="231">
    <w:name w:val="列表项目符号 2 字符"/>
    <w:link w:val="40"/>
    <w:qFormat/>
    <w:uiPriority w:val="0"/>
    <w:rPr>
      <w:sz w:val="24"/>
      <w:szCs w:val="24"/>
    </w:rPr>
  </w:style>
  <w:style w:type="character" w:customStyle="1" w:styleId="232">
    <w:name w:val="正文缩进 字符"/>
    <w:link w:val="21"/>
    <w:qFormat/>
    <w:uiPriority w:val="0"/>
    <w:rPr>
      <w:rFonts w:ascii="楷体_GB2312" w:eastAsia="楷体_GB2312"/>
      <w:sz w:val="28"/>
    </w:rPr>
  </w:style>
  <w:style w:type="paragraph" w:customStyle="1" w:styleId="233">
    <w:name w:val="正文缩进体"/>
    <w:basedOn w:val="21"/>
    <w:link w:val="234"/>
    <w:qFormat/>
    <w:uiPriority w:val="0"/>
    <w:pPr>
      <w:widowControl/>
      <w:autoSpaceDE/>
      <w:autoSpaceDN/>
      <w:adjustRightInd/>
      <w:spacing w:line="240" w:lineRule="auto"/>
      <w:ind w:right="-107" w:firstLine="0"/>
    </w:pPr>
    <w:rPr>
      <w:rFonts w:ascii="Times New Roman" w:eastAsia="宋体"/>
      <w:sz w:val="21"/>
      <w:szCs w:val="21"/>
    </w:rPr>
  </w:style>
  <w:style w:type="character" w:customStyle="1" w:styleId="234">
    <w:name w:val="正文缩进体 Char"/>
    <w:link w:val="233"/>
    <w:qFormat/>
    <w:uiPriority w:val="0"/>
    <w:rPr>
      <w:sz w:val="21"/>
      <w:szCs w:val="21"/>
    </w:rPr>
  </w:style>
  <w:style w:type="paragraph" w:customStyle="1" w:styleId="235">
    <w:name w:val="样式 标题 5 + 小四 行距: 1.5 倍行距"/>
    <w:basedOn w:val="7"/>
    <w:qFormat/>
    <w:uiPriority w:val="0"/>
    <w:pPr>
      <w:keepNext w:val="0"/>
      <w:keepLines w:val="0"/>
      <w:widowControl/>
      <w:snapToGrid w:val="0"/>
      <w:spacing w:before="0" w:after="0" w:line="360" w:lineRule="auto"/>
      <w:ind w:left="879" w:right="-51" w:hanging="312"/>
    </w:pPr>
    <w:rPr>
      <w:rFonts w:cs="宋体"/>
      <w:b w:val="0"/>
      <w:bCs w:val="0"/>
      <w:kern w:val="0"/>
      <w:sz w:val="24"/>
      <w:szCs w:val="24"/>
    </w:rPr>
  </w:style>
  <w:style w:type="paragraph" w:customStyle="1" w:styleId="236">
    <w:name w:val="样式 正文缩进2字符"/>
    <w:basedOn w:val="1"/>
    <w:qFormat/>
    <w:uiPriority w:val="0"/>
    <w:pPr>
      <w:widowControl/>
      <w:spacing w:line="240" w:lineRule="atLeast"/>
      <w:jc w:val="left"/>
    </w:pPr>
    <w:rPr>
      <w:kern w:val="0"/>
      <w:sz w:val="24"/>
    </w:rPr>
  </w:style>
  <w:style w:type="character" w:customStyle="1" w:styleId="237">
    <w:name w:val="正文文本缩进 Char"/>
    <w:basedOn w:val="89"/>
    <w:qFormat/>
    <w:uiPriority w:val="0"/>
    <w:rPr>
      <w:rFonts w:ascii="Times New Roman" w:hAnsi="Times New Roman" w:eastAsia="宋体" w:cs="Times New Roman"/>
      <w:sz w:val="24"/>
      <w:szCs w:val="24"/>
    </w:rPr>
  </w:style>
  <w:style w:type="paragraph" w:customStyle="1" w:styleId="238">
    <w:name w:val="编号"/>
    <w:basedOn w:val="1"/>
    <w:qFormat/>
    <w:uiPriority w:val="0"/>
    <w:pPr>
      <w:widowControl/>
      <w:numPr>
        <w:ilvl w:val="0"/>
        <w:numId w:val="8"/>
      </w:numPr>
      <w:tabs>
        <w:tab w:val="left" w:pos="1080"/>
      </w:tabs>
      <w:spacing w:line="360" w:lineRule="auto"/>
      <w:ind w:firstLine="0"/>
    </w:pPr>
    <w:rPr>
      <w:kern w:val="0"/>
      <w:sz w:val="24"/>
    </w:rPr>
  </w:style>
  <w:style w:type="character" w:customStyle="1" w:styleId="239">
    <w:name w:val="纯文本 Char1"/>
    <w:qFormat/>
    <w:uiPriority w:val="0"/>
    <w:rPr>
      <w:rFonts w:ascii="宋体" w:hAnsi="Courier New" w:eastAsia="宋体" w:cs="Courier New"/>
      <w:sz w:val="21"/>
      <w:szCs w:val="21"/>
      <w:lang w:val="en-US" w:eastAsia="zh-CN" w:bidi="ar-SA"/>
    </w:rPr>
  </w:style>
  <w:style w:type="paragraph" w:customStyle="1" w:styleId="240">
    <w:name w:val="Char1 Char Char"/>
    <w:basedOn w:val="1"/>
    <w:qFormat/>
    <w:uiPriority w:val="0"/>
    <w:pPr>
      <w:widowControl/>
      <w:tabs>
        <w:tab w:val="left" w:pos="420"/>
      </w:tabs>
      <w:ind w:left="420" w:hanging="420"/>
    </w:pPr>
    <w:rPr>
      <w:rFonts w:ascii="Tahoma" w:hAnsi="Tahoma"/>
      <w:kern w:val="0"/>
      <w:sz w:val="24"/>
    </w:rPr>
  </w:style>
  <w:style w:type="paragraph" w:customStyle="1" w:styleId="241">
    <w:name w:val="附图标题"/>
    <w:basedOn w:val="208"/>
    <w:next w:val="21"/>
    <w:qFormat/>
    <w:uiPriority w:val="0"/>
    <w:pPr>
      <w:numPr>
        <w:ilvl w:val="0"/>
        <w:numId w:val="9"/>
      </w:numPr>
      <w:tabs>
        <w:tab w:val="clear" w:pos="720"/>
      </w:tabs>
      <w:spacing w:after="240"/>
      <w:ind w:left="425" w:hanging="425"/>
    </w:pPr>
    <w:rPr>
      <w:rFonts w:ascii="Arial" w:hAnsi="Arial" w:eastAsia="黑体"/>
    </w:rPr>
  </w:style>
  <w:style w:type="paragraph" w:customStyle="1" w:styleId="242">
    <w:name w:val="表格表头"/>
    <w:basedOn w:val="1"/>
    <w:next w:val="21"/>
    <w:qFormat/>
    <w:uiPriority w:val="0"/>
    <w:pPr>
      <w:widowControl/>
      <w:jc w:val="center"/>
    </w:pPr>
    <w:rPr>
      <w:b/>
      <w:kern w:val="0"/>
      <w:szCs w:val="21"/>
    </w:rPr>
  </w:style>
  <w:style w:type="paragraph" w:customStyle="1" w:styleId="243">
    <w:name w:val="样式 标题 5dashdsddh5H5PIM 5Second Subheadingdash1ds1dd1d..."/>
    <w:basedOn w:val="7"/>
    <w:semiHidden/>
    <w:qFormat/>
    <w:uiPriority w:val="0"/>
    <w:pPr>
      <w:keepNext w:val="0"/>
      <w:keepLines w:val="0"/>
      <w:widowControl/>
      <w:tabs>
        <w:tab w:val="left" w:pos="780"/>
        <w:tab w:val="left" w:pos="2520"/>
      </w:tabs>
      <w:spacing w:before="120" w:after="120" w:line="360" w:lineRule="auto"/>
    </w:pPr>
    <w:rPr>
      <w:rFonts w:cs="宋体"/>
      <w:b w:val="0"/>
      <w:bCs w:val="0"/>
      <w:kern w:val="0"/>
      <w:sz w:val="24"/>
      <w:szCs w:val="24"/>
    </w:rPr>
  </w:style>
  <w:style w:type="paragraph" w:customStyle="1" w:styleId="244">
    <w:name w:val="样式 标题 5dashdsddh5H5PIM 5Second Subheadingdash1ds1dd1d...2"/>
    <w:basedOn w:val="7"/>
    <w:qFormat/>
    <w:uiPriority w:val="0"/>
    <w:pPr>
      <w:keepNext w:val="0"/>
      <w:keepLines w:val="0"/>
      <w:widowControl/>
      <w:tabs>
        <w:tab w:val="left" w:pos="2520"/>
      </w:tabs>
      <w:spacing w:before="120" w:after="120" w:line="360" w:lineRule="auto"/>
      <w:ind w:hanging="420"/>
    </w:pPr>
    <w:rPr>
      <w:rFonts w:ascii="宋体" w:hAnsi="宋体" w:eastAsia="黑体" w:cs="宋体"/>
      <w:b w:val="0"/>
      <w:bCs w:val="0"/>
      <w:kern w:val="0"/>
      <w:sz w:val="24"/>
      <w:szCs w:val="24"/>
    </w:rPr>
  </w:style>
  <w:style w:type="paragraph" w:customStyle="1" w:styleId="245">
    <w:name w:val="样式 标题 3h3H3level_3PIM 3Level 3 HeadHeading 3 - oldsect1.2...1"/>
    <w:basedOn w:val="5"/>
    <w:link w:val="246"/>
    <w:semiHidden/>
    <w:qFormat/>
    <w:uiPriority w:val="0"/>
    <w:pPr>
      <w:keepNext w:val="0"/>
      <w:keepLines w:val="0"/>
      <w:widowControl/>
      <w:tabs>
        <w:tab w:val="left" w:pos="780"/>
        <w:tab w:val="left" w:pos="1680"/>
      </w:tabs>
      <w:adjustRightInd/>
      <w:spacing w:before="240" w:after="180" w:line="240" w:lineRule="auto"/>
      <w:jc w:val="left"/>
    </w:pPr>
    <w:rPr>
      <w:rFonts w:hAnsi="黑体"/>
      <w:b/>
      <w:szCs w:val="28"/>
    </w:rPr>
  </w:style>
  <w:style w:type="character" w:customStyle="1" w:styleId="246">
    <w:name w:val="样式 标题 3h3H3level_3PIM 3Level 3 HeadHeading 3 - oldsect1.2...1 Char"/>
    <w:link w:val="245"/>
    <w:semiHidden/>
    <w:qFormat/>
    <w:uiPriority w:val="0"/>
    <w:rPr>
      <w:rFonts w:ascii="黑体" w:hAnsi="黑体" w:eastAsia="黑体"/>
      <w:b/>
      <w:sz w:val="28"/>
      <w:szCs w:val="28"/>
    </w:rPr>
  </w:style>
  <w:style w:type="paragraph" w:customStyle="1" w:styleId="247">
    <w:name w:val="样式 标题 4h4heading 4h41heading 41h42heading 42h411heading ..."/>
    <w:basedOn w:val="6"/>
    <w:link w:val="248"/>
    <w:qFormat/>
    <w:uiPriority w:val="0"/>
    <w:pPr>
      <w:keepNext w:val="0"/>
      <w:widowControl/>
      <w:numPr>
        <w:ilvl w:val="0"/>
        <w:numId w:val="10"/>
      </w:numPr>
      <w:tabs>
        <w:tab w:val="left" w:pos="2100"/>
      </w:tabs>
      <w:autoSpaceDE w:val="0"/>
      <w:autoSpaceDN w:val="0"/>
      <w:spacing w:line="360" w:lineRule="auto"/>
      <w:ind w:left="0" w:firstLine="0"/>
      <w:jc w:val="left"/>
    </w:pPr>
    <w:rPr>
      <w:rFonts w:ascii="黑体" w:hAnsi="黑体" w:eastAsia="黑体"/>
      <w:b/>
      <w:kern w:val="0"/>
      <w:sz w:val="24"/>
      <w:szCs w:val="24"/>
    </w:rPr>
  </w:style>
  <w:style w:type="character" w:customStyle="1" w:styleId="248">
    <w:name w:val="样式 标题 4h4heading 4h41heading 41h42heading 42h411heading ... Char"/>
    <w:link w:val="247"/>
    <w:qFormat/>
    <w:uiPriority w:val="0"/>
    <w:rPr>
      <w:rFonts w:ascii="黑体" w:hAnsi="黑体" w:eastAsia="黑体"/>
      <w:b/>
      <w:sz w:val="24"/>
      <w:szCs w:val="24"/>
    </w:rPr>
  </w:style>
  <w:style w:type="paragraph" w:customStyle="1" w:styleId="249">
    <w:name w:val="样式 列表项目符号 2 +"/>
    <w:basedOn w:val="40"/>
    <w:qFormat/>
    <w:uiPriority w:val="0"/>
    <w:pPr>
      <w:tabs>
        <w:tab w:val="left" w:pos="794"/>
        <w:tab w:val="clear" w:pos="1302"/>
      </w:tabs>
      <w:autoSpaceDE w:val="0"/>
      <w:autoSpaceDN w:val="0"/>
      <w:ind w:left="794" w:firstLine="0"/>
      <w:jc w:val="left"/>
    </w:pPr>
    <w:rPr>
      <w:sz w:val="28"/>
      <w:szCs w:val="28"/>
    </w:rPr>
  </w:style>
  <w:style w:type="paragraph" w:customStyle="1" w:styleId="250">
    <w:name w:val="样式 标题 3h3heading 3h31heading 31h32heading 32h311heading ..."/>
    <w:basedOn w:val="5"/>
    <w:link w:val="251"/>
    <w:qFormat/>
    <w:uiPriority w:val="0"/>
    <w:pPr>
      <w:keepNext w:val="0"/>
      <w:keepLines w:val="0"/>
      <w:widowControl/>
      <w:tabs>
        <w:tab w:val="left" w:pos="1214"/>
        <w:tab w:val="left" w:pos="1260"/>
      </w:tabs>
      <w:autoSpaceDE/>
      <w:autoSpaceDN/>
      <w:adjustRightInd/>
      <w:spacing w:before="0" w:after="0" w:line="360" w:lineRule="auto"/>
    </w:pPr>
    <w:rPr>
      <w:rFonts w:ascii="宋体" w:hAnsi="宋体" w:eastAsia="宋体"/>
      <w:b/>
      <w:szCs w:val="28"/>
    </w:rPr>
  </w:style>
  <w:style w:type="character" w:customStyle="1" w:styleId="251">
    <w:name w:val="样式 标题 3h3heading 3h31heading 31h32heading 32h311heading ... Char"/>
    <w:link w:val="250"/>
    <w:qFormat/>
    <w:uiPriority w:val="0"/>
    <w:rPr>
      <w:rFonts w:ascii="宋体" w:hAnsi="宋体"/>
      <w:b/>
      <w:sz w:val="28"/>
      <w:szCs w:val="28"/>
    </w:rPr>
  </w:style>
  <w:style w:type="paragraph" w:customStyle="1" w:styleId="252">
    <w:name w:val="样式 标题 2H2sect 1.2H21sect 1.21H22sect 1.22H211sect 1.211..."/>
    <w:basedOn w:val="4"/>
    <w:qFormat/>
    <w:uiPriority w:val="0"/>
    <w:pPr>
      <w:keepNext w:val="0"/>
      <w:keepLines w:val="0"/>
      <w:widowControl/>
      <w:tabs>
        <w:tab w:val="left" w:pos="0"/>
        <w:tab w:val="left" w:pos="840"/>
        <w:tab w:val="left" w:pos="1214"/>
      </w:tabs>
      <w:spacing w:before="240" w:after="240" w:line="480" w:lineRule="auto"/>
      <w:ind w:firstLine="20"/>
    </w:pPr>
    <w:rPr>
      <w:rFonts w:ascii="Times New Roman" w:hAnsi="Times New Roman" w:eastAsia="宋体"/>
      <w:bCs w:val="0"/>
      <w:kern w:val="0"/>
      <w:sz w:val="30"/>
      <w:szCs w:val="30"/>
    </w:rPr>
  </w:style>
  <w:style w:type="paragraph" w:customStyle="1" w:styleId="253">
    <w:name w:val="文档正文（加粗）"/>
    <w:basedOn w:val="1"/>
    <w:qFormat/>
    <w:uiPriority w:val="0"/>
    <w:pPr>
      <w:widowControl/>
      <w:ind w:firstLine="257"/>
    </w:pPr>
    <w:rPr>
      <w:rFonts w:ascii="长城仿宋"/>
      <w:b/>
      <w:kern w:val="0"/>
      <w:sz w:val="28"/>
      <w:szCs w:val="28"/>
    </w:rPr>
  </w:style>
  <w:style w:type="paragraph" w:customStyle="1" w:styleId="254">
    <w:name w:val="章"/>
    <w:basedOn w:val="81"/>
    <w:next w:val="1"/>
    <w:qFormat/>
    <w:uiPriority w:val="0"/>
    <w:pPr>
      <w:widowControl/>
      <w:tabs>
        <w:tab w:val="left" w:pos="425"/>
      </w:tabs>
      <w:wordWrap w:val="0"/>
      <w:spacing w:line="360" w:lineRule="auto"/>
      <w:ind w:left="425" w:hanging="425"/>
    </w:pPr>
    <w:rPr>
      <w:rFonts w:ascii="Arial" w:hAnsi="Arial" w:eastAsia="黑体" w:cs="Arial"/>
      <w:bCs w:val="0"/>
      <w:kern w:val="0"/>
    </w:rPr>
  </w:style>
  <w:style w:type="paragraph" w:customStyle="1" w:styleId="255">
    <w:name w:val="样式 标题 3h3heading 3h31heading 31h32heading 32h311heading ...1"/>
    <w:basedOn w:val="5"/>
    <w:qFormat/>
    <w:uiPriority w:val="0"/>
    <w:pPr>
      <w:keepNext w:val="0"/>
      <w:keepLines w:val="0"/>
      <w:widowControl/>
      <w:tabs>
        <w:tab w:val="left" w:pos="1260"/>
      </w:tabs>
      <w:autoSpaceDE/>
      <w:autoSpaceDN/>
      <w:adjustRightInd/>
      <w:spacing w:before="0" w:after="0" w:line="360" w:lineRule="auto"/>
      <w:ind w:firstLine="40"/>
    </w:pPr>
    <w:rPr>
      <w:rFonts w:ascii="宋体" w:hAnsi="宋体" w:eastAsia="宋体"/>
      <w:b/>
      <w:szCs w:val="28"/>
    </w:rPr>
  </w:style>
  <w:style w:type="paragraph" w:customStyle="1" w:styleId="256">
    <w:name w:val="样式 标题 4h4heading 4h41heading 41h42heading 42h411heading ...1"/>
    <w:basedOn w:val="6"/>
    <w:qFormat/>
    <w:uiPriority w:val="0"/>
    <w:pPr>
      <w:keepNext w:val="0"/>
      <w:widowControl/>
      <w:tabs>
        <w:tab w:val="left" w:pos="1214"/>
        <w:tab w:val="left" w:pos="1680"/>
      </w:tabs>
      <w:ind w:firstLine="60"/>
      <w:jc w:val="left"/>
    </w:pPr>
    <w:rPr>
      <w:rFonts w:ascii="宋体" w:hAnsi="宋体"/>
      <w:b/>
      <w:kern w:val="0"/>
      <w:sz w:val="24"/>
      <w:szCs w:val="24"/>
    </w:rPr>
  </w:style>
  <w:style w:type="paragraph" w:customStyle="1" w:styleId="257">
    <w:name w:val="样式 标题 5h5h51heading 51h52heading 52h53heading 53第NNNN节H..."/>
    <w:basedOn w:val="7"/>
    <w:link w:val="258"/>
    <w:qFormat/>
    <w:uiPriority w:val="0"/>
    <w:pPr>
      <w:keepNext w:val="0"/>
      <w:keepLines w:val="0"/>
      <w:widowControl/>
      <w:numPr>
        <w:ilvl w:val="0"/>
        <w:numId w:val="11"/>
      </w:numPr>
      <w:tabs>
        <w:tab w:val="left" w:pos="2100"/>
      </w:tabs>
      <w:spacing w:before="0" w:after="0" w:line="240" w:lineRule="auto"/>
      <w:ind w:left="0" w:firstLine="80"/>
    </w:pPr>
    <w:rPr>
      <w:b w:val="0"/>
      <w:bCs w:val="0"/>
      <w:kern w:val="0"/>
      <w:sz w:val="22"/>
      <w:szCs w:val="22"/>
    </w:rPr>
  </w:style>
  <w:style w:type="character" w:customStyle="1" w:styleId="258">
    <w:name w:val="样式 标题 5h5h51heading 51h52heading 52h53heading 53第NNNN节H... Char"/>
    <w:link w:val="257"/>
    <w:qFormat/>
    <w:uiPriority w:val="0"/>
    <w:rPr>
      <w:sz w:val="22"/>
      <w:szCs w:val="22"/>
    </w:rPr>
  </w:style>
  <w:style w:type="paragraph" w:customStyle="1" w:styleId="259">
    <w:name w:val="样式 标题 5h5h51heading 51h52heading 52h53heading 53第NNNN节H...1"/>
    <w:basedOn w:val="7"/>
    <w:link w:val="260"/>
    <w:qFormat/>
    <w:uiPriority w:val="0"/>
    <w:pPr>
      <w:keepNext w:val="0"/>
      <w:keepLines w:val="0"/>
      <w:widowControl/>
      <w:tabs>
        <w:tab w:val="left" w:pos="2100"/>
      </w:tabs>
      <w:spacing w:before="0" w:after="0" w:line="240" w:lineRule="auto"/>
      <w:ind w:firstLine="80"/>
    </w:pPr>
    <w:rPr>
      <w:b w:val="0"/>
      <w:bCs w:val="0"/>
      <w:kern w:val="0"/>
      <w:sz w:val="24"/>
      <w:szCs w:val="24"/>
    </w:rPr>
  </w:style>
  <w:style w:type="character" w:customStyle="1" w:styleId="260">
    <w:name w:val="样式 标题 5h5h51heading 51h52heading 52h53heading 53第NNNN节H...1 Char"/>
    <w:link w:val="259"/>
    <w:qFormat/>
    <w:uiPriority w:val="0"/>
    <w:rPr>
      <w:sz w:val="24"/>
      <w:szCs w:val="24"/>
    </w:rPr>
  </w:style>
  <w:style w:type="paragraph" w:customStyle="1" w:styleId="261">
    <w:name w:val="样式 标题 5h5h51heading 51h52heading 52h53heading 53第NNNN节H...2"/>
    <w:basedOn w:val="7"/>
    <w:link w:val="262"/>
    <w:qFormat/>
    <w:uiPriority w:val="0"/>
    <w:pPr>
      <w:keepNext w:val="0"/>
      <w:keepLines w:val="0"/>
      <w:widowControl/>
      <w:tabs>
        <w:tab w:val="left" w:pos="2100"/>
      </w:tabs>
      <w:spacing w:before="0" w:after="0" w:line="240" w:lineRule="auto"/>
      <w:ind w:firstLine="80"/>
    </w:pPr>
    <w:rPr>
      <w:rFonts w:ascii="宋体" w:hAnsi="宋体"/>
      <w:b w:val="0"/>
      <w:bCs w:val="0"/>
      <w:kern w:val="0"/>
      <w:sz w:val="24"/>
      <w:szCs w:val="24"/>
    </w:rPr>
  </w:style>
  <w:style w:type="character" w:customStyle="1" w:styleId="262">
    <w:name w:val="样式 标题 5h5h51heading 51h52heading 52h53heading 53第NNNN节H...2 Char"/>
    <w:link w:val="261"/>
    <w:qFormat/>
    <w:uiPriority w:val="0"/>
    <w:rPr>
      <w:rFonts w:ascii="宋体" w:hAnsi="宋体"/>
      <w:sz w:val="24"/>
      <w:szCs w:val="24"/>
    </w:rPr>
  </w:style>
  <w:style w:type="paragraph" w:customStyle="1" w:styleId="263">
    <w:name w:val="text"/>
    <w:basedOn w:val="1"/>
    <w:qFormat/>
    <w:uiPriority w:val="0"/>
    <w:pPr>
      <w:widowControl/>
      <w:spacing w:line="360" w:lineRule="auto"/>
    </w:pPr>
    <w:rPr>
      <w:rFonts w:ascii="Arial" w:hAnsi="Arial" w:eastAsia="楷体_GB2312"/>
      <w:b/>
      <w:color w:val="000000"/>
      <w:kern w:val="0"/>
      <w:sz w:val="24"/>
    </w:rPr>
  </w:style>
  <w:style w:type="paragraph" w:customStyle="1" w:styleId="264">
    <w:name w:val="技术规范书条款1-9"/>
    <w:basedOn w:val="1"/>
    <w:qFormat/>
    <w:uiPriority w:val="0"/>
    <w:pPr>
      <w:widowControl/>
      <w:numPr>
        <w:ilvl w:val="0"/>
        <w:numId w:val="12"/>
      </w:numPr>
      <w:spacing w:line="360" w:lineRule="auto"/>
      <w:ind w:firstLine="0"/>
    </w:pPr>
    <w:rPr>
      <w:kern w:val="0"/>
      <w:sz w:val="24"/>
    </w:rPr>
  </w:style>
  <w:style w:type="paragraph" w:customStyle="1" w:styleId="265">
    <w:name w:val="文档正文"/>
    <w:basedOn w:val="1"/>
    <w:link w:val="439"/>
    <w:qFormat/>
    <w:uiPriority w:val="0"/>
    <w:pPr>
      <w:widowControl/>
      <w:spacing w:line="360" w:lineRule="auto"/>
    </w:pPr>
    <w:rPr>
      <w:rFonts w:ascii="Arial" w:hAnsi="Arial"/>
      <w:kern w:val="0"/>
      <w:sz w:val="24"/>
    </w:rPr>
  </w:style>
  <w:style w:type="paragraph" w:customStyle="1" w:styleId="266">
    <w:name w:val="标号"/>
    <w:basedOn w:val="1"/>
    <w:qFormat/>
    <w:uiPriority w:val="0"/>
    <w:pPr>
      <w:widowControl/>
      <w:spacing w:line="360" w:lineRule="auto"/>
    </w:pPr>
    <w:rPr>
      <w:kern w:val="0"/>
      <w:sz w:val="24"/>
    </w:rPr>
  </w:style>
  <w:style w:type="paragraph" w:customStyle="1" w:styleId="267">
    <w:name w:val="KPMG body text"/>
    <w:basedOn w:val="1"/>
    <w:qFormat/>
    <w:uiPriority w:val="0"/>
    <w:pPr>
      <w:widowControl/>
      <w:spacing w:before="120" w:after="120" w:line="360" w:lineRule="auto"/>
      <w:ind w:left="720"/>
    </w:pPr>
    <w:rPr>
      <w:rFonts w:ascii="宋体" w:hAnsi="宋体"/>
      <w:kern w:val="0"/>
      <w:sz w:val="22"/>
      <w:szCs w:val="22"/>
    </w:rPr>
  </w:style>
  <w:style w:type="paragraph" w:customStyle="1" w:styleId="268">
    <w:name w:val="正文列4_1"/>
    <w:basedOn w:val="1"/>
    <w:qFormat/>
    <w:uiPriority w:val="0"/>
    <w:pPr>
      <w:widowControl/>
      <w:tabs>
        <w:tab w:val="left" w:pos="1080"/>
      </w:tabs>
      <w:snapToGrid w:val="0"/>
      <w:spacing w:line="360" w:lineRule="auto"/>
      <w:ind w:left="1080" w:hanging="420"/>
      <w:jc w:val="left"/>
    </w:pPr>
    <w:rPr>
      <w:rFonts w:ascii="宋体" w:hAnsi="宋体"/>
      <w:kern w:val="0"/>
      <w:sz w:val="24"/>
    </w:rPr>
  </w:style>
  <w:style w:type="paragraph" w:customStyle="1" w:styleId="269">
    <w:name w:val="封面"/>
    <w:basedOn w:val="1"/>
    <w:qFormat/>
    <w:uiPriority w:val="0"/>
    <w:pPr>
      <w:widowControl/>
      <w:spacing w:line="360" w:lineRule="atLeast"/>
      <w:jc w:val="right"/>
    </w:pPr>
    <w:rPr>
      <w:rFonts w:ascii="Arial" w:hAnsi="Arial"/>
      <w:kern w:val="0"/>
      <w:sz w:val="24"/>
    </w:rPr>
  </w:style>
  <w:style w:type="paragraph" w:customStyle="1" w:styleId="270">
    <w:name w:val="解释字体"/>
    <w:basedOn w:val="1"/>
    <w:next w:val="1"/>
    <w:qFormat/>
    <w:uiPriority w:val="0"/>
    <w:pPr>
      <w:widowControl/>
      <w:spacing w:after="80"/>
      <w:jc w:val="left"/>
    </w:pPr>
    <w:rPr>
      <w:i/>
      <w:color w:val="0000FF"/>
      <w:kern w:val="0"/>
      <w:sz w:val="20"/>
      <w:szCs w:val="20"/>
    </w:rPr>
  </w:style>
  <w:style w:type="paragraph" w:customStyle="1" w:styleId="271">
    <w:name w:val="样式"/>
    <w:basedOn w:val="1"/>
    <w:qFormat/>
    <w:uiPriority w:val="0"/>
    <w:pPr>
      <w:widowControl/>
      <w:tabs>
        <w:tab w:val="left" w:pos="567"/>
        <w:tab w:val="left" w:pos="1260"/>
      </w:tabs>
      <w:snapToGrid w:val="0"/>
      <w:spacing w:line="460" w:lineRule="atLeast"/>
      <w:ind w:left="1260" w:hanging="420"/>
    </w:pPr>
    <w:rPr>
      <w:rFonts w:ascii="Arial" w:hAnsi="Arial"/>
      <w:spacing w:val="6"/>
      <w:kern w:val="0"/>
      <w:sz w:val="24"/>
    </w:rPr>
  </w:style>
  <w:style w:type="paragraph" w:customStyle="1" w:styleId="272">
    <w:name w:val="小标题"/>
    <w:basedOn w:val="1"/>
    <w:qFormat/>
    <w:uiPriority w:val="0"/>
    <w:pPr>
      <w:widowControl/>
      <w:jc w:val="left"/>
    </w:pPr>
    <w:rPr>
      <w:kern w:val="0"/>
      <w:szCs w:val="21"/>
    </w:rPr>
  </w:style>
  <w:style w:type="paragraph" w:customStyle="1" w:styleId="273">
    <w:name w:val="项"/>
    <w:basedOn w:val="1"/>
    <w:qFormat/>
    <w:uiPriority w:val="0"/>
    <w:pPr>
      <w:widowControl/>
      <w:spacing w:line="360" w:lineRule="auto"/>
    </w:pPr>
    <w:rPr>
      <w:kern w:val="0"/>
      <w:sz w:val="24"/>
    </w:rPr>
  </w:style>
  <w:style w:type="paragraph" w:customStyle="1" w:styleId="274">
    <w:name w:val="需求正文"/>
    <w:basedOn w:val="1"/>
    <w:qFormat/>
    <w:uiPriority w:val="0"/>
    <w:pPr>
      <w:widowControl/>
      <w:spacing w:line="400" w:lineRule="exact"/>
    </w:pPr>
    <w:rPr>
      <w:kern w:val="0"/>
      <w:szCs w:val="21"/>
    </w:rPr>
  </w:style>
  <w:style w:type="character" w:customStyle="1" w:styleId="275">
    <w:name w:val="f121"/>
    <w:qFormat/>
    <w:uiPriority w:val="0"/>
    <w:rPr>
      <w:rFonts w:ascii="宋体" w:hAnsi="宋体" w:eastAsia="宋体"/>
      <w:sz w:val="18"/>
      <w:szCs w:val="18"/>
      <w:lang w:val="en-US" w:eastAsia="zh-CN" w:bidi="ar-SA"/>
    </w:rPr>
  </w:style>
  <w:style w:type="paragraph" w:customStyle="1" w:styleId="276">
    <w:name w:val="编写说明"/>
    <w:basedOn w:val="21"/>
    <w:qFormat/>
    <w:uiPriority w:val="0"/>
    <w:pPr>
      <w:widowControl/>
      <w:autoSpaceDE/>
      <w:autoSpaceDN/>
      <w:adjustRightInd/>
      <w:spacing w:line="360" w:lineRule="auto"/>
      <w:ind w:firstLine="0"/>
      <w:jc w:val="both"/>
    </w:pPr>
    <w:rPr>
      <w:rFonts w:ascii="Times New Roman" w:eastAsia="宋体"/>
      <w:i/>
      <w:color w:val="3366FF"/>
      <w:sz w:val="24"/>
      <w:szCs w:val="24"/>
    </w:rPr>
  </w:style>
  <w:style w:type="paragraph" w:customStyle="1" w:styleId="277">
    <w:name w:val="Plain Text1"/>
    <w:basedOn w:val="1"/>
    <w:qFormat/>
    <w:uiPriority w:val="0"/>
    <w:pPr>
      <w:widowControl/>
      <w:autoSpaceDE w:val="0"/>
      <w:autoSpaceDN w:val="0"/>
      <w:spacing w:line="360" w:lineRule="auto"/>
    </w:pPr>
    <w:rPr>
      <w:rFonts w:hint="eastAsia" w:ascii="宋体" w:hAnsi="宋体"/>
      <w:kern w:val="0"/>
      <w:szCs w:val="21"/>
    </w:rPr>
  </w:style>
  <w:style w:type="paragraph" w:customStyle="1" w:styleId="278">
    <w:name w:val="样式 首行缩进:  0.74 厘米"/>
    <w:basedOn w:val="1"/>
    <w:qFormat/>
    <w:uiPriority w:val="0"/>
    <w:pPr>
      <w:widowControl/>
      <w:spacing w:line="360" w:lineRule="auto"/>
    </w:pPr>
    <w:rPr>
      <w:kern w:val="0"/>
      <w:sz w:val="24"/>
    </w:rPr>
  </w:style>
  <w:style w:type="paragraph" w:customStyle="1" w:styleId="279">
    <w:name w:val="样式1"/>
    <w:basedOn w:val="1"/>
    <w:qFormat/>
    <w:uiPriority w:val="0"/>
    <w:pPr>
      <w:widowControl/>
      <w:snapToGrid w:val="0"/>
      <w:spacing w:line="600" w:lineRule="atLeast"/>
    </w:pPr>
    <w:rPr>
      <w:rFonts w:ascii="仿宋_GB2312" w:eastAsia="仿宋_GB2312"/>
      <w:kern w:val="0"/>
      <w:sz w:val="32"/>
      <w:szCs w:val="32"/>
    </w:rPr>
  </w:style>
  <w:style w:type="paragraph" w:customStyle="1" w:styleId="280">
    <w:name w:val="CM360"/>
    <w:basedOn w:val="98"/>
    <w:next w:val="98"/>
    <w:qFormat/>
    <w:uiPriority w:val="0"/>
    <w:pPr>
      <w:widowControl/>
      <w:adjustRightInd/>
      <w:spacing w:after="368"/>
    </w:pPr>
    <w:rPr>
      <w:rFonts w:ascii=".." w:eastAsia=".."/>
      <w:color w:val="auto"/>
    </w:rPr>
  </w:style>
  <w:style w:type="paragraph" w:customStyle="1" w:styleId="281">
    <w:name w:val="CM46"/>
    <w:basedOn w:val="98"/>
    <w:next w:val="98"/>
    <w:qFormat/>
    <w:uiPriority w:val="0"/>
    <w:pPr>
      <w:widowControl/>
      <w:adjustRightInd/>
      <w:spacing w:line="468" w:lineRule="atLeast"/>
    </w:pPr>
    <w:rPr>
      <w:rFonts w:ascii=".." w:eastAsia=".."/>
      <w:color w:val="auto"/>
    </w:rPr>
  </w:style>
  <w:style w:type="paragraph" w:customStyle="1" w:styleId="282">
    <w:name w:val="CM1"/>
    <w:basedOn w:val="98"/>
    <w:next w:val="98"/>
    <w:qFormat/>
    <w:uiPriority w:val="0"/>
    <w:pPr>
      <w:widowControl/>
      <w:adjustRightInd/>
    </w:pPr>
    <w:rPr>
      <w:rFonts w:ascii=".." w:eastAsia=".."/>
      <w:color w:val="auto"/>
    </w:rPr>
  </w:style>
  <w:style w:type="paragraph" w:customStyle="1" w:styleId="283">
    <w:name w:val="CM355"/>
    <w:basedOn w:val="98"/>
    <w:next w:val="98"/>
    <w:qFormat/>
    <w:uiPriority w:val="0"/>
    <w:pPr>
      <w:widowControl/>
      <w:adjustRightInd/>
      <w:spacing w:after="190"/>
    </w:pPr>
    <w:rPr>
      <w:rFonts w:ascii=".." w:eastAsia=".."/>
      <w:color w:val="auto"/>
    </w:rPr>
  </w:style>
  <w:style w:type="paragraph" w:customStyle="1" w:styleId="284">
    <w:name w:val="CM354"/>
    <w:basedOn w:val="98"/>
    <w:next w:val="98"/>
    <w:qFormat/>
    <w:uiPriority w:val="0"/>
    <w:pPr>
      <w:widowControl/>
      <w:adjustRightInd/>
      <w:spacing w:after="293"/>
    </w:pPr>
    <w:rPr>
      <w:rFonts w:ascii=".." w:eastAsia=".."/>
      <w:color w:val="auto"/>
    </w:rPr>
  </w:style>
  <w:style w:type="paragraph" w:customStyle="1" w:styleId="285">
    <w:name w:val="CM40"/>
    <w:basedOn w:val="98"/>
    <w:next w:val="98"/>
    <w:qFormat/>
    <w:uiPriority w:val="0"/>
    <w:pPr>
      <w:widowControl/>
      <w:adjustRightInd/>
      <w:spacing w:line="468" w:lineRule="atLeast"/>
    </w:pPr>
    <w:rPr>
      <w:rFonts w:ascii=".." w:eastAsia=".."/>
      <w:color w:val="auto"/>
    </w:rPr>
  </w:style>
  <w:style w:type="paragraph" w:customStyle="1" w:styleId="286">
    <w:name w:val="CM373"/>
    <w:basedOn w:val="98"/>
    <w:next w:val="98"/>
    <w:qFormat/>
    <w:uiPriority w:val="0"/>
    <w:pPr>
      <w:widowControl/>
      <w:adjustRightInd/>
      <w:spacing w:after="673"/>
    </w:pPr>
    <w:rPr>
      <w:rFonts w:ascii=".." w:eastAsia=".."/>
      <w:color w:val="auto"/>
    </w:rPr>
  </w:style>
  <w:style w:type="paragraph" w:customStyle="1" w:styleId="287">
    <w:name w:val="CM82"/>
    <w:basedOn w:val="98"/>
    <w:next w:val="98"/>
    <w:qFormat/>
    <w:uiPriority w:val="0"/>
    <w:pPr>
      <w:widowControl/>
      <w:adjustRightInd/>
      <w:spacing w:line="468" w:lineRule="atLeast"/>
    </w:pPr>
    <w:rPr>
      <w:rFonts w:ascii=".." w:eastAsia=".."/>
      <w:color w:val="auto"/>
    </w:rPr>
  </w:style>
  <w:style w:type="paragraph" w:customStyle="1" w:styleId="288">
    <w:name w:val="样式 样式 宋体 行距: 1.5 倍行距 首行缩进:  2 字符 + 首行缩进:  2 字符"/>
    <w:basedOn w:val="1"/>
    <w:qFormat/>
    <w:uiPriority w:val="0"/>
    <w:pPr>
      <w:widowControl/>
      <w:spacing w:line="360" w:lineRule="auto"/>
      <w:ind w:firstLine="200"/>
    </w:pPr>
    <w:rPr>
      <w:rFonts w:ascii="宋体" w:hAnsi="宋体" w:cs="宋体"/>
      <w:kern w:val="0"/>
      <w:sz w:val="24"/>
    </w:rPr>
  </w:style>
  <w:style w:type="paragraph" w:customStyle="1" w:styleId="289">
    <w:name w:val="樣式5"/>
    <w:basedOn w:val="1"/>
    <w:qFormat/>
    <w:uiPriority w:val="0"/>
    <w:pPr>
      <w:widowControl/>
      <w:overflowPunct w:val="0"/>
      <w:autoSpaceDE w:val="0"/>
      <w:autoSpaceDN w:val="0"/>
      <w:spacing w:line="400" w:lineRule="exact"/>
      <w:ind w:left="450" w:leftChars="450"/>
      <w:jc w:val="left"/>
    </w:pPr>
    <w:rPr>
      <w:rFonts w:ascii="DFKai-SB" w:hAnsi="DFKai-SB" w:eastAsia="DFKai-SB"/>
      <w:kern w:val="0"/>
      <w:sz w:val="28"/>
      <w:szCs w:val="28"/>
      <w:lang w:eastAsia="zh-TW"/>
    </w:rPr>
  </w:style>
  <w:style w:type="paragraph" w:customStyle="1" w:styleId="290">
    <w:name w:val="项目符号"/>
    <w:basedOn w:val="1"/>
    <w:qFormat/>
    <w:uiPriority w:val="0"/>
    <w:pPr>
      <w:widowControl/>
      <w:tabs>
        <w:tab w:val="left" w:pos="1236"/>
      </w:tabs>
      <w:overflowPunct w:val="0"/>
      <w:autoSpaceDE w:val="0"/>
      <w:autoSpaceDN w:val="0"/>
      <w:spacing w:before="20" w:after="20" w:line="360" w:lineRule="auto"/>
      <w:ind w:left="1236" w:hanging="420"/>
    </w:pPr>
    <w:rPr>
      <w:rFonts w:ascii="Arial" w:hAnsi="Arial"/>
      <w:kern w:val="0"/>
      <w:sz w:val="24"/>
    </w:rPr>
  </w:style>
  <w:style w:type="paragraph" w:customStyle="1" w:styleId="291">
    <w:name w:val="A BLOCK PARA"/>
    <w:basedOn w:val="1"/>
    <w:qFormat/>
    <w:uiPriority w:val="0"/>
    <w:pPr>
      <w:widowControl/>
      <w:spacing w:after="100" w:afterAutospacing="1" w:line="240" w:lineRule="atLeast"/>
      <w:ind w:left="288"/>
      <w:jc w:val="left"/>
    </w:pPr>
    <w:rPr>
      <w:rFonts w:ascii="Book Antiqua" w:hAnsi="Book Antiqua"/>
      <w:color w:val="000000"/>
      <w:kern w:val="0"/>
      <w:sz w:val="22"/>
      <w:szCs w:val="22"/>
    </w:rPr>
  </w:style>
  <w:style w:type="paragraph" w:customStyle="1" w:styleId="292">
    <w:name w:val="样式 宋体 小四 首行缩进:  0.74 厘米 行距: 1.5 倍行距"/>
    <w:basedOn w:val="1"/>
    <w:qFormat/>
    <w:uiPriority w:val="0"/>
    <w:pPr>
      <w:widowControl/>
      <w:spacing w:line="360" w:lineRule="auto"/>
    </w:pPr>
    <w:rPr>
      <w:rFonts w:ascii="宋体" w:hAnsi="宋体" w:cs="宋体"/>
      <w:kern w:val="0"/>
      <w:szCs w:val="21"/>
    </w:rPr>
  </w:style>
  <w:style w:type="paragraph" w:customStyle="1" w:styleId="293">
    <w:name w:val="样式 宋体 小四 行距: 1.5 倍行距"/>
    <w:basedOn w:val="1"/>
    <w:qFormat/>
    <w:uiPriority w:val="0"/>
    <w:pPr>
      <w:widowControl/>
      <w:spacing w:line="360" w:lineRule="auto"/>
    </w:pPr>
    <w:rPr>
      <w:rFonts w:ascii="宋体" w:hAnsi="宋体" w:cs="宋体"/>
      <w:kern w:val="0"/>
      <w:szCs w:val="21"/>
    </w:rPr>
  </w:style>
  <w:style w:type="paragraph" w:customStyle="1" w:styleId="294">
    <w:name w:val="样式 宋体 小四 左侧:  0.74 厘米 行距: 1.5 倍行距"/>
    <w:basedOn w:val="1"/>
    <w:qFormat/>
    <w:uiPriority w:val="0"/>
    <w:pPr>
      <w:widowControl/>
      <w:spacing w:line="360" w:lineRule="auto"/>
      <w:ind w:left="420"/>
    </w:pPr>
    <w:rPr>
      <w:rFonts w:ascii="宋体" w:hAnsi="宋体" w:cs="宋体"/>
      <w:kern w:val="0"/>
      <w:szCs w:val="21"/>
    </w:rPr>
  </w:style>
  <w:style w:type="character" w:customStyle="1" w:styleId="295">
    <w:name w:val="样式 宋体 小四"/>
    <w:qFormat/>
    <w:uiPriority w:val="0"/>
    <w:rPr>
      <w:rFonts w:ascii="宋体" w:hAnsi="宋体" w:eastAsia="宋体"/>
      <w:sz w:val="21"/>
      <w:szCs w:val="21"/>
      <w:lang w:val="en-US" w:eastAsia="zh-CN" w:bidi="ar-SA"/>
    </w:rPr>
  </w:style>
  <w:style w:type="paragraph" w:customStyle="1" w:styleId="296">
    <w:name w:val="正文6"/>
    <w:basedOn w:val="1"/>
    <w:qFormat/>
    <w:uiPriority w:val="0"/>
    <w:pPr>
      <w:widowControl/>
      <w:numPr>
        <w:ilvl w:val="0"/>
        <w:numId w:val="13"/>
      </w:numPr>
      <w:spacing w:before="60" w:after="60" w:line="360" w:lineRule="auto"/>
      <w:ind w:left="1020" w:leftChars="1020" w:firstLine="0"/>
    </w:pPr>
    <w:rPr>
      <w:rFonts w:ascii="Tempus Sans ITC" w:hAnsi="Tempus Sans ITC"/>
      <w:kern w:val="0"/>
      <w:sz w:val="24"/>
    </w:rPr>
  </w:style>
  <w:style w:type="paragraph" w:customStyle="1" w:styleId="297">
    <w:name w:val="符号正文2"/>
    <w:basedOn w:val="1"/>
    <w:qFormat/>
    <w:uiPriority w:val="0"/>
    <w:pPr>
      <w:widowControl/>
      <w:numPr>
        <w:ilvl w:val="0"/>
        <w:numId w:val="14"/>
      </w:numPr>
      <w:ind w:firstLine="0"/>
    </w:pPr>
    <w:rPr>
      <w:kern w:val="0"/>
      <w:szCs w:val="21"/>
    </w:rPr>
  </w:style>
  <w:style w:type="paragraph" w:customStyle="1" w:styleId="298">
    <w:name w:val="编号2"/>
    <w:basedOn w:val="1"/>
    <w:qFormat/>
    <w:uiPriority w:val="0"/>
    <w:pPr>
      <w:widowControl/>
      <w:tabs>
        <w:tab w:val="left" w:pos="840"/>
        <w:tab w:val="left" w:pos="1259"/>
      </w:tabs>
      <w:spacing w:line="360" w:lineRule="auto"/>
      <w:ind w:left="1259" w:hanging="420"/>
    </w:pPr>
    <w:rPr>
      <w:rFonts w:ascii="宋体" w:hAnsi="宋体"/>
      <w:kern w:val="0"/>
      <w:sz w:val="24"/>
    </w:rPr>
  </w:style>
  <w:style w:type="paragraph" w:customStyle="1" w:styleId="299">
    <w:name w:val="命令行命令"/>
    <w:basedOn w:val="1"/>
    <w:qFormat/>
    <w:uiPriority w:val="0"/>
    <w:pPr>
      <w:widowControl/>
      <w:tabs>
        <w:tab w:val="left" w:pos="425"/>
      </w:tabs>
      <w:spacing w:line="360" w:lineRule="auto"/>
      <w:ind w:left="425" w:hanging="425"/>
    </w:pPr>
    <w:rPr>
      <w:b/>
      <w:color w:val="FF0000"/>
      <w:kern w:val="0"/>
      <w:sz w:val="24"/>
      <w:u w:val="single"/>
    </w:rPr>
  </w:style>
  <w:style w:type="paragraph" w:customStyle="1" w:styleId="300">
    <w:name w:val="图表"/>
    <w:basedOn w:val="265"/>
    <w:next w:val="21"/>
    <w:qFormat/>
    <w:uiPriority w:val="0"/>
    <w:pPr>
      <w:tabs>
        <w:tab w:val="left" w:pos="1008"/>
      </w:tabs>
      <w:spacing w:line="480" w:lineRule="atLeast"/>
      <w:ind w:left="420" w:hanging="132"/>
      <w:jc w:val="center"/>
    </w:pPr>
    <w:rPr>
      <w:rFonts w:ascii="隶书" w:hAnsi="Times New Roman" w:eastAsia="隶书"/>
      <w:sz w:val="21"/>
      <w:szCs w:val="21"/>
    </w:rPr>
  </w:style>
  <w:style w:type="paragraph" w:customStyle="1" w:styleId="301">
    <w:name w:val="内容"/>
    <w:basedOn w:val="1"/>
    <w:qFormat/>
    <w:uiPriority w:val="0"/>
    <w:pPr>
      <w:widowControl/>
      <w:snapToGrid w:val="0"/>
      <w:spacing w:before="60" w:after="40"/>
      <w:ind w:left="300" w:right="300"/>
    </w:pPr>
    <w:rPr>
      <w:rFonts w:eastAsia="楷体_GB2312"/>
      <w:kern w:val="0"/>
      <w:sz w:val="24"/>
    </w:rPr>
  </w:style>
  <w:style w:type="paragraph" w:customStyle="1" w:styleId="302">
    <w:name w:val="正文4"/>
    <w:basedOn w:val="1"/>
    <w:qFormat/>
    <w:uiPriority w:val="0"/>
    <w:pPr>
      <w:widowControl/>
      <w:tabs>
        <w:tab w:val="left" w:pos="520"/>
      </w:tabs>
      <w:spacing w:before="60" w:after="60" w:line="360" w:lineRule="auto"/>
      <w:ind w:left="520" w:hanging="420"/>
    </w:pPr>
    <w:rPr>
      <w:kern w:val="0"/>
      <w:sz w:val="24"/>
    </w:rPr>
  </w:style>
  <w:style w:type="paragraph" w:customStyle="1" w:styleId="303">
    <w:name w:val="atg bulleted list"/>
    <w:basedOn w:val="1"/>
    <w:qFormat/>
    <w:uiPriority w:val="0"/>
    <w:pPr>
      <w:widowControl/>
      <w:tabs>
        <w:tab w:val="left" w:pos="840"/>
      </w:tabs>
      <w:ind w:left="840" w:hanging="420"/>
      <w:jc w:val="left"/>
    </w:pPr>
    <w:rPr>
      <w:rFonts w:eastAsia="Times New Roman"/>
      <w:kern w:val="0"/>
      <w:sz w:val="20"/>
      <w:szCs w:val="20"/>
    </w:rPr>
  </w:style>
  <w:style w:type="paragraph" w:customStyle="1" w:styleId="304">
    <w:name w:val="规范正文"/>
    <w:basedOn w:val="1"/>
    <w:link w:val="465"/>
    <w:qFormat/>
    <w:uiPriority w:val="0"/>
    <w:pPr>
      <w:widowControl/>
      <w:spacing w:line="360" w:lineRule="auto"/>
      <w:ind w:left="480"/>
    </w:pPr>
    <w:rPr>
      <w:kern w:val="0"/>
      <w:sz w:val="24"/>
    </w:rPr>
  </w:style>
  <w:style w:type="paragraph" w:customStyle="1" w:styleId="305">
    <w:name w:val="Default Text"/>
    <w:basedOn w:val="1"/>
    <w:qFormat/>
    <w:uiPriority w:val="0"/>
    <w:pPr>
      <w:widowControl/>
      <w:overflowPunct w:val="0"/>
      <w:autoSpaceDE w:val="0"/>
      <w:autoSpaceDN w:val="0"/>
      <w:jc w:val="left"/>
    </w:pPr>
    <w:rPr>
      <w:kern w:val="0"/>
      <w:sz w:val="20"/>
      <w:szCs w:val="20"/>
      <w:lang w:val="en-GB"/>
    </w:rPr>
  </w:style>
  <w:style w:type="paragraph" w:customStyle="1" w:styleId="306">
    <w:name w:val="正文标号"/>
    <w:basedOn w:val="1"/>
    <w:qFormat/>
    <w:uiPriority w:val="0"/>
    <w:pPr>
      <w:widowControl/>
      <w:tabs>
        <w:tab w:val="left" w:pos="840"/>
      </w:tabs>
      <w:spacing w:after="180" w:line="309" w:lineRule="auto"/>
      <w:ind w:left="840" w:hanging="420"/>
    </w:pPr>
    <w:rPr>
      <w:kern w:val="0"/>
      <w:szCs w:val="21"/>
    </w:rPr>
  </w:style>
  <w:style w:type="paragraph" w:customStyle="1" w:styleId="307">
    <w:name w:val="文档正文 Char"/>
    <w:basedOn w:val="1"/>
    <w:qFormat/>
    <w:uiPriority w:val="0"/>
    <w:pPr>
      <w:widowControl/>
      <w:spacing w:line="500" w:lineRule="exact"/>
    </w:pPr>
    <w:rPr>
      <w:rFonts w:ascii="仿宋_GB2312" w:eastAsia="仿宋_GB2312"/>
      <w:kern w:val="0"/>
      <w:sz w:val="28"/>
      <w:szCs w:val="28"/>
    </w:rPr>
  </w:style>
  <w:style w:type="paragraph" w:customStyle="1" w:styleId="308">
    <w:name w:val="TableItem5"/>
    <w:basedOn w:val="1"/>
    <w:qFormat/>
    <w:uiPriority w:val="0"/>
    <w:pPr>
      <w:widowControl/>
      <w:spacing w:before="20" w:after="20" w:line="320" w:lineRule="atLeast"/>
      <w:jc w:val="left"/>
    </w:pPr>
    <w:rPr>
      <w:rFonts w:ascii="Arial" w:hAnsi="Arial"/>
      <w:kern w:val="0"/>
      <w:szCs w:val="21"/>
    </w:rPr>
  </w:style>
  <w:style w:type="paragraph" w:customStyle="1" w:styleId="309">
    <w:name w:val="突出"/>
    <w:qFormat/>
    <w:uiPriority w:val="0"/>
    <w:pPr>
      <w:spacing w:before="120" w:line="360" w:lineRule="auto"/>
      <w:jc w:val="center"/>
    </w:pPr>
    <w:rPr>
      <w:rFonts w:ascii="Times New Roman" w:hAnsi="Times New Roman" w:eastAsia="宋体" w:cs="Times New Roman"/>
      <w:sz w:val="24"/>
      <w:szCs w:val="24"/>
      <w:lang w:val="en-US" w:eastAsia="zh-CN" w:bidi="ar-SA"/>
    </w:rPr>
  </w:style>
  <w:style w:type="paragraph" w:customStyle="1" w:styleId="310">
    <w:name w:val="图注2"/>
    <w:basedOn w:val="1"/>
    <w:qFormat/>
    <w:uiPriority w:val="0"/>
    <w:pPr>
      <w:widowControl/>
      <w:spacing w:after="120"/>
      <w:jc w:val="center"/>
    </w:pPr>
    <w:rPr>
      <w:kern w:val="0"/>
      <w:szCs w:val="21"/>
    </w:rPr>
  </w:style>
  <w:style w:type="paragraph" w:customStyle="1" w:styleId="31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12">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b/>
      <w:color w:val="FF0000"/>
      <w:kern w:val="0"/>
      <w:szCs w:val="21"/>
    </w:rPr>
  </w:style>
  <w:style w:type="paragraph" w:customStyle="1" w:styleId="313">
    <w:name w:val="xl25"/>
    <w:basedOn w:val="1"/>
    <w:qFormat/>
    <w:uiPriority w:val="0"/>
    <w:pPr>
      <w:widowControl/>
      <w:pBdr>
        <w:top w:val="single" w:color="000000" w:sz="8" w:space="0"/>
        <w:left w:val="single" w:color="000000" w:sz="8" w:space="0"/>
        <w:bottom w:val="single" w:color="000000" w:sz="4" w:space="0"/>
        <w:right w:val="single" w:color="000000" w:sz="4" w:space="0"/>
      </w:pBdr>
      <w:spacing w:before="100" w:beforeAutospacing="1" w:after="100" w:afterAutospacing="1"/>
      <w:jc w:val="center"/>
    </w:pPr>
    <w:rPr>
      <w:rFonts w:ascii="Arial Unicode MS" w:hAnsi="Arial Unicode MS"/>
      <w:b/>
      <w:color w:val="000000"/>
      <w:kern w:val="0"/>
      <w:szCs w:val="21"/>
    </w:rPr>
  </w:style>
  <w:style w:type="paragraph" w:customStyle="1" w:styleId="314">
    <w:name w:val="xl26"/>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left"/>
    </w:pPr>
    <w:rPr>
      <w:rFonts w:ascii="Arial Unicode MS" w:hAnsi="Arial Unicode MS"/>
      <w:kern w:val="0"/>
      <w:sz w:val="24"/>
    </w:rPr>
  </w:style>
  <w:style w:type="paragraph" w:customStyle="1" w:styleId="315">
    <w:name w:val="xl27"/>
    <w:basedOn w:val="1"/>
    <w:qFormat/>
    <w:uiPriority w:val="0"/>
    <w:pPr>
      <w:widowControl/>
      <w:pBdr>
        <w:top w:val="single" w:color="000000" w:sz="8"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b/>
      <w:kern w:val="0"/>
      <w:szCs w:val="21"/>
    </w:rPr>
  </w:style>
  <w:style w:type="paragraph" w:customStyle="1" w:styleId="316">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b/>
      <w:kern w:val="0"/>
      <w:szCs w:val="21"/>
    </w:rPr>
  </w:style>
  <w:style w:type="paragraph" w:customStyle="1" w:styleId="317">
    <w:name w:val="xl29"/>
    <w:basedOn w:val="1"/>
    <w:qFormat/>
    <w:uiPriority w:val="0"/>
    <w:pPr>
      <w:widowControl/>
      <w:pBdr>
        <w:top w:val="single" w:color="000000" w:sz="8"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b/>
      <w:color w:val="000000"/>
      <w:kern w:val="0"/>
      <w:szCs w:val="21"/>
    </w:rPr>
  </w:style>
  <w:style w:type="paragraph" w:customStyle="1" w:styleId="318">
    <w:name w:val="xl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b/>
      <w:color w:val="000000"/>
      <w:kern w:val="0"/>
      <w:szCs w:val="21"/>
    </w:rPr>
  </w:style>
  <w:style w:type="paragraph" w:customStyle="1" w:styleId="319">
    <w:name w:val="xl31"/>
    <w:basedOn w:val="1"/>
    <w:qFormat/>
    <w:uiPriority w:val="0"/>
    <w:pPr>
      <w:widowControl/>
      <w:pBdr>
        <w:top w:val="single" w:color="000000" w:sz="8" w:space="0"/>
        <w:left w:val="single" w:color="000000" w:sz="8" w:space="0"/>
        <w:bottom w:val="single" w:color="000000" w:sz="4" w:space="0"/>
        <w:right w:val="single" w:color="000000" w:sz="4" w:space="0"/>
      </w:pBdr>
      <w:spacing w:before="100" w:beforeAutospacing="1" w:after="100" w:afterAutospacing="1"/>
      <w:jc w:val="center"/>
    </w:pPr>
    <w:rPr>
      <w:rFonts w:ascii="Arial Unicode MS" w:hAnsi="Arial Unicode MS"/>
      <w:b/>
      <w:color w:val="000000"/>
      <w:kern w:val="0"/>
      <w:szCs w:val="21"/>
    </w:rPr>
  </w:style>
  <w:style w:type="paragraph" w:customStyle="1" w:styleId="320">
    <w:name w:val="xl32"/>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left"/>
    </w:pPr>
    <w:rPr>
      <w:rFonts w:ascii="Arial Unicode MS" w:hAnsi="Arial Unicode MS"/>
      <w:kern w:val="0"/>
      <w:sz w:val="24"/>
    </w:rPr>
  </w:style>
  <w:style w:type="paragraph" w:customStyle="1" w:styleId="321">
    <w:name w:val="xl33"/>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left"/>
    </w:pPr>
    <w:rPr>
      <w:rFonts w:ascii="Arial Unicode MS" w:hAnsi="Arial Unicode MS"/>
      <w:color w:val="FF0000"/>
      <w:kern w:val="0"/>
      <w:sz w:val="24"/>
    </w:rPr>
  </w:style>
  <w:style w:type="paragraph" w:customStyle="1" w:styleId="322">
    <w:name w:val="xl34"/>
    <w:basedOn w:val="1"/>
    <w:qFormat/>
    <w:uiPriority w:val="0"/>
    <w:pPr>
      <w:widowControl/>
      <w:pBdr>
        <w:top w:val="single" w:color="000000" w:sz="8" w:space="0"/>
        <w:left w:val="single" w:color="000000" w:sz="4" w:space="0"/>
        <w:bottom w:val="single" w:color="000000" w:sz="4" w:space="0"/>
        <w:right w:val="single" w:color="000000" w:sz="8" w:space="0"/>
      </w:pBdr>
      <w:spacing w:before="100" w:beforeAutospacing="1" w:after="100" w:afterAutospacing="1"/>
    </w:pPr>
    <w:rPr>
      <w:rFonts w:ascii="Arial Unicode MS" w:hAnsi="Arial Unicode MS"/>
      <w:b/>
      <w:kern w:val="0"/>
      <w:szCs w:val="21"/>
    </w:rPr>
  </w:style>
  <w:style w:type="paragraph" w:customStyle="1" w:styleId="323">
    <w:name w:val="xl35"/>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pPr>
    <w:rPr>
      <w:rFonts w:ascii="Arial Unicode MS" w:hAnsi="Arial Unicode MS"/>
      <w:b/>
      <w:kern w:val="0"/>
      <w:szCs w:val="21"/>
    </w:rPr>
  </w:style>
  <w:style w:type="paragraph" w:customStyle="1" w:styleId="324">
    <w:name w:val="xl36"/>
    <w:basedOn w:val="1"/>
    <w:qFormat/>
    <w:uiPriority w:val="0"/>
    <w:pPr>
      <w:widowControl/>
      <w:pBdr>
        <w:top w:val="single" w:color="000000" w:sz="8"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b/>
      <w:kern w:val="0"/>
      <w:szCs w:val="21"/>
    </w:rPr>
  </w:style>
  <w:style w:type="paragraph" w:customStyle="1" w:styleId="325">
    <w:name w:val="xl3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b/>
      <w:kern w:val="0"/>
      <w:szCs w:val="21"/>
    </w:rPr>
  </w:style>
  <w:style w:type="paragraph" w:customStyle="1" w:styleId="326">
    <w:name w:val="xl38"/>
    <w:basedOn w:val="1"/>
    <w:qFormat/>
    <w:uiPriority w:val="0"/>
    <w:pPr>
      <w:widowControl/>
      <w:pBdr>
        <w:top w:val="single" w:color="000000" w:sz="8"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b/>
      <w:color w:val="000000"/>
      <w:kern w:val="0"/>
      <w:szCs w:val="21"/>
    </w:rPr>
  </w:style>
  <w:style w:type="paragraph" w:customStyle="1" w:styleId="327">
    <w:name w:val="xl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b/>
      <w:color w:val="000000"/>
      <w:kern w:val="0"/>
      <w:szCs w:val="21"/>
    </w:rPr>
  </w:style>
  <w:style w:type="paragraph" w:customStyle="1" w:styleId="328">
    <w:name w:val="font6"/>
    <w:basedOn w:val="1"/>
    <w:qFormat/>
    <w:uiPriority w:val="0"/>
    <w:pPr>
      <w:widowControl/>
      <w:spacing w:before="100" w:beforeAutospacing="1" w:after="100" w:afterAutospacing="1"/>
      <w:jc w:val="left"/>
    </w:pPr>
    <w:rPr>
      <w:rFonts w:hint="eastAsia" w:ascii="宋体" w:hAnsi="宋体"/>
      <w:b/>
      <w:color w:val="000000"/>
      <w:kern w:val="0"/>
      <w:szCs w:val="21"/>
    </w:rPr>
  </w:style>
  <w:style w:type="character" w:customStyle="1" w:styleId="329">
    <w:name w:val="表内文字"/>
    <w:qFormat/>
    <w:uiPriority w:val="0"/>
    <w:rPr>
      <w:rFonts w:ascii="宋体" w:hAnsi="宋体"/>
      <w:sz w:val="18"/>
      <w:szCs w:val="18"/>
    </w:rPr>
  </w:style>
  <w:style w:type="paragraph" w:customStyle="1" w:styleId="330">
    <w:name w:val="正文5"/>
    <w:basedOn w:val="1"/>
    <w:qFormat/>
    <w:uiPriority w:val="0"/>
    <w:pPr>
      <w:widowControl/>
      <w:numPr>
        <w:ilvl w:val="0"/>
        <w:numId w:val="15"/>
      </w:numPr>
      <w:spacing w:before="60" w:after="60" w:line="360" w:lineRule="auto"/>
      <w:ind w:left="920" w:leftChars="920" w:firstLine="0"/>
    </w:pPr>
    <w:rPr>
      <w:rFonts w:ascii="Tempus Sans ITC" w:hAnsi="Tempus Sans ITC"/>
      <w:kern w:val="0"/>
      <w:sz w:val="24"/>
    </w:rPr>
  </w:style>
  <w:style w:type="paragraph" w:customStyle="1" w:styleId="331">
    <w:name w:val="Char Char Char Char11"/>
    <w:basedOn w:val="1"/>
    <w:qFormat/>
    <w:uiPriority w:val="0"/>
    <w:pPr>
      <w:widowControl/>
      <w:jc w:val="left"/>
    </w:pPr>
    <w:rPr>
      <w:rFonts w:ascii="Tahoma" w:hAnsi="Tahoma"/>
      <w:kern w:val="0"/>
      <w:sz w:val="24"/>
    </w:rPr>
  </w:style>
  <w:style w:type="paragraph" w:customStyle="1" w:styleId="332">
    <w:name w:val="Char2 Char Char Char Char Char Char Char Char Char1 Char Char Char"/>
    <w:basedOn w:val="26"/>
    <w:qFormat/>
    <w:uiPriority w:val="0"/>
    <w:pPr>
      <w:widowControl/>
      <w:shd w:val="clear" w:color="000000" w:fill="000080"/>
    </w:pPr>
    <w:rPr>
      <w:rFonts w:ascii="Tahoma" w:hAnsi="Tahoma"/>
      <w:kern w:val="0"/>
      <w:sz w:val="24"/>
      <w:szCs w:val="24"/>
    </w:rPr>
  </w:style>
  <w:style w:type="paragraph" w:customStyle="1" w:styleId="333">
    <w:name w:val="目录"/>
    <w:basedOn w:val="1"/>
    <w:qFormat/>
    <w:uiPriority w:val="0"/>
    <w:pPr>
      <w:pageBreakBefore/>
      <w:widowControl/>
      <w:spacing w:before="600" w:after="360" w:line="360" w:lineRule="exact"/>
      <w:jc w:val="center"/>
      <w:outlineLvl w:val="0"/>
    </w:pPr>
    <w:rPr>
      <w:rFonts w:ascii="Garamond" w:hAnsi="Garamond" w:eastAsia="楷体_GB2312"/>
      <w:b/>
      <w:kern w:val="0"/>
      <w:sz w:val="48"/>
      <w:szCs w:val="48"/>
    </w:rPr>
  </w:style>
  <w:style w:type="paragraph" w:customStyle="1" w:styleId="334">
    <w:name w:val="关于本文档"/>
    <w:basedOn w:val="1"/>
    <w:qFormat/>
    <w:uiPriority w:val="0"/>
    <w:pPr>
      <w:widowControl/>
      <w:spacing w:before="600" w:after="400" w:line="520" w:lineRule="exact"/>
      <w:ind w:left="851" w:hanging="426"/>
      <w:jc w:val="center"/>
      <w:outlineLvl w:val="0"/>
    </w:pPr>
    <w:rPr>
      <w:rFonts w:ascii="Arial" w:hAnsi="Arial" w:eastAsia="楷体_GB2312"/>
      <w:b/>
      <w:kern w:val="0"/>
      <w:sz w:val="48"/>
      <w:szCs w:val="48"/>
    </w:rPr>
  </w:style>
  <w:style w:type="paragraph" w:customStyle="1" w:styleId="335">
    <w:name w:val="Char Char15"/>
    <w:basedOn w:val="26"/>
    <w:qFormat/>
    <w:uiPriority w:val="0"/>
    <w:pPr>
      <w:widowControl/>
      <w:shd w:val="clear" w:color="000000" w:fill="000080"/>
    </w:pPr>
    <w:rPr>
      <w:rFonts w:ascii="Tahoma" w:hAnsi="Tahoma"/>
      <w:kern w:val="0"/>
      <w:sz w:val="21"/>
      <w:szCs w:val="21"/>
    </w:rPr>
  </w:style>
  <w:style w:type="paragraph" w:customStyle="1" w:styleId="336">
    <w:name w:val="样式 正文缩进 + (中文) 仿宋_GB2312 小四 Char Char Char"/>
    <w:basedOn w:val="21"/>
    <w:semiHidden/>
    <w:qFormat/>
    <w:uiPriority w:val="0"/>
    <w:pPr>
      <w:widowControl/>
      <w:autoSpaceDE/>
      <w:autoSpaceDN/>
      <w:adjustRightInd/>
      <w:spacing w:line="360" w:lineRule="auto"/>
      <w:ind w:firstLine="480"/>
      <w:jc w:val="both"/>
    </w:pPr>
    <w:rPr>
      <w:rFonts w:ascii="宋体" w:hAnsi="宋体" w:eastAsia="宋体"/>
      <w:szCs w:val="28"/>
    </w:rPr>
  </w:style>
  <w:style w:type="paragraph" w:customStyle="1" w:styleId="337">
    <w:name w:val="默认段落字体 Para Char Char Char Char Char Char Char Char Char Char Char Char Char Char Char Char2 Char"/>
    <w:next w:val="1"/>
    <w:semiHidden/>
    <w:qFormat/>
    <w:uiPriority w:val="0"/>
    <w:pPr>
      <w:numPr>
        <w:ilvl w:val="7"/>
        <w:numId w:val="16"/>
      </w:numPr>
      <w:spacing w:before="240" w:after="240"/>
      <w:outlineLvl w:val="7"/>
    </w:pPr>
    <w:rPr>
      <w:rFonts w:ascii="Arial" w:hAnsi="Arial" w:eastAsia="黑体" w:cs="Arial"/>
      <w:sz w:val="21"/>
      <w:szCs w:val="21"/>
      <w:lang w:val="en-US" w:eastAsia="zh-CN" w:bidi="ar-SA"/>
    </w:rPr>
  </w:style>
  <w:style w:type="paragraph" w:customStyle="1" w:styleId="338">
    <w:name w:val="样式 样式 正文缩进表正文正文非缩进特点Alt+Xmr正文缩进正文对齐标题4ALT+Z段1正文不缩进四号缩进... + 段前: ..."/>
    <w:basedOn w:val="1"/>
    <w:semiHidden/>
    <w:qFormat/>
    <w:uiPriority w:val="0"/>
    <w:pPr>
      <w:widowControl/>
      <w:spacing w:line="360" w:lineRule="auto"/>
      <w:ind w:firstLine="200"/>
    </w:pPr>
    <w:rPr>
      <w:kern w:val="0"/>
      <w:sz w:val="28"/>
      <w:szCs w:val="28"/>
    </w:rPr>
  </w:style>
  <w:style w:type="paragraph" w:customStyle="1" w:styleId="339">
    <w:name w:val="默认段落字体 Para Char Char Char Char Char Char Char Char"/>
    <w:basedOn w:val="1"/>
    <w:semiHidden/>
    <w:qFormat/>
    <w:uiPriority w:val="0"/>
    <w:pPr>
      <w:widowControl/>
    </w:pPr>
    <w:rPr>
      <w:rFonts w:ascii="Tahoma" w:hAnsi="Tahoma"/>
      <w:kern w:val="0"/>
      <w:sz w:val="28"/>
      <w:szCs w:val="28"/>
    </w:rPr>
  </w:style>
  <w:style w:type="paragraph" w:customStyle="1" w:styleId="340">
    <w:name w:val="表格内容"/>
    <w:basedOn w:val="1"/>
    <w:qFormat/>
    <w:uiPriority w:val="0"/>
    <w:pPr>
      <w:widowControl/>
      <w:autoSpaceDE w:val="0"/>
      <w:autoSpaceDN w:val="0"/>
      <w:spacing w:before="60"/>
      <w:jc w:val="center"/>
    </w:pPr>
    <w:rPr>
      <w:rFonts w:eastAsia="仿宋_GB2312"/>
      <w:kern w:val="0"/>
      <w:sz w:val="28"/>
      <w:szCs w:val="28"/>
    </w:rPr>
  </w:style>
  <w:style w:type="paragraph" w:customStyle="1" w:styleId="341">
    <w:name w:val="5 Char Char Char Char"/>
    <w:basedOn w:val="26"/>
    <w:semiHidden/>
    <w:qFormat/>
    <w:uiPriority w:val="0"/>
    <w:pPr>
      <w:widowControl/>
      <w:shd w:val="clear" w:color="000000" w:fill="000080"/>
    </w:pPr>
    <w:rPr>
      <w:rFonts w:ascii="Tahoma" w:hAnsi="Tahoma"/>
      <w:kern w:val="0"/>
      <w:sz w:val="21"/>
      <w:szCs w:val="21"/>
    </w:rPr>
  </w:style>
  <w:style w:type="paragraph" w:customStyle="1" w:styleId="342">
    <w:name w:val="样式 小四 首行缩进:  0.74 厘米 行距: 1.5 倍行距"/>
    <w:basedOn w:val="1"/>
    <w:semiHidden/>
    <w:qFormat/>
    <w:uiPriority w:val="0"/>
    <w:pPr>
      <w:widowControl/>
      <w:spacing w:line="360" w:lineRule="auto"/>
    </w:pPr>
    <w:rPr>
      <w:rFonts w:cs="宋体"/>
      <w:kern w:val="0"/>
      <w:sz w:val="28"/>
      <w:szCs w:val="28"/>
    </w:rPr>
  </w:style>
  <w:style w:type="paragraph" w:customStyle="1" w:styleId="343">
    <w:name w:val="居中（自）"/>
    <w:basedOn w:val="1"/>
    <w:semiHidden/>
    <w:qFormat/>
    <w:uiPriority w:val="0"/>
    <w:pPr>
      <w:widowControl/>
      <w:snapToGrid w:val="0"/>
      <w:spacing w:line="360" w:lineRule="auto"/>
      <w:ind w:firstLine="200"/>
      <w:jc w:val="center"/>
    </w:pPr>
    <w:rPr>
      <w:rFonts w:ascii="宋体"/>
      <w:kern w:val="0"/>
      <w:sz w:val="28"/>
      <w:szCs w:val="28"/>
    </w:rPr>
  </w:style>
  <w:style w:type="paragraph" w:customStyle="1" w:styleId="344">
    <w:name w:val="Char21"/>
    <w:basedOn w:val="1"/>
    <w:qFormat/>
    <w:uiPriority w:val="0"/>
    <w:pPr>
      <w:widowControl/>
    </w:pPr>
    <w:rPr>
      <w:kern w:val="0"/>
      <w:szCs w:val="21"/>
    </w:rPr>
  </w:style>
  <w:style w:type="paragraph" w:customStyle="1" w:styleId="345">
    <w:name w:val="Char111"/>
    <w:basedOn w:val="1"/>
    <w:qFormat/>
    <w:uiPriority w:val="0"/>
    <w:pPr>
      <w:widowControl/>
      <w:spacing w:after="160" w:line="240" w:lineRule="exact"/>
      <w:jc w:val="left"/>
    </w:pPr>
    <w:rPr>
      <w:rFonts w:ascii="Verdana" w:hAnsi="Verdana" w:eastAsia="仿宋_GB2312"/>
      <w:color w:val="000000"/>
      <w:kern w:val="0"/>
      <w:sz w:val="28"/>
      <w:szCs w:val="28"/>
      <w:lang w:eastAsia="en-US"/>
    </w:rPr>
  </w:style>
  <w:style w:type="paragraph" w:customStyle="1" w:styleId="346">
    <w:name w:val="Char Char Char Char Char Char Char Char Char Char Char Char Char Char Char Char Char Char Char Char Char"/>
    <w:basedOn w:val="1"/>
    <w:semiHidden/>
    <w:qFormat/>
    <w:uiPriority w:val="0"/>
    <w:pPr>
      <w:widowControl/>
    </w:pPr>
    <w:rPr>
      <w:kern w:val="0"/>
      <w:szCs w:val="21"/>
    </w:rPr>
  </w:style>
  <w:style w:type="paragraph" w:customStyle="1" w:styleId="347">
    <w:name w:val="B4"/>
    <w:basedOn w:val="1"/>
    <w:semiHidden/>
    <w:qFormat/>
    <w:uiPriority w:val="0"/>
    <w:pPr>
      <w:widowControl/>
      <w:spacing w:after="120"/>
      <w:ind w:left="1872"/>
      <w:jc w:val="left"/>
    </w:pPr>
    <w:rPr>
      <w:kern w:val="0"/>
      <w:sz w:val="22"/>
      <w:szCs w:val="22"/>
      <w:lang w:eastAsia="en-US"/>
    </w:rPr>
  </w:style>
  <w:style w:type="paragraph" w:customStyle="1" w:styleId="348">
    <w:name w:val="正文7"/>
    <w:basedOn w:val="1"/>
    <w:semiHidden/>
    <w:qFormat/>
    <w:uiPriority w:val="0"/>
    <w:pPr>
      <w:widowControl/>
      <w:numPr>
        <w:ilvl w:val="0"/>
        <w:numId w:val="17"/>
      </w:numPr>
      <w:tabs>
        <w:tab w:val="left" w:pos="720"/>
      </w:tabs>
      <w:spacing w:before="60" w:after="60" w:line="360" w:lineRule="auto"/>
      <w:ind w:left="0" w:firstLine="0"/>
    </w:pPr>
    <w:rPr>
      <w:kern w:val="0"/>
      <w:sz w:val="28"/>
      <w:szCs w:val="28"/>
    </w:rPr>
  </w:style>
  <w:style w:type="paragraph" w:customStyle="1" w:styleId="349">
    <w:name w:val="倪志刚项目单级编号"/>
    <w:basedOn w:val="265"/>
    <w:semiHidden/>
    <w:qFormat/>
    <w:uiPriority w:val="0"/>
    <w:pPr>
      <w:spacing w:before="120" w:after="120"/>
      <w:jc w:val="center"/>
    </w:pPr>
    <w:rPr>
      <w:rFonts w:ascii="宋体" w:hAnsi="宋体"/>
      <w:sz w:val="22"/>
      <w:szCs w:val="22"/>
    </w:rPr>
  </w:style>
  <w:style w:type="paragraph" w:customStyle="1" w:styleId="350">
    <w:name w:val="xl60"/>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kern w:val="0"/>
      <w:sz w:val="28"/>
      <w:szCs w:val="28"/>
    </w:rPr>
  </w:style>
  <w:style w:type="character" w:customStyle="1" w:styleId="351">
    <w:name w:val="段 Char Char"/>
    <w:link w:val="199"/>
    <w:qFormat/>
    <w:uiPriority w:val="0"/>
    <w:rPr>
      <w:rFonts w:ascii="宋体"/>
      <w:sz w:val="21"/>
      <w:szCs w:val="21"/>
    </w:rPr>
  </w:style>
  <w:style w:type="paragraph" w:customStyle="1" w:styleId="352">
    <w:name w:val="默认段落字体 Para Char Char Char Char Char Char Char Char Char Char Char Char Char"/>
    <w:basedOn w:val="26"/>
    <w:semiHidden/>
    <w:qFormat/>
    <w:uiPriority w:val="0"/>
    <w:pPr>
      <w:widowControl/>
      <w:shd w:val="clear" w:color="000000" w:fill="000080"/>
      <w:jc w:val="left"/>
    </w:pPr>
    <w:rPr>
      <w:rFonts w:ascii="Tahoma" w:hAnsi="Tahoma"/>
      <w:kern w:val="0"/>
      <w:sz w:val="21"/>
      <w:szCs w:val="21"/>
    </w:rPr>
  </w:style>
  <w:style w:type="paragraph" w:customStyle="1" w:styleId="353">
    <w:name w:val="MM Topic 1"/>
    <w:basedOn w:val="3"/>
    <w:qFormat/>
    <w:uiPriority w:val="0"/>
    <w:pPr>
      <w:keepNext w:val="0"/>
      <w:keepLines w:val="0"/>
      <w:pageBreakBefore/>
      <w:widowControl/>
      <w:jc w:val="left"/>
    </w:pPr>
    <w:rPr>
      <w:rFonts w:ascii="Calibri" w:hAnsi="Calibri"/>
      <w:bCs w:val="0"/>
      <w:kern w:val="0"/>
    </w:rPr>
  </w:style>
  <w:style w:type="paragraph" w:customStyle="1" w:styleId="354">
    <w:name w:val="MM Topic 2"/>
    <w:basedOn w:val="4"/>
    <w:link w:val="355"/>
    <w:qFormat/>
    <w:uiPriority w:val="0"/>
    <w:pPr>
      <w:keepNext w:val="0"/>
      <w:keepLines w:val="0"/>
      <w:widowControl/>
      <w:tabs>
        <w:tab w:val="left" w:pos="0"/>
      </w:tabs>
      <w:spacing w:line="415" w:lineRule="auto"/>
      <w:ind w:left="210" w:firstLine="20"/>
      <w:jc w:val="left"/>
    </w:pPr>
    <w:rPr>
      <w:rFonts w:ascii="Cambria" w:hAnsi="Cambria" w:eastAsia="宋体"/>
      <w:bCs w:val="0"/>
      <w:kern w:val="0"/>
    </w:rPr>
  </w:style>
  <w:style w:type="character" w:customStyle="1" w:styleId="355">
    <w:name w:val="MM Topic 2 Char"/>
    <w:link w:val="354"/>
    <w:qFormat/>
    <w:uiPriority w:val="0"/>
    <w:rPr>
      <w:rFonts w:ascii="Cambria" w:hAnsi="Cambria"/>
      <w:b/>
      <w:sz w:val="32"/>
      <w:szCs w:val="32"/>
    </w:rPr>
  </w:style>
  <w:style w:type="paragraph" w:customStyle="1" w:styleId="356">
    <w:name w:val="MM Topic 3"/>
    <w:basedOn w:val="5"/>
    <w:link w:val="357"/>
    <w:qFormat/>
    <w:uiPriority w:val="0"/>
    <w:pPr>
      <w:keepNext w:val="0"/>
      <w:keepLines w:val="0"/>
      <w:widowControl/>
      <w:autoSpaceDE/>
      <w:autoSpaceDN/>
      <w:adjustRightInd/>
      <w:spacing w:before="260" w:after="260" w:line="415" w:lineRule="auto"/>
    </w:pPr>
    <w:rPr>
      <w:rFonts w:ascii="Calibri" w:hAnsi="Calibri" w:eastAsia="宋体"/>
      <w:b/>
      <w:sz w:val="32"/>
      <w:szCs w:val="32"/>
    </w:rPr>
  </w:style>
  <w:style w:type="character" w:customStyle="1" w:styleId="357">
    <w:name w:val="MM Topic 3 Char"/>
    <w:link w:val="356"/>
    <w:qFormat/>
    <w:uiPriority w:val="0"/>
    <w:rPr>
      <w:rFonts w:ascii="Calibri" w:hAnsi="Calibri"/>
      <w:b/>
      <w:sz w:val="32"/>
      <w:szCs w:val="32"/>
    </w:rPr>
  </w:style>
  <w:style w:type="paragraph" w:customStyle="1" w:styleId="358">
    <w:name w:val="MM Topic 4"/>
    <w:basedOn w:val="6"/>
    <w:link w:val="361"/>
    <w:qFormat/>
    <w:uiPriority w:val="0"/>
    <w:pPr>
      <w:keepNext w:val="0"/>
      <w:widowControl/>
      <w:spacing w:before="280" w:after="290" w:line="376" w:lineRule="auto"/>
    </w:pPr>
    <w:rPr>
      <w:rFonts w:ascii="Cambria" w:hAnsi="Cambria"/>
      <w:b/>
      <w:kern w:val="0"/>
      <w:sz w:val="24"/>
      <w:szCs w:val="24"/>
    </w:rPr>
  </w:style>
  <w:style w:type="paragraph" w:customStyle="1" w:styleId="359">
    <w:name w:val="MM Topic 6"/>
    <w:basedOn w:val="8"/>
    <w:link w:val="648"/>
    <w:semiHidden/>
    <w:qFormat/>
    <w:uiPriority w:val="0"/>
    <w:pPr>
      <w:keepNext w:val="0"/>
      <w:keepLines w:val="0"/>
      <w:widowControl/>
      <w:tabs>
        <w:tab w:val="left" w:pos="748"/>
      </w:tabs>
      <w:spacing w:line="319" w:lineRule="auto"/>
      <w:ind w:left="748" w:hanging="374"/>
    </w:pPr>
    <w:rPr>
      <w:rFonts w:ascii="Cambria" w:hAnsi="Cambria" w:eastAsia="宋体"/>
      <w:b w:val="0"/>
      <w:bCs w:val="0"/>
      <w:kern w:val="0"/>
    </w:rPr>
  </w:style>
  <w:style w:type="paragraph" w:customStyle="1" w:styleId="360">
    <w:name w:val="Heading"/>
    <w:basedOn w:val="1"/>
    <w:next w:val="34"/>
    <w:semiHidden/>
    <w:qFormat/>
    <w:uiPriority w:val="0"/>
    <w:pPr>
      <w:widowControl/>
      <w:jc w:val="left"/>
    </w:pPr>
    <w:rPr>
      <w:b/>
      <w:kern w:val="0"/>
      <w:sz w:val="28"/>
      <w:szCs w:val="28"/>
      <w:lang w:eastAsia="en-US"/>
    </w:rPr>
  </w:style>
  <w:style w:type="character" w:customStyle="1" w:styleId="361">
    <w:name w:val="MM Topic 4 Char"/>
    <w:link w:val="358"/>
    <w:qFormat/>
    <w:uiPriority w:val="0"/>
    <w:rPr>
      <w:rFonts w:ascii="Cambria" w:hAnsi="Cambria"/>
      <w:b/>
      <w:sz w:val="24"/>
      <w:szCs w:val="24"/>
    </w:rPr>
  </w:style>
  <w:style w:type="paragraph" w:customStyle="1" w:styleId="362">
    <w:name w:val="MM Topic 5"/>
    <w:basedOn w:val="7"/>
    <w:semiHidden/>
    <w:qFormat/>
    <w:uiPriority w:val="0"/>
    <w:pPr>
      <w:keepNext w:val="0"/>
      <w:keepLines w:val="0"/>
      <w:widowControl/>
      <w:tabs>
        <w:tab w:val="left" w:pos="748"/>
      </w:tabs>
      <w:spacing w:after="120"/>
      <w:ind w:left="748" w:hanging="374"/>
    </w:pPr>
    <w:rPr>
      <w:rFonts w:ascii="Calibri" w:hAnsi="Calibri"/>
      <w:b w:val="0"/>
      <w:bCs w:val="0"/>
      <w:kern w:val="0"/>
      <w:sz w:val="24"/>
      <w:szCs w:val="24"/>
    </w:rPr>
  </w:style>
  <w:style w:type="paragraph" w:customStyle="1" w:styleId="363">
    <w:name w:val="MM Topic 7"/>
    <w:basedOn w:val="9"/>
    <w:semiHidden/>
    <w:qFormat/>
    <w:uiPriority w:val="0"/>
    <w:pPr>
      <w:keepNext w:val="0"/>
      <w:keepLines w:val="0"/>
      <w:widowControl/>
      <w:tabs>
        <w:tab w:val="left" w:pos="748"/>
      </w:tabs>
      <w:spacing w:line="319" w:lineRule="auto"/>
      <w:ind w:left="748" w:hanging="374"/>
    </w:pPr>
    <w:rPr>
      <w:rFonts w:ascii="Calibri" w:hAnsi="Calibri"/>
      <w:b w:val="0"/>
      <w:bCs w:val="0"/>
      <w:kern w:val="0"/>
    </w:rPr>
  </w:style>
  <w:style w:type="paragraph" w:customStyle="1" w:styleId="364">
    <w:name w:val="一级列表"/>
    <w:basedOn w:val="1"/>
    <w:semiHidden/>
    <w:qFormat/>
    <w:uiPriority w:val="0"/>
    <w:pPr>
      <w:widowControl/>
      <w:tabs>
        <w:tab w:val="left" w:pos="1554"/>
      </w:tabs>
      <w:spacing w:line="360" w:lineRule="auto"/>
      <w:ind w:left="1554"/>
    </w:pPr>
    <w:rPr>
      <w:kern w:val="0"/>
      <w:szCs w:val="21"/>
    </w:rPr>
  </w:style>
  <w:style w:type="paragraph" w:customStyle="1" w:styleId="365">
    <w:name w:val="二级列表"/>
    <w:basedOn w:val="1"/>
    <w:semiHidden/>
    <w:qFormat/>
    <w:uiPriority w:val="0"/>
    <w:pPr>
      <w:widowControl/>
      <w:tabs>
        <w:tab w:val="left" w:pos="780"/>
      </w:tabs>
      <w:spacing w:line="360" w:lineRule="auto"/>
      <w:ind w:left="672"/>
    </w:pPr>
    <w:rPr>
      <w:kern w:val="0"/>
      <w:szCs w:val="21"/>
    </w:rPr>
  </w:style>
  <w:style w:type="paragraph" w:customStyle="1" w:styleId="366">
    <w:name w:val="样式 标题 5dashdsdddash1ds1dd1dash2ds2dd2dash3ds3dd3das..."/>
    <w:basedOn w:val="7"/>
    <w:semiHidden/>
    <w:qFormat/>
    <w:uiPriority w:val="0"/>
    <w:pPr>
      <w:keepNext w:val="0"/>
      <w:keepLines w:val="0"/>
      <w:widowControl/>
      <w:tabs>
        <w:tab w:val="left" w:pos="992"/>
      </w:tabs>
      <w:spacing w:after="120" w:line="240" w:lineRule="auto"/>
      <w:ind w:left="992" w:hanging="992"/>
    </w:pPr>
    <w:rPr>
      <w:rFonts w:cs="宋体"/>
      <w:b w:val="0"/>
      <w:bCs w:val="0"/>
      <w:kern w:val="0"/>
      <w:sz w:val="21"/>
      <w:szCs w:val="21"/>
      <w:lang w:eastAsia="en-US"/>
    </w:rPr>
  </w:style>
  <w:style w:type="paragraph" w:customStyle="1" w:styleId="367">
    <w:name w:val="默认段落字体 Para Char Char Char Char Char Char Char"/>
    <w:basedOn w:val="1"/>
    <w:qFormat/>
    <w:uiPriority w:val="0"/>
    <w:pPr>
      <w:widowControl/>
    </w:pPr>
    <w:rPr>
      <w:rFonts w:ascii="Tahoma" w:hAnsi="Tahoma"/>
      <w:kern w:val="0"/>
      <w:sz w:val="28"/>
      <w:szCs w:val="28"/>
    </w:rPr>
  </w:style>
  <w:style w:type="paragraph" w:customStyle="1" w:styleId="368">
    <w:name w:val="TableStyle"/>
    <w:basedOn w:val="1"/>
    <w:semiHidden/>
    <w:qFormat/>
    <w:uiPriority w:val="0"/>
    <w:pPr>
      <w:widowControl/>
      <w:jc w:val="center"/>
    </w:pPr>
    <w:rPr>
      <w:kern w:val="0"/>
      <w:sz w:val="22"/>
      <w:szCs w:val="22"/>
      <w:lang w:eastAsia="en-US"/>
    </w:rPr>
  </w:style>
  <w:style w:type="paragraph" w:customStyle="1" w:styleId="369">
    <w:name w:val="Body-Main"/>
    <w:basedOn w:val="1"/>
    <w:semiHidden/>
    <w:qFormat/>
    <w:uiPriority w:val="0"/>
    <w:pPr>
      <w:widowControl/>
      <w:ind w:left="360"/>
    </w:pPr>
    <w:rPr>
      <w:kern w:val="0"/>
      <w:sz w:val="22"/>
      <w:szCs w:val="22"/>
    </w:rPr>
  </w:style>
  <w:style w:type="paragraph" w:customStyle="1" w:styleId="370">
    <w:name w:val="重庆_正文样式"/>
    <w:basedOn w:val="1"/>
    <w:link w:val="371"/>
    <w:semiHidden/>
    <w:qFormat/>
    <w:uiPriority w:val="0"/>
    <w:pPr>
      <w:widowControl/>
      <w:autoSpaceDE w:val="0"/>
      <w:autoSpaceDN w:val="0"/>
      <w:spacing w:line="360" w:lineRule="auto"/>
      <w:ind w:firstLine="192"/>
      <w:jc w:val="left"/>
    </w:pPr>
    <w:rPr>
      <w:kern w:val="0"/>
      <w:sz w:val="28"/>
      <w:szCs w:val="28"/>
    </w:rPr>
  </w:style>
  <w:style w:type="character" w:customStyle="1" w:styleId="371">
    <w:name w:val="重庆_正文样式 Char"/>
    <w:link w:val="370"/>
    <w:semiHidden/>
    <w:qFormat/>
    <w:uiPriority w:val="0"/>
    <w:rPr>
      <w:sz w:val="28"/>
      <w:szCs w:val="28"/>
    </w:rPr>
  </w:style>
  <w:style w:type="character" w:customStyle="1" w:styleId="372">
    <w:name w:val="附图居中 Char"/>
    <w:link w:val="208"/>
    <w:qFormat/>
    <w:uiPriority w:val="0"/>
    <w:rPr>
      <w:sz w:val="21"/>
      <w:szCs w:val="21"/>
    </w:rPr>
  </w:style>
  <w:style w:type="character" w:customStyle="1" w:styleId="373">
    <w:name w:val="附图标题（图编号居中） Char"/>
    <w:link w:val="207"/>
    <w:qFormat/>
    <w:uiPriority w:val="0"/>
    <w:rPr>
      <w:rFonts w:ascii="Arial" w:hAnsi="Arial"/>
    </w:rPr>
  </w:style>
  <w:style w:type="paragraph" w:customStyle="1" w:styleId="374">
    <w:name w:val="编写建议"/>
    <w:basedOn w:val="1"/>
    <w:qFormat/>
    <w:uiPriority w:val="0"/>
    <w:pPr>
      <w:widowControl/>
      <w:autoSpaceDE w:val="0"/>
      <w:autoSpaceDN w:val="0"/>
      <w:spacing w:after="200" w:line="360" w:lineRule="auto"/>
      <w:ind w:firstLine="420"/>
      <w:jc w:val="left"/>
    </w:pPr>
    <w:rPr>
      <w:rFonts w:ascii="宋体" w:hAnsi="Arial" w:cs="宋体"/>
      <w:i/>
      <w:color w:val="0000FF"/>
      <w:kern w:val="0"/>
      <w:sz w:val="22"/>
      <w:szCs w:val="22"/>
      <w:lang w:eastAsia="en-US" w:bidi="en-US"/>
    </w:rPr>
  </w:style>
  <w:style w:type="paragraph" w:customStyle="1" w:styleId="375">
    <w:name w:val="表头文字"/>
    <w:basedOn w:val="1"/>
    <w:link w:val="376"/>
    <w:qFormat/>
    <w:uiPriority w:val="0"/>
    <w:pPr>
      <w:widowControl/>
      <w:spacing w:before="40" w:after="40"/>
      <w:jc w:val="center"/>
    </w:pPr>
    <w:rPr>
      <w:rFonts w:ascii="Arial" w:hAnsi="Arial"/>
      <w:b/>
      <w:kern w:val="0"/>
      <w:sz w:val="18"/>
      <w:szCs w:val="18"/>
    </w:rPr>
  </w:style>
  <w:style w:type="character" w:customStyle="1" w:styleId="376">
    <w:name w:val="表头文字 Char"/>
    <w:link w:val="375"/>
    <w:qFormat/>
    <w:uiPriority w:val="0"/>
    <w:rPr>
      <w:rFonts w:ascii="Arial" w:hAnsi="Arial"/>
      <w:b/>
      <w:sz w:val="18"/>
      <w:szCs w:val="18"/>
    </w:rPr>
  </w:style>
  <w:style w:type="paragraph" w:customStyle="1" w:styleId="377">
    <w:name w:val="表格内文字"/>
    <w:basedOn w:val="1"/>
    <w:link w:val="558"/>
    <w:qFormat/>
    <w:uiPriority w:val="0"/>
    <w:pPr>
      <w:widowControl/>
      <w:spacing w:before="40" w:after="40"/>
    </w:pPr>
    <w:rPr>
      <w:rFonts w:ascii="Arial" w:hAnsi="Arial"/>
      <w:kern w:val="0"/>
      <w:sz w:val="18"/>
      <w:szCs w:val="18"/>
    </w:rPr>
  </w:style>
  <w:style w:type="character" w:customStyle="1" w:styleId="378">
    <w:name w:val="表格 Char"/>
    <w:link w:val="147"/>
    <w:qFormat/>
    <w:uiPriority w:val="0"/>
    <w:rPr>
      <w:rFonts w:ascii="华文细黑" w:hAnsi="华文细黑"/>
      <w:sz w:val="21"/>
    </w:rPr>
  </w:style>
  <w:style w:type="paragraph" w:customStyle="1" w:styleId="379">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0">
    <w:name w:val="xl6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81">
    <w:name w:val="xl6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2">
    <w:name w:val="xl6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3">
    <w:name w:val="xl69"/>
    <w:basedOn w:val="1"/>
    <w:qFormat/>
    <w:uiPriority w:val="0"/>
    <w:pPr>
      <w:widowControl/>
      <w:pBdr>
        <w:left w:val="single" w:color="000000" w:sz="4" w:space="0"/>
        <w:bottom w:val="single" w:color="000000" w:sz="4" w:space="0"/>
      </w:pBdr>
      <w:shd w:val="clear" w:color="000000" w:fill="99CCFF"/>
      <w:spacing w:before="100" w:beforeAutospacing="1" w:after="100" w:afterAutospacing="1"/>
      <w:jc w:val="center"/>
    </w:pPr>
    <w:rPr>
      <w:rFonts w:ascii="微软雅黑" w:hAnsi="宋体" w:eastAsia="微软雅黑" w:cs="宋体"/>
      <w:b/>
      <w:color w:val="000000"/>
      <w:kern w:val="0"/>
      <w:sz w:val="18"/>
      <w:szCs w:val="18"/>
    </w:rPr>
  </w:style>
  <w:style w:type="paragraph" w:customStyle="1" w:styleId="384">
    <w:name w:val="xl70"/>
    <w:basedOn w:val="1"/>
    <w:qFormat/>
    <w:uiPriority w:val="0"/>
    <w:pPr>
      <w:widowControl/>
      <w:pBdr>
        <w:bottom w:val="single" w:color="000000" w:sz="4" w:space="0"/>
      </w:pBdr>
      <w:shd w:val="clear" w:color="000000" w:fill="99CCFF"/>
      <w:spacing w:before="100" w:beforeAutospacing="1" w:after="100" w:afterAutospacing="1"/>
      <w:jc w:val="center"/>
    </w:pPr>
    <w:rPr>
      <w:rFonts w:ascii="微软雅黑" w:hAnsi="宋体" w:eastAsia="微软雅黑" w:cs="宋体"/>
      <w:b/>
      <w:color w:val="000000"/>
      <w:kern w:val="0"/>
      <w:sz w:val="18"/>
      <w:szCs w:val="18"/>
    </w:rPr>
  </w:style>
  <w:style w:type="paragraph" w:customStyle="1" w:styleId="385">
    <w:name w:val="xl71"/>
    <w:basedOn w:val="1"/>
    <w:qFormat/>
    <w:uiPriority w:val="0"/>
    <w:pPr>
      <w:widowControl/>
      <w:pBdr>
        <w:top w:val="single" w:color="000000" w:sz="4" w:space="0"/>
        <w:left w:val="single" w:color="000000" w:sz="4" w:space="0"/>
      </w:pBdr>
      <w:shd w:val="clear" w:color="000000" w:fill="99CCFF"/>
      <w:spacing w:before="100" w:beforeAutospacing="1" w:after="100" w:afterAutospacing="1"/>
      <w:jc w:val="center"/>
    </w:pPr>
    <w:rPr>
      <w:rFonts w:ascii="微软雅黑" w:hAnsi="宋体" w:eastAsia="微软雅黑" w:cs="宋体"/>
      <w:b/>
      <w:color w:val="000000"/>
      <w:kern w:val="0"/>
      <w:sz w:val="18"/>
      <w:szCs w:val="18"/>
    </w:rPr>
  </w:style>
  <w:style w:type="paragraph" w:customStyle="1" w:styleId="386">
    <w:name w:val="xl72"/>
    <w:basedOn w:val="1"/>
    <w:qFormat/>
    <w:uiPriority w:val="0"/>
    <w:pPr>
      <w:widowControl/>
      <w:pBdr>
        <w:left w:val="single" w:color="000000" w:sz="4" w:space="0"/>
        <w:bottom w:val="single" w:color="000000" w:sz="4" w:space="0"/>
      </w:pBdr>
      <w:shd w:val="clear" w:color="000000" w:fill="99CCFF"/>
      <w:spacing w:before="100" w:beforeAutospacing="1" w:after="100" w:afterAutospacing="1"/>
      <w:jc w:val="center"/>
    </w:pPr>
    <w:rPr>
      <w:rFonts w:ascii="微软雅黑" w:hAnsi="宋体" w:eastAsia="微软雅黑" w:cs="宋体"/>
      <w:b/>
      <w:color w:val="000000"/>
      <w:kern w:val="0"/>
      <w:sz w:val="18"/>
      <w:szCs w:val="18"/>
    </w:rPr>
  </w:style>
  <w:style w:type="paragraph" w:customStyle="1" w:styleId="387">
    <w:name w:val="xl73"/>
    <w:basedOn w:val="1"/>
    <w:qFormat/>
    <w:uiPriority w:val="0"/>
    <w:pPr>
      <w:widowControl/>
      <w:pBdr>
        <w:left w:val="single" w:color="000000" w:sz="4" w:space="0"/>
      </w:pBdr>
      <w:shd w:val="clear" w:color="000000" w:fill="99CCFF"/>
      <w:spacing w:before="100" w:beforeAutospacing="1" w:after="100" w:afterAutospacing="1"/>
      <w:jc w:val="center"/>
    </w:pPr>
    <w:rPr>
      <w:rFonts w:ascii="微软雅黑" w:hAnsi="宋体" w:eastAsia="微软雅黑" w:cs="宋体"/>
      <w:b/>
      <w:color w:val="000000"/>
      <w:kern w:val="0"/>
      <w:sz w:val="18"/>
      <w:szCs w:val="18"/>
    </w:rPr>
  </w:style>
  <w:style w:type="paragraph" w:customStyle="1" w:styleId="388">
    <w:name w:val="xl74"/>
    <w:basedOn w:val="1"/>
    <w:qFormat/>
    <w:uiPriority w:val="0"/>
    <w:pPr>
      <w:widowControl/>
      <w:pBdr>
        <w:top w:val="single" w:color="000000" w:sz="4" w:space="0"/>
        <w:left w:val="single" w:color="000000" w:sz="4" w:space="0"/>
        <w:right w:val="single" w:color="000000" w:sz="4" w:space="0"/>
      </w:pBdr>
      <w:shd w:val="clear" w:color="000000" w:fill="99CCFF"/>
      <w:spacing w:before="100" w:beforeAutospacing="1" w:after="100" w:afterAutospacing="1"/>
      <w:jc w:val="center"/>
    </w:pPr>
    <w:rPr>
      <w:rFonts w:ascii="微软雅黑" w:hAnsi="宋体" w:eastAsia="微软雅黑" w:cs="宋体"/>
      <w:b/>
      <w:color w:val="000000"/>
      <w:kern w:val="0"/>
      <w:sz w:val="18"/>
      <w:szCs w:val="18"/>
    </w:rPr>
  </w:style>
  <w:style w:type="paragraph" w:customStyle="1" w:styleId="389">
    <w:name w:val="xl75"/>
    <w:basedOn w:val="1"/>
    <w:qFormat/>
    <w:uiPriority w:val="0"/>
    <w:pPr>
      <w:widowControl/>
      <w:pBdr>
        <w:left w:val="single" w:color="000000" w:sz="4" w:space="0"/>
        <w:bottom w:val="single" w:color="000000" w:sz="4" w:space="0"/>
        <w:right w:val="single" w:color="000000" w:sz="4" w:space="0"/>
      </w:pBdr>
      <w:shd w:val="clear" w:color="000000" w:fill="99CCFF"/>
      <w:spacing w:before="100" w:beforeAutospacing="1" w:after="100" w:afterAutospacing="1"/>
      <w:jc w:val="center"/>
    </w:pPr>
    <w:rPr>
      <w:rFonts w:ascii="微软雅黑" w:hAnsi="宋体" w:eastAsia="微软雅黑" w:cs="宋体"/>
      <w:b/>
      <w:color w:val="000000"/>
      <w:kern w:val="0"/>
      <w:sz w:val="18"/>
      <w:szCs w:val="18"/>
    </w:rPr>
  </w:style>
  <w:style w:type="paragraph" w:customStyle="1" w:styleId="390">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FF"/>
      <w:kern w:val="0"/>
      <w:sz w:val="20"/>
      <w:szCs w:val="20"/>
    </w:rPr>
  </w:style>
  <w:style w:type="paragraph" w:customStyle="1" w:styleId="391">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FF0000"/>
      <w:kern w:val="0"/>
      <w:sz w:val="20"/>
      <w:szCs w:val="20"/>
    </w:rPr>
  </w:style>
  <w:style w:type="paragraph" w:customStyle="1" w:styleId="392">
    <w:name w:val="xl7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393">
    <w:name w:val="xl7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394">
    <w:name w:val="xl80"/>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395">
    <w:name w:val="xl8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396">
    <w:name w:val="xl82"/>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color w:val="0000FF"/>
      <w:kern w:val="0"/>
      <w:sz w:val="20"/>
      <w:szCs w:val="20"/>
    </w:rPr>
  </w:style>
  <w:style w:type="paragraph" w:customStyle="1" w:styleId="397">
    <w:name w:val="xl83"/>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color w:val="0000FF"/>
      <w:kern w:val="0"/>
      <w:sz w:val="20"/>
      <w:szCs w:val="20"/>
    </w:rPr>
  </w:style>
  <w:style w:type="paragraph" w:customStyle="1" w:styleId="398">
    <w:name w:val="xl8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FF"/>
      <w:kern w:val="0"/>
      <w:sz w:val="20"/>
      <w:szCs w:val="20"/>
    </w:rPr>
  </w:style>
  <w:style w:type="paragraph" w:customStyle="1" w:styleId="399">
    <w:name w:val="xl85"/>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color w:val="FF0000"/>
      <w:kern w:val="0"/>
      <w:sz w:val="20"/>
      <w:szCs w:val="20"/>
    </w:rPr>
  </w:style>
  <w:style w:type="paragraph" w:customStyle="1" w:styleId="400">
    <w:name w:val="xl86"/>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color w:val="FF0000"/>
      <w:kern w:val="0"/>
      <w:sz w:val="20"/>
      <w:szCs w:val="20"/>
    </w:rPr>
  </w:style>
  <w:style w:type="paragraph" w:customStyle="1" w:styleId="401">
    <w:name w:val="xl8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00"/>
      <w:kern w:val="0"/>
      <w:sz w:val="20"/>
      <w:szCs w:val="20"/>
    </w:rPr>
  </w:style>
  <w:style w:type="paragraph" w:customStyle="1" w:styleId="402">
    <w:name w:val="缺省文本:1"/>
    <w:basedOn w:val="1"/>
    <w:qFormat/>
    <w:uiPriority w:val="0"/>
    <w:pPr>
      <w:widowControl/>
      <w:autoSpaceDE w:val="0"/>
      <w:autoSpaceDN w:val="0"/>
      <w:spacing w:line="480" w:lineRule="exact"/>
      <w:jc w:val="left"/>
    </w:pPr>
    <w:rPr>
      <w:rFonts w:ascii="宋体"/>
      <w:kern w:val="0"/>
      <w:sz w:val="24"/>
    </w:rPr>
  </w:style>
  <w:style w:type="paragraph" w:customStyle="1" w:styleId="403">
    <w:name w:val="段 Char Char Char"/>
    <w:basedOn w:val="1"/>
    <w:qFormat/>
    <w:uiPriority w:val="0"/>
    <w:pPr>
      <w:widowControl/>
      <w:spacing w:before="4" w:after="4" w:line="360" w:lineRule="auto"/>
      <w:ind w:firstLine="640"/>
      <w:jc w:val="left"/>
    </w:pPr>
    <w:rPr>
      <w:rFonts w:ascii="宋体" w:hAnsi="宋体"/>
      <w:kern w:val="0"/>
      <w:sz w:val="22"/>
      <w:szCs w:val="22"/>
    </w:rPr>
  </w:style>
  <w:style w:type="character" w:customStyle="1" w:styleId="404">
    <w:name w:val="正文 Char"/>
    <w:qFormat/>
    <w:uiPriority w:val="0"/>
    <w:rPr>
      <w:rFonts w:ascii="宋体" w:hAnsi="宋体" w:eastAsia="宋体"/>
      <w:sz w:val="28"/>
      <w:szCs w:val="28"/>
      <w:lang w:val="en-US" w:eastAsia="zh-CN" w:bidi="ar-SA"/>
    </w:rPr>
  </w:style>
  <w:style w:type="paragraph" w:customStyle="1" w:styleId="405">
    <w:name w:val="标题1"/>
    <w:basedOn w:val="3"/>
    <w:link w:val="415"/>
    <w:qFormat/>
    <w:uiPriority w:val="0"/>
    <w:pPr>
      <w:keepNext w:val="0"/>
      <w:keepLines w:val="0"/>
      <w:pageBreakBefore/>
      <w:widowControl/>
      <w:numPr>
        <w:ilvl w:val="0"/>
        <w:numId w:val="18"/>
      </w:numPr>
      <w:spacing w:line="360" w:lineRule="auto"/>
      <w:ind w:left="0" w:firstLine="0"/>
    </w:pPr>
    <w:rPr>
      <w:rFonts w:eastAsia="黑体"/>
      <w:b w:val="0"/>
      <w:bCs w:val="0"/>
      <w:kern w:val="0"/>
      <w:sz w:val="30"/>
      <w:szCs w:val="30"/>
    </w:rPr>
  </w:style>
  <w:style w:type="paragraph" w:customStyle="1" w:styleId="406">
    <w:name w:val="2级标题"/>
    <w:basedOn w:val="1"/>
    <w:link w:val="413"/>
    <w:qFormat/>
    <w:uiPriority w:val="0"/>
    <w:pPr>
      <w:widowControl/>
      <w:numPr>
        <w:ilvl w:val="1"/>
        <w:numId w:val="18"/>
      </w:numPr>
      <w:spacing w:line="360" w:lineRule="auto"/>
      <w:ind w:firstLine="0"/>
      <w:outlineLvl w:val="1"/>
    </w:pPr>
    <w:rPr>
      <w:b/>
      <w:kern w:val="0"/>
      <w:sz w:val="28"/>
      <w:szCs w:val="28"/>
    </w:rPr>
  </w:style>
  <w:style w:type="paragraph" w:customStyle="1" w:styleId="407">
    <w:name w:val="3级标题"/>
    <w:basedOn w:val="11"/>
    <w:link w:val="409"/>
    <w:qFormat/>
    <w:uiPriority w:val="0"/>
    <w:pPr>
      <w:keepNext w:val="0"/>
      <w:keepLines w:val="0"/>
      <w:widowControl/>
      <w:spacing w:before="0" w:after="0" w:line="360" w:lineRule="auto"/>
      <w:outlineLvl w:val="2"/>
    </w:pPr>
    <w:rPr>
      <w:rFonts w:ascii="Times New Roman" w:hAnsi="Times New Roman" w:eastAsia="宋体"/>
      <w:kern w:val="0"/>
      <w:sz w:val="24"/>
      <w:szCs w:val="24"/>
    </w:rPr>
  </w:style>
  <w:style w:type="paragraph" w:customStyle="1" w:styleId="408">
    <w:name w:val="4级标题"/>
    <w:basedOn w:val="1"/>
    <w:link w:val="414"/>
    <w:qFormat/>
    <w:uiPriority w:val="0"/>
    <w:pPr>
      <w:widowControl/>
      <w:tabs>
        <w:tab w:val="left" w:pos="2128"/>
      </w:tabs>
      <w:spacing w:line="360" w:lineRule="auto"/>
      <w:ind w:left="2128" w:hanging="851"/>
      <w:jc w:val="left"/>
      <w:outlineLvl w:val="3"/>
    </w:pPr>
    <w:rPr>
      <w:rFonts w:eastAsia="Times New Roman"/>
      <w:b/>
      <w:kern w:val="0"/>
      <w:sz w:val="28"/>
      <w:szCs w:val="28"/>
    </w:rPr>
  </w:style>
  <w:style w:type="character" w:customStyle="1" w:styleId="409">
    <w:name w:val="3级标题 Char"/>
    <w:link w:val="407"/>
    <w:qFormat/>
    <w:uiPriority w:val="0"/>
    <w:rPr>
      <w:sz w:val="24"/>
      <w:szCs w:val="24"/>
    </w:rPr>
  </w:style>
  <w:style w:type="paragraph" w:customStyle="1" w:styleId="410">
    <w:name w:val="5级标题"/>
    <w:basedOn w:val="1"/>
    <w:link w:val="418"/>
    <w:qFormat/>
    <w:uiPriority w:val="0"/>
    <w:pPr>
      <w:widowControl/>
      <w:tabs>
        <w:tab w:val="left" w:pos="992"/>
      </w:tabs>
      <w:spacing w:line="360" w:lineRule="auto"/>
      <w:ind w:left="992" w:hanging="992"/>
      <w:jc w:val="left"/>
      <w:outlineLvl w:val="4"/>
    </w:pPr>
    <w:rPr>
      <w:rFonts w:eastAsia="Times New Roman"/>
      <w:b/>
      <w:kern w:val="0"/>
      <w:sz w:val="28"/>
      <w:szCs w:val="28"/>
    </w:rPr>
  </w:style>
  <w:style w:type="paragraph" w:customStyle="1" w:styleId="411">
    <w:name w:val="1级标题"/>
    <w:basedOn w:val="405"/>
    <w:link w:val="412"/>
    <w:qFormat/>
    <w:uiPriority w:val="0"/>
    <w:pPr>
      <w:ind w:left="425" w:hanging="425"/>
    </w:pPr>
    <w:rPr>
      <w:rFonts w:eastAsia="宋体"/>
      <w:b/>
    </w:rPr>
  </w:style>
  <w:style w:type="character" w:customStyle="1" w:styleId="412">
    <w:name w:val="1级标题 Char"/>
    <w:link w:val="411"/>
    <w:qFormat/>
    <w:uiPriority w:val="0"/>
    <w:rPr>
      <w:b/>
      <w:sz w:val="30"/>
      <w:szCs w:val="30"/>
    </w:rPr>
  </w:style>
  <w:style w:type="character" w:customStyle="1" w:styleId="413">
    <w:name w:val="2级标题 Char"/>
    <w:link w:val="406"/>
    <w:qFormat/>
    <w:uiPriority w:val="0"/>
    <w:rPr>
      <w:b/>
      <w:sz w:val="28"/>
      <w:szCs w:val="28"/>
    </w:rPr>
  </w:style>
  <w:style w:type="character" w:customStyle="1" w:styleId="414">
    <w:name w:val="4级标题 Char"/>
    <w:link w:val="408"/>
    <w:qFormat/>
    <w:uiPriority w:val="0"/>
    <w:rPr>
      <w:rFonts w:eastAsia="Times New Roman"/>
      <w:b/>
      <w:sz w:val="28"/>
      <w:szCs w:val="28"/>
    </w:rPr>
  </w:style>
  <w:style w:type="character" w:customStyle="1" w:styleId="415">
    <w:name w:val="标题1 Char"/>
    <w:link w:val="405"/>
    <w:qFormat/>
    <w:uiPriority w:val="0"/>
    <w:rPr>
      <w:rFonts w:eastAsia="黑体"/>
      <w:sz w:val="30"/>
      <w:szCs w:val="30"/>
    </w:rPr>
  </w:style>
  <w:style w:type="paragraph" w:customStyle="1" w:styleId="416">
    <w:name w:val="样式2"/>
    <w:basedOn w:val="406"/>
    <w:link w:val="417"/>
    <w:qFormat/>
    <w:uiPriority w:val="0"/>
    <w:pPr>
      <w:tabs>
        <w:tab w:val="left" w:pos="567"/>
      </w:tabs>
      <w:ind w:left="567" w:hanging="567"/>
    </w:pPr>
    <w:rPr>
      <w:rFonts w:eastAsia="Times New Roman"/>
    </w:rPr>
  </w:style>
  <w:style w:type="character" w:customStyle="1" w:styleId="417">
    <w:name w:val="样式2 Char"/>
    <w:link w:val="416"/>
    <w:qFormat/>
    <w:uiPriority w:val="0"/>
    <w:rPr>
      <w:rFonts w:eastAsia="Times New Roman"/>
      <w:b/>
      <w:sz w:val="28"/>
      <w:szCs w:val="28"/>
    </w:rPr>
  </w:style>
  <w:style w:type="character" w:customStyle="1" w:styleId="418">
    <w:name w:val="5级标题 Char"/>
    <w:link w:val="410"/>
    <w:qFormat/>
    <w:uiPriority w:val="0"/>
    <w:rPr>
      <w:rFonts w:eastAsia="Times New Roman"/>
      <w:b/>
      <w:sz w:val="28"/>
      <w:szCs w:val="28"/>
    </w:rPr>
  </w:style>
  <w:style w:type="character" w:customStyle="1" w:styleId="419">
    <w:name w:val="正文1 Char"/>
    <w:link w:val="143"/>
    <w:qFormat/>
    <w:uiPriority w:val="0"/>
    <w:rPr>
      <w:kern w:val="2"/>
      <w:sz w:val="21"/>
      <w:szCs w:val="24"/>
    </w:rPr>
  </w:style>
  <w:style w:type="paragraph" w:customStyle="1" w:styleId="420">
    <w:name w:val="样式 标题 4标题4.h4heading 4h41heading 41h42heading 42h411hea..."/>
    <w:basedOn w:val="6"/>
    <w:qFormat/>
    <w:uiPriority w:val="0"/>
    <w:pPr>
      <w:keepNext w:val="0"/>
      <w:widowControl/>
      <w:tabs>
        <w:tab w:val="left" w:pos="519"/>
      </w:tabs>
      <w:spacing w:before="280" w:after="290" w:line="360" w:lineRule="auto"/>
      <w:ind w:left="1421" w:hanging="2"/>
    </w:pPr>
    <w:rPr>
      <w:rFonts w:ascii="宋体" w:hAnsi="宋体" w:cs="宋体"/>
      <w:b/>
      <w:kern w:val="0"/>
      <w:sz w:val="24"/>
      <w:szCs w:val="24"/>
    </w:rPr>
  </w:style>
  <w:style w:type="character" w:customStyle="1" w:styleId="421">
    <w:name w:val="CL正文符号1 Char"/>
    <w:link w:val="422"/>
    <w:qFormat/>
    <w:uiPriority w:val="0"/>
    <w:rPr>
      <w:rFonts w:ascii="宋体"/>
      <w:sz w:val="28"/>
      <w:szCs w:val="28"/>
    </w:rPr>
  </w:style>
  <w:style w:type="paragraph" w:customStyle="1" w:styleId="422">
    <w:name w:val="CL正文符号1"/>
    <w:basedOn w:val="1"/>
    <w:link w:val="421"/>
    <w:qFormat/>
    <w:uiPriority w:val="0"/>
    <w:pPr>
      <w:widowControl/>
      <w:numPr>
        <w:ilvl w:val="0"/>
        <w:numId w:val="19"/>
      </w:numPr>
      <w:tabs>
        <w:tab w:val="left" w:pos="360"/>
        <w:tab w:val="clear" w:pos="987"/>
      </w:tabs>
      <w:spacing w:before="100" w:beforeAutospacing="1" w:after="100" w:afterAutospacing="1" w:line="360" w:lineRule="auto"/>
      <w:ind w:left="0" w:firstLine="0"/>
    </w:pPr>
    <w:rPr>
      <w:rFonts w:ascii="宋体"/>
      <w:kern w:val="0"/>
      <w:sz w:val="28"/>
      <w:szCs w:val="28"/>
    </w:rPr>
  </w:style>
  <w:style w:type="paragraph" w:customStyle="1" w:styleId="423">
    <w:name w:val="CL标准正文首行缩进2字"/>
    <w:basedOn w:val="1"/>
    <w:link w:val="424"/>
    <w:qFormat/>
    <w:uiPriority w:val="0"/>
    <w:pPr>
      <w:widowControl/>
      <w:ind w:firstLine="560"/>
    </w:pPr>
    <w:rPr>
      <w:kern w:val="0"/>
      <w:sz w:val="28"/>
      <w:szCs w:val="28"/>
    </w:rPr>
  </w:style>
  <w:style w:type="character" w:customStyle="1" w:styleId="424">
    <w:name w:val="CL标准正文首行缩进2字 Char"/>
    <w:link w:val="423"/>
    <w:qFormat/>
    <w:uiPriority w:val="0"/>
    <w:rPr>
      <w:sz w:val="28"/>
      <w:szCs w:val="28"/>
    </w:rPr>
  </w:style>
  <w:style w:type="paragraph" w:customStyle="1" w:styleId="425">
    <w:name w:val="正文首行缩进2字"/>
    <w:basedOn w:val="1"/>
    <w:link w:val="426"/>
    <w:qFormat/>
    <w:uiPriority w:val="0"/>
    <w:pPr>
      <w:widowControl/>
      <w:ind w:firstLine="560"/>
    </w:pPr>
    <w:rPr>
      <w:rFonts w:eastAsia="楷体_GB2312"/>
      <w:kern w:val="0"/>
      <w:sz w:val="28"/>
      <w:szCs w:val="28"/>
    </w:rPr>
  </w:style>
  <w:style w:type="character" w:customStyle="1" w:styleId="426">
    <w:name w:val="正文首行缩进2字 Char"/>
    <w:link w:val="425"/>
    <w:qFormat/>
    <w:uiPriority w:val="0"/>
    <w:rPr>
      <w:rFonts w:eastAsia="楷体_GB2312"/>
      <w:sz w:val="28"/>
      <w:szCs w:val="28"/>
    </w:rPr>
  </w:style>
  <w:style w:type="character" w:customStyle="1" w:styleId="427">
    <w:name w:val="题注 字符"/>
    <w:link w:val="22"/>
    <w:qFormat/>
    <w:uiPriority w:val="0"/>
    <w:rPr>
      <w:rFonts w:ascii="Cambria" w:hAnsi="Cambria" w:eastAsia="黑体"/>
      <w:kern w:val="2"/>
    </w:rPr>
  </w:style>
  <w:style w:type="character" w:customStyle="1" w:styleId="428">
    <w:name w:val="标题文字"/>
    <w:qFormat/>
    <w:uiPriority w:val="0"/>
    <w:rPr>
      <w:rFonts w:ascii="宋体" w:hAnsi="宋体" w:eastAsia="宋体"/>
      <w:b/>
      <w:sz w:val="22"/>
      <w:szCs w:val="22"/>
      <w:lang w:val="en-US" w:eastAsia="zh-CN" w:bidi="ar-SA"/>
    </w:rPr>
  </w:style>
  <w:style w:type="paragraph" w:customStyle="1" w:styleId="429">
    <w:name w:val="一级正文"/>
    <w:basedOn w:val="1"/>
    <w:qFormat/>
    <w:uiPriority w:val="0"/>
    <w:pPr>
      <w:widowControl/>
      <w:spacing w:before="240" w:after="120" w:line="360" w:lineRule="auto"/>
    </w:pPr>
    <w:rPr>
      <w:rFonts w:ascii="Verdana" w:hAnsi="Verdana"/>
      <w:kern w:val="0"/>
      <w:szCs w:val="21"/>
    </w:rPr>
  </w:style>
  <w:style w:type="paragraph" w:customStyle="1" w:styleId="430">
    <w:name w:val="Char Char2"/>
    <w:basedOn w:val="1"/>
    <w:qFormat/>
    <w:uiPriority w:val="0"/>
    <w:pPr>
      <w:widowControl/>
    </w:pPr>
    <w:rPr>
      <w:rFonts w:ascii="Tahoma" w:hAnsi="Tahoma"/>
      <w:kern w:val="0"/>
      <w:sz w:val="24"/>
    </w:rPr>
  </w:style>
  <w:style w:type="character" w:customStyle="1" w:styleId="431">
    <w:name w:val="font121"/>
    <w:qFormat/>
    <w:uiPriority w:val="0"/>
    <w:rPr>
      <w:rFonts w:ascii="宋体" w:hAnsi="宋体" w:eastAsia="宋体"/>
      <w:sz w:val="15"/>
      <w:szCs w:val="15"/>
      <w:lang w:val="en-US" w:eastAsia="zh-CN" w:bidi="ar-SA"/>
    </w:rPr>
  </w:style>
  <w:style w:type="paragraph" w:customStyle="1" w:styleId="432">
    <w:name w:val="sky 正文"/>
    <w:basedOn w:val="1"/>
    <w:link w:val="433"/>
    <w:qFormat/>
    <w:uiPriority w:val="0"/>
    <w:pPr>
      <w:widowControl/>
      <w:spacing w:line="300" w:lineRule="auto"/>
      <w:ind w:firstLine="200"/>
    </w:pPr>
    <w:rPr>
      <w:kern w:val="0"/>
      <w:szCs w:val="21"/>
    </w:rPr>
  </w:style>
  <w:style w:type="character" w:customStyle="1" w:styleId="433">
    <w:name w:val="sky 正文 Char"/>
    <w:link w:val="432"/>
    <w:qFormat/>
    <w:uiPriority w:val="0"/>
    <w:rPr>
      <w:sz w:val="21"/>
      <w:szCs w:val="21"/>
    </w:rPr>
  </w:style>
  <w:style w:type="paragraph" w:customStyle="1" w:styleId="434">
    <w:name w:val="样式 标题 1章标题H1PIM 1h11.123321Heading 0Level 1 Topic Headin..."/>
    <w:basedOn w:val="3"/>
    <w:qFormat/>
    <w:uiPriority w:val="0"/>
    <w:pPr>
      <w:keepNext w:val="0"/>
      <w:keepLines w:val="0"/>
      <w:pageBreakBefore/>
      <w:widowControl/>
      <w:numPr>
        <w:ilvl w:val="0"/>
        <w:numId w:val="20"/>
      </w:numPr>
      <w:tabs>
        <w:tab w:val="left" w:pos="420"/>
      </w:tabs>
      <w:spacing w:before="29" w:after="29" w:line="720" w:lineRule="auto"/>
      <w:ind w:left="420" w:hanging="420"/>
      <w:jc w:val="center"/>
    </w:pPr>
    <w:rPr>
      <w:bCs w:val="0"/>
      <w:kern w:val="0"/>
      <w:sz w:val="28"/>
      <w:szCs w:val="28"/>
    </w:rPr>
  </w:style>
  <w:style w:type="paragraph" w:customStyle="1" w:styleId="435">
    <w:name w:val="正文11"/>
    <w:basedOn w:val="143"/>
    <w:qFormat/>
    <w:uiPriority w:val="0"/>
    <w:pPr>
      <w:widowControl/>
      <w:spacing w:line="360" w:lineRule="auto"/>
      <w:ind w:firstLine="200"/>
    </w:pPr>
    <w:rPr>
      <w:kern w:val="0"/>
      <w:sz w:val="24"/>
    </w:rPr>
  </w:style>
  <w:style w:type="paragraph" w:customStyle="1" w:styleId="436">
    <w:name w:val="计费规范编写 正文"/>
    <w:basedOn w:val="1"/>
    <w:link w:val="437"/>
    <w:qFormat/>
    <w:uiPriority w:val="0"/>
    <w:pPr>
      <w:widowControl/>
      <w:spacing w:line="360" w:lineRule="auto"/>
      <w:ind w:left="1134"/>
    </w:pPr>
    <w:rPr>
      <w:kern w:val="0"/>
      <w:sz w:val="24"/>
    </w:rPr>
  </w:style>
  <w:style w:type="character" w:customStyle="1" w:styleId="437">
    <w:name w:val="计费规范编写 正文 Char"/>
    <w:link w:val="436"/>
    <w:qFormat/>
    <w:uiPriority w:val="0"/>
    <w:rPr>
      <w:sz w:val="24"/>
      <w:szCs w:val="24"/>
    </w:rPr>
  </w:style>
  <w:style w:type="paragraph" w:customStyle="1" w:styleId="438">
    <w:name w:val="Char Char21"/>
    <w:basedOn w:val="1"/>
    <w:qFormat/>
    <w:uiPriority w:val="0"/>
    <w:pPr>
      <w:widowControl/>
      <w:spacing w:line="360" w:lineRule="auto"/>
      <w:ind w:left="1134" w:hanging="1134"/>
    </w:pPr>
    <w:rPr>
      <w:rFonts w:ascii="Tahoma" w:hAnsi="Tahoma"/>
      <w:kern w:val="0"/>
      <w:sz w:val="24"/>
    </w:rPr>
  </w:style>
  <w:style w:type="character" w:customStyle="1" w:styleId="439">
    <w:name w:val="文档正文 Char Char"/>
    <w:link w:val="265"/>
    <w:qFormat/>
    <w:uiPriority w:val="0"/>
    <w:rPr>
      <w:rFonts w:ascii="Arial" w:hAnsi="Arial"/>
      <w:sz w:val="24"/>
      <w:szCs w:val="24"/>
    </w:rPr>
  </w:style>
  <w:style w:type="paragraph" w:customStyle="1" w:styleId="440">
    <w:name w:val="t4"/>
    <w:basedOn w:val="6"/>
    <w:next w:val="34"/>
    <w:qFormat/>
    <w:uiPriority w:val="0"/>
    <w:pPr>
      <w:keepNext w:val="0"/>
      <w:widowControl/>
      <w:numPr>
        <w:ilvl w:val="0"/>
        <w:numId w:val="21"/>
      </w:numPr>
      <w:tabs>
        <w:tab w:val="left" w:pos="2134"/>
      </w:tabs>
      <w:spacing w:before="120" w:line="360" w:lineRule="auto"/>
    </w:pPr>
    <w:rPr>
      <w:rFonts w:hAnsi="宋体"/>
      <w:b/>
      <w:kern w:val="0"/>
      <w:sz w:val="24"/>
      <w:szCs w:val="24"/>
    </w:rPr>
  </w:style>
  <w:style w:type="paragraph" w:customStyle="1" w:styleId="441">
    <w:name w:val="封面落款"/>
    <w:basedOn w:val="1"/>
    <w:qFormat/>
    <w:uiPriority w:val="0"/>
    <w:pPr>
      <w:widowControl/>
      <w:spacing w:line="300" w:lineRule="auto"/>
      <w:ind w:left="1134" w:hanging="1134"/>
      <w:jc w:val="center"/>
    </w:pPr>
    <w:rPr>
      <w:spacing w:val="10"/>
      <w:kern w:val="0"/>
      <w:sz w:val="30"/>
      <w:szCs w:val="30"/>
    </w:rPr>
  </w:style>
  <w:style w:type="paragraph" w:customStyle="1" w:styleId="442">
    <w:name w:val="表文字"/>
    <w:qFormat/>
    <w:uiPriority w:val="0"/>
    <w:pPr>
      <w:spacing w:line="360" w:lineRule="auto"/>
      <w:ind w:left="1134" w:hanging="1134"/>
      <w:jc w:val="both"/>
    </w:pPr>
    <w:rPr>
      <w:rFonts w:ascii="宋体" w:hAnsi="Times New Roman" w:eastAsia="宋体" w:cs="Times New Roman"/>
      <w:lang w:val="en-US" w:eastAsia="zh-CN" w:bidi="ar-SA"/>
    </w:rPr>
  </w:style>
  <w:style w:type="character" w:customStyle="1" w:styleId="443">
    <w:name w:val="headline-content2"/>
    <w:basedOn w:val="89"/>
    <w:qFormat/>
    <w:uiPriority w:val="0"/>
    <w:rPr>
      <w:rFonts w:ascii="宋体" w:hAnsi="宋体" w:eastAsia="宋体"/>
      <w:sz w:val="22"/>
      <w:szCs w:val="22"/>
      <w:lang w:val="en-US" w:eastAsia="zh-CN" w:bidi="ar-SA"/>
    </w:rPr>
  </w:style>
  <w:style w:type="paragraph" w:customStyle="1" w:styleId="444">
    <w:name w:val="样式3"/>
    <w:basedOn w:val="408"/>
    <w:link w:val="446"/>
    <w:qFormat/>
    <w:uiPriority w:val="0"/>
    <w:pPr>
      <w:numPr>
        <w:ilvl w:val="3"/>
        <w:numId w:val="18"/>
      </w:numPr>
      <w:tabs>
        <w:tab w:val="left" w:pos="709"/>
        <w:tab w:val="left" w:pos="851"/>
      </w:tabs>
      <w:ind w:left="851" w:hanging="851"/>
      <w:jc w:val="both"/>
    </w:pPr>
    <w:rPr>
      <w:rFonts w:eastAsia="宋体" w:cs="宋体"/>
    </w:rPr>
  </w:style>
  <w:style w:type="paragraph" w:customStyle="1" w:styleId="445">
    <w:name w:val="样式4"/>
    <w:basedOn w:val="444"/>
    <w:link w:val="448"/>
    <w:qFormat/>
    <w:uiPriority w:val="0"/>
  </w:style>
  <w:style w:type="character" w:customStyle="1" w:styleId="446">
    <w:name w:val="样式3 Char"/>
    <w:link w:val="444"/>
    <w:qFormat/>
    <w:uiPriority w:val="0"/>
    <w:rPr>
      <w:rFonts w:cs="宋体"/>
      <w:b/>
      <w:sz w:val="28"/>
      <w:szCs w:val="28"/>
    </w:rPr>
  </w:style>
  <w:style w:type="paragraph" w:customStyle="1" w:styleId="447">
    <w:name w:val="Char2"/>
    <w:basedOn w:val="26"/>
    <w:qFormat/>
    <w:uiPriority w:val="0"/>
    <w:pPr>
      <w:widowControl/>
      <w:shd w:val="clear" w:color="000000" w:fill="000080"/>
      <w:spacing w:line="360" w:lineRule="auto"/>
      <w:ind w:left="1400" w:leftChars="1400"/>
    </w:pPr>
    <w:rPr>
      <w:rFonts w:ascii="Times New Roman"/>
      <w:kern w:val="0"/>
      <w:sz w:val="21"/>
      <w:szCs w:val="21"/>
    </w:rPr>
  </w:style>
  <w:style w:type="character" w:customStyle="1" w:styleId="448">
    <w:name w:val="样式4 Char"/>
    <w:basedOn w:val="446"/>
    <w:link w:val="445"/>
    <w:qFormat/>
    <w:uiPriority w:val="0"/>
    <w:rPr>
      <w:rFonts w:cs="宋体"/>
      <w:sz w:val="28"/>
      <w:szCs w:val="28"/>
    </w:rPr>
  </w:style>
  <w:style w:type="paragraph" w:customStyle="1" w:styleId="449">
    <w:name w:val="Char Char Char Char Char1"/>
    <w:basedOn w:val="1"/>
    <w:semiHidden/>
    <w:qFormat/>
    <w:uiPriority w:val="0"/>
    <w:pPr>
      <w:widowControl/>
      <w:tabs>
        <w:tab w:val="left" w:pos="1200"/>
      </w:tabs>
      <w:spacing w:line="360" w:lineRule="auto"/>
      <w:ind w:left="1134" w:hanging="1134"/>
    </w:pPr>
    <w:rPr>
      <w:rFonts w:ascii="宋体" w:hAnsi="宋体"/>
      <w:kern w:val="0"/>
      <w:sz w:val="22"/>
      <w:szCs w:val="22"/>
    </w:rPr>
  </w:style>
  <w:style w:type="paragraph" w:customStyle="1" w:styleId="450">
    <w:name w:val="Char Char Char Char Char Char11"/>
    <w:basedOn w:val="26"/>
    <w:qFormat/>
    <w:uiPriority w:val="0"/>
    <w:pPr>
      <w:widowControl/>
      <w:shd w:val="clear" w:color="000000" w:fill="000080"/>
      <w:spacing w:line="360" w:lineRule="auto"/>
      <w:ind w:left="1400" w:leftChars="1400"/>
    </w:pPr>
    <w:rPr>
      <w:rFonts w:ascii="Times New Roman"/>
      <w:kern w:val="0"/>
      <w:sz w:val="21"/>
      <w:szCs w:val="21"/>
    </w:rPr>
  </w:style>
  <w:style w:type="paragraph" w:customStyle="1" w:styleId="451">
    <w:name w:val="Char Char Char Char Char Char Char311"/>
    <w:basedOn w:val="1"/>
    <w:semiHidden/>
    <w:qFormat/>
    <w:uiPriority w:val="0"/>
    <w:pPr>
      <w:widowControl/>
      <w:tabs>
        <w:tab w:val="left" w:pos="1200"/>
      </w:tabs>
      <w:spacing w:line="360" w:lineRule="auto"/>
      <w:ind w:left="1134" w:hanging="1134"/>
    </w:pPr>
    <w:rPr>
      <w:rFonts w:ascii="Tahoma" w:hAnsi="Tahoma"/>
      <w:kern w:val="0"/>
      <w:sz w:val="24"/>
    </w:rPr>
  </w:style>
  <w:style w:type="paragraph" w:customStyle="1" w:styleId="452">
    <w:name w:val="Char Char1 Char Char1 Char Char111"/>
    <w:basedOn w:val="1"/>
    <w:qFormat/>
    <w:uiPriority w:val="0"/>
    <w:pPr>
      <w:widowControl/>
      <w:tabs>
        <w:tab w:val="left" w:pos="1200"/>
      </w:tabs>
      <w:spacing w:line="360" w:lineRule="auto"/>
      <w:ind w:left="1134" w:hanging="1134"/>
    </w:pPr>
    <w:rPr>
      <w:rFonts w:ascii="Tahoma" w:hAnsi="Tahoma"/>
      <w:kern w:val="0"/>
      <w:sz w:val="24"/>
    </w:rPr>
  </w:style>
  <w:style w:type="paragraph" w:customStyle="1" w:styleId="453">
    <w:name w:val="Char1 Char Char Char Char Char Char Char Char Char Char Char Char Char Char Char11"/>
    <w:basedOn w:val="1"/>
    <w:semiHidden/>
    <w:qFormat/>
    <w:uiPriority w:val="0"/>
    <w:pPr>
      <w:widowControl/>
      <w:tabs>
        <w:tab w:val="left" w:pos="1200"/>
      </w:tabs>
      <w:spacing w:line="360" w:lineRule="auto"/>
      <w:ind w:left="1134" w:hanging="1134"/>
    </w:pPr>
    <w:rPr>
      <w:rFonts w:ascii="Tahoma" w:hAnsi="Tahoma"/>
      <w:kern w:val="0"/>
      <w:sz w:val="24"/>
    </w:rPr>
  </w:style>
  <w:style w:type="paragraph" w:customStyle="1" w:styleId="454">
    <w:name w:val="Char Char Char Char Char Char Char Char Char Char Char Char Char Char Char Char Char Char Char Char Char11"/>
    <w:basedOn w:val="1"/>
    <w:semiHidden/>
    <w:qFormat/>
    <w:uiPriority w:val="0"/>
    <w:pPr>
      <w:widowControl/>
      <w:tabs>
        <w:tab w:val="left" w:pos="1200"/>
      </w:tabs>
      <w:spacing w:line="360" w:lineRule="auto"/>
      <w:ind w:left="1134" w:hanging="1134"/>
    </w:pPr>
    <w:rPr>
      <w:kern w:val="0"/>
      <w:szCs w:val="21"/>
    </w:rPr>
  </w:style>
  <w:style w:type="paragraph" w:customStyle="1" w:styleId="455">
    <w:name w:val="大圆点标题"/>
    <w:basedOn w:val="24"/>
    <w:qFormat/>
    <w:uiPriority w:val="0"/>
    <w:pPr>
      <w:numPr>
        <w:ilvl w:val="0"/>
        <w:numId w:val="22"/>
      </w:numPr>
      <w:tabs>
        <w:tab w:val="left" w:pos="1200"/>
      </w:tabs>
      <w:spacing w:before="72" w:line="300" w:lineRule="auto"/>
      <w:ind w:firstLine="0"/>
    </w:pPr>
    <w:rPr>
      <w:rFonts w:ascii="Arial" w:hAnsi="Arial" w:cs="Arial"/>
      <w:b/>
      <w:sz w:val="24"/>
      <w:szCs w:val="24"/>
    </w:rPr>
  </w:style>
  <w:style w:type="paragraph" w:customStyle="1" w:styleId="456">
    <w:name w:val="正文缩进(ALT+Z)"/>
    <w:basedOn w:val="1"/>
    <w:link w:val="457"/>
    <w:qFormat/>
    <w:uiPriority w:val="0"/>
    <w:pPr>
      <w:widowControl/>
      <w:tabs>
        <w:tab w:val="left" w:pos="1200"/>
      </w:tabs>
      <w:spacing w:line="360" w:lineRule="auto"/>
      <w:ind w:left="1134" w:firstLine="200"/>
    </w:pPr>
    <w:rPr>
      <w:kern w:val="0"/>
      <w:sz w:val="24"/>
    </w:rPr>
  </w:style>
  <w:style w:type="character" w:customStyle="1" w:styleId="457">
    <w:name w:val="正文缩进(ALT+Z) Char"/>
    <w:link w:val="456"/>
    <w:qFormat/>
    <w:uiPriority w:val="0"/>
    <w:rPr>
      <w:sz w:val="24"/>
      <w:szCs w:val="24"/>
    </w:rPr>
  </w:style>
  <w:style w:type="paragraph" w:customStyle="1" w:styleId="458">
    <w:name w:val="三级条标题"/>
    <w:basedOn w:val="1"/>
    <w:next w:val="1"/>
    <w:qFormat/>
    <w:uiPriority w:val="0"/>
    <w:pPr>
      <w:widowControl/>
      <w:numPr>
        <w:ilvl w:val="3"/>
        <w:numId w:val="23"/>
      </w:numPr>
      <w:tabs>
        <w:tab w:val="left" w:pos="1200"/>
      </w:tabs>
      <w:spacing w:line="360" w:lineRule="auto"/>
      <w:ind w:firstLine="0"/>
      <w:outlineLvl w:val="4"/>
    </w:pPr>
    <w:rPr>
      <w:rFonts w:ascii="宋体"/>
      <w:b/>
      <w:kern w:val="0"/>
      <w:sz w:val="24"/>
    </w:rPr>
  </w:style>
  <w:style w:type="paragraph" w:customStyle="1" w:styleId="459">
    <w:name w:val="四级条标题"/>
    <w:basedOn w:val="458"/>
    <w:next w:val="1"/>
    <w:qFormat/>
    <w:uiPriority w:val="0"/>
    <w:pPr>
      <w:numPr>
        <w:ilvl w:val="0"/>
        <w:numId w:val="0"/>
      </w:numPr>
      <w:outlineLvl w:val="5"/>
    </w:pPr>
  </w:style>
  <w:style w:type="character" w:customStyle="1" w:styleId="460">
    <w:name w:val="样式1 Char"/>
    <w:qFormat/>
    <w:uiPriority w:val="0"/>
    <w:rPr>
      <w:rFonts w:ascii="宋体" w:hAnsi="宋体" w:eastAsia="宋体"/>
      <w:sz w:val="24"/>
      <w:szCs w:val="24"/>
      <w:lang w:val="en-US" w:eastAsia="zh-CN" w:bidi="ar-SA"/>
    </w:rPr>
  </w:style>
  <w:style w:type="paragraph" w:customStyle="1" w:styleId="461">
    <w:name w:val="样式 标题 2h2Heading 2 HiddenHeading 2 CCBSl2heading 2I22nd l..."/>
    <w:basedOn w:val="4"/>
    <w:qFormat/>
    <w:uiPriority w:val="0"/>
    <w:pPr>
      <w:keepNext w:val="0"/>
      <w:keepLines w:val="0"/>
      <w:widowControl/>
      <w:tabs>
        <w:tab w:val="left" w:pos="0"/>
        <w:tab w:val="left" w:pos="576"/>
      </w:tabs>
      <w:spacing w:before="0" w:after="0" w:line="360" w:lineRule="auto"/>
      <w:ind w:left="576" w:hanging="576"/>
    </w:pPr>
    <w:rPr>
      <w:rFonts w:ascii="Times New Roman" w:hAnsi="Times New Roman" w:eastAsia="宋体" w:cs="宋体"/>
      <w:bCs w:val="0"/>
      <w:kern w:val="0"/>
      <w:sz w:val="28"/>
      <w:szCs w:val="28"/>
    </w:rPr>
  </w:style>
  <w:style w:type="paragraph" w:customStyle="1" w:styleId="462">
    <w:name w:val="封面主标题"/>
    <w:basedOn w:val="1"/>
    <w:qFormat/>
    <w:uiPriority w:val="0"/>
    <w:pPr>
      <w:widowControl/>
      <w:spacing w:before="156" w:after="156" w:line="360" w:lineRule="auto"/>
      <w:ind w:left="1134" w:hanging="1134"/>
      <w:jc w:val="center"/>
    </w:pPr>
    <w:rPr>
      <w:rFonts w:ascii="黑体" w:eastAsia="黑体" w:cs="宋体"/>
      <w:b/>
      <w:color w:val="000000"/>
      <w:kern w:val="0"/>
      <w:sz w:val="44"/>
      <w:szCs w:val="44"/>
    </w:rPr>
  </w:style>
  <w:style w:type="paragraph" w:customStyle="1" w:styleId="463">
    <w:name w:val="样式5"/>
    <w:basedOn w:val="435"/>
    <w:link w:val="464"/>
    <w:qFormat/>
    <w:uiPriority w:val="0"/>
  </w:style>
  <w:style w:type="character" w:customStyle="1" w:styleId="464">
    <w:name w:val="样式5 Char"/>
    <w:link w:val="463"/>
    <w:qFormat/>
    <w:uiPriority w:val="0"/>
    <w:rPr>
      <w:sz w:val="24"/>
      <w:szCs w:val="24"/>
    </w:rPr>
  </w:style>
  <w:style w:type="character" w:customStyle="1" w:styleId="465">
    <w:name w:val="规范正文 Char"/>
    <w:link w:val="304"/>
    <w:qFormat/>
    <w:uiPriority w:val="0"/>
    <w:rPr>
      <w:sz w:val="24"/>
      <w:szCs w:val="24"/>
    </w:rPr>
  </w:style>
  <w:style w:type="paragraph" w:customStyle="1" w:styleId="466">
    <w:name w:val="样式 标题 4h4H4PIM 4bulletblbbsect 1.2.3.4Ref Heading 1rh1..."/>
    <w:basedOn w:val="6"/>
    <w:qFormat/>
    <w:uiPriority w:val="0"/>
    <w:pPr>
      <w:keepNext w:val="0"/>
      <w:widowControl/>
      <w:snapToGrid w:val="0"/>
      <w:spacing w:before="120" w:after="120"/>
      <w:ind w:left="-539" w:firstLine="539"/>
    </w:pPr>
    <w:rPr>
      <w:rFonts w:ascii="宋体" w:hAnsi="宋体" w:cs="宋体"/>
      <w:color w:val="000000"/>
      <w:kern w:val="0"/>
      <w:sz w:val="21"/>
      <w:szCs w:val="21"/>
    </w:rPr>
  </w:style>
  <w:style w:type="character" w:customStyle="1" w:styleId="467">
    <w:name w:val="页脚 Char1"/>
    <w:qFormat/>
    <w:uiPriority w:val="0"/>
    <w:rPr>
      <w:rFonts w:ascii="宋体" w:hAnsi="宋体" w:eastAsia="宋体"/>
      <w:sz w:val="18"/>
      <w:szCs w:val="18"/>
      <w:lang w:val="en-US" w:eastAsia="zh-CN" w:bidi="ar-SA"/>
    </w:rPr>
  </w:style>
  <w:style w:type="character" w:customStyle="1" w:styleId="468">
    <w:name w:val="页眉 Char1"/>
    <w:qFormat/>
    <w:uiPriority w:val="0"/>
    <w:rPr>
      <w:rFonts w:ascii="宋体" w:hAnsi="宋体" w:eastAsia="宋体"/>
      <w:sz w:val="18"/>
      <w:szCs w:val="18"/>
      <w:lang w:val="en-US" w:eastAsia="zh-CN" w:bidi="ar-SA"/>
    </w:rPr>
  </w:style>
  <w:style w:type="character" w:customStyle="1" w:styleId="469">
    <w:name w:val="宏文本 Char1"/>
    <w:basedOn w:val="89"/>
    <w:qFormat/>
    <w:uiPriority w:val="0"/>
    <w:rPr>
      <w:rFonts w:ascii="Courier New" w:hAnsi="Courier New" w:eastAsia="宋体" w:cs="Courier New"/>
      <w:sz w:val="24"/>
      <w:szCs w:val="24"/>
    </w:rPr>
  </w:style>
  <w:style w:type="character" w:customStyle="1" w:styleId="470">
    <w:name w:val="脚注文本 Char1"/>
    <w:qFormat/>
    <w:uiPriority w:val="0"/>
    <w:rPr>
      <w:rFonts w:ascii="宋体" w:hAnsi="宋体" w:eastAsia="宋体"/>
      <w:sz w:val="18"/>
      <w:szCs w:val="18"/>
      <w:lang w:val="en-US" w:eastAsia="zh-CN" w:bidi="ar-SA"/>
    </w:rPr>
  </w:style>
  <w:style w:type="character" w:customStyle="1" w:styleId="471">
    <w:name w:val="尾注文本 Char1"/>
    <w:qFormat/>
    <w:uiPriority w:val="0"/>
    <w:rPr>
      <w:rFonts w:ascii="宋体" w:hAnsi="宋体" w:eastAsia="宋体"/>
      <w:sz w:val="24"/>
      <w:szCs w:val="24"/>
      <w:lang w:val="en-US" w:eastAsia="zh-CN" w:bidi="ar-SA"/>
    </w:rPr>
  </w:style>
  <w:style w:type="character" w:customStyle="1" w:styleId="472">
    <w:name w:val="正文文本缩进 2 Char1"/>
    <w:qFormat/>
    <w:uiPriority w:val="0"/>
    <w:rPr>
      <w:rFonts w:ascii="宋体" w:hAnsi="宋体" w:eastAsia="宋体"/>
      <w:sz w:val="24"/>
      <w:szCs w:val="24"/>
      <w:lang w:val="en-US" w:eastAsia="zh-CN" w:bidi="ar-SA"/>
    </w:rPr>
  </w:style>
  <w:style w:type="character" w:customStyle="1" w:styleId="473">
    <w:name w:val="批注框文本 Char1"/>
    <w:qFormat/>
    <w:uiPriority w:val="0"/>
    <w:rPr>
      <w:rFonts w:ascii="宋体" w:hAnsi="宋体" w:eastAsia="宋体"/>
      <w:sz w:val="18"/>
      <w:szCs w:val="18"/>
      <w:lang w:val="en-US" w:eastAsia="zh-CN" w:bidi="ar-SA"/>
    </w:rPr>
  </w:style>
  <w:style w:type="character" w:customStyle="1" w:styleId="474">
    <w:name w:val="bule"/>
    <w:qFormat/>
    <w:uiPriority w:val="0"/>
  </w:style>
  <w:style w:type="character" w:customStyle="1" w:styleId="475">
    <w:name w:val="header odd Char1"/>
    <w:qFormat/>
    <w:uiPriority w:val="0"/>
    <w:rPr>
      <w:rFonts w:ascii="宋体" w:hAnsi="宋体" w:eastAsia="宋体"/>
      <w:sz w:val="24"/>
      <w:szCs w:val="24"/>
      <w:lang w:val="en-US" w:eastAsia="zh-CN" w:bidi="ar-SA"/>
    </w:rPr>
  </w:style>
  <w:style w:type="character" w:customStyle="1" w:styleId="476">
    <w:name w:val="Char Char11"/>
    <w:qFormat/>
    <w:uiPriority w:val="0"/>
    <w:rPr>
      <w:rFonts w:ascii="宋体" w:hAnsi="宋体" w:eastAsia="宋体"/>
      <w:sz w:val="24"/>
      <w:szCs w:val="24"/>
      <w:lang w:val="en-US" w:eastAsia="zh-CN" w:bidi="ar-SA"/>
    </w:rPr>
  </w:style>
  <w:style w:type="character" w:customStyle="1" w:styleId="477">
    <w:name w:val="正文首行缩进 2 Char1"/>
    <w:basedOn w:val="119"/>
    <w:qFormat/>
    <w:uiPriority w:val="0"/>
    <w:rPr>
      <w:rFonts w:ascii="Times New Roman" w:hAnsi="Times New Roman" w:eastAsia="宋体" w:cs="Times New Roman"/>
      <w:kern w:val="0"/>
      <w:sz w:val="24"/>
      <w:szCs w:val="24"/>
    </w:rPr>
  </w:style>
  <w:style w:type="character" w:customStyle="1" w:styleId="478">
    <w:name w:val="Normal + Arial Char"/>
    <w:link w:val="479"/>
    <w:qFormat/>
    <w:uiPriority w:val="0"/>
    <w:rPr>
      <w:rFonts w:ascii="Arial" w:hAnsi="Arial" w:cs="Arial"/>
      <w:sz w:val="24"/>
      <w:szCs w:val="24"/>
    </w:rPr>
  </w:style>
  <w:style w:type="paragraph" w:customStyle="1" w:styleId="479">
    <w:name w:val="Normal + Arial"/>
    <w:basedOn w:val="1"/>
    <w:link w:val="478"/>
    <w:qFormat/>
    <w:uiPriority w:val="0"/>
    <w:pPr>
      <w:widowControl/>
      <w:spacing w:line="360" w:lineRule="auto"/>
      <w:jc w:val="left"/>
    </w:pPr>
    <w:rPr>
      <w:rFonts w:ascii="Arial" w:hAnsi="Arial" w:cs="Arial"/>
      <w:kern w:val="0"/>
      <w:sz w:val="24"/>
    </w:rPr>
  </w:style>
  <w:style w:type="character" w:customStyle="1" w:styleId="480">
    <w:name w:val="批注主题 Char1"/>
    <w:basedOn w:val="139"/>
    <w:qFormat/>
    <w:uiPriority w:val="0"/>
    <w:rPr>
      <w:rFonts w:ascii="宋体" w:hAnsi="宋体" w:eastAsia="宋体"/>
      <w:kern w:val="2"/>
      <w:sz w:val="24"/>
      <w:szCs w:val="24"/>
      <w:lang w:val="en-US" w:eastAsia="zh-CN" w:bidi="ar-SA"/>
    </w:rPr>
  </w:style>
  <w:style w:type="character" w:customStyle="1" w:styleId="481">
    <w:name w:val="正文文本 Char1"/>
    <w:qFormat/>
    <w:uiPriority w:val="0"/>
    <w:rPr>
      <w:rFonts w:ascii="宋体" w:hAnsi="宋体" w:eastAsia="宋体"/>
      <w:sz w:val="24"/>
      <w:szCs w:val="24"/>
      <w:lang w:val="en-US" w:eastAsia="zh-CN" w:bidi="ar-SA"/>
    </w:rPr>
  </w:style>
  <w:style w:type="character" w:customStyle="1" w:styleId="482">
    <w:name w:val="正文首行缩进 Char1"/>
    <w:basedOn w:val="481"/>
    <w:qFormat/>
    <w:uiPriority w:val="0"/>
    <w:rPr>
      <w:rFonts w:ascii="宋体" w:hAnsi="宋体" w:eastAsia="宋体"/>
      <w:sz w:val="24"/>
      <w:szCs w:val="24"/>
      <w:lang w:val="en-US" w:eastAsia="zh-CN" w:bidi="ar-SA"/>
    </w:rPr>
  </w:style>
  <w:style w:type="character" w:customStyle="1" w:styleId="483">
    <w:name w:val="HTML 预设格式 Char1"/>
    <w:basedOn w:val="89"/>
    <w:qFormat/>
    <w:uiPriority w:val="0"/>
    <w:rPr>
      <w:rFonts w:ascii="Courier New" w:hAnsi="Courier New" w:eastAsia="宋体" w:cs="Courier New"/>
      <w:sz w:val="20"/>
      <w:szCs w:val="20"/>
    </w:rPr>
  </w:style>
  <w:style w:type="character" w:customStyle="1" w:styleId="484">
    <w:name w:val="标题 Char1"/>
    <w:qFormat/>
    <w:uiPriority w:val="0"/>
    <w:rPr>
      <w:rFonts w:ascii="Cambria" w:hAnsi="Cambria" w:eastAsia="宋体" w:cs="Times New Roman"/>
      <w:b/>
      <w:sz w:val="32"/>
      <w:szCs w:val="32"/>
      <w:lang w:val="en-US" w:eastAsia="zh-CN" w:bidi="ar-SA"/>
    </w:rPr>
  </w:style>
  <w:style w:type="character" w:customStyle="1" w:styleId="485">
    <w:name w:val="h3 Char3"/>
    <w:qFormat/>
    <w:uiPriority w:val="0"/>
    <w:rPr>
      <w:rFonts w:eastAsia="宋体"/>
      <w:b/>
      <w:sz w:val="32"/>
      <w:szCs w:val="32"/>
      <w:lang w:val="en-US" w:eastAsia="zh-CN" w:bidi="ar-SA"/>
    </w:rPr>
  </w:style>
  <w:style w:type="character" w:customStyle="1" w:styleId="486">
    <w:name w:val="14px1"/>
    <w:qFormat/>
    <w:uiPriority w:val="0"/>
    <w:rPr>
      <w:sz w:val="21"/>
      <w:szCs w:val="21"/>
    </w:rPr>
  </w:style>
  <w:style w:type="character" w:customStyle="1" w:styleId="487">
    <w:name w:val="text1 Char Char"/>
    <w:link w:val="488"/>
    <w:qFormat/>
    <w:uiPriority w:val="0"/>
    <w:rPr>
      <w:rFonts w:cs="宋体"/>
      <w:sz w:val="24"/>
      <w:szCs w:val="24"/>
    </w:rPr>
  </w:style>
  <w:style w:type="paragraph" w:customStyle="1" w:styleId="488">
    <w:name w:val="text1"/>
    <w:basedOn w:val="1"/>
    <w:link w:val="487"/>
    <w:qFormat/>
    <w:uiPriority w:val="0"/>
    <w:pPr>
      <w:widowControl/>
      <w:spacing w:line="360" w:lineRule="auto"/>
      <w:ind w:firstLine="200"/>
    </w:pPr>
    <w:rPr>
      <w:rFonts w:cs="宋体"/>
      <w:kern w:val="0"/>
      <w:sz w:val="24"/>
    </w:rPr>
  </w:style>
  <w:style w:type="character" w:customStyle="1" w:styleId="489">
    <w:name w:val="Char Char1 Char"/>
    <w:qFormat/>
    <w:uiPriority w:val="0"/>
    <w:rPr>
      <w:rFonts w:ascii="Verdana" w:hAnsi="Verdana" w:eastAsia="宋体"/>
      <w:lang w:val="en-US" w:eastAsia="en-US" w:bidi="ar-SA"/>
    </w:rPr>
  </w:style>
  <w:style w:type="character" w:customStyle="1" w:styleId="490">
    <w:name w:val="计费规范编写 正文 Char Char Char Char"/>
    <w:link w:val="491"/>
    <w:qFormat/>
    <w:uiPriority w:val="0"/>
    <w:rPr>
      <w:rFonts w:ascii="Verdana" w:hAnsi="Verdana"/>
      <w:sz w:val="24"/>
      <w:szCs w:val="24"/>
    </w:rPr>
  </w:style>
  <w:style w:type="paragraph" w:customStyle="1" w:styleId="491">
    <w:name w:val="计费规范编写 正文 Char Char Char"/>
    <w:link w:val="490"/>
    <w:qFormat/>
    <w:uiPriority w:val="0"/>
    <w:rPr>
      <w:rFonts w:ascii="Verdana" w:hAnsi="Verdana" w:eastAsia="宋体" w:cs="Times New Roman"/>
      <w:sz w:val="24"/>
      <w:szCs w:val="24"/>
      <w:lang w:val="en-US" w:eastAsia="zh-CN" w:bidi="ar-SA"/>
    </w:rPr>
  </w:style>
  <w:style w:type="paragraph" w:customStyle="1" w:styleId="492">
    <w:name w:val="正文字缩2字"/>
    <w:basedOn w:val="1"/>
    <w:qFormat/>
    <w:uiPriority w:val="0"/>
    <w:pPr>
      <w:widowControl/>
      <w:spacing w:before="60" w:after="60" w:line="360" w:lineRule="auto"/>
      <w:ind w:left="200" w:firstLine="200"/>
    </w:pPr>
    <w:rPr>
      <w:kern w:val="0"/>
      <w:sz w:val="24"/>
    </w:rPr>
  </w:style>
  <w:style w:type="character" w:customStyle="1" w:styleId="493">
    <w:name w:val="正文文本缩进 3 Char1"/>
    <w:qFormat/>
    <w:uiPriority w:val="0"/>
    <w:rPr>
      <w:rFonts w:ascii="宋体" w:hAnsi="宋体" w:eastAsia="宋体"/>
      <w:sz w:val="16"/>
      <w:szCs w:val="16"/>
      <w:lang w:val="en-US" w:eastAsia="zh-CN" w:bidi="ar-SA"/>
    </w:rPr>
  </w:style>
  <w:style w:type="character" w:customStyle="1" w:styleId="494">
    <w:name w:val="注释标题 Char1"/>
    <w:basedOn w:val="89"/>
    <w:qFormat/>
    <w:uiPriority w:val="0"/>
    <w:rPr>
      <w:rFonts w:ascii="Times New Roman" w:hAnsi="Times New Roman" w:eastAsia="宋体" w:cs="Times New Roman"/>
      <w:sz w:val="24"/>
      <w:szCs w:val="24"/>
    </w:rPr>
  </w:style>
  <w:style w:type="character" w:customStyle="1" w:styleId="495">
    <w:name w:val="h3 Char1"/>
    <w:qFormat/>
    <w:uiPriority w:val="0"/>
    <w:rPr>
      <w:b/>
      <w:sz w:val="32"/>
      <w:szCs w:val="32"/>
    </w:rPr>
  </w:style>
  <w:style w:type="character" w:customStyle="1" w:styleId="496">
    <w:name w:val="Char Char14"/>
    <w:qFormat/>
    <w:uiPriority w:val="0"/>
    <w:rPr>
      <w:rFonts w:eastAsia="宋体"/>
      <w:sz w:val="21"/>
      <w:szCs w:val="21"/>
      <w:lang w:val="en-US" w:eastAsia="zh-CN" w:bidi="ar-SA"/>
    </w:rPr>
  </w:style>
  <w:style w:type="character" w:customStyle="1" w:styleId="497">
    <w:name w:val="Char Char12"/>
    <w:qFormat/>
    <w:uiPriority w:val="0"/>
    <w:rPr>
      <w:rFonts w:ascii="宋体" w:hAnsi="宋体" w:eastAsia="宋体"/>
      <w:sz w:val="24"/>
      <w:szCs w:val="24"/>
      <w:lang w:val="en-US" w:eastAsia="zh-CN" w:bidi="ar-SA"/>
    </w:rPr>
  </w:style>
  <w:style w:type="character" w:customStyle="1" w:styleId="498">
    <w:name w:val="Char Char10"/>
    <w:qFormat/>
    <w:uiPriority w:val="0"/>
    <w:rPr>
      <w:rFonts w:eastAsia="宋体"/>
      <w:sz w:val="18"/>
      <w:szCs w:val="18"/>
      <w:lang w:val="en-US" w:eastAsia="zh-CN" w:bidi="ar-SA"/>
    </w:rPr>
  </w:style>
  <w:style w:type="character" w:customStyle="1" w:styleId="499">
    <w:name w:val="header odd Char"/>
    <w:qFormat/>
    <w:uiPriority w:val="0"/>
    <w:rPr>
      <w:rFonts w:eastAsia="宋体"/>
      <w:sz w:val="18"/>
      <w:szCs w:val="18"/>
      <w:lang w:val="en-US" w:eastAsia="zh-CN" w:bidi="ar-SA"/>
    </w:rPr>
  </w:style>
  <w:style w:type="character" w:customStyle="1" w:styleId="500">
    <w:name w:val="样式 标题 1 + (中文) 黑体 四号 Char Char Char"/>
    <w:qFormat/>
    <w:uiPriority w:val="0"/>
    <w:rPr>
      <w:rFonts w:ascii="宋体" w:hAnsi="宋体" w:eastAsia="黑体" w:cs="Times New Roman"/>
      <w:b/>
      <w:sz w:val="28"/>
      <w:szCs w:val="28"/>
      <w:lang w:val="en-US" w:eastAsia="zh-CN" w:bidi="ar-SA"/>
    </w:rPr>
  </w:style>
  <w:style w:type="character" w:customStyle="1" w:styleId="501">
    <w:name w:val="样式 标题 3 + (中文) 黑体 小四 浅蓝 Char Char Char"/>
    <w:qFormat/>
    <w:uiPriority w:val="0"/>
    <w:rPr>
      <w:rFonts w:ascii="宋体" w:hAnsi="宋体" w:eastAsia="黑体"/>
      <w:b/>
      <w:color w:val="3366FF"/>
      <w:sz w:val="24"/>
      <w:szCs w:val="24"/>
      <w:lang w:val="en-US" w:eastAsia="zh-CN" w:bidi="ar-SA"/>
    </w:rPr>
  </w:style>
  <w:style w:type="character" w:customStyle="1" w:styleId="502">
    <w:name w:val="日期 Char1"/>
    <w:qFormat/>
    <w:uiPriority w:val="0"/>
    <w:rPr>
      <w:rFonts w:ascii="宋体" w:hAnsi="宋体" w:eastAsia="宋体"/>
      <w:sz w:val="24"/>
      <w:szCs w:val="24"/>
      <w:lang w:val="en-US" w:eastAsia="zh-CN" w:bidi="ar-SA"/>
    </w:rPr>
  </w:style>
  <w:style w:type="character" w:customStyle="1" w:styleId="503">
    <w:name w:val="h3 Char2"/>
    <w:qFormat/>
    <w:uiPriority w:val="0"/>
    <w:rPr>
      <w:rFonts w:eastAsia="宋体"/>
      <w:b/>
      <w:sz w:val="32"/>
      <w:szCs w:val="32"/>
      <w:lang w:val="en-US" w:eastAsia="zh-CN" w:bidi="ar-SA"/>
    </w:rPr>
  </w:style>
  <w:style w:type="character" w:customStyle="1" w:styleId="504">
    <w:name w:val="规范正文-1级项目符号 Char"/>
    <w:link w:val="505"/>
    <w:qFormat/>
    <w:uiPriority w:val="0"/>
    <w:rPr>
      <w:rFonts w:ascii="宋体" w:hAnsi="宋体" w:cs="宋体"/>
    </w:rPr>
  </w:style>
  <w:style w:type="paragraph" w:customStyle="1" w:styleId="505">
    <w:name w:val="规范正文-1级项目符号"/>
    <w:basedOn w:val="1"/>
    <w:link w:val="504"/>
    <w:qFormat/>
    <w:uiPriority w:val="0"/>
    <w:pPr>
      <w:widowControl/>
      <w:spacing w:line="360" w:lineRule="auto"/>
      <w:ind w:left="180"/>
    </w:pPr>
    <w:rPr>
      <w:rFonts w:ascii="宋体" w:hAnsi="宋体" w:cs="宋体"/>
      <w:kern w:val="0"/>
      <w:sz w:val="20"/>
      <w:szCs w:val="20"/>
    </w:rPr>
  </w:style>
  <w:style w:type="character" w:customStyle="1" w:styleId="506">
    <w:name w:val="Heading 3 Char Char"/>
    <w:qFormat/>
    <w:uiPriority w:val="0"/>
    <w:rPr>
      <w:rFonts w:eastAsia="宋体"/>
      <w:b/>
      <w:sz w:val="32"/>
      <w:szCs w:val="32"/>
      <w:lang w:val="en-US" w:eastAsia="zh-CN" w:bidi="ar-SA"/>
    </w:rPr>
  </w:style>
  <w:style w:type="character" w:customStyle="1" w:styleId="507">
    <w:name w:val="MM Topic 4 Char Char"/>
    <w:qFormat/>
    <w:uiPriority w:val="0"/>
    <w:rPr>
      <w:rFonts w:ascii="Cambria" w:hAnsi="Cambria" w:cs="Cambria"/>
      <w:b/>
      <w:sz w:val="28"/>
      <w:szCs w:val="28"/>
    </w:rPr>
  </w:style>
  <w:style w:type="character" w:customStyle="1" w:styleId="508">
    <w:name w:val="Char Char13"/>
    <w:qFormat/>
    <w:uiPriority w:val="0"/>
    <w:rPr>
      <w:rFonts w:eastAsia="宋体"/>
      <w:sz w:val="21"/>
      <w:szCs w:val="21"/>
      <w:lang w:val="en-US" w:eastAsia="zh-CN" w:bidi="ar-SA"/>
    </w:rPr>
  </w:style>
  <w:style w:type="character" w:customStyle="1" w:styleId="509">
    <w:name w:val="副标题 Char1"/>
    <w:basedOn w:val="89"/>
    <w:qFormat/>
    <w:uiPriority w:val="0"/>
    <w:rPr>
      <w:rFonts w:eastAsia="宋体" w:asciiTheme="majorHAnsi" w:hAnsiTheme="majorHAnsi" w:cstheme="minorBidi"/>
      <w:b/>
      <w:sz w:val="32"/>
      <w:szCs w:val="32"/>
    </w:rPr>
  </w:style>
  <w:style w:type="character" w:customStyle="1" w:styleId="510">
    <w:name w:val="引用 Char"/>
    <w:link w:val="511"/>
    <w:qFormat/>
    <w:uiPriority w:val="0"/>
    <w:rPr>
      <w:rFonts w:ascii="宋体" w:hAnsi="宋体"/>
      <w:i/>
      <w:color w:val="000000"/>
    </w:rPr>
  </w:style>
  <w:style w:type="paragraph" w:customStyle="1" w:styleId="511">
    <w:name w:val="引用1"/>
    <w:basedOn w:val="1"/>
    <w:next w:val="1"/>
    <w:link w:val="510"/>
    <w:qFormat/>
    <w:uiPriority w:val="0"/>
    <w:pPr>
      <w:widowControl/>
      <w:spacing w:line="360" w:lineRule="auto"/>
      <w:jc w:val="left"/>
    </w:pPr>
    <w:rPr>
      <w:rFonts w:ascii="宋体" w:hAnsi="宋体"/>
      <w:i/>
      <w:color w:val="000000"/>
      <w:kern w:val="0"/>
      <w:sz w:val="20"/>
      <w:szCs w:val="20"/>
    </w:rPr>
  </w:style>
  <w:style w:type="character" w:customStyle="1" w:styleId="512">
    <w:name w:val="引用 Char1"/>
    <w:basedOn w:val="89"/>
    <w:qFormat/>
    <w:uiPriority w:val="0"/>
    <w:rPr>
      <w:rFonts w:ascii="Times New Roman" w:hAnsi="Times New Roman" w:eastAsia="宋体" w:cs="Times New Roman"/>
      <w:i/>
      <w:color w:val="000000" w:themeColor="text1"/>
      <w:sz w:val="24"/>
      <w:szCs w:val="24"/>
      <w14:textFill>
        <w14:solidFill>
          <w14:schemeClr w14:val="tx1"/>
        </w14:solidFill>
      </w14:textFill>
    </w:rPr>
  </w:style>
  <w:style w:type="character" w:customStyle="1" w:styleId="513">
    <w:name w:val="明显引用 Char"/>
    <w:link w:val="514"/>
    <w:qFormat/>
    <w:uiPriority w:val="0"/>
    <w:rPr>
      <w:rFonts w:ascii="宋体" w:hAnsi="宋体"/>
      <w:b/>
      <w:i/>
      <w:color w:val="4F81BD"/>
    </w:rPr>
  </w:style>
  <w:style w:type="paragraph" w:customStyle="1" w:styleId="514">
    <w:name w:val="明显引用1"/>
    <w:basedOn w:val="1"/>
    <w:next w:val="1"/>
    <w:link w:val="513"/>
    <w:qFormat/>
    <w:uiPriority w:val="0"/>
    <w:pPr>
      <w:widowControl/>
      <w:pBdr>
        <w:bottom w:val="single" w:color="4F81BD" w:sz="4" w:space="4"/>
      </w:pBdr>
      <w:spacing w:before="200" w:after="280" w:line="360" w:lineRule="auto"/>
      <w:ind w:left="936" w:right="936"/>
      <w:jc w:val="left"/>
    </w:pPr>
    <w:rPr>
      <w:rFonts w:ascii="宋体" w:hAnsi="宋体"/>
      <w:b/>
      <w:i/>
      <w:color w:val="4F81BD"/>
      <w:kern w:val="0"/>
      <w:sz w:val="20"/>
      <w:szCs w:val="20"/>
    </w:rPr>
  </w:style>
  <w:style w:type="character" w:customStyle="1" w:styleId="515">
    <w:name w:val="明显引用 Char1"/>
    <w:basedOn w:val="89"/>
    <w:qFormat/>
    <w:uiPriority w:val="0"/>
    <w:rPr>
      <w:rFonts w:ascii="Times New Roman" w:hAnsi="Times New Roman" w:eastAsia="宋体" w:cs="Times New Roman"/>
      <w:b/>
      <w:i/>
      <w:color w:val="4F81BD" w:themeColor="accent1"/>
      <w:sz w:val="24"/>
      <w:szCs w:val="24"/>
      <w14:textFill>
        <w14:solidFill>
          <w14:schemeClr w14:val="accent1"/>
        </w14:solidFill>
      </w14:textFill>
    </w:rPr>
  </w:style>
  <w:style w:type="character" w:customStyle="1" w:styleId="516">
    <w:name w:val="highlight1"/>
    <w:qFormat/>
    <w:uiPriority w:val="0"/>
    <w:rPr>
      <w:shd w:val="clear" w:color="000000" w:fill="FFFF00"/>
    </w:rPr>
  </w:style>
  <w:style w:type="paragraph" w:customStyle="1" w:styleId="517">
    <w:name w:val="列 表"/>
    <w:basedOn w:val="1"/>
    <w:qFormat/>
    <w:uiPriority w:val="0"/>
    <w:pPr>
      <w:widowControl/>
      <w:numPr>
        <w:ilvl w:val="0"/>
        <w:numId w:val="24"/>
      </w:numPr>
      <w:tabs>
        <w:tab w:val="left" w:pos="630"/>
        <w:tab w:val="left" w:pos="840"/>
        <w:tab w:val="clear" w:pos="852"/>
      </w:tabs>
      <w:spacing w:line="360" w:lineRule="auto"/>
      <w:ind w:left="840" w:hanging="432"/>
    </w:pPr>
    <w:rPr>
      <w:rFonts w:ascii="Courier New" w:hAnsi="Courier New" w:eastAsia="楷体_GB2312"/>
      <w:kern w:val="0"/>
      <w:sz w:val="24"/>
    </w:rPr>
  </w:style>
  <w:style w:type="paragraph" w:customStyle="1" w:styleId="518">
    <w:name w:val="Table Normal1"/>
    <w:qFormat/>
    <w:uiPriority w:val="0"/>
    <w:pPr>
      <w:numPr>
        <w:ilvl w:val="0"/>
        <w:numId w:val="25"/>
      </w:numPr>
      <w:tabs>
        <w:tab w:val="clear" w:pos="720"/>
      </w:tabs>
      <w:ind w:left="0" w:firstLine="0"/>
    </w:pPr>
    <w:rPr>
      <w:rFonts w:ascii="Times New Roman" w:hAnsi="Times New Roman" w:eastAsia="宋体" w:cs="Times New Roman"/>
      <w:sz w:val="22"/>
      <w:szCs w:val="22"/>
      <w:lang w:val="en-US" w:eastAsia="en-US" w:bidi="ar-SA"/>
    </w:rPr>
  </w:style>
  <w:style w:type="paragraph" w:customStyle="1" w:styleId="519">
    <w:name w:val="Char Char3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20">
    <w:name w:val="默认段落字体 Para Char Char Char Char Char Char Char Char Char Char"/>
    <w:basedOn w:val="1"/>
    <w:qFormat/>
    <w:uiPriority w:val="0"/>
    <w:pPr>
      <w:widowControl/>
      <w:numPr>
        <w:ilvl w:val="3"/>
        <w:numId w:val="26"/>
      </w:numPr>
      <w:tabs>
        <w:tab w:val="left" w:pos="360"/>
      </w:tabs>
      <w:ind w:left="360" w:hanging="360"/>
    </w:pPr>
    <w:rPr>
      <w:rFonts w:ascii="Tahoma" w:hAnsi="Tahoma"/>
      <w:kern w:val="0"/>
      <w:sz w:val="24"/>
    </w:rPr>
  </w:style>
  <w:style w:type="paragraph" w:customStyle="1" w:styleId="521">
    <w:name w:val="Char Char Char Char1 Char Char"/>
    <w:basedOn w:val="1"/>
    <w:qFormat/>
    <w:uiPriority w:val="0"/>
    <w:pPr>
      <w:widowControl/>
      <w:numPr>
        <w:ilvl w:val="0"/>
        <w:numId w:val="27"/>
      </w:numPr>
    </w:pPr>
    <w:rPr>
      <w:rFonts w:ascii="Tahoma" w:hAnsi="Tahoma"/>
      <w:kern w:val="0"/>
      <w:sz w:val="24"/>
    </w:rPr>
  </w:style>
  <w:style w:type="paragraph" w:customStyle="1" w:styleId="522">
    <w:name w:val="标准标题二"/>
    <w:qFormat/>
    <w:uiPriority w:val="0"/>
    <w:rPr>
      <w:rFonts w:ascii="Times New Roman" w:hAnsi="Times New Roman" w:eastAsia="宋体" w:cs="Times New Roman"/>
      <w:sz w:val="30"/>
      <w:szCs w:val="30"/>
      <w:lang w:val="en-US" w:eastAsia="zh-CN" w:bidi="ar-SA"/>
    </w:rPr>
  </w:style>
  <w:style w:type="paragraph" w:customStyle="1" w:styleId="523">
    <w:name w:val="标准标题一"/>
    <w:basedOn w:val="1"/>
    <w:qFormat/>
    <w:uiPriority w:val="0"/>
    <w:pPr>
      <w:widowControl/>
      <w:spacing w:line="480" w:lineRule="atLeast"/>
    </w:pPr>
    <w:rPr>
      <w:rFonts w:eastAsia="黑体"/>
      <w:b/>
      <w:kern w:val="0"/>
      <w:sz w:val="32"/>
      <w:szCs w:val="32"/>
    </w:rPr>
  </w:style>
  <w:style w:type="paragraph" w:customStyle="1" w:styleId="524">
    <w:name w:val="章标题"/>
    <w:next w:val="1"/>
    <w:qFormat/>
    <w:uiPriority w:val="0"/>
    <w:pPr>
      <w:spacing w:before="120" w:after="120"/>
      <w:ind w:left="180"/>
      <w:outlineLvl w:val="1"/>
    </w:pPr>
    <w:rPr>
      <w:rFonts w:ascii="黑体" w:hAnsi="Times New Roman" w:eastAsia="黑体" w:cs="Times New Roman"/>
      <w:sz w:val="21"/>
      <w:szCs w:val="21"/>
      <w:lang w:val="en-US" w:eastAsia="zh-CN" w:bidi="ar-SA"/>
    </w:rPr>
  </w:style>
  <w:style w:type="paragraph" w:customStyle="1" w:styleId="525">
    <w:name w:val="my标题1"/>
    <w:basedOn w:val="3"/>
    <w:qFormat/>
    <w:uiPriority w:val="0"/>
    <w:pPr>
      <w:keepNext w:val="0"/>
      <w:keepLines w:val="0"/>
      <w:pageBreakBefore/>
      <w:widowControl/>
      <w:numPr>
        <w:ilvl w:val="1"/>
        <w:numId w:val="28"/>
      </w:numPr>
      <w:tabs>
        <w:tab w:val="left" w:pos="900"/>
        <w:tab w:val="clear" w:pos="1380"/>
      </w:tabs>
      <w:spacing w:line="576" w:lineRule="auto"/>
      <w:ind w:left="900" w:hanging="360"/>
    </w:pPr>
    <w:rPr>
      <w:rFonts w:ascii="宋体" w:hAnsi="宋体" w:cs="Arial"/>
      <w:bCs w:val="0"/>
      <w:kern w:val="0"/>
      <w:sz w:val="28"/>
      <w:szCs w:val="28"/>
    </w:rPr>
  </w:style>
  <w:style w:type="paragraph" w:customStyle="1" w:styleId="526">
    <w:name w:val="my标题1_1"/>
    <w:basedOn w:val="4"/>
    <w:qFormat/>
    <w:uiPriority w:val="0"/>
    <w:pPr>
      <w:keepNext w:val="0"/>
      <w:keepLines w:val="0"/>
      <w:widowControl/>
      <w:numPr>
        <w:ilvl w:val="0"/>
        <w:numId w:val="29"/>
      </w:numPr>
      <w:tabs>
        <w:tab w:val="left" w:pos="0"/>
        <w:tab w:val="left" w:pos="1380"/>
      </w:tabs>
      <w:spacing w:line="415" w:lineRule="auto"/>
      <w:ind w:left="1380" w:hanging="420"/>
    </w:pPr>
    <w:rPr>
      <w:rFonts w:eastAsia="宋体"/>
      <w:bCs w:val="0"/>
      <w:kern w:val="0"/>
      <w:sz w:val="24"/>
      <w:szCs w:val="24"/>
    </w:rPr>
  </w:style>
  <w:style w:type="paragraph" w:customStyle="1" w:styleId="527">
    <w:name w:val="Char Char Char1 Char Char Char Char Char Char"/>
    <w:basedOn w:val="1"/>
    <w:qFormat/>
    <w:uiPriority w:val="0"/>
    <w:pPr>
      <w:widowControl/>
      <w:numPr>
        <w:ilvl w:val="0"/>
        <w:numId w:val="30"/>
      </w:numPr>
    </w:pPr>
    <w:rPr>
      <w:kern w:val="0"/>
      <w:szCs w:val="21"/>
    </w:rPr>
  </w:style>
  <w:style w:type="paragraph" w:customStyle="1" w:styleId="528">
    <w:name w:val="无间隔1"/>
    <w:qFormat/>
    <w:uiPriority w:val="0"/>
    <w:pPr>
      <w:jc w:val="both"/>
    </w:pPr>
    <w:rPr>
      <w:rFonts w:ascii="Calibri" w:hAnsi="Calibri" w:eastAsia="宋体" w:cs="Times New Roman"/>
      <w:sz w:val="21"/>
      <w:szCs w:val="21"/>
      <w:lang w:val="en-US" w:eastAsia="zh-CN" w:bidi="ar-SA"/>
    </w:rPr>
  </w:style>
  <w:style w:type="paragraph" w:customStyle="1" w:styleId="529">
    <w:name w:val="正文2"/>
    <w:basedOn w:val="1"/>
    <w:qFormat/>
    <w:uiPriority w:val="0"/>
    <w:pPr>
      <w:widowControl/>
      <w:numPr>
        <w:ilvl w:val="0"/>
        <w:numId w:val="31"/>
      </w:numPr>
      <w:tabs>
        <w:tab w:val="clear" w:pos="360"/>
      </w:tabs>
      <w:spacing w:after="120" w:line="360" w:lineRule="exact"/>
      <w:ind w:left="0" w:firstLine="0"/>
    </w:pPr>
    <w:rPr>
      <w:rFonts w:ascii="宋体" w:hAnsi="宋体"/>
      <w:kern w:val="0"/>
      <w:sz w:val="24"/>
    </w:rPr>
  </w:style>
  <w:style w:type="paragraph" w:customStyle="1" w:styleId="530">
    <w:name w:val="b2"/>
    <w:basedOn w:val="1"/>
    <w:qFormat/>
    <w:uiPriority w:val="0"/>
    <w:pPr>
      <w:widowControl/>
      <w:numPr>
        <w:ilvl w:val="0"/>
        <w:numId w:val="32"/>
      </w:numPr>
      <w:spacing w:line="360" w:lineRule="auto"/>
      <w:ind w:firstLine="0"/>
    </w:pPr>
    <w:rPr>
      <w:rFonts w:ascii="宋体" w:hAnsi="宋体"/>
      <w:kern w:val="0"/>
      <w:sz w:val="24"/>
    </w:rPr>
  </w:style>
  <w:style w:type="paragraph" w:customStyle="1" w:styleId="531">
    <w:name w:val="Char3"/>
    <w:basedOn w:val="26"/>
    <w:semiHidden/>
    <w:qFormat/>
    <w:uiPriority w:val="0"/>
    <w:pPr>
      <w:widowControl/>
      <w:shd w:val="clear" w:color="000000" w:fill="000080"/>
      <w:ind w:left="1400" w:leftChars="1400" w:firstLine="454"/>
      <w:jc w:val="left"/>
    </w:pPr>
    <w:rPr>
      <w:rFonts w:ascii="Tahoma" w:hAnsi="Tahoma" w:cs="宋体"/>
      <w:kern w:val="0"/>
      <w:sz w:val="21"/>
      <w:szCs w:val="21"/>
    </w:rPr>
  </w:style>
  <w:style w:type="paragraph" w:customStyle="1" w:styleId="532">
    <w:name w:val="Char Char Char Char Char Char1"/>
    <w:basedOn w:val="26"/>
    <w:semiHidden/>
    <w:qFormat/>
    <w:uiPriority w:val="0"/>
    <w:pPr>
      <w:widowControl/>
      <w:shd w:val="clear" w:color="000000" w:fill="000080"/>
      <w:ind w:left="1400" w:leftChars="1400"/>
    </w:pPr>
    <w:rPr>
      <w:rFonts w:ascii="Tahoma" w:hAnsi="Tahoma"/>
      <w:kern w:val="0"/>
      <w:sz w:val="24"/>
      <w:szCs w:val="24"/>
    </w:rPr>
  </w:style>
  <w:style w:type="paragraph" w:customStyle="1" w:styleId="533">
    <w:name w:val="Char Char Char Char Char Char Char31"/>
    <w:basedOn w:val="1"/>
    <w:semiHidden/>
    <w:qFormat/>
    <w:uiPriority w:val="0"/>
    <w:pPr>
      <w:widowControl/>
      <w:spacing w:line="360" w:lineRule="auto"/>
    </w:pPr>
    <w:rPr>
      <w:rFonts w:ascii="Tahoma" w:hAnsi="Tahoma"/>
      <w:kern w:val="0"/>
      <w:sz w:val="24"/>
    </w:rPr>
  </w:style>
  <w:style w:type="paragraph" w:customStyle="1" w:styleId="534">
    <w:name w:val="Char Char1 Char Char1 Char Char11"/>
    <w:basedOn w:val="1"/>
    <w:semiHidden/>
    <w:qFormat/>
    <w:uiPriority w:val="0"/>
    <w:pPr>
      <w:widowControl/>
    </w:pPr>
    <w:rPr>
      <w:rFonts w:ascii="Tahoma" w:hAnsi="Tahoma"/>
      <w:kern w:val="0"/>
      <w:sz w:val="24"/>
    </w:rPr>
  </w:style>
  <w:style w:type="paragraph" w:customStyle="1" w:styleId="535">
    <w:name w:val="Char11"/>
    <w:basedOn w:val="1"/>
    <w:semiHidden/>
    <w:qFormat/>
    <w:uiPriority w:val="0"/>
    <w:pPr>
      <w:widowControl/>
      <w:spacing w:line="360" w:lineRule="auto"/>
      <w:ind w:firstLine="196"/>
    </w:pPr>
    <w:rPr>
      <w:rFonts w:ascii="宋体" w:hAnsi="宋体"/>
      <w:b/>
      <w:kern w:val="0"/>
      <w:sz w:val="24"/>
    </w:rPr>
  </w:style>
  <w:style w:type="paragraph" w:customStyle="1" w:styleId="536">
    <w:name w:val="Char1 Char Char Char Char Char Char Char Char Char Char Char Char Char Char Char1"/>
    <w:basedOn w:val="1"/>
    <w:semiHidden/>
    <w:qFormat/>
    <w:uiPriority w:val="0"/>
    <w:pPr>
      <w:widowControl/>
    </w:pPr>
    <w:rPr>
      <w:rFonts w:ascii="Tahoma" w:hAnsi="Tahoma"/>
      <w:kern w:val="0"/>
      <w:sz w:val="24"/>
    </w:rPr>
  </w:style>
  <w:style w:type="paragraph" w:customStyle="1" w:styleId="537">
    <w:name w:val="Char Char Char Char Char Char Char Char Char Char Char Char Char Char Char Char Char Char Char Char Char1"/>
    <w:basedOn w:val="1"/>
    <w:semiHidden/>
    <w:qFormat/>
    <w:uiPriority w:val="0"/>
    <w:pPr>
      <w:widowControl/>
    </w:pPr>
    <w:rPr>
      <w:kern w:val="0"/>
      <w:szCs w:val="21"/>
    </w:rPr>
  </w:style>
  <w:style w:type="paragraph" w:customStyle="1" w:styleId="538">
    <w:name w:val="ALT+2点符"/>
    <w:basedOn w:val="1"/>
    <w:qFormat/>
    <w:uiPriority w:val="0"/>
    <w:pPr>
      <w:widowControl/>
      <w:numPr>
        <w:ilvl w:val="0"/>
        <w:numId w:val="33"/>
      </w:numPr>
      <w:spacing w:line="360" w:lineRule="auto"/>
      <w:ind w:firstLine="200"/>
    </w:pPr>
    <w:rPr>
      <w:kern w:val="0"/>
      <w:szCs w:val="21"/>
    </w:rPr>
  </w:style>
  <w:style w:type="character" w:customStyle="1" w:styleId="539">
    <w:name w:val="段 Char"/>
    <w:qFormat/>
    <w:uiPriority w:val="0"/>
    <w:rPr>
      <w:rFonts w:ascii="宋体" w:hAnsi="Tahoma" w:eastAsia="黑体"/>
      <w:sz w:val="21"/>
      <w:szCs w:val="21"/>
      <w:lang w:val="en-US" w:eastAsia="zh-CN" w:bidi="ar-SA"/>
    </w:rPr>
  </w:style>
  <w:style w:type="paragraph" w:customStyle="1" w:styleId="540">
    <w:name w:val="表"/>
    <w:link w:val="541"/>
    <w:qFormat/>
    <w:uiPriority w:val="0"/>
    <w:pPr>
      <w:spacing w:line="360" w:lineRule="auto"/>
    </w:pPr>
    <w:rPr>
      <w:rFonts w:ascii="Times New Roman" w:hAnsi="Times New Roman" w:eastAsia="宋体" w:cs="Times New Roman"/>
      <w:sz w:val="21"/>
      <w:szCs w:val="21"/>
      <w:lang w:val="en-US" w:eastAsia="zh-CN" w:bidi="ar-SA"/>
    </w:rPr>
  </w:style>
  <w:style w:type="character" w:customStyle="1" w:styleId="541">
    <w:name w:val="表 Char"/>
    <w:link w:val="540"/>
    <w:qFormat/>
    <w:uiPriority w:val="0"/>
    <w:rPr>
      <w:sz w:val="21"/>
      <w:szCs w:val="21"/>
    </w:rPr>
  </w:style>
  <w:style w:type="paragraph" w:customStyle="1" w:styleId="542">
    <w:name w:val="标题2"/>
    <w:basedOn w:val="4"/>
    <w:link w:val="802"/>
    <w:qFormat/>
    <w:uiPriority w:val="0"/>
    <w:pPr>
      <w:keepNext w:val="0"/>
      <w:keepLines w:val="0"/>
      <w:widowControl/>
      <w:tabs>
        <w:tab w:val="left" w:pos="0"/>
      </w:tabs>
      <w:spacing w:before="320" w:after="160" w:line="240" w:lineRule="auto"/>
      <w:ind w:left="840" w:hanging="420"/>
      <w:jc w:val="left"/>
    </w:pPr>
    <w:rPr>
      <w:rFonts w:eastAsia="宋体" w:cs="Arial"/>
      <w:bCs w:val="0"/>
      <w:spacing w:val="20"/>
      <w:kern w:val="0"/>
      <w:sz w:val="28"/>
      <w:szCs w:val="28"/>
      <w:lang w:eastAsia="en-US"/>
    </w:rPr>
  </w:style>
  <w:style w:type="paragraph" w:customStyle="1" w:styleId="543">
    <w:name w:val="标题3"/>
    <w:basedOn w:val="5"/>
    <w:link w:val="803"/>
    <w:qFormat/>
    <w:uiPriority w:val="0"/>
    <w:pPr>
      <w:keepNext w:val="0"/>
      <w:keepLines w:val="0"/>
      <w:widowControl/>
      <w:autoSpaceDE/>
      <w:autoSpaceDN/>
      <w:adjustRightInd/>
      <w:spacing w:before="240" w:line="240" w:lineRule="auto"/>
      <w:ind w:left="1260" w:hanging="420"/>
      <w:jc w:val="left"/>
    </w:pPr>
    <w:rPr>
      <w:rFonts w:ascii="Arial" w:hAnsi="Arial" w:eastAsia="宋体"/>
      <w:b/>
      <w:spacing w:val="20"/>
      <w:sz w:val="24"/>
      <w:szCs w:val="24"/>
      <w:lang w:val="pt-BR"/>
    </w:rPr>
  </w:style>
  <w:style w:type="character" w:customStyle="1" w:styleId="544">
    <w:name w:val="正文一 Char"/>
    <w:link w:val="99"/>
    <w:qFormat/>
    <w:uiPriority w:val="0"/>
    <w:rPr>
      <w:rFonts w:ascii="宋体" w:hAnsi="宋体"/>
      <w:sz w:val="28"/>
      <w:szCs w:val="28"/>
    </w:rPr>
  </w:style>
  <w:style w:type="paragraph" w:customStyle="1" w:styleId="545">
    <w:name w:val="Char22"/>
    <w:basedOn w:val="1"/>
    <w:qFormat/>
    <w:uiPriority w:val="0"/>
    <w:pPr>
      <w:widowControl/>
    </w:pPr>
    <w:rPr>
      <w:rFonts w:ascii="Tahoma" w:hAnsi="Tahoma"/>
      <w:kern w:val="0"/>
      <w:sz w:val="24"/>
    </w:rPr>
  </w:style>
  <w:style w:type="paragraph" w:customStyle="1" w:styleId="546">
    <w:name w:val="Normal1"/>
    <w:basedOn w:val="24"/>
    <w:qFormat/>
    <w:uiPriority w:val="0"/>
    <w:pPr>
      <w:tabs>
        <w:tab w:val="clear" w:pos="748"/>
      </w:tabs>
      <w:spacing w:after="120" w:line="240" w:lineRule="auto"/>
      <w:ind w:left="0"/>
    </w:pPr>
  </w:style>
  <w:style w:type="paragraph" w:customStyle="1" w:styleId="547">
    <w:name w:val="Char Char3"/>
    <w:basedOn w:val="26"/>
    <w:semiHidden/>
    <w:qFormat/>
    <w:uiPriority w:val="0"/>
    <w:pPr>
      <w:widowControl/>
      <w:shd w:val="clear" w:color="000000" w:fill="000080"/>
      <w:snapToGrid w:val="0"/>
      <w:jc w:val="left"/>
    </w:pPr>
    <w:rPr>
      <w:rFonts w:ascii="Tahoma" w:hAnsi="Tahoma"/>
      <w:kern w:val="0"/>
      <w:sz w:val="21"/>
      <w:szCs w:val="21"/>
    </w:rPr>
  </w:style>
  <w:style w:type="paragraph" w:customStyle="1" w:styleId="548">
    <w:name w:val="封面正文"/>
    <w:qFormat/>
    <w:uiPriority w:val="0"/>
    <w:pPr>
      <w:numPr>
        <w:ilvl w:val="0"/>
        <w:numId w:val="34"/>
      </w:numPr>
      <w:tabs>
        <w:tab w:val="clear" w:pos="425"/>
      </w:tabs>
      <w:ind w:left="0" w:firstLine="0"/>
      <w:jc w:val="both"/>
    </w:pPr>
    <w:rPr>
      <w:rFonts w:ascii="Times New Roman" w:hAnsi="Times New Roman" w:eastAsia="宋体" w:cs="Times New Roman"/>
      <w:lang w:val="en-US" w:eastAsia="zh-CN" w:bidi="ar-SA"/>
    </w:rPr>
  </w:style>
  <w:style w:type="paragraph" w:customStyle="1" w:styleId="549">
    <w:name w:val="正文（段前间距）"/>
    <w:basedOn w:val="21"/>
    <w:qFormat/>
    <w:uiPriority w:val="0"/>
    <w:pPr>
      <w:widowControl/>
      <w:autoSpaceDE/>
      <w:autoSpaceDN/>
      <w:adjustRightInd/>
      <w:spacing w:before="50" w:line="240" w:lineRule="atLeast"/>
      <w:ind w:firstLine="200"/>
      <w:jc w:val="both"/>
    </w:pPr>
    <w:rPr>
      <w:rFonts w:ascii="Times New Roman" w:eastAsia="宋体"/>
      <w:sz w:val="21"/>
      <w:szCs w:val="21"/>
    </w:rPr>
  </w:style>
  <w:style w:type="paragraph" w:customStyle="1" w:styleId="550">
    <w:name w:val="列项——"/>
    <w:qFormat/>
    <w:uiPriority w:val="0"/>
    <w:pPr>
      <w:tabs>
        <w:tab w:val="left" w:pos="567"/>
      </w:tabs>
      <w:ind w:left="567"/>
      <w:jc w:val="both"/>
    </w:pPr>
    <w:rPr>
      <w:rFonts w:ascii="宋体" w:hAnsi="Times New Roman" w:eastAsia="宋体" w:cs="Times New Roman"/>
      <w:sz w:val="21"/>
      <w:szCs w:val="21"/>
      <w:lang w:val="en-US" w:eastAsia="zh-CN" w:bidi="ar-SA"/>
    </w:rPr>
  </w:style>
  <w:style w:type="paragraph" w:customStyle="1" w:styleId="551">
    <w:name w:val="一级数字列表"/>
    <w:basedOn w:val="1"/>
    <w:qFormat/>
    <w:uiPriority w:val="0"/>
    <w:pPr>
      <w:widowControl/>
      <w:numPr>
        <w:ilvl w:val="0"/>
        <w:numId w:val="35"/>
      </w:numPr>
      <w:spacing w:line="360" w:lineRule="auto"/>
      <w:ind w:firstLine="0"/>
      <w:jc w:val="left"/>
    </w:pPr>
    <w:rPr>
      <w:kern w:val="0"/>
      <w:sz w:val="24"/>
    </w:rPr>
  </w:style>
  <w:style w:type="paragraph" w:customStyle="1" w:styleId="552">
    <w:name w:val="五级无标题条"/>
    <w:basedOn w:val="1"/>
    <w:qFormat/>
    <w:uiPriority w:val="0"/>
    <w:pPr>
      <w:widowControl/>
    </w:pPr>
    <w:rPr>
      <w:kern w:val="0"/>
      <w:szCs w:val="21"/>
    </w:rPr>
  </w:style>
  <w:style w:type="paragraph" w:customStyle="1" w:styleId="553">
    <w:name w:val="infoblue"/>
    <w:basedOn w:val="1"/>
    <w:qFormat/>
    <w:uiPriority w:val="0"/>
    <w:pPr>
      <w:widowControl/>
      <w:spacing w:after="120" w:line="240" w:lineRule="atLeast"/>
      <w:ind w:left="720"/>
      <w:jc w:val="left"/>
    </w:pPr>
    <w:rPr>
      <w:i/>
      <w:color w:val="0000FF"/>
      <w:kern w:val="0"/>
      <w:sz w:val="20"/>
      <w:szCs w:val="20"/>
      <w:lang w:eastAsia="en-US"/>
    </w:rPr>
  </w:style>
  <w:style w:type="paragraph" w:customStyle="1" w:styleId="554">
    <w:name w:val="默认段落字体 Para Char Char Char Char Char Char Char Char Char"/>
    <w:basedOn w:val="1"/>
    <w:qFormat/>
    <w:uiPriority w:val="0"/>
    <w:pPr>
      <w:widowControl/>
    </w:pPr>
    <w:rPr>
      <w:rFonts w:ascii="Tahoma" w:hAnsi="Tahoma"/>
      <w:kern w:val="0"/>
      <w:sz w:val="24"/>
    </w:rPr>
  </w:style>
  <w:style w:type="character" w:customStyle="1" w:styleId="555">
    <w:name w:val="IBM 正文 Char Char Char Char Char Char"/>
    <w:link w:val="556"/>
    <w:qFormat/>
    <w:uiPriority w:val="0"/>
    <w:rPr>
      <w:rFonts w:ascii="Calibri" w:hAnsi="Calibri"/>
      <w:sz w:val="24"/>
      <w:szCs w:val="24"/>
    </w:rPr>
  </w:style>
  <w:style w:type="paragraph" w:customStyle="1" w:styleId="556">
    <w:name w:val="IBM 正文 Char Char Char Char Char"/>
    <w:basedOn w:val="1"/>
    <w:link w:val="555"/>
    <w:qFormat/>
    <w:uiPriority w:val="0"/>
    <w:pPr>
      <w:widowControl/>
      <w:spacing w:line="360" w:lineRule="exact"/>
    </w:pPr>
    <w:rPr>
      <w:rFonts w:ascii="Calibri" w:hAnsi="Calibri"/>
      <w:kern w:val="0"/>
      <w:sz w:val="24"/>
    </w:rPr>
  </w:style>
  <w:style w:type="character" w:customStyle="1" w:styleId="557">
    <w:name w:val="标题 3 Char Char"/>
    <w:qFormat/>
    <w:uiPriority w:val="0"/>
    <w:rPr>
      <w:rFonts w:ascii="宋体" w:hAnsi="宋体" w:eastAsia="宋体"/>
      <w:b/>
      <w:sz w:val="28"/>
      <w:szCs w:val="28"/>
      <w:lang w:val="en-US" w:eastAsia="zh-CN" w:bidi="ar-SA"/>
    </w:rPr>
  </w:style>
  <w:style w:type="character" w:customStyle="1" w:styleId="558">
    <w:name w:val="表格内文字 Char"/>
    <w:link w:val="377"/>
    <w:qFormat/>
    <w:uiPriority w:val="0"/>
    <w:rPr>
      <w:rFonts w:ascii="Arial" w:hAnsi="Arial"/>
      <w:sz w:val="18"/>
      <w:szCs w:val="18"/>
    </w:rPr>
  </w:style>
  <w:style w:type="paragraph" w:customStyle="1" w:styleId="559">
    <w:name w:val="Body1!"/>
    <w:basedOn w:val="4"/>
    <w:link w:val="560"/>
    <w:qFormat/>
    <w:uiPriority w:val="0"/>
    <w:pPr>
      <w:keepNext w:val="0"/>
      <w:keepLines w:val="0"/>
      <w:widowControl/>
      <w:tabs>
        <w:tab w:val="left" w:pos="0"/>
        <w:tab w:val="left" w:pos="1247"/>
      </w:tabs>
      <w:spacing w:before="120" w:after="0" w:line="288" w:lineRule="auto"/>
      <w:ind w:left="1247" w:firstLine="200"/>
      <w:jc w:val="left"/>
      <w:outlineLvl w:val="9"/>
    </w:pPr>
    <w:rPr>
      <w:rFonts w:eastAsia="宋体"/>
      <w:bCs w:val="0"/>
      <w:kern w:val="0"/>
      <w:sz w:val="21"/>
      <w:szCs w:val="21"/>
    </w:rPr>
  </w:style>
  <w:style w:type="character" w:customStyle="1" w:styleId="560">
    <w:name w:val="Body1! Char"/>
    <w:link w:val="559"/>
    <w:qFormat/>
    <w:uiPriority w:val="0"/>
    <w:rPr>
      <w:rFonts w:ascii="Arial" w:hAnsi="Arial"/>
      <w:b/>
      <w:sz w:val="21"/>
      <w:szCs w:val="21"/>
    </w:rPr>
  </w:style>
  <w:style w:type="paragraph" w:customStyle="1" w:styleId="561">
    <w:name w:val="Body"/>
    <w:basedOn w:val="1"/>
    <w:link w:val="562"/>
    <w:qFormat/>
    <w:uiPriority w:val="0"/>
    <w:pPr>
      <w:widowControl/>
      <w:tabs>
        <w:tab w:val="left" w:pos="1247"/>
      </w:tabs>
      <w:spacing w:before="120" w:line="288" w:lineRule="auto"/>
      <w:ind w:left="1247"/>
    </w:pPr>
    <w:rPr>
      <w:rFonts w:ascii="Arial" w:hAnsi="Arial"/>
      <w:kern w:val="0"/>
      <w:szCs w:val="21"/>
      <w:lang w:eastAsia="en-US"/>
    </w:rPr>
  </w:style>
  <w:style w:type="character" w:customStyle="1" w:styleId="562">
    <w:name w:val="Body Char2"/>
    <w:link w:val="561"/>
    <w:qFormat/>
    <w:uiPriority w:val="0"/>
    <w:rPr>
      <w:rFonts w:ascii="Arial" w:hAnsi="Arial"/>
      <w:sz w:val="21"/>
      <w:szCs w:val="21"/>
      <w:lang w:eastAsia="en-US"/>
    </w:rPr>
  </w:style>
  <w:style w:type="paragraph" w:customStyle="1" w:styleId="563">
    <w:name w:val="样式 标题 3sect1.2.3h3l3CTl3+toc 3heading 3Sub-section Title..."/>
    <w:basedOn w:val="5"/>
    <w:qFormat/>
    <w:uiPriority w:val="0"/>
    <w:pPr>
      <w:keepNext w:val="0"/>
      <w:keepLines w:val="0"/>
      <w:widowControl/>
      <w:tabs>
        <w:tab w:val="left" w:pos="722"/>
      </w:tabs>
      <w:autoSpaceDE/>
      <w:autoSpaceDN/>
      <w:adjustRightInd/>
      <w:spacing w:before="0" w:after="0" w:line="360" w:lineRule="auto"/>
      <w:ind w:left="722" w:hanging="720"/>
    </w:pPr>
    <w:rPr>
      <w:rFonts w:ascii="Times New Roman" w:eastAsia="宋体" w:cs="宋体"/>
      <w:b/>
      <w:szCs w:val="28"/>
    </w:rPr>
  </w:style>
  <w:style w:type="paragraph" w:customStyle="1" w:styleId="564">
    <w:name w:val="文件标题1"/>
    <w:basedOn w:val="1"/>
    <w:qFormat/>
    <w:uiPriority w:val="0"/>
    <w:pPr>
      <w:widowControl/>
      <w:numPr>
        <w:ilvl w:val="0"/>
        <w:numId w:val="36"/>
      </w:numPr>
      <w:spacing w:line="360" w:lineRule="auto"/>
      <w:ind w:firstLine="0"/>
      <w:jc w:val="left"/>
      <w:outlineLvl w:val="0"/>
    </w:pPr>
    <w:rPr>
      <w:b/>
      <w:kern w:val="0"/>
      <w:sz w:val="24"/>
    </w:rPr>
  </w:style>
  <w:style w:type="paragraph" w:customStyle="1" w:styleId="565">
    <w:name w:val="文件标题1.1"/>
    <w:basedOn w:val="1"/>
    <w:link w:val="566"/>
    <w:qFormat/>
    <w:uiPriority w:val="0"/>
    <w:pPr>
      <w:widowControl/>
      <w:numPr>
        <w:ilvl w:val="1"/>
        <w:numId w:val="36"/>
      </w:numPr>
      <w:spacing w:line="360" w:lineRule="auto"/>
      <w:ind w:firstLine="0"/>
      <w:jc w:val="left"/>
      <w:outlineLvl w:val="1"/>
    </w:pPr>
    <w:rPr>
      <w:b/>
      <w:kern w:val="0"/>
      <w:sz w:val="24"/>
    </w:rPr>
  </w:style>
  <w:style w:type="character" w:customStyle="1" w:styleId="566">
    <w:name w:val="文件标题1.1 Char Char"/>
    <w:link w:val="565"/>
    <w:qFormat/>
    <w:uiPriority w:val="0"/>
    <w:rPr>
      <w:b/>
      <w:sz w:val="24"/>
      <w:szCs w:val="24"/>
    </w:rPr>
  </w:style>
  <w:style w:type="paragraph" w:customStyle="1" w:styleId="567">
    <w:name w:val="图编号"/>
    <w:basedOn w:val="8"/>
    <w:qFormat/>
    <w:uiPriority w:val="0"/>
    <w:pPr>
      <w:keepNext w:val="0"/>
      <w:keepLines w:val="0"/>
      <w:widowControl/>
      <w:spacing w:before="0" w:after="0" w:line="360" w:lineRule="auto"/>
      <w:ind w:left="3312" w:hanging="432"/>
      <w:jc w:val="center"/>
    </w:pPr>
    <w:rPr>
      <w:rFonts w:ascii="Times New Roman" w:hAnsi="Times New Roman" w:eastAsia="宋体"/>
      <w:b w:val="0"/>
      <w:bCs w:val="0"/>
      <w:kern w:val="0"/>
      <w:sz w:val="21"/>
      <w:szCs w:val="21"/>
    </w:rPr>
  </w:style>
  <w:style w:type="paragraph" w:customStyle="1" w:styleId="568">
    <w:name w:val="表编号"/>
    <w:basedOn w:val="9"/>
    <w:qFormat/>
    <w:uiPriority w:val="0"/>
    <w:pPr>
      <w:keepNext w:val="0"/>
      <w:keepLines w:val="0"/>
      <w:widowControl/>
      <w:numPr>
        <w:ilvl w:val="0"/>
        <w:numId w:val="37"/>
      </w:numPr>
      <w:spacing w:before="0" w:after="0" w:line="360" w:lineRule="auto"/>
      <w:jc w:val="center"/>
    </w:pPr>
    <w:rPr>
      <w:b w:val="0"/>
      <w:bCs w:val="0"/>
      <w:kern w:val="0"/>
      <w:sz w:val="21"/>
      <w:szCs w:val="21"/>
    </w:rPr>
  </w:style>
  <w:style w:type="paragraph" w:customStyle="1" w:styleId="569">
    <w:name w:val="标准标题三"/>
    <w:basedOn w:val="1"/>
    <w:qFormat/>
    <w:uiPriority w:val="0"/>
    <w:pPr>
      <w:widowControl/>
      <w:numPr>
        <w:ilvl w:val="3"/>
        <w:numId w:val="38"/>
      </w:numPr>
      <w:tabs>
        <w:tab w:val="left" w:pos="709"/>
        <w:tab w:val="clear" w:pos="851"/>
      </w:tabs>
      <w:spacing w:line="480" w:lineRule="atLeast"/>
      <w:ind w:left="709" w:hanging="709"/>
    </w:pPr>
    <w:rPr>
      <w:rFonts w:eastAsia="黑体"/>
      <w:b/>
      <w:kern w:val="0"/>
      <w:sz w:val="28"/>
      <w:szCs w:val="28"/>
    </w:rPr>
  </w:style>
  <w:style w:type="paragraph" w:customStyle="1" w:styleId="570">
    <w:name w:val="样式 表格标题(居中) + 宋体 小四 非加粗 左 行距: 1.5 倍行距"/>
    <w:basedOn w:val="191"/>
    <w:qFormat/>
    <w:uiPriority w:val="0"/>
    <w:pPr>
      <w:spacing w:line="360" w:lineRule="auto"/>
      <w:ind w:firstLine="200"/>
    </w:pPr>
    <w:rPr>
      <w:rFonts w:ascii="宋体" w:hAnsi="宋体" w:cs="宋体"/>
      <w:b w:val="0"/>
      <w:sz w:val="24"/>
      <w:szCs w:val="24"/>
    </w:rPr>
  </w:style>
  <w:style w:type="character" w:customStyle="1" w:styleId="571">
    <w:name w:val="表格 Char Char"/>
    <w:qFormat/>
    <w:uiPriority w:val="0"/>
    <w:rPr>
      <w:sz w:val="21"/>
      <w:szCs w:val="21"/>
      <w:lang w:val="en-US" w:eastAsia="zh-CN"/>
    </w:rPr>
  </w:style>
  <w:style w:type="paragraph" w:customStyle="1" w:styleId="572">
    <w:name w:val="正文首行缩进  2 字符"/>
    <w:basedOn w:val="83"/>
    <w:qFormat/>
    <w:uiPriority w:val="0"/>
    <w:pPr>
      <w:snapToGrid w:val="0"/>
      <w:spacing w:after="0"/>
      <w:ind w:left="0" w:firstLine="200"/>
      <w:jc w:val="left"/>
    </w:pPr>
    <w:rPr>
      <w:rFonts w:cs="宋体"/>
      <w:b/>
    </w:rPr>
  </w:style>
  <w:style w:type="paragraph" w:customStyle="1" w:styleId="573">
    <w:name w:val="正文缩进1"/>
    <w:basedOn w:val="1"/>
    <w:qFormat/>
    <w:uiPriority w:val="0"/>
    <w:pPr>
      <w:widowControl/>
      <w:snapToGrid w:val="0"/>
      <w:spacing w:line="360" w:lineRule="auto"/>
      <w:ind w:firstLine="420"/>
      <w:jc w:val="left"/>
    </w:pPr>
    <w:rPr>
      <w:kern w:val="0"/>
      <w:sz w:val="24"/>
    </w:rPr>
  </w:style>
  <w:style w:type="paragraph" w:customStyle="1" w:styleId="574">
    <w:name w:val="正文缩进2"/>
    <w:basedOn w:val="1"/>
    <w:qFormat/>
    <w:uiPriority w:val="0"/>
    <w:pPr>
      <w:widowControl/>
      <w:snapToGrid w:val="0"/>
      <w:spacing w:line="360" w:lineRule="auto"/>
      <w:ind w:firstLine="420"/>
      <w:jc w:val="left"/>
    </w:pPr>
    <w:rPr>
      <w:kern w:val="0"/>
      <w:sz w:val="24"/>
    </w:rPr>
  </w:style>
  <w:style w:type="character" w:customStyle="1" w:styleId="575">
    <w:name w:val="Char Char131"/>
    <w:qFormat/>
    <w:uiPriority w:val="0"/>
    <w:rPr>
      <w:rFonts w:ascii="Times New Roman" w:hAnsi="Times New Roman" w:eastAsia="宋体" w:cs="Times New Roman"/>
      <w:sz w:val="18"/>
      <w:szCs w:val="18"/>
    </w:rPr>
  </w:style>
  <w:style w:type="character" w:customStyle="1" w:styleId="576">
    <w:name w:val="Char Char121"/>
    <w:qFormat/>
    <w:uiPriority w:val="0"/>
    <w:rPr>
      <w:rFonts w:ascii="Times New Roman" w:hAnsi="Times New Roman" w:eastAsia="宋体" w:cs="Times New Roman"/>
      <w:sz w:val="18"/>
      <w:szCs w:val="18"/>
    </w:rPr>
  </w:style>
  <w:style w:type="paragraph" w:customStyle="1" w:styleId="577">
    <w:name w:val="插图说明"/>
    <w:basedOn w:val="1"/>
    <w:link w:val="935"/>
    <w:qFormat/>
    <w:uiPriority w:val="0"/>
    <w:pPr>
      <w:widowControl/>
      <w:spacing w:after="240"/>
      <w:ind w:firstLine="200"/>
      <w:jc w:val="center"/>
    </w:pPr>
    <w:rPr>
      <w:rFonts w:eastAsia="黑体"/>
      <w:kern w:val="0"/>
      <w:sz w:val="24"/>
    </w:rPr>
  </w:style>
  <w:style w:type="paragraph" w:customStyle="1" w:styleId="578">
    <w:name w:val="图号编码"/>
    <w:qFormat/>
    <w:uiPriority w:val="0"/>
    <w:pPr>
      <w:numPr>
        <w:ilvl w:val="0"/>
        <w:numId w:val="39"/>
      </w:numPr>
      <w:kinsoku w:val="0"/>
      <w:wordWrap w:val="0"/>
      <w:overflowPunct w:val="0"/>
      <w:autoSpaceDE w:val="0"/>
      <w:autoSpaceDN w:val="0"/>
      <w:jc w:val="center"/>
    </w:pPr>
    <w:rPr>
      <w:rFonts w:ascii="Times New Roman" w:hAnsi="Times New Roman" w:eastAsia="宋体" w:cs="Times New Roman"/>
      <w:sz w:val="21"/>
      <w:szCs w:val="21"/>
      <w:lang w:val="en-US" w:eastAsia="zh-CN" w:bidi="ar-SA"/>
    </w:rPr>
  </w:style>
  <w:style w:type="table" w:customStyle="1" w:styleId="579">
    <w:name w:val="Table"/>
    <w:basedOn w:val="86"/>
    <w:qFormat/>
    <w:uiPriority w:val="0"/>
    <w:pPr>
      <w:snapToGrid w:val="0"/>
    </w:pPr>
    <w:tblStylePr w:type="firstRow">
      <w:pPr>
        <w:wordWrap w:val="0"/>
        <w:ind w:left="0" w:leftChars="0" w:firstLine="0"/>
      </w:p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000000" w:fill="D9D9D9"/>
      </w:tcPr>
    </w:tblStylePr>
  </w:style>
  <w:style w:type="paragraph" w:customStyle="1" w:styleId="580">
    <w:name w:val="样式 首行缩进:  2 字符"/>
    <w:basedOn w:val="1"/>
    <w:qFormat/>
    <w:uiPriority w:val="0"/>
    <w:pPr>
      <w:widowControl/>
      <w:spacing w:line="360" w:lineRule="auto"/>
      <w:ind w:firstLine="200"/>
    </w:pPr>
    <w:rPr>
      <w:rFonts w:cs="宋体"/>
      <w:kern w:val="0"/>
      <w:szCs w:val="21"/>
    </w:rPr>
  </w:style>
  <w:style w:type="paragraph" w:customStyle="1" w:styleId="581">
    <w:name w:val="正文s"/>
    <w:basedOn w:val="456"/>
    <w:next w:val="410"/>
    <w:qFormat/>
    <w:uiPriority w:val="0"/>
    <w:pPr>
      <w:tabs>
        <w:tab w:val="clear" w:pos="1200"/>
      </w:tabs>
      <w:ind w:left="0" w:firstLine="420"/>
    </w:pPr>
    <w:rPr>
      <w:rFonts w:cs="宋体"/>
      <w:sz w:val="21"/>
      <w:szCs w:val="21"/>
    </w:rPr>
  </w:style>
  <w:style w:type="paragraph" w:customStyle="1" w:styleId="582">
    <w:name w:val="编号1内正文"/>
    <w:basedOn w:val="1"/>
    <w:link w:val="583"/>
    <w:qFormat/>
    <w:uiPriority w:val="0"/>
    <w:pPr>
      <w:widowControl/>
      <w:tabs>
        <w:tab w:val="left" w:pos="1667"/>
      </w:tabs>
      <w:spacing w:before="60" w:after="60" w:line="288" w:lineRule="auto"/>
      <w:ind w:left="1667"/>
    </w:pPr>
    <w:rPr>
      <w:rFonts w:ascii="Arial" w:hAnsi="Arial"/>
      <w:kern w:val="0"/>
      <w:szCs w:val="21"/>
    </w:rPr>
  </w:style>
  <w:style w:type="character" w:customStyle="1" w:styleId="583">
    <w:name w:val="编号1内正文 Char"/>
    <w:link w:val="582"/>
    <w:qFormat/>
    <w:uiPriority w:val="0"/>
    <w:rPr>
      <w:rFonts w:ascii="Arial" w:hAnsi="Arial"/>
      <w:sz w:val="21"/>
      <w:szCs w:val="21"/>
    </w:rPr>
  </w:style>
  <w:style w:type="paragraph" w:customStyle="1" w:styleId="584">
    <w:name w:val="标题5"/>
    <w:basedOn w:val="1"/>
    <w:link w:val="796"/>
    <w:qFormat/>
    <w:uiPriority w:val="0"/>
    <w:pPr>
      <w:widowControl/>
      <w:tabs>
        <w:tab w:val="left" w:pos="992"/>
      </w:tabs>
      <w:spacing w:line="360" w:lineRule="auto"/>
      <w:ind w:left="992" w:hanging="992"/>
      <w:outlineLvl w:val="4"/>
    </w:pPr>
    <w:rPr>
      <w:b/>
      <w:kern w:val="0"/>
      <w:sz w:val="28"/>
      <w:szCs w:val="28"/>
    </w:rPr>
  </w:style>
  <w:style w:type="paragraph" w:customStyle="1" w:styleId="585">
    <w:name w:val="1.1"/>
    <w:basedOn w:val="133"/>
    <w:link w:val="587"/>
    <w:qFormat/>
    <w:uiPriority w:val="0"/>
    <w:pPr>
      <w:widowControl/>
      <w:tabs>
        <w:tab w:val="left" w:pos="284"/>
      </w:tabs>
      <w:ind w:left="992" w:firstLine="0" w:firstLineChars="0"/>
    </w:pPr>
    <w:rPr>
      <w:rFonts w:ascii="Calibri" w:hAnsi="Calibri"/>
      <w:b/>
      <w:kern w:val="0"/>
      <w:sz w:val="28"/>
      <w:szCs w:val="28"/>
    </w:rPr>
  </w:style>
  <w:style w:type="character" w:customStyle="1" w:styleId="586">
    <w:name w:val="列出段落 Char"/>
    <w:link w:val="133"/>
    <w:qFormat/>
    <w:uiPriority w:val="0"/>
    <w:rPr>
      <w:kern w:val="2"/>
      <w:sz w:val="21"/>
    </w:rPr>
  </w:style>
  <w:style w:type="character" w:customStyle="1" w:styleId="587">
    <w:name w:val="1.1 Char"/>
    <w:link w:val="585"/>
    <w:qFormat/>
    <w:uiPriority w:val="0"/>
    <w:rPr>
      <w:rFonts w:ascii="Calibri" w:hAnsi="Calibri"/>
      <w:b/>
      <w:sz w:val="28"/>
      <w:szCs w:val="28"/>
    </w:rPr>
  </w:style>
  <w:style w:type="character" w:customStyle="1" w:styleId="588">
    <w:name w:val="Char Char7"/>
    <w:qFormat/>
    <w:uiPriority w:val="0"/>
    <w:rPr>
      <w:rFonts w:ascii="宋体" w:hAnsi="Courier New" w:eastAsia="宋体" w:cs="Times New Roman"/>
    </w:rPr>
  </w:style>
  <w:style w:type="paragraph" w:customStyle="1" w:styleId="589">
    <w:name w:val="msolistparagraph"/>
    <w:basedOn w:val="1"/>
    <w:qFormat/>
    <w:uiPriority w:val="0"/>
    <w:pPr>
      <w:widowControl/>
      <w:spacing w:line="360" w:lineRule="auto"/>
    </w:pPr>
    <w:rPr>
      <w:kern w:val="0"/>
      <w:sz w:val="24"/>
    </w:rPr>
  </w:style>
  <w:style w:type="paragraph" w:customStyle="1" w:styleId="590">
    <w:name w:val="样式 标题 3h3H3sect1.2.3Alt+31.1.1 Heading 3Titolo Sotto/Sotto..."/>
    <w:basedOn w:val="5"/>
    <w:qFormat/>
    <w:uiPriority w:val="0"/>
    <w:pPr>
      <w:keepNext w:val="0"/>
      <w:keepLines w:val="0"/>
      <w:widowControl/>
      <w:autoSpaceDE/>
      <w:autoSpaceDN/>
      <w:adjustRightInd/>
      <w:spacing w:line="360" w:lineRule="auto"/>
      <w:ind w:left="1035" w:hanging="855"/>
    </w:pPr>
    <w:rPr>
      <w:rFonts w:ascii="Times New Roman" w:eastAsia="宋体" w:cs="宋体"/>
      <w:b/>
      <w:sz w:val="30"/>
      <w:szCs w:val="30"/>
    </w:rPr>
  </w:style>
  <w:style w:type="paragraph" w:customStyle="1" w:styleId="591">
    <w:name w:val="样式 宋体 四号 行距: 1.5 倍行距"/>
    <w:basedOn w:val="1"/>
    <w:qFormat/>
    <w:uiPriority w:val="0"/>
    <w:pPr>
      <w:widowControl/>
      <w:spacing w:line="360" w:lineRule="auto"/>
      <w:ind w:firstLine="225"/>
    </w:pPr>
    <w:rPr>
      <w:rFonts w:ascii="宋体" w:hAnsi="宋体" w:cs="宋体"/>
      <w:kern w:val="0"/>
      <w:sz w:val="24"/>
    </w:rPr>
  </w:style>
  <w:style w:type="character" w:customStyle="1" w:styleId="592">
    <w:name w:val="样式 宋体 四号"/>
    <w:qFormat/>
    <w:uiPriority w:val="0"/>
    <w:rPr>
      <w:rFonts w:ascii="宋体" w:hAnsi="宋体"/>
      <w:sz w:val="24"/>
      <w:szCs w:val="24"/>
    </w:rPr>
  </w:style>
  <w:style w:type="paragraph" w:customStyle="1" w:styleId="593">
    <w:name w:val="Char Char Char Char Char Char2 Char Char Char Char"/>
    <w:basedOn w:val="1"/>
    <w:qFormat/>
    <w:uiPriority w:val="0"/>
    <w:pPr>
      <w:widowControl/>
      <w:spacing w:line="360" w:lineRule="auto"/>
      <w:ind w:firstLine="200"/>
    </w:pPr>
    <w:rPr>
      <w:rFonts w:ascii="Tahoma" w:hAnsi="Tahoma"/>
      <w:kern w:val="0"/>
      <w:sz w:val="24"/>
    </w:rPr>
  </w:style>
  <w:style w:type="paragraph" w:customStyle="1" w:styleId="594">
    <w:name w:val="样式 标题 3h3H3sect1.2.3Alt+31.1.1 Heading 3Titolo Sotto/Sotto...1"/>
    <w:basedOn w:val="5"/>
    <w:qFormat/>
    <w:uiPriority w:val="0"/>
    <w:pPr>
      <w:keepNext w:val="0"/>
      <w:keepLines w:val="0"/>
      <w:widowControl/>
      <w:autoSpaceDE/>
      <w:autoSpaceDN/>
      <w:adjustRightInd/>
      <w:spacing w:line="360" w:lineRule="auto"/>
      <w:ind w:left="1134" w:hanging="855"/>
    </w:pPr>
    <w:rPr>
      <w:rFonts w:ascii="宋体" w:hAnsi="宋体" w:eastAsia="宋体"/>
      <w:b/>
      <w:sz w:val="30"/>
      <w:szCs w:val="30"/>
    </w:rPr>
  </w:style>
  <w:style w:type="paragraph" w:customStyle="1" w:styleId="595">
    <w:name w:val="摘要"/>
    <w:basedOn w:val="1"/>
    <w:next w:val="4"/>
    <w:qFormat/>
    <w:uiPriority w:val="0"/>
    <w:pPr>
      <w:widowControl/>
      <w:spacing w:line="360" w:lineRule="auto"/>
    </w:pPr>
    <w:rPr>
      <w:rFonts w:eastAsia="黑体"/>
      <w:kern w:val="0"/>
      <w:sz w:val="24"/>
    </w:rPr>
  </w:style>
  <w:style w:type="paragraph" w:customStyle="1" w:styleId="596">
    <w:name w:val="Char1 Char Char1"/>
    <w:basedOn w:val="1"/>
    <w:qFormat/>
    <w:uiPriority w:val="0"/>
    <w:pPr>
      <w:widowControl/>
    </w:pPr>
    <w:rPr>
      <w:rFonts w:ascii="Tahoma" w:hAnsi="Tahoma"/>
      <w:kern w:val="0"/>
      <w:sz w:val="24"/>
    </w:rPr>
  </w:style>
  <w:style w:type="character" w:customStyle="1" w:styleId="597">
    <w:name w:val="t18"/>
    <w:qFormat/>
    <w:uiPriority w:val="0"/>
  </w:style>
  <w:style w:type="paragraph" w:customStyle="1" w:styleId="598">
    <w:name w:val="Char Char Char Char Char Char Char Char Char Char"/>
    <w:basedOn w:val="1"/>
    <w:qFormat/>
    <w:uiPriority w:val="0"/>
    <w:pPr>
      <w:widowControl/>
    </w:pPr>
    <w:rPr>
      <w:rFonts w:ascii="Tahoma" w:hAnsi="Tahoma"/>
      <w:kern w:val="0"/>
      <w:sz w:val="24"/>
    </w:rPr>
  </w:style>
  <w:style w:type="paragraph" w:customStyle="1" w:styleId="599">
    <w:name w:val="正文图标题"/>
    <w:next w:val="199"/>
    <w:qFormat/>
    <w:uiPriority w:val="0"/>
    <w:pPr>
      <w:numPr>
        <w:ilvl w:val="0"/>
        <w:numId w:val="40"/>
      </w:numPr>
      <w:jc w:val="center"/>
    </w:pPr>
    <w:rPr>
      <w:rFonts w:ascii="黑体" w:hAnsi="Times New Roman" w:eastAsia="黑体" w:cs="Times New Roman"/>
      <w:sz w:val="21"/>
      <w:szCs w:val="21"/>
      <w:lang w:val="en-US" w:eastAsia="zh-CN" w:bidi="ar-SA"/>
    </w:rPr>
  </w:style>
  <w:style w:type="character" w:customStyle="1" w:styleId="600">
    <w:name w:val="tw4winInternal"/>
    <w:qFormat/>
    <w:uiPriority w:val="0"/>
    <w:rPr>
      <w:rFonts w:ascii="Courier New" w:hAnsi="Courier New"/>
      <w:color w:val="FF0000"/>
    </w:rPr>
  </w:style>
  <w:style w:type="character" w:customStyle="1" w:styleId="601">
    <w:name w:val="tw4winMark"/>
    <w:qFormat/>
    <w:uiPriority w:val="0"/>
    <w:rPr>
      <w:rFonts w:ascii="Courier New" w:hAnsi="Courier New"/>
      <w:vanish/>
      <w:color w:val="800080"/>
      <w:vertAlign w:val="subscript"/>
    </w:rPr>
  </w:style>
  <w:style w:type="character" w:customStyle="1" w:styleId="602">
    <w:name w:val="tw4winTerm"/>
    <w:qFormat/>
    <w:uiPriority w:val="0"/>
    <w:rPr>
      <w:color w:val="0000FF"/>
    </w:rPr>
  </w:style>
  <w:style w:type="character" w:customStyle="1" w:styleId="603">
    <w:name w:val="--规划正文 Char"/>
    <w:qFormat/>
    <w:uiPriority w:val="0"/>
    <w:rPr>
      <w:rFonts w:ascii="Arial" w:hAnsi="Arial" w:eastAsia="宋体"/>
      <w:sz w:val="21"/>
      <w:szCs w:val="21"/>
      <w:lang w:val="en-US" w:eastAsia="zh-CN"/>
    </w:rPr>
  </w:style>
  <w:style w:type="character" w:customStyle="1" w:styleId="604">
    <w:name w:val="tw4winError"/>
    <w:qFormat/>
    <w:uiPriority w:val="0"/>
    <w:rPr>
      <w:rFonts w:ascii="Courier New" w:hAnsi="Courier New"/>
      <w:color w:val="00FF00"/>
      <w:sz w:val="40"/>
      <w:szCs w:val="40"/>
    </w:rPr>
  </w:style>
  <w:style w:type="character" w:customStyle="1" w:styleId="605">
    <w:name w:val="tw4winExternal"/>
    <w:qFormat/>
    <w:uiPriority w:val="0"/>
    <w:rPr>
      <w:rFonts w:ascii="Courier New" w:hAnsi="Courier New"/>
      <w:color w:val="808080"/>
    </w:rPr>
  </w:style>
  <w:style w:type="character" w:customStyle="1" w:styleId="606">
    <w:name w:val="tw4winPopup"/>
    <w:qFormat/>
    <w:uiPriority w:val="0"/>
    <w:rPr>
      <w:rFonts w:ascii="Courier New" w:hAnsi="Courier New"/>
      <w:color w:val="008000"/>
    </w:rPr>
  </w:style>
  <w:style w:type="character" w:customStyle="1" w:styleId="607">
    <w:name w:val="tw4winJump"/>
    <w:qFormat/>
    <w:uiPriority w:val="0"/>
    <w:rPr>
      <w:rFonts w:ascii="Courier New" w:hAnsi="Courier New"/>
      <w:color w:val="008080"/>
    </w:rPr>
  </w:style>
  <w:style w:type="paragraph" w:customStyle="1" w:styleId="608">
    <w:name w:val="Paragraph2"/>
    <w:basedOn w:val="1"/>
    <w:qFormat/>
    <w:uiPriority w:val="0"/>
    <w:pPr>
      <w:widowControl/>
      <w:spacing w:before="80" w:line="240" w:lineRule="atLeast"/>
      <w:ind w:left="720"/>
    </w:pPr>
    <w:rPr>
      <w:rFonts w:ascii="宋体"/>
      <w:color w:val="000000"/>
      <w:kern w:val="0"/>
      <w:sz w:val="20"/>
      <w:szCs w:val="20"/>
      <w:lang w:val="en-AU"/>
    </w:rPr>
  </w:style>
  <w:style w:type="paragraph" w:customStyle="1" w:styleId="609">
    <w:name w:val="源程序"/>
    <w:qFormat/>
    <w:uiPriority w:val="0"/>
    <w:pPr>
      <w:kinsoku w:val="0"/>
      <w:wordWrap w:val="0"/>
      <w:overflowPunct w:val="0"/>
      <w:autoSpaceDE w:val="0"/>
      <w:autoSpaceDN w:val="0"/>
      <w:ind w:left="482"/>
    </w:pPr>
    <w:rPr>
      <w:rFonts w:ascii="Courier New" w:hAnsi="Courier New" w:eastAsia="仿宋_GB2312" w:cs="Times New Roman"/>
      <w:sz w:val="24"/>
      <w:szCs w:val="24"/>
      <w:lang w:val="en-US" w:eastAsia="zh-CN" w:bidi="ar-SA"/>
    </w:rPr>
  </w:style>
  <w:style w:type="paragraph" w:customStyle="1" w:styleId="610">
    <w:name w:val="Paragraph4"/>
    <w:basedOn w:val="1"/>
    <w:qFormat/>
    <w:uiPriority w:val="0"/>
    <w:pPr>
      <w:widowControl/>
      <w:spacing w:before="80"/>
      <w:ind w:left="2250"/>
    </w:pPr>
    <w:rPr>
      <w:rFonts w:ascii="宋体"/>
      <w:kern w:val="0"/>
      <w:sz w:val="20"/>
      <w:szCs w:val="20"/>
    </w:rPr>
  </w:style>
  <w:style w:type="paragraph" w:customStyle="1" w:styleId="611">
    <w:name w:val="Bullet2"/>
    <w:basedOn w:val="1"/>
    <w:qFormat/>
    <w:uiPriority w:val="0"/>
    <w:pPr>
      <w:widowControl/>
      <w:spacing w:line="240" w:lineRule="atLeast"/>
      <w:ind w:left="1440" w:hanging="360"/>
      <w:jc w:val="left"/>
    </w:pPr>
    <w:rPr>
      <w:rFonts w:ascii="宋体"/>
      <w:color w:val="000080"/>
      <w:kern w:val="0"/>
      <w:sz w:val="20"/>
      <w:szCs w:val="20"/>
    </w:rPr>
  </w:style>
  <w:style w:type="paragraph" w:customStyle="1" w:styleId="612">
    <w:name w:val="表格头"/>
    <w:basedOn w:val="1"/>
    <w:qFormat/>
    <w:uiPriority w:val="0"/>
    <w:pPr>
      <w:widowControl/>
      <w:jc w:val="center"/>
    </w:pPr>
    <w:rPr>
      <w:b/>
      <w:kern w:val="0"/>
      <w:sz w:val="18"/>
      <w:szCs w:val="18"/>
    </w:rPr>
  </w:style>
  <w:style w:type="paragraph" w:customStyle="1" w:styleId="613">
    <w:name w:val="Char Char Char Char Char Char1 Char"/>
    <w:basedOn w:val="1"/>
    <w:qFormat/>
    <w:uiPriority w:val="0"/>
    <w:pPr>
      <w:widowControl/>
      <w:spacing w:line="360" w:lineRule="auto"/>
      <w:ind w:firstLine="200"/>
    </w:pPr>
    <w:rPr>
      <w:rFonts w:ascii="Tahoma" w:hAnsi="Tahoma"/>
      <w:kern w:val="0"/>
      <w:sz w:val="24"/>
    </w:rPr>
  </w:style>
  <w:style w:type="paragraph" w:customStyle="1" w:styleId="614">
    <w:name w:val="InfoBlue"/>
    <w:basedOn w:val="1"/>
    <w:next w:val="34"/>
    <w:qFormat/>
    <w:uiPriority w:val="0"/>
    <w:pPr>
      <w:widowControl/>
      <w:spacing w:after="120" w:line="240" w:lineRule="atLeast"/>
      <w:ind w:left="720"/>
      <w:jc w:val="left"/>
    </w:pPr>
    <w:rPr>
      <w:rFonts w:ascii="宋体"/>
      <w:i/>
      <w:color w:val="0000FF"/>
      <w:kern w:val="0"/>
      <w:sz w:val="20"/>
      <w:szCs w:val="20"/>
    </w:rPr>
  </w:style>
  <w:style w:type="paragraph" w:customStyle="1" w:styleId="615">
    <w:name w:val="table text"/>
    <w:basedOn w:val="1"/>
    <w:qFormat/>
    <w:uiPriority w:val="0"/>
    <w:pPr>
      <w:widowControl/>
      <w:spacing w:line="360" w:lineRule="auto"/>
      <w:jc w:val="left"/>
    </w:pPr>
    <w:rPr>
      <w:kern w:val="0"/>
      <w:sz w:val="22"/>
      <w:szCs w:val="22"/>
    </w:rPr>
  </w:style>
  <w:style w:type="paragraph" w:customStyle="1" w:styleId="616">
    <w:name w:val="Char Char Char Char Char Char Char Char Char Char Char Char Char Char"/>
    <w:basedOn w:val="1"/>
    <w:qFormat/>
    <w:uiPriority w:val="0"/>
    <w:pPr>
      <w:widowControl/>
      <w:spacing w:line="360" w:lineRule="auto"/>
      <w:ind w:firstLine="200"/>
    </w:pPr>
    <w:rPr>
      <w:rFonts w:ascii="Tahoma" w:hAnsi="Tahoma"/>
      <w:kern w:val="0"/>
      <w:sz w:val="24"/>
    </w:rPr>
  </w:style>
  <w:style w:type="paragraph" w:customStyle="1" w:styleId="617">
    <w:name w:val="Operation Documentation"/>
    <w:basedOn w:val="1"/>
    <w:qFormat/>
    <w:uiPriority w:val="0"/>
    <w:pPr>
      <w:widowControl/>
      <w:overflowPunct w:val="0"/>
      <w:autoSpaceDE w:val="0"/>
      <w:autoSpaceDN w:val="0"/>
      <w:spacing w:before="60"/>
      <w:ind w:left="1440"/>
      <w:jc w:val="left"/>
    </w:pPr>
    <w:rPr>
      <w:kern w:val="0"/>
      <w:sz w:val="20"/>
      <w:szCs w:val="20"/>
    </w:rPr>
  </w:style>
  <w:style w:type="paragraph" w:customStyle="1" w:styleId="618">
    <w:name w:val="Char Char Char Char Char Char Char Char"/>
    <w:basedOn w:val="1"/>
    <w:qFormat/>
    <w:uiPriority w:val="0"/>
    <w:pPr>
      <w:widowControl/>
    </w:pPr>
    <w:rPr>
      <w:rFonts w:ascii="Tahoma" w:hAnsi="Tahoma"/>
      <w:kern w:val="0"/>
      <w:sz w:val="24"/>
    </w:rPr>
  </w:style>
  <w:style w:type="paragraph" w:customStyle="1" w:styleId="619">
    <w:name w:val="关键词"/>
    <w:basedOn w:val="1"/>
    <w:next w:val="1"/>
    <w:qFormat/>
    <w:uiPriority w:val="0"/>
    <w:pPr>
      <w:widowControl/>
      <w:tabs>
        <w:tab w:val="left" w:pos="840"/>
        <w:tab w:val="left" w:pos="1871"/>
        <w:tab w:val="left" w:pos="3827"/>
      </w:tabs>
      <w:spacing w:after="240"/>
      <w:ind w:left="567" w:right="567" w:hanging="420"/>
    </w:pPr>
    <w:rPr>
      <w:kern w:val="0"/>
      <w:sz w:val="18"/>
      <w:szCs w:val="18"/>
    </w:rPr>
  </w:style>
  <w:style w:type="paragraph" w:customStyle="1" w:styleId="620">
    <w:name w:val="样式 左 段前: 7.8 磅 段后: 7.8 磅"/>
    <w:basedOn w:val="1"/>
    <w:qFormat/>
    <w:uiPriority w:val="0"/>
    <w:pPr>
      <w:widowControl/>
      <w:spacing w:before="156" w:after="156"/>
      <w:ind w:firstLine="420"/>
      <w:jc w:val="left"/>
    </w:pPr>
    <w:rPr>
      <w:kern w:val="0"/>
      <w:szCs w:val="21"/>
    </w:rPr>
  </w:style>
  <w:style w:type="paragraph" w:customStyle="1" w:styleId="621">
    <w:name w:val="Figure Description"/>
    <w:next w:val="1"/>
    <w:qFormat/>
    <w:uiPriority w:val="0"/>
    <w:pPr>
      <w:tabs>
        <w:tab w:val="left" w:pos="3260"/>
      </w:tabs>
      <w:snapToGrid w:val="0"/>
      <w:spacing w:before="80" w:after="320"/>
      <w:ind w:left="3260" w:hanging="1134"/>
      <w:jc w:val="center"/>
    </w:pPr>
    <w:rPr>
      <w:rFonts w:ascii="Arial" w:hAnsi="Arial" w:eastAsia="黑体" w:cs="Times New Roman"/>
      <w:sz w:val="18"/>
      <w:szCs w:val="18"/>
      <w:lang w:val="en-US" w:eastAsia="zh-CN" w:bidi="ar-SA"/>
    </w:rPr>
  </w:style>
  <w:style w:type="paragraph" w:customStyle="1" w:styleId="622">
    <w:name w:val="样式 正文文本封面顶部文字（居中） + 首行缩进:  2 字符"/>
    <w:basedOn w:val="34"/>
    <w:qFormat/>
    <w:uiPriority w:val="0"/>
    <w:pPr>
      <w:widowControl/>
      <w:tabs>
        <w:tab w:val="left" w:pos="1361"/>
      </w:tabs>
      <w:snapToGrid w:val="0"/>
      <w:spacing w:line="360" w:lineRule="auto"/>
      <w:ind w:firstLine="200"/>
      <w:jc w:val="left"/>
    </w:pPr>
    <w:rPr>
      <w:rFonts w:cs="宋体"/>
      <w:kern w:val="0"/>
      <w:sz w:val="24"/>
      <w:szCs w:val="24"/>
    </w:rPr>
  </w:style>
  <w:style w:type="paragraph" w:customStyle="1" w:styleId="623">
    <w:name w:val="Paragraph1"/>
    <w:basedOn w:val="1"/>
    <w:qFormat/>
    <w:uiPriority w:val="0"/>
    <w:pPr>
      <w:widowControl/>
      <w:spacing w:before="80"/>
    </w:pPr>
    <w:rPr>
      <w:rFonts w:ascii="宋体"/>
      <w:kern w:val="0"/>
      <w:sz w:val="20"/>
      <w:szCs w:val="20"/>
    </w:rPr>
  </w:style>
  <w:style w:type="paragraph" w:customStyle="1" w:styleId="624">
    <w:name w:val="计费规范编写 标题1"/>
    <w:basedOn w:val="1"/>
    <w:qFormat/>
    <w:uiPriority w:val="0"/>
    <w:pPr>
      <w:pageBreakBefore/>
      <w:widowControl/>
      <w:tabs>
        <w:tab w:val="left" w:pos="425"/>
      </w:tabs>
      <w:spacing w:before="240" w:after="120" w:line="360" w:lineRule="auto"/>
      <w:ind w:left="425" w:hanging="425"/>
      <w:jc w:val="left"/>
      <w:outlineLvl w:val="0"/>
    </w:pPr>
    <w:rPr>
      <w:b/>
      <w:kern w:val="0"/>
      <w:sz w:val="44"/>
      <w:szCs w:val="44"/>
    </w:rPr>
  </w:style>
  <w:style w:type="paragraph" w:customStyle="1" w:styleId="625">
    <w:name w:val="Attribute Documentation"/>
    <w:basedOn w:val="1"/>
    <w:qFormat/>
    <w:uiPriority w:val="0"/>
    <w:pPr>
      <w:widowControl/>
      <w:overflowPunct w:val="0"/>
      <w:autoSpaceDE w:val="0"/>
      <w:autoSpaceDN w:val="0"/>
      <w:spacing w:before="60"/>
      <w:ind w:left="1440"/>
      <w:jc w:val="left"/>
    </w:pPr>
    <w:rPr>
      <w:kern w:val="0"/>
      <w:sz w:val="20"/>
      <w:szCs w:val="20"/>
    </w:rPr>
  </w:style>
  <w:style w:type="paragraph" w:customStyle="1" w:styleId="626">
    <w:name w:val="Main Title"/>
    <w:basedOn w:val="1"/>
    <w:qFormat/>
    <w:uiPriority w:val="0"/>
    <w:pPr>
      <w:widowControl/>
      <w:spacing w:before="480" w:after="60"/>
      <w:jc w:val="center"/>
    </w:pPr>
    <w:rPr>
      <w:rFonts w:ascii="宋体"/>
      <w:b/>
      <w:kern w:val="0"/>
      <w:sz w:val="32"/>
      <w:szCs w:val="32"/>
    </w:rPr>
  </w:style>
  <w:style w:type="paragraph" w:customStyle="1" w:styleId="627">
    <w:name w:val="Char Char7 Char Char5 Char Char Char Char4 Char Char4 Char Char"/>
    <w:basedOn w:val="1"/>
    <w:qFormat/>
    <w:uiPriority w:val="0"/>
    <w:pPr>
      <w:widowControl/>
      <w:spacing w:line="360" w:lineRule="auto"/>
    </w:pPr>
    <w:rPr>
      <w:rFonts w:ascii="宋体" w:hAnsi="宋体"/>
      <w:kern w:val="0"/>
      <w:sz w:val="22"/>
      <w:szCs w:val="22"/>
    </w:rPr>
  </w:style>
  <w:style w:type="paragraph" w:customStyle="1" w:styleId="628">
    <w:name w:val="Table Header"/>
    <w:basedOn w:val="1"/>
    <w:qFormat/>
    <w:uiPriority w:val="0"/>
    <w:pPr>
      <w:widowControl/>
      <w:spacing w:before="120" w:line="360" w:lineRule="auto"/>
      <w:jc w:val="center"/>
    </w:pPr>
    <w:rPr>
      <w:rFonts w:ascii="Sabon Serif for Nokia" w:hAnsi="Sabon Serif for Nokia"/>
      <w:b/>
      <w:kern w:val="0"/>
      <w:sz w:val="22"/>
      <w:szCs w:val="22"/>
      <w:lang w:val="en-AU" w:eastAsia="en-US"/>
    </w:rPr>
  </w:style>
  <w:style w:type="paragraph" w:customStyle="1" w:styleId="629">
    <w:name w:val="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30">
    <w:name w:val="Bullet1"/>
    <w:basedOn w:val="1"/>
    <w:qFormat/>
    <w:uiPriority w:val="0"/>
    <w:pPr>
      <w:widowControl/>
      <w:spacing w:line="240" w:lineRule="atLeast"/>
      <w:ind w:left="720" w:hanging="432"/>
      <w:jc w:val="left"/>
    </w:pPr>
    <w:rPr>
      <w:rFonts w:ascii="宋体"/>
      <w:kern w:val="0"/>
      <w:sz w:val="20"/>
      <w:szCs w:val="20"/>
    </w:rPr>
  </w:style>
  <w:style w:type="paragraph" w:customStyle="1" w:styleId="631">
    <w:name w:val="Class Documentation"/>
    <w:basedOn w:val="1"/>
    <w:qFormat/>
    <w:uiPriority w:val="0"/>
    <w:pPr>
      <w:widowControl/>
      <w:overflowPunct w:val="0"/>
      <w:autoSpaceDE w:val="0"/>
      <w:autoSpaceDN w:val="0"/>
      <w:spacing w:before="60"/>
      <w:ind w:left="1440"/>
      <w:jc w:val="left"/>
    </w:pPr>
    <w:rPr>
      <w:kern w:val="0"/>
      <w:sz w:val="20"/>
      <w:szCs w:val="20"/>
    </w:rPr>
  </w:style>
  <w:style w:type="paragraph" w:customStyle="1" w:styleId="632">
    <w:name w:val="Table Description"/>
    <w:next w:val="1"/>
    <w:qFormat/>
    <w:uiPriority w:val="0"/>
    <w:pPr>
      <w:tabs>
        <w:tab w:val="left" w:pos="3827"/>
      </w:tabs>
      <w:snapToGrid w:val="0"/>
      <w:spacing w:before="160" w:after="80"/>
      <w:ind w:left="3827" w:hanging="1276"/>
      <w:jc w:val="center"/>
    </w:pPr>
    <w:rPr>
      <w:rFonts w:ascii="Arial" w:hAnsi="Arial" w:eastAsia="黑体" w:cs="Times New Roman"/>
      <w:sz w:val="18"/>
      <w:szCs w:val="18"/>
      <w:lang w:val="en-US" w:eastAsia="zh-CN" w:bidi="ar-SA"/>
    </w:rPr>
  </w:style>
  <w:style w:type="paragraph" w:customStyle="1" w:styleId="633">
    <w:name w:val="Bullet"/>
    <w:basedOn w:val="1"/>
    <w:qFormat/>
    <w:uiPriority w:val="0"/>
    <w:pPr>
      <w:widowControl/>
      <w:tabs>
        <w:tab w:val="left" w:pos="720"/>
      </w:tabs>
      <w:spacing w:before="120"/>
      <w:ind w:left="720" w:right="360"/>
    </w:pPr>
    <w:rPr>
      <w:rFonts w:ascii="宋体"/>
      <w:kern w:val="0"/>
      <w:sz w:val="20"/>
      <w:szCs w:val="20"/>
    </w:rPr>
  </w:style>
  <w:style w:type="paragraph" w:customStyle="1" w:styleId="634">
    <w:name w:val="Paragraph3"/>
    <w:basedOn w:val="1"/>
    <w:qFormat/>
    <w:uiPriority w:val="0"/>
    <w:pPr>
      <w:widowControl/>
      <w:spacing w:before="80"/>
      <w:ind w:left="1530"/>
    </w:pPr>
    <w:rPr>
      <w:rFonts w:ascii="宋体"/>
      <w:kern w:val="0"/>
      <w:sz w:val="20"/>
      <w:szCs w:val="20"/>
    </w:rPr>
  </w:style>
  <w:style w:type="paragraph" w:customStyle="1" w:styleId="635">
    <w:name w:val="文档编号"/>
    <w:basedOn w:val="1"/>
    <w:next w:val="1"/>
    <w:qFormat/>
    <w:uiPriority w:val="0"/>
    <w:pPr>
      <w:widowControl/>
      <w:spacing w:line="360" w:lineRule="auto"/>
      <w:jc w:val="center"/>
    </w:pPr>
    <w:rPr>
      <w:rFonts w:ascii="宋体"/>
      <w:kern w:val="0"/>
      <w:sz w:val="24"/>
    </w:rPr>
  </w:style>
  <w:style w:type="paragraph" w:customStyle="1" w:styleId="636">
    <w:name w:val="序号1"/>
    <w:basedOn w:val="4"/>
    <w:qFormat/>
    <w:uiPriority w:val="0"/>
    <w:pPr>
      <w:keepNext w:val="0"/>
      <w:keepLines w:val="0"/>
      <w:widowControl/>
      <w:tabs>
        <w:tab w:val="left" w:pos="0"/>
        <w:tab w:val="left" w:pos="907"/>
        <w:tab w:val="left" w:pos="3827"/>
      </w:tabs>
      <w:spacing w:before="240" w:after="240" w:line="240" w:lineRule="auto"/>
      <w:ind w:left="907" w:hanging="397"/>
    </w:pPr>
    <w:rPr>
      <w:rFonts w:ascii="Times New Roman"/>
      <w:bCs w:val="0"/>
      <w:kern w:val="0"/>
      <w:sz w:val="28"/>
      <w:szCs w:val="28"/>
    </w:rPr>
  </w:style>
  <w:style w:type="paragraph" w:customStyle="1" w:styleId="637">
    <w:name w:val="Tabletext"/>
    <w:basedOn w:val="1"/>
    <w:qFormat/>
    <w:uiPriority w:val="0"/>
    <w:pPr>
      <w:widowControl/>
      <w:spacing w:after="120" w:line="240" w:lineRule="atLeast"/>
      <w:jc w:val="left"/>
    </w:pPr>
    <w:rPr>
      <w:rFonts w:ascii="宋体"/>
      <w:kern w:val="0"/>
      <w:sz w:val="20"/>
      <w:szCs w:val="20"/>
    </w:rPr>
  </w:style>
  <w:style w:type="paragraph" w:customStyle="1" w:styleId="638">
    <w:name w:val="Char1 Char Char Char"/>
    <w:basedOn w:val="1"/>
    <w:qFormat/>
    <w:uiPriority w:val="0"/>
    <w:pPr>
      <w:widowControl/>
      <w:ind w:firstLine="170"/>
    </w:pPr>
    <w:rPr>
      <w:rFonts w:ascii="Tahoma" w:hAnsi="Tahoma"/>
      <w:kern w:val="0"/>
      <w:sz w:val="28"/>
      <w:szCs w:val="28"/>
    </w:rPr>
  </w:style>
  <w:style w:type="character" w:customStyle="1" w:styleId="639">
    <w:name w:val="style14 style29 style31 style32"/>
    <w:qFormat/>
    <w:uiPriority w:val="0"/>
  </w:style>
  <w:style w:type="paragraph" w:customStyle="1" w:styleId="640">
    <w:name w:val="Char2 Char Char Char Char Char Char Char Char1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641">
    <w:name w:val="正文 2"/>
    <w:basedOn w:val="1"/>
    <w:qFormat/>
    <w:uiPriority w:val="0"/>
    <w:pPr>
      <w:widowControl/>
      <w:tabs>
        <w:tab w:val="left" w:pos="1440"/>
        <w:tab w:val="left" w:pos="2520"/>
        <w:tab w:val="left" w:pos="3600"/>
        <w:tab w:val="left" w:pos="4680"/>
        <w:tab w:val="left" w:pos="5760"/>
        <w:tab w:val="left" w:pos="6840"/>
        <w:tab w:val="left" w:pos="7920"/>
      </w:tabs>
      <w:spacing w:before="120" w:line="360" w:lineRule="exact"/>
      <w:ind w:left="851"/>
    </w:pPr>
    <w:rPr>
      <w:rFonts w:ascii="Garamond" w:hAnsi="Garamond"/>
      <w:kern w:val="0"/>
      <w:sz w:val="24"/>
    </w:rPr>
  </w:style>
  <w:style w:type="paragraph" w:customStyle="1" w:styleId="642">
    <w:name w:val="正文 1"/>
    <w:basedOn w:val="1"/>
    <w:link w:val="643"/>
    <w:qFormat/>
    <w:uiPriority w:val="0"/>
    <w:pPr>
      <w:widowControl/>
      <w:tabs>
        <w:tab w:val="left" w:pos="900"/>
        <w:tab w:val="left" w:pos="1980"/>
        <w:tab w:val="left" w:pos="3060"/>
        <w:tab w:val="left" w:pos="4140"/>
        <w:tab w:val="left" w:pos="5220"/>
        <w:tab w:val="left" w:pos="6300"/>
        <w:tab w:val="left" w:pos="7380"/>
      </w:tabs>
      <w:spacing w:before="120" w:line="360" w:lineRule="exact"/>
      <w:ind w:left="425"/>
    </w:pPr>
    <w:rPr>
      <w:rFonts w:ascii="Garamond" w:hAnsi="Garamond"/>
      <w:kern w:val="0"/>
      <w:sz w:val="24"/>
    </w:rPr>
  </w:style>
  <w:style w:type="character" w:customStyle="1" w:styleId="643">
    <w:name w:val="正文 1 Char"/>
    <w:link w:val="642"/>
    <w:qFormat/>
    <w:uiPriority w:val="0"/>
    <w:rPr>
      <w:rFonts w:ascii="Garamond" w:hAnsi="Garamond"/>
      <w:sz w:val="24"/>
      <w:szCs w:val="24"/>
    </w:rPr>
  </w:style>
  <w:style w:type="character" w:customStyle="1" w:styleId="644">
    <w:name w:val="unnamed1"/>
    <w:qFormat/>
    <w:uiPriority w:val="0"/>
    <w:rPr>
      <w:rFonts w:ascii="宋体" w:eastAsia="宋体"/>
      <w:sz w:val="21"/>
      <w:szCs w:val="21"/>
      <w:lang w:val="en-US" w:eastAsia="zh-CN" w:bidi="ar-SA"/>
    </w:rPr>
  </w:style>
  <w:style w:type="paragraph" w:customStyle="1" w:styleId="645">
    <w:name w:val="居中插图"/>
    <w:basedOn w:val="1"/>
    <w:qFormat/>
    <w:uiPriority w:val="0"/>
    <w:pPr>
      <w:widowControl/>
      <w:spacing w:before="120" w:line="240" w:lineRule="atLeast"/>
      <w:jc w:val="center"/>
    </w:pPr>
    <w:rPr>
      <w:rFonts w:ascii="Courier New" w:hAnsi="Courier New" w:eastAsia="楷体_GB2312"/>
      <w:kern w:val="0"/>
      <w:szCs w:val="21"/>
    </w:rPr>
  </w:style>
  <w:style w:type="character" w:customStyle="1" w:styleId="646">
    <w:name w:val="Char Char8"/>
    <w:qFormat/>
    <w:uiPriority w:val="0"/>
    <w:rPr>
      <w:rFonts w:ascii="Arial" w:hAnsi="Arial" w:eastAsia="仿宋_GB2312"/>
      <w:sz w:val="24"/>
      <w:szCs w:val="24"/>
    </w:rPr>
  </w:style>
  <w:style w:type="character" w:customStyle="1" w:styleId="647">
    <w:name w:val="Char Char5"/>
    <w:qFormat/>
    <w:uiPriority w:val="0"/>
    <w:rPr>
      <w:rFonts w:ascii="Arial" w:hAnsi="Arial" w:eastAsia="仿宋_GB2312"/>
      <w:sz w:val="18"/>
      <w:szCs w:val="18"/>
    </w:rPr>
  </w:style>
  <w:style w:type="character" w:customStyle="1" w:styleId="648">
    <w:name w:val="MM Topic 6 Char"/>
    <w:link w:val="359"/>
    <w:semiHidden/>
    <w:qFormat/>
    <w:uiPriority w:val="0"/>
    <w:rPr>
      <w:rFonts w:ascii="Cambria" w:hAnsi="Cambria"/>
      <w:sz w:val="24"/>
      <w:szCs w:val="24"/>
    </w:rPr>
  </w:style>
  <w:style w:type="paragraph" w:customStyle="1" w:styleId="649">
    <w:name w:val="MM Topic 8"/>
    <w:basedOn w:val="10"/>
    <w:qFormat/>
    <w:uiPriority w:val="0"/>
    <w:pPr>
      <w:keepNext w:val="0"/>
      <w:keepLines w:val="0"/>
      <w:widowControl/>
      <w:spacing w:line="319" w:lineRule="auto"/>
    </w:pPr>
    <w:rPr>
      <w:rFonts w:ascii="Cambria" w:hAnsi="Cambria" w:eastAsia="宋体"/>
      <w:kern w:val="0"/>
    </w:rPr>
  </w:style>
  <w:style w:type="paragraph" w:customStyle="1" w:styleId="650">
    <w:name w:val="MM Topic 9"/>
    <w:basedOn w:val="11"/>
    <w:qFormat/>
    <w:uiPriority w:val="0"/>
    <w:pPr>
      <w:keepNext w:val="0"/>
      <w:keepLines w:val="0"/>
      <w:widowControl/>
      <w:tabs>
        <w:tab w:val="left" w:pos="4620"/>
      </w:tabs>
      <w:spacing w:line="319" w:lineRule="auto"/>
    </w:pPr>
    <w:rPr>
      <w:rFonts w:ascii="Cambria" w:hAnsi="Cambria" w:eastAsia="宋体"/>
      <w:kern w:val="0"/>
    </w:rPr>
  </w:style>
  <w:style w:type="paragraph" w:customStyle="1" w:styleId="651">
    <w:name w:val="正文21"/>
    <w:basedOn w:val="1"/>
    <w:link w:val="652"/>
    <w:qFormat/>
    <w:uiPriority w:val="0"/>
    <w:pPr>
      <w:widowControl/>
      <w:spacing w:line="360" w:lineRule="auto"/>
      <w:ind w:left="200" w:leftChars="200" w:firstLine="200"/>
    </w:pPr>
    <w:rPr>
      <w:kern w:val="0"/>
      <w:sz w:val="24"/>
    </w:rPr>
  </w:style>
  <w:style w:type="character" w:customStyle="1" w:styleId="652">
    <w:name w:val="正文2 Char"/>
    <w:link w:val="651"/>
    <w:qFormat/>
    <w:uiPriority w:val="0"/>
    <w:rPr>
      <w:sz w:val="24"/>
      <w:szCs w:val="24"/>
    </w:rPr>
  </w:style>
  <w:style w:type="paragraph" w:customStyle="1" w:styleId="653">
    <w:name w:val="p0"/>
    <w:basedOn w:val="1"/>
    <w:qFormat/>
    <w:uiPriority w:val="0"/>
    <w:pPr>
      <w:widowControl/>
      <w:spacing w:line="360" w:lineRule="auto"/>
    </w:pPr>
    <w:rPr>
      <w:rFonts w:ascii="Calibri" w:hAnsi="Calibri"/>
      <w:kern w:val="0"/>
      <w:sz w:val="24"/>
    </w:rPr>
  </w:style>
  <w:style w:type="paragraph" w:customStyle="1" w:styleId="654">
    <w:name w:val="Bullet with text 5"/>
    <w:basedOn w:val="1"/>
    <w:qFormat/>
    <w:uiPriority w:val="0"/>
    <w:pPr>
      <w:widowControl/>
      <w:numPr>
        <w:ilvl w:val="0"/>
        <w:numId w:val="41"/>
      </w:numPr>
      <w:ind w:firstLine="0"/>
      <w:jc w:val="left"/>
    </w:pPr>
    <w:rPr>
      <w:rFonts w:ascii="Arial" w:hAnsi="Arial"/>
      <w:kern w:val="0"/>
      <w:sz w:val="24"/>
      <w:lang w:val="en-GB" w:eastAsia="en-US"/>
    </w:rPr>
  </w:style>
  <w:style w:type="paragraph" w:customStyle="1" w:styleId="655">
    <w:name w:val="Header 3"/>
    <w:basedOn w:val="3"/>
    <w:next w:val="1"/>
    <w:qFormat/>
    <w:uiPriority w:val="0"/>
    <w:pPr>
      <w:keepNext w:val="0"/>
      <w:keepLines w:val="0"/>
      <w:pageBreakBefore/>
      <w:widowControl/>
      <w:spacing w:before="80" w:after="80" w:line="240" w:lineRule="auto"/>
      <w:jc w:val="left"/>
      <w:outlineLvl w:val="9"/>
    </w:pPr>
    <w:rPr>
      <w:rFonts w:ascii="Arial" w:hAnsi="Arial"/>
      <w:b w:val="0"/>
      <w:bCs w:val="0"/>
      <w:kern w:val="0"/>
      <w:sz w:val="24"/>
      <w:szCs w:val="24"/>
      <w:lang w:val="en-GB" w:eastAsia="en-US"/>
    </w:rPr>
  </w:style>
  <w:style w:type="character" w:customStyle="1" w:styleId="656">
    <w:name w:val="Character UserEntry"/>
    <w:qFormat/>
    <w:uiPriority w:val="0"/>
    <w:rPr>
      <w:color w:val="FF0000"/>
    </w:rPr>
  </w:style>
  <w:style w:type="paragraph" w:customStyle="1" w:styleId="657">
    <w:name w:val="HP_Table_Title"/>
    <w:basedOn w:val="1"/>
    <w:next w:val="1"/>
    <w:qFormat/>
    <w:uiPriority w:val="0"/>
    <w:pPr>
      <w:widowControl/>
      <w:spacing w:before="240" w:after="60"/>
      <w:jc w:val="left"/>
    </w:pPr>
    <w:rPr>
      <w:rFonts w:ascii="Arial" w:hAnsi="Arial"/>
      <w:b/>
      <w:kern w:val="0"/>
      <w:sz w:val="18"/>
      <w:szCs w:val="18"/>
      <w:lang w:val="en-GB" w:eastAsia="en-US"/>
    </w:rPr>
  </w:style>
  <w:style w:type="paragraph" w:customStyle="1" w:styleId="658">
    <w:name w:val="HP_Internal"/>
    <w:basedOn w:val="1"/>
    <w:next w:val="1"/>
    <w:qFormat/>
    <w:uiPriority w:val="0"/>
    <w:pPr>
      <w:widowControl/>
      <w:jc w:val="left"/>
    </w:pPr>
    <w:rPr>
      <w:rFonts w:ascii="Arial" w:hAnsi="Arial"/>
      <w:i/>
      <w:kern w:val="0"/>
      <w:sz w:val="18"/>
      <w:szCs w:val="18"/>
      <w:lang w:val="en-GB" w:eastAsia="en-US"/>
    </w:rPr>
  </w:style>
  <w:style w:type="paragraph" w:customStyle="1" w:styleId="659">
    <w:name w:val="Table_Small"/>
    <w:qFormat/>
    <w:uiPriority w:val="0"/>
    <w:pPr>
      <w:spacing w:before="40" w:after="40"/>
    </w:pPr>
    <w:rPr>
      <w:rFonts w:ascii="Arial" w:hAnsi="Arial" w:eastAsiaTheme="minorEastAsia" w:cstheme="minorBidi"/>
      <w:sz w:val="16"/>
      <w:szCs w:val="16"/>
      <w:lang w:val="en-GB" w:eastAsia="en-US" w:bidi="ar-SA"/>
    </w:rPr>
  </w:style>
  <w:style w:type="paragraph" w:customStyle="1" w:styleId="660">
    <w:name w:val="Table_Sm_Heading"/>
    <w:qFormat/>
    <w:uiPriority w:val="0"/>
    <w:pPr>
      <w:spacing w:before="60"/>
    </w:pPr>
    <w:rPr>
      <w:rFonts w:ascii="Times New Roman" w:hAnsi="Times New Roman" w:eastAsia="宋体" w:cs="Times New Roman"/>
      <w:sz w:val="16"/>
      <w:szCs w:val="16"/>
      <w:lang w:val="en-US" w:eastAsia="zh-CN" w:bidi="ar-SA"/>
    </w:rPr>
  </w:style>
  <w:style w:type="paragraph" w:customStyle="1" w:styleId="661">
    <w:name w:val="Table_Heading"/>
    <w:basedOn w:val="1"/>
    <w:qFormat/>
    <w:uiPriority w:val="0"/>
    <w:pPr>
      <w:widowControl/>
      <w:spacing w:before="40" w:after="40"/>
      <w:jc w:val="left"/>
    </w:pPr>
    <w:rPr>
      <w:rFonts w:ascii="Arial" w:hAnsi="Arial"/>
      <w:b/>
      <w:kern w:val="0"/>
      <w:sz w:val="24"/>
      <w:lang w:val="en-GB" w:eastAsia="en-US"/>
    </w:rPr>
  </w:style>
  <w:style w:type="paragraph" w:customStyle="1" w:styleId="662">
    <w:name w:val="Table_Sm_Heading_Right"/>
    <w:basedOn w:val="660"/>
    <w:qFormat/>
    <w:uiPriority w:val="0"/>
    <w:pPr>
      <w:jc w:val="right"/>
    </w:pPr>
  </w:style>
  <w:style w:type="paragraph" w:customStyle="1" w:styleId="663">
    <w:name w:val="Table_Medium"/>
    <w:qFormat/>
    <w:uiPriority w:val="0"/>
    <w:pPr>
      <w:spacing w:before="40" w:after="40"/>
    </w:pPr>
    <w:rPr>
      <w:rFonts w:ascii="Arial" w:hAnsi="Arial" w:eastAsiaTheme="minorEastAsia" w:cstheme="minorBidi"/>
      <w:sz w:val="18"/>
      <w:szCs w:val="18"/>
      <w:lang w:val="en-GB" w:eastAsia="en-US" w:bidi="ar-SA"/>
    </w:rPr>
  </w:style>
  <w:style w:type="paragraph" w:customStyle="1" w:styleId="664">
    <w:name w:val="TOC_Heading"/>
    <w:basedOn w:val="1"/>
    <w:next w:val="1"/>
    <w:qFormat/>
    <w:uiPriority w:val="0"/>
    <w:pPr>
      <w:widowControl/>
      <w:spacing w:before="80" w:after="120"/>
      <w:jc w:val="left"/>
    </w:pPr>
    <w:rPr>
      <w:rFonts w:ascii="Arial" w:hAnsi="Arial"/>
      <w:b/>
      <w:kern w:val="0"/>
      <w:sz w:val="24"/>
      <w:lang w:val="en-GB" w:eastAsia="en-US"/>
    </w:rPr>
  </w:style>
  <w:style w:type="paragraph" w:customStyle="1" w:styleId="665">
    <w:name w:val="Bullet with text 1"/>
    <w:basedOn w:val="1"/>
    <w:qFormat/>
    <w:uiPriority w:val="0"/>
    <w:pPr>
      <w:widowControl/>
      <w:numPr>
        <w:ilvl w:val="0"/>
        <w:numId w:val="42"/>
      </w:numPr>
      <w:ind w:firstLine="0"/>
      <w:jc w:val="left"/>
    </w:pPr>
    <w:rPr>
      <w:rFonts w:ascii="Arial" w:hAnsi="Arial"/>
      <w:kern w:val="0"/>
      <w:sz w:val="24"/>
      <w:lang w:val="en-GB" w:eastAsia="en-US"/>
    </w:rPr>
  </w:style>
  <w:style w:type="paragraph" w:customStyle="1" w:styleId="666">
    <w:name w:val="Bullet with text 2"/>
    <w:basedOn w:val="1"/>
    <w:qFormat/>
    <w:uiPriority w:val="0"/>
    <w:pPr>
      <w:widowControl/>
      <w:numPr>
        <w:ilvl w:val="0"/>
        <w:numId w:val="43"/>
      </w:numPr>
      <w:ind w:firstLine="0"/>
      <w:jc w:val="left"/>
    </w:pPr>
    <w:rPr>
      <w:rFonts w:ascii="Arial" w:hAnsi="Arial"/>
      <w:kern w:val="0"/>
      <w:sz w:val="24"/>
      <w:lang w:val="en-GB" w:eastAsia="en-US"/>
    </w:rPr>
  </w:style>
  <w:style w:type="paragraph" w:customStyle="1" w:styleId="667">
    <w:name w:val="Bullet with text 3"/>
    <w:basedOn w:val="1"/>
    <w:qFormat/>
    <w:uiPriority w:val="0"/>
    <w:pPr>
      <w:widowControl/>
      <w:numPr>
        <w:ilvl w:val="0"/>
        <w:numId w:val="44"/>
      </w:numPr>
      <w:ind w:firstLine="0"/>
      <w:jc w:val="left"/>
    </w:pPr>
    <w:rPr>
      <w:rFonts w:ascii="Arial" w:hAnsi="Arial"/>
      <w:kern w:val="0"/>
      <w:sz w:val="24"/>
      <w:lang w:val="en-GB" w:eastAsia="en-US"/>
    </w:rPr>
  </w:style>
  <w:style w:type="paragraph" w:customStyle="1" w:styleId="668">
    <w:name w:val="Bullet with text 4"/>
    <w:basedOn w:val="1"/>
    <w:qFormat/>
    <w:uiPriority w:val="0"/>
    <w:pPr>
      <w:widowControl/>
      <w:numPr>
        <w:ilvl w:val="0"/>
        <w:numId w:val="45"/>
      </w:numPr>
      <w:ind w:firstLine="0"/>
      <w:jc w:val="left"/>
    </w:pPr>
    <w:rPr>
      <w:rFonts w:ascii="Arial" w:hAnsi="Arial"/>
      <w:kern w:val="0"/>
      <w:sz w:val="24"/>
      <w:lang w:val="en-GB" w:eastAsia="en-US"/>
    </w:rPr>
  </w:style>
  <w:style w:type="paragraph" w:customStyle="1" w:styleId="669">
    <w:name w:val="Normal_UserEntry"/>
    <w:basedOn w:val="1"/>
    <w:qFormat/>
    <w:uiPriority w:val="0"/>
    <w:pPr>
      <w:widowControl/>
      <w:jc w:val="left"/>
    </w:pPr>
    <w:rPr>
      <w:rFonts w:ascii="Arial" w:hAnsi="Arial"/>
      <w:color w:val="FF0000"/>
      <w:kern w:val="0"/>
      <w:sz w:val="24"/>
      <w:lang w:val="en-GB" w:eastAsia="en-US"/>
    </w:rPr>
  </w:style>
  <w:style w:type="paragraph" w:customStyle="1" w:styleId="670">
    <w:name w:val="Numbered list 1"/>
    <w:basedOn w:val="1"/>
    <w:next w:val="1"/>
    <w:qFormat/>
    <w:uiPriority w:val="0"/>
    <w:pPr>
      <w:widowControl/>
      <w:numPr>
        <w:ilvl w:val="0"/>
        <w:numId w:val="46"/>
      </w:numPr>
      <w:ind w:firstLine="0"/>
      <w:jc w:val="left"/>
    </w:pPr>
    <w:rPr>
      <w:rFonts w:ascii="Arial" w:hAnsi="Arial"/>
      <w:kern w:val="0"/>
      <w:sz w:val="24"/>
      <w:lang w:val="en-GB" w:eastAsia="en-US"/>
    </w:rPr>
  </w:style>
  <w:style w:type="paragraph" w:customStyle="1" w:styleId="671">
    <w:name w:val="Numbered list 2.1"/>
    <w:basedOn w:val="3"/>
    <w:next w:val="1"/>
    <w:qFormat/>
    <w:uiPriority w:val="0"/>
    <w:pPr>
      <w:keepNext w:val="0"/>
      <w:keepLines w:val="0"/>
      <w:pageBreakBefore/>
      <w:widowControl/>
      <w:tabs>
        <w:tab w:val="left" w:pos="720"/>
        <w:tab w:val="left" w:pos="1554"/>
      </w:tabs>
      <w:spacing w:before="240" w:after="60" w:line="240" w:lineRule="auto"/>
      <w:ind w:left="720" w:hanging="720"/>
      <w:jc w:val="left"/>
    </w:pPr>
    <w:rPr>
      <w:rFonts w:ascii="Arial" w:hAnsi="Arial"/>
      <w:bCs w:val="0"/>
      <w:kern w:val="0"/>
      <w:sz w:val="28"/>
      <w:szCs w:val="28"/>
      <w:lang w:val="en-GB" w:eastAsia="en-US"/>
    </w:rPr>
  </w:style>
  <w:style w:type="paragraph" w:customStyle="1" w:styleId="672">
    <w:name w:val="Numbered list 2.2"/>
    <w:basedOn w:val="4"/>
    <w:next w:val="1"/>
    <w:qFormat/>
    <w:uiPriority w:val="0"/>
    <w:pPr>
      <w:keepNext w:val="0"/>
      <w:keepLines w:val="0"/>
      <w:widowControl/>
      <w:numPr>
        <w:ilvl w:val="0"/>
        <w:numId w:val="16"/>
      </w:numPr>
      <w:tabs>
        <w:tab w:val="left" w:pos="0"/>
        <w:tab w:val="left" w:pos="720"/>
        <w:tab w:val="left" w:pos="840"/>
      </w:tabs>
      <w:spacing w:before="240" w:after="60" w:line="240" w:lineRule="auto"/>
      <w:ind w:left="720" w:hanging="720"/>
      <w:jc w:val="left"/>
    </w:pPr>
    <w:rPr>
      <w:rFonts w:eastAsia="宋体"/>
      <w:bCs w:val="0"/>
      <w:kern w:val="0"/>
      <w:sz w:val="24"/>
      <w:szCs w:val="24"/>
      <w:lang w:val="en-GB" w:eastAsia="en-US"/>
    </w:rPr>
  </w:style>
  <w:style w:type="paragraph" w:customStyle="1" w:styleId="673">
    <w:name w:val="Numbered list 2.3"/>
    <w:basedOn w:val="5"/>
    <w:next w:val="1"/>
    <w:qFormat/>
    <w:uiPriority w:val="0"/>
    <w:pPr>
      <w:keepNext w:val="0"/>
      <w:keepLines w:val="0"/>
      <w:widowControl/>
      <w:tabs>
        <w:tab w:val="left" w:pos="360"/>
        <w:tab w:val="left" w:pos="1080"/>
        <w:tab w:val="left" w:pos="1440"/>
      </w:tabs>
      <w:autoSpaceDE/>
      <w:autoSpaceDN/>
      <w:adjustRightInd/>
      <w:spacing w:before="240" w:after="60" w:line="240" w:lineRule="auto"/>
      <w:ind w:left="360" w:hanging="360"/>
      <w:jc w:val="left"/>
    </w:pPr>
    <w:rPr>
      <w:rFonts w:ascii="Arial" w:hAnsi="Arial" w:eastAsia="宋体"/>
      <w:b/>
      <w:sz w:val="22"/>
      <w:szCs w:val="22"/>
      <w:lang w:val="en-GB" w:eastAsia="en-US"/>
    </w:rPr>
  </w:style>
  <w:style w:type="paragraph" w:customStyle="1" w:styleId="674">
    <w:name w:val="Numbered list 2.4"/>
    <w:basedOn w:val="6"/>
    <w:next w:val="1"/>
    <w:qFormat/>
    <w:uiPriority w:val="0"/>
    <w:pPr>
      <w:keepNext w:val="0"/>
      <w:widowControl/>
      <w:numPr>
        <w:ilvl w:val="0"/>
        <w:numId w:val="47"/>
      </w:numPr>
      <w:tabs>
        <w:tab w:val="left" w:pos="1080"/>
        <w:tab w:val="left" w:pos="1440"/>
        <w:tab w:val="left" w:pos="1800"/>
        <w:tab w:val="left" w:pos="2160"/>
      </w:tabs>
      <w:spacing w:before="240" w:after="60"/>
      <w:jc w:val="left"/>
    </w:pPr>
    <w:rPr>
      <w:rFonts w:ascii="Arial" w:hAnsi="Arial"/>
      <w:b/>
      <w:kern w:val="0"/>
      <w:sz w:val="24"/>
      <w:szCs w:val="24"/>
      <w:lang w:val="en-GB" w:eastAsia="en-US"/>
    </w:rPr>
  </w:style>
  <w:style w:type="paragraph" w:customStyle="1" w:styleId="675">
    <w:name w:val="Numbered list 3.1"/>
    <w:basedOn w:val="3"/>
    <w:next w:val="1"/>
    <w:qFormat/>
    <w:uiPriority w:val="0"/>
    <w:pPr>
      <w:keepNext w:val="0"/>
      <w:keepLines w:val="0"/>
      <w:pageBreakBefore/>
      <w:widowControl/>
      <w:tabs>
        <w:tab w:val="left" w:pos="360"/>
      </w:tabs>
      <w:spacing w:before="240" w:after="60" w:line="240" w:lineRule="auto"/>
      <w:ind w:left="360" w:hanging="360"/>
      <w:jc w:val="left"/>
    </w:pPr>
    <w:rPr>
      <w:rFonts w:ascii="Arial" w:hAnsi="Arial"/>
      <w:bCs w:val="0"/>
      <w:kern w:val="0"/>
      <w:sz w:val="28"/>
      <w:szCs w:val="28"/>
      <w:lang w:val="en-GB" w:eastAsia="en-US"/>
    </w:rPr>
  </w:style>
  <w:style w:type="paragraph" w:customStyle="1" w:styleId="676">
    <w:name w:val="Numbered list 3.2"/>
    <w:basedOn w:val="4"/>
    <w:next w:val="1"/>
    <w:qFormat/>
    <w:uiPriority w:val="0"/>
    <w:pPr>
      <w:keepNext w:val="0"/>
      <w:keepLines w:val="0"/>
      <w:widowControl/>
      <w:tabs>
        <w:tab w:val="left" w:pos="0"/>
        <w:tab w:val="left" w:pos="360"/>
      </w:tabs>
      <w:spacing w:before="240" w:after="60" w:line="240" w:lineRule="auto"/>
      <w:ind w:left="360" w:hanging="360"/>
      <w:jc w:val="left"/>
    </w:pPr>
    <w:rPr>
      <w:rFonts w:eastAsia="宋体"/>
      <w:bCs w:val="0"/>
      <w:kern w:val="0"/>
      <w:sz w:val="24"/>
      <w:szCs w:val="24"/>
      <w:lang w:val="en-GB" w:eastAsia="en-US"/>
    </w:rPr>
  </w:style>
  <w:style w:type="paragraph" w:customStyle="1" w:styleId="677">
    <w:name w:val="Numbered list 3.3"/>
    <w:basedOn w:val="5"/>
    <w:next w:val="1"/>
    <w:qFormat/>
    <w:uiPriority w:val="0"/>
    <w:pPr>
      <w:keepNext w:val="0"/>
      <w:keepLines w:val="0"/>
      <w:widowControl/>
      <w:tabs>
        <w:tab w:val="left" w:pos="720"/>
      </w:tabs>
      <w:autoSpaceDE/>
      <w:autoSpaceDN/>
      <w:adjustRightInd/>
      <w:spacing w:before="240" w:after="60" w:line="240" w:lineRule="auto"/>
      <w:ind w:left="360" w:hanging="360"/>
      <w:jc w:val="left"/>
    </w:pPr>
    <w:rPr>
      <w:rFonts w:ascii="Arial" w:hAnsi="Arial" w:eastAsia="宋体"/>
      <w:b/>
      <w:sz w:val="22"/>
      <w:szCs w:val="22"/>
      <w:lang w:val="en-GB" w:eastAsia="en-US"/>
    </w:rPr>
  </w:style>
  <w:style w:type="paragraph" w:customStyle="1" w:styleId="678">
    <w:name w:val="Table_Center"/>
    <w:qFormat/>
    <w:uiPriority w:val="0"/>
    <w:pPr>
      <w:spacing w:before="40" w:after="40"/>
      <w:jc w:val="center"/>
    </w:pPr>
    <w:rPr>
      <w:rFonts w:ascii="Arial" w:hAnsi="Arial" w:eastAsiaTheme="minorEastAsia" w:cstheme="minorBidi"/>
      <w:sz w:val="24"/>
      <w:szCs w:val="24"/>
      <w:lang w:val="en-GB" w:eastAsia="en-US" w:bidi="ar-SA"/>
    </w:rPr>
  </w:style>
  <w:style w:type="paragraph" w:customStyle="1" w:styleId="679">
    <w:name w:val="Table_Heading_Center"/>
    <w:basedOn w:val="661"/>
    <w:qFormat/>
    <w:uiPriority w:val="0"/>
    <w:pPr>
      <w:jc w:val="center"/>
    </w:pPr>
  </w:style>
  <w:style w:type="paragraph" w:customStyle="1" w:styleId="680">
    <w:name w:val="Table_Right"/>
    <w:qFormat/>
    <w:uiPriority w:val="0"/>
    <w:pPr>
      <w:spacing w:before="40" w:after="40"/>
      <w:jc w:val="right"/>
    </w:pPr>
    <w:rPr>
      <w:rFonts w:ascii="Arial" w:hAnsi="Arial" w:eastAsiaTheme="minorEastAsia" w:cstheme="minorBidi"/>
      <w:sz w:val="24"/>
      <w:szCs w:val="24"/>
      <w:lang w:val="en-GB" w:eastAsia="en-US" w:bidi="ar-SA"/>
    </w:rPr>
  </w:style>
  <w:style w:type="paragraph" w:customStyle="1" w:styleId="681">
    <w:name w:val="Table_Sm_Heading_Center"/>
    <w:basedOn w:val="660"/>
    <w:qFormat/>
    <w:uiPriority w:val="0"/>
    <w:pPr>
      <w:jc w:val="center"/>
    </w:pPr>
  </w:style>
  <w:style w:type="paragraph" w:customStyle="1" w:styleId="682">
    <w:name w:val="Table_Small_Center"/>
    <w:basedOn w:val="659"/>
    <w:qFormat/>
    <w:uiPriority w:val="0"/>
    <w:pPr>
      <w:jc w:val="center"/>
    </w:pPr>
  </w:style>
  <w:style w:type="paragraph" w:customStyle="1" w:styleId="683">
    <w:name w:val="Table_Small_Right"/>
    <w:basedOn w:val="659"/>
    <w:qFormat/>
    <w:uiPriority w:val="0"/>
    <w:pPr>
      <w:jc w:val="right"/>
    </w:pPr>
  </w:style>
  <w:style w:type="paragraph" w:customStyle="1" w:styleId="684">
    <w:name w:val="Table_Title"/>
    <w:basedOn w:val="1"/>
    <w:next w:val="1"/>
    <w:qFormat/>
    <w:uiPriority w:val="0"/>
    <w:pPr>
      <w:widowControl/>
      <w:spacing w:before="240" w:after="60"/>
      <w:jc w:val="left"/>
    </w:pPr>
    <w:rPr>
      <w:rFonts w:ascii="Arial" w:hAnsi="Arial"/>
      <w:b/>
      <w:kern w:val="0"/>
      <w:sz w:val="24"/>
      <w:lang w:val="en-GB" w:eastAsia="en-US"/>
    </w:rPr>
  </w:style>
  <w:style w:type="paragraph" w:customStyle="1" w:styleId="685">
    <w:name w:val="Title_Center"/>
    <w:basedOn w:val="81"/>
    <w:qFormat/>
    <w:uiPriority w:val="0"/>
    <w:pPr>
      <w:widowControl/>
      <w:wordWrap w:val="0"/>
      <w:outlineLvl w:val="9"/>
    </w:pPr>
    <w:rPr>
      <w:rFonts w:ascii="Arial" w:hAnsi="Arial"/>
      <w:bCs w:val="0"/>
      <w:kern w:val="0"/>
      <w:sz w:val="24"/>
      <w:szCs w:val="24"/>
      <w:lang w:val="en-GB" w:eastAsia="en-US"/>
    </w:rPr>
  </w:style>
  <w:style w:type="paragraph" w:customStyle="1" w:styleId="686">
    <w:name w:val="TitlePage_Header"/>
    <w:basedOn w:val="1"/>
    <w:qFormat/>
    <w:uiPriority w:val="0"/>
    <w:pPr>
      <w:widowControl/>
      <w:spacing w:before="240" w:after="240"/>
      <w:ind w:left="3240"/>
      <w:jc w:val="left"/>
    </w:pPr>
    <w:rPr>
      <w:rFonts w:ascii="Arial" w:hAnsi="Arial"/>
      <w:b/>
      <w:kern w:val="0"/>
      <w:sz w:val="32"/>
      <w:szCs w:val="32"/>
      <w:lang w:val="en-GB" w:eastAsia="en-US"/>
    </w:rPr>
  </w:style>
  <w:style w:type="paragraph" w:customStyle="1" w:styleId="687">
    <w:name w:val="TitlePage_TopBorder"/>
    <w:basedOn w:val="686"/>
    <w:next w:val="686"/>
    <w:qFormat/>
    <w:uiPriority w:val="0"/>
    <w:pPr>
      <w:pBdr>
        <w:top w:val="single" w:color="000000" w:sz="18" w:space="1"/>
      </w:pBdr>
    </w:pPr>
  </w:style>
  <w:style w:type="paragraph" w:customStyle="1" w:styleId="688">
    <w:name w:val="RM_Indt as Bull w txt 2"/>
    <w:basedOn w:val="666"/>
    <w:next w:val="666"/>
    <w:qFormat/>
    <w:uiPriority w:val="0"/>
    <w:pPr>
      <w:numPr>
        <w:numId w:val="0"/>
      </w:numPr>
      <w:ind w:left="720"/>
    </w:pPr>
  </w:style>
  <w:style w:type="paragraph" w:customStyle="1" w:styleId="689">
    <w:name w:val="Table_Heading_Right"/>
    <w:basedOn w:val="661"/>
    <w:qFormat/>
    <w:uiPriority w:val="0"/>
    <w:pPr>
      <w:jc w:val="right"/>
    </w:pPr>
  </w:style>
  <w:style w:type="paragraph" w:customStyle="1" w:styleId="690">
    <w:name w:val="RM_Heading 1"/>
    <w:basedOn w:val="3"/>
    <w:next w:val="1"/>
    <w:qFormat/>
    <w:uiPriority w:val="0"/>
    <w:pPr>
      <w:keepNext w:val="0"/>
      <w:keepLines w:val="0"/>
      <w:pageBreakBefore/>
      <w:widowControl/>
      <w:tabs>
        <w:tab w:val="left" w:pos="425"/>
      </w:tabs>
      <w:spacing w:before="240" w:after="60" w:line="240" w:lineRule="auto"/>
      <w:ind w:left="425" w:hanging="425"/>
      <w:jc w:val="left"/>
    </w:pPr>
    <w:rPr>
      <w:rFonts w:ascii="Arial" w:hAnsi="Arial"/>
      <w:bCs w:val="0"/>
      <w:kern w:val="0"/>
      <w:sz w:val="32"/>
      <w:szCs w:val="32"/>
      <w:lang w:val="en-GB" w:eastAsia="en-US"/>
    </w:rPr>
  </w:style>
  <w:style w:type="paragraph" w:customStyle="1" w:styleId="691">
    <w:name w:val="RM_Heading 2"/>
    <w:basedOn w:val="4"/>
    <w:next w:val="1"/>
    <w:qFormat/>
    <w:uiPriority w:val="0"/>
    <w:pPr>
      <w:keepNext w:val="0"/>
      <w:keepLines w:val="0"/>
      <w:pageBreakBefore/>
      <w:widowControl/>
      <w:tabs>
        <w:tab w:val="left" w:pos="0"/>
        <w:tab w:val="left" w:pos="567"/>
      </w:tabs>
      <w:spacing w:before="240" w:after="60" w:line="240" w:lineRule="auto"/>
      <w:ind w:left="567" w:hanging="567"/>
      <w:jc w:val="left"/>
    </w:pPr>
    <w:rPr>
      <w:rFonts w:eastAsia="宋体"/>
      <w:bCs w:val="0"/>
      <w:kern w:val="0"/>
      <w:sz w:val="30"/>
      <w:szCs w:val="30"/>
      <w:lang w:val="en-GB" w:eastAsia="en-US"/>
    </w:rPr>
  </w:style>
  <w:style w:type="paragraph" w:customStyle="1" w:styleId="692">
    <w:name w:val="RM_Heading 3"/>
    <w:basedOn w:val="5"/>
    <w:next w:val="1"/>
    <w:qFormat/>
    <w:uiPriority w:val="0"/>
    <w:pPr>
      <w:keepNext w:val="0"/>
      <w:keepLines w:val="0"/>
      <w:pageBreakBefore/>
      <w:widowControl/>
      <w:tabs>
        <w:tab w:val="left" w:pos="709"/>
      </w:tabs>
      <w:autoSpaceDE/>
      <w:autoSpaceDN/>
      <w:adjustRightInd/>
      <w:spacing w:before="240" w:after="60" w:line="240" w:lineRule="auto"/>
      <w:ind w:left="709" w:hanging="709"/>
      <w:jc w:val="left"/>
    </w:pPr>
    <w:rPr>
      <w:rFonts w:ascii="Arial" w:hAnsi="Arial" w:eastAsia="宋体"/>
      <w:b/>
      <w:szCs w:val="28"/>
      <w:lang w:val="en-GB" w:eastAsia="en-US"/>
    </w:rPr>
  </w:style>
  <w:style w:type="paragraph" w:customStyle="1" w:styleId="693">
    <w:name w:val="RM_Table_Bullet"/>
    <w:basedOn w:val="668"/>
    <w:next w:val="1"/>
    <w:qFormat/>
    <w:uiPriority w:val="0"/>
    <w:pPr>
      <w:tabs>
        <w:tab w:val="left" w:pos="567"/>
        <w:tab w:val="clear" w:pos="1440"/>
      </w:tabs>
      <w:ind w:left="568" w:hanging="284"/>
    </w:pPr>
  </w:style>
  <w:style w:type="paragraph" w:customStyle="1" w:styleId="694">
    <w:name w:val="Body Bullet SQ"/>
    <w:basedOn w:val="1"/>
    <w:qFormat/>
    <w:uiPriority w:val="0"/>
    <w:pPr>
      <w:widowControl/>
      <w:numPr>
        <w:ilvl w:val="0"/>
        <w:numId w:val="48"/>
      </w:numPr>
      <w:jc w:val="left"/>
    </w:pPr>
    <w:rPr>
      <w:kern w:val="0"/>
      <w:sz w:val="24"/>
      <w:lang w:val="en-GB" w:eastAsia="en-US"/>
    </w:rPr>
  </w:style>
  <w:style w:type="paragraph" w:customStyle="1" w:styleId="695">
    <w:name w:val="Halfline"/>
    <w:basedOn w:val="1"/>
    <w:qFormat/>
    <w:uiPriority w:val="0"/>
    <w:pPr>
      <w:widowControl/>
      <w:tabs>
        <w:tab w:val="left" w:pos="3289"/>
      </w:tabs>
      <w:spacing w:after="200" w:line="240" w:lineRule="exact"/>
      <w:ind w:left="3289" w:hanging="1758"/>
      <w:jc w:val="left"/>
    </w:pPr>
    <w:rPr>
      <w:rFonts w:ascii="ITCCenturyBookT" w:hAnsi="ITCCenturyBookT"/>
      <w:kern w:val="0"/>
      <w:sz w:val="24"/>
      <w:lang w:val="en-GB" w:eastAsia="en-US"/>
    </w:rPr>
  </w:style>
  <w:style w:type="paragraph" w:customStyle="1" w:styleId="696">
    <w:name w:val="Table Text Bold"/>
    <w:basedOn w:val="155"/>
    <w:qFormat/>
    <w:uiPriority w:val="0"/>
    <w:pPr>
      <w:widowControl/>
      <w:spacing w:line="200" w:lineRule="exact"/>
      <w:jc w:val="left"/>
    </w:pPr>
    <w:rPr>
      <w:rFonts w:ascii="Arial" w:hAnsi="Arial" w:eastAsia="宋体" w:cs="Times New Roman"/>
      <w:b/>
      <w:kern w:val="0"/>
      <w:sz w:val="16"/>
      <w:szCs w:val="16"/>
      <w:lang w:val="en-GB"/>
    </w:rPr>
  </w:style>
  <w:style w:type="paragraph" w:customStyle="1" w:styleId="697">
    <w:name w:val="Para 3 Text"/>
    <w:qFormat/>
    <w:uiPriority w:val="0"/>
    <w:pPr>
      <w:spacing w:line="288" w:lineRule="atLeast"/>
      <w:ind w:left="864"/>
    </w:pPr>
    <w:rPr>
      <w:rFonts w:ascii="Times New Roman" w:hAnsi="Times New Roman" w:eastAsia="宋体" w:cs="Times New Roman"/>
      <w:color w:val="000000"/>
      <w:sz w:val="24"/>
      <w:szCs w:val="24"/>
      <w:lang w:val="en-US" w:eastAsia="en-US" w:bidi="ar-SA"/>
    </w:rPr>
  </w:style>
  <w:style w:type="paragraph" w:customStyle="1" w:styleId="698">
    <w:name w:val="Para 2 Text"/>
    <w:qFormat/>
    <w:uiPriority w:val="0"/>
    <w:pPr>
      <w:ind w:left="648"/>
    </w:pPr>
    <w:rPr>
      <w:rFonts w:ascii="Times New Roman" w:hAnsi="Times New Roman" w:eastAsia="宋体" w:cs="Times New Roman"/>
      <w:color w:val="000000"/>
      <w:sz w:val="24"/>
      <w:szCs w:val="24"/>
      <w:lang w:val="en-US" w:eastAsia="en-US" w:bidi="ar-SA"/>
    </w:rPr>
  </w:style>
  <w:style w:type="paragraph" w:customStyle="1" w:styleId="699">
    <w:name w:val="Number List"/>
    <w:qFormat/>
    <w:uiPriority w:val="0"/>
    <w:pPr>
      <w:tabs>
        <w:tab w:val="left" w:pos="1302"/>
      </w:tabs>
      <w:ind w:left="168" w:firstLine="400"/>
    </w:pPr>
    <w:rPr>
      <w:rFonts w:ascii="Times New Roman" w:hAnsi="Times New Roman" w:eastAsia="宋体" w:cs="Times New Roman"/>
      <w:color w:val="000000"/>
      <w:sz w:val="24"/>
      <w:szCs w:val="24"/>
      <w:lang w:val="en-US" w:eastAsia="en-US" w:bidi="ar-SA"/>
    </w:rPr>
  </w:style>
  <w:style w:type="paragraph" w:customStyle="1" w:styleId="700">
    <w:name w:val="Table_Sm_Heading_bogus"/>
    <w:basedOn w:val="660"/>
    <w:qFormat/>
    <w:uiPriority w:val="0"/>
    <w:pPr>
      <w:jc w:val="center"/>
    </w:pPr>
    <w:rPr>
      <w:rFonts w:ascii="Futura Bk" w:hAnsi="Futura Bk"/>
    </w:rPr>
  </w:style>
  <w:style w:type="paragraph" w:customStyle="1" w:styleId="701">
    <w:name w:val="Table_not_used"/>
    <w:qFormat/>
    <w:uiPriority w:val="0"/>
    <w:pPr>
      <w:spacing w:before="40" w:after="40"/>
      <w:jc w:val="right"/>
    </w:pPr>
    <w:rPr>
      <w:rFonts w:ascii="Futura Bk" w:hAnsi="Futura Bk" w:eastAsiaTheme="minorEastAsia" w:cstheme="minorBidi"/>
      <w:sz w:val="24"/>
      <w:szCs w:val="24"/>
      <w:lang w:val="en-US" w:eastAsia="en-US" w:bidi="ar-SA"/>
    </w:rPr>
  </w:style>
  <w:style w:type="paragraph" w:customStyle="1" w:styleId="702">
    <w:name w:val="Figure"/>
    <w:basedOn w:val="34"/>
    <w:qFormat/>
    <w:uiPriority w:val="0"/>
    <w:pPr>
      <w:widowControl/>
      <w:tabs>
        <w:tab w:val="left" w:pos="1361"/>
        <w:tab w:val="center" w:pos="8640"/>
      </w:tabs>
      <w:spacing w:before="120" w:after="240" w:line="360" w:lineRule="auto"/>
      <w:jc w:val="center"/>
    </w:pPr>
    <w:rPr>
      <w:kern w:val="0"/>
      <w:sz w:val="21"/>
      <w:szCs w:val="21"/>
    </w:rPr>
  </w:style>
  <w:style w:type="paragraph" w:customStyle="1" w:styleId="703">
    <w:name w:val="template"/>
    <w:basedOn w:val="1"/>
    <w:qFormat/>
    <w:uiPriority w:val="0"/>
    <w:pPr>
      <w:widowControl/>
      <w:spacing w:line="240" w:lineRule="exact"/>
      <w:jc w:val="left"/>
    </w:pPr>
    <w:rPr>
      <w:rFonts w:ascii="Arial" w:hAnsi="Arial"/>
      <w:i/>
      <w:kern w:val="0"/>
      <w:sz w:val="22"/>
      <w:szCs w:val="22"/>
    </w:rPr>
  </w:style>
  <w:style w:type="paragraph" w:customStyle="1" w:styleId="704">
    <w:name w:val="第二层标题"/>
    <w:basedOn w:val="81"/>
    <w:qFormat/>
    <w:uiPriority w:val="0"/>
    <w:pPr>
      <w:widowControl/>
      <w:tabs>
        <w:tab w:val="left" w:pos="794"/>
      </w:tabs>
      <w:wordWrap w:val="0"/>
      <w:ind w:left="794" w:hanging="374"/>
      <w:jc w:val="both"/>
    </w:pPr>
    <w:rPr>
      <w:rFonts w:ascii="仿宋_GB2312" w:hAnsi="Arial" w:eastAsia="仿宋_GB2312" w:cs="Arial"/>
      <w:bCs w:val="0"/>
      <w:kern w:val="0"/>
      <w:sz w:val="36"/>
      <w:szCs w:val="36"/>
    </w:rPr>
  </w:style>
  <w:style w:type="paragraph" w:customStyle="1" w:styleId="705">
    <w:name w:val="第三层标题"/>
    <w:basedOn w:val="81"/>
    <w:qFormat/>
    <w:uiPriority w:val="0"/>
    <w:pPr>
      <w:widowControl/>
      <w:tabs>
        <w:tab w:val="left" w:pos="794"/>
      </w:tabs>
      <w:wordWrap w:val="0"/>
      <w:ind w:left="794" w:hanging="374"/>
      <w:jc w:val="both"/>
    </w:pPr>
    <w:rPr>
      <w:rFonts w:ascii="仿宋_GB2312" w:hAnsi="Arial" w:eastAsia="仿宋_GB2312" w:cs="Arial"/>
      <w:bCs w:val="0"/>
      <w:kern w:val="0"/>
    </w:rPr>
  </w:style>
  <w:style w:type="paragraph" w:customStyle="1" w:styleId="706">
    <w:name w:val="缺省文本"/>
    <w:basedOn w:val="1"/>
    <w:qFormat/>
    <w:uiPriority w:val="0"/>
    <w:pPr>
      <w:widowControl/>
      <w:autoSpaceDE w:val="0"/>
      <w:autoSpaceDN w:val="0"/>
      <w:spacing w:line="360" w:lineRule="auto"/>
      <w:ind w:left="15"/>
      <w:jc w:val="left"/>
    </w:pPr>
    <w:rPr>
      <w:rFonts w:ascii="Arial" w:hAnsi="Arial"/>
      <w:kern w:val="0"/>
      <w:szCs w:val="21"/>
    </w:rPr>
  </w:style>
  <w:style w:type="paragraph" w:customStyle="1" w:styleId="707">
    <w:name w:val="列举1"/>
    <w:basedOn w:val="1"/>
    <w:qFormat/>
    <w:uiPriority w:val="0"/>
    <w:pPr>
      <w:widowControl/>
      <w:tabs>
        <w:tab w:val="left" w:pos="425"/>
      </w:tabs>
      <w:spacing w:line="360" w:lineRule="auto"/>
      <w:ind w:left="17"/>
    </w:pPr>
    <w:rPr>
      <w:kern w:val="0"/>
      <w:sz w:val="24"/>
    </w:rPr>
  </w:style>
  <w:style w:type="paragraph" w:customStyle="1" w:styleId="708">
    <w:name w:val="表格2"/>
    <w:basedOn w:val="1"/>
    <w:qFormat/>
    <w:uiPriority w:val="0"/>
    <w:pPr>
      <w:widowControl/>
    </w:pPr>
    <w:rPr>
      <w:kern w:val="0"/>
      <w:szCs w:val="21"/>
    </w:rPr>
  </w:style>
  <w:style w:type="character" w:customStyle="1" w:styleId="709">
    <w:name w:val="样式 仿宋_GB2312 四号"/>
    <w:qFormat/>
    <w:uiPriority w:val="0"/>
    <w:rPr>
      <w:rFonts w:ascii="Arial" w:hAnsi="Arial" w:eastAsia="宋体"/>
      <w:sz w:val="21"/>
      <w:szCs w:val="21"/>
    </w:rPr>
  </w:style>
  <w:style w:type="paragraph" w:customStyle="1" w:styleId="710">
    <w:name w:val="Char Char Char Char Char Char Char1"/>
    <w:basedOn w:val="1"/>
    <w:qFormat/>
    <w:uiPriority w:val="0"/>
    <w:pPr>
      <w:widowControl/>
    </w:pPr>
    <w:rPr>
      <w:rFonts w:ascii="Tahoma" w:hAnsi="Tahoma"/>
      <w:kern w:val="0"/>
      <w:sz w:val="24"/>
    </w:rPr>
  </w:style>
  <w:style w:type="paragraph" w:customStyle="1" w:styleId="711">
    <w:name w:val="正文2文字缩进"/>
    <w:basedOn w:val="1"/>
    <w:qFormat/>
    <w:uiPriority w:val="0"/>
    <w:pPr>
      <w:widowControl/>
      <w:spacing w:line="360" w:lineRule="auto"/>
      <w:ind w:right="210" w:firstLine="200"/>
    </w:pPr>
    <w:rPr>
      <w:kern w:val="0"/>
      <w:sz w:val="24"/>
    </w:rPr>
  </w:style>
  <w:style w:type="paragraph" w:customStyle="1" w:styleId="712">
    <w:name w:val="正文 + 小四"/>
    <w:basedOn w:val="1"/>
    <w:qFormat/>
    <w:uiPriority w:val="0"/>
    <w:pPr>
      <w:widowControl/>
      <w:ind w:left="360"/>
    </w:pPr>
    <w:rPr>
      <w:kern w:val="0"/>
      <w:sz w:val="24"/>
    </w:rPr>
  </w:style>
  <w:style w:type="paragraph" w:customStyle="1" w:styleId="713">
    <w:name w:val="7-*"/>
    <w:basedOn w:val="1"/>
    <w:qFormat/>
    <w:uiPriority w:val="0"/>
    <w:pPr>
      <w:widowControl/>
      <w:numPr>
        <w:ilvl w:val="0"/>
        <w:numId w:val="49"/>
      </w:numPr>
      <w:spacing w:line="360" w:lineRule="auto"/>
      <w:ind w:firstLine="0"/>
      <w:jc w:val="left"/>
    </w:pPr>
    <w:rPr>
      <w:rFonts w:ascii="宋体" w:hAnsi="Book Antiqua" w:cs="宋体"/>
      <w:kern w:val="0"/>
      <w:sz w:val="24"/>
      <w:lang w:val="zh-CN"/>
    </w:rPr>
  </w:style>
  <w:style w:type="paragraph" w:customStyle="1" w:styleId="714">
    <w:name w:val="公司地址"/>
    <w:basedOn w:val="1"/>
    <w:qFormat/>
    <w:uiPriority w:val="0"/>
    <w:pPr>
      <w:widowControl/>
      <w:spacing w:after="120" w:line="480" w:lineRule="atLeast"/>
      <w:jc w:val="center"/>
    </w:pPr>
    <w:rPr>
      <w:rFonts w:ascii="Arial" w:hAnsi="Arial" w:eastAsia="黑体" w:cs="Arial"/>
      <w:b/>
      <w:color w:val="000000"/>
      <w:kern w:val="0"/>
      <w:sz w:val="44"/>
      <w:szCs w:val="44"/>
    </w:rPr>
  </w:style>
  <w:style w:type="paragraph" w:customStyle="1" w:styleId="715">
    <w:name w:val="项目名称"/>
    <w:basedOn w:val="1"/>
    <w:qFormat/>
    <w:uiPriority w:val="0"/>
    <w:pPr>
      <w:widowControl/>
      <w:spacing w:after="120" w:line="480" w:lineRule="atLeast"/>
      <w:jc w:val="center"/>
    </w:pPr>
    <w:rPr>
      <w:rFonts w:ascii="长城仿宋" w:hAnsi="宋体" w:eastAsia="隶书"/>
      <w:b/>
      <w:color w:val="000000"/>
      <w:kern w:val="0"/>
      <w:sz w:val="44"/>
      <w:szCs w:val="44"/>
    </w:rPr>
  </w:style>
  <w:style w:type="paragraph" w:customStyle="1" w:styleId="716">
    <w:name w:val="Style Heading 2 + 宋体 Not Italic"/>
    <w:basedOn w:val="4"/>
    <w:qFormat/>
    <w:uiPriority w:val="0"/>
    <w:pPr>
      <w:keepNext w:val="0"/>
      <w:keepLines w:val="0"/>
      <w:widowControl/>
      <w:tabs>
        <w:tab w:val="left" w:pos="0"/>
        <w:tab w:val="left" w:pos="718"/>
      </w:tabs>
      <w:spacing w:before="240" w:after="60" w:afterAutospacing="1" w:line="240" w:lineRule="atLeast"/>
      <w:ind w:left="718" w:hanging="576"/>
      <w:jc w:val="left"/>
    </w:pPr>
    <w:rPr>
      <w:bCs w:val="0"/>
      <w:i/>
      <w:color w:val="000000"/>
      <w:kern w:val="0"/>
      <w:sz w:val="28"/>
      <w:szCs w:val="28"/>
    </w:rPr>
  </w:style>
  <w:style w:type="paragraph" w:customStyle="1" w:styleId="717">
    <w:name w:val="Reminder"/>
    <w:basedOn w:val="45"/>
    <w:qFormat/>
    <w:uiPriority w:val="0"/>
    <w:pPr>
      <w:widowControl/>
      <w:spacing w:before="100" w:beforeAutospacing="1" w:after="100" w:afterAutospacing="1" w:line="360" w:lineRule="auto"/>
      <w:ind w:left="288" w:firstLine="432"/>
      <w:jc w:val="left"/>
    </w:pPr>
    <w:rPr>
      <w:rFonts w:ascii="Courier New" w:cs="Courier New"/>
      <w:b/>
      <w:color w:val="FF0000"/>
      <w:kern w:val="0"/>
      <w:sz w:val="22"/>
      <w:szCs w:val="22"/>
    </w:rPr>
  </w:style>
  <w:style w:type="paragraph" w:customStyle="1" w:styleId="718">
    <w:name w:val="Bullet 1"/>
    <w:basedOn w:val="1"/>
    <w:qFormat/>
    <w:uiPriority w:val="0"/>
    <w:pPr>
      <w:widowControl/>
      <w:numPr>
        <w:ilvl w:val="0"/>
        <w:numId w:val="50"/>
      </w:numPr>
      <w:suppressLineNumbers/>
      <w:spacing w:line="360" w:lineRule="auto"/>
      <w:ind w:firstLine="0"/>
      <w:jc w:val="left"/>
    </w:pPr>
    <w:rPr>
      <w:rFonts w:ascii="宋体" w:hAnsi="宋体"/>
      <w:kern w:val="0"/>
      <w:sz w:val="22"/>
      <w:szCs w:val="22"/>
      <w:lang w:val="en-GB"/>
    </w:rPr>
  </w:style>
  <w:style w:type="paragraph" w:customStyle="1" w:styleId="719">
    <w:name w:val="样式 标题 1 + 段前: 6 磅 段后: 自动"/>
    <w:basedOn w:val="3"/>
    <w:qFormat/>
    <w:uiPriority w:val="0"/>
    <w:pPr>
      <w:keepNext w:val="0"/>
      <w:keepLines w:val="0"/>
      <w:pageBreakBefore/>
      <w:widowControl/>
      <w:tabs>
        <w:tab w:val="left" w:pos="432"/>
      </w:tabs>
      <w:spacing w:before="120" w:after="240" w:afterAutospacing="1" w:line="240" w:lineRule="atLeast"/>
      <w:ind w:left="432" w:hanging="432"/>
      <w:jc w:val="left"/>
    </w:pPr>
    <w:rPr>
      <w:rFonts w:ascii="黑体" w:hAnsi="Arial" w:eastAsia="黑体" w:cs="宋体"/>
      <w:bCs w:val="0"/>
      <w:color w:val="000000"/>
      <w:kern w:val="0"/>
    </w:rPr>
  </w:style>
  <w:style w:type="paragraph" w:customStyle="1" w:styleId="720">
    <w:name w:val="!标题1"/>
    <w:basedOn w:val="3"/>
    <w:qFormat/>
    <w:uiPriority w:val="0"/>
    <w:pPr>
      <w:keepNext w:val="0"/>
      <w:keepLines w:val="0"/>
      <w:pageBreakBefore/>
      <w:widowControl/>
      <w:tabs>
        <w:tab w:val="left" w:pos="1554"/>
      </w:tabs>
      <w:spacing w:before="240" w:after="60" w:afterAutospacing="1" w:line="240" w:lineRule="auto"/>
      <w:ind w:left="1554" w:hanging="420"/>
    </w:pPr>
    <w:rPr>
      <w:rFonts w:ascii="Tahoma" w:hAnsi="Tahoma" w:eastAsia="黑体" w:cs="Tahoma"/>
      <w:bCs w:val="0"/>
      <w:color w:val="000000"/>
      <w:kern w:val="0"/>
      <w:sz w:val="32"/>
      <w:szCs w:val="32"/>
    </w:rPr>
  </w:style>
  <w:style w:type="paragraph" w:customStyle="1" w:styleId="721">
    <w:name w:val="正文3"/>
    <w:basedOn w:val="1"/>
    <w:qFormat/>
    <w:uiPriority w:val="0"/>
    <w:pPr>
      <w:widowControl/>
      <w:numPr>
        <w:ilvl w:val="0"/>
        <w:numId w:val="51"/>
      </w:numPr>
      <w:spacing w:line="288" w:lineRule="auto"/>
      <w:ind w:right="210" w:firstLine="0"/>
    </w:pPr>
    <w:rPr>
      <w:kern w:val="0"/>
      <w:szCs w:val="21"/>
    </w:rPr>
  </w:style>
  <w:style w:type="paragraph" w:customStyle="1" w:styleId="722">
    <w:name w:val="样式 标题 1 + 行距: 单倍行距"/>
    <w:basedOn w:val="3"/>
    <w:qFormat/>
    <w:uiPriority w:val="0"/>
    <w:pPr>
      <w:keepNext w:val="0"/>
      <w:keepLines w:val="0"/>
      <w:pageBreakBefore/>
      <w:widowControl/>
      <w:numPr>
        <w:ilvl w:val="0"/>
        <w:numId w:val="52"/>
      </w:numPr>
      <w:spacing w:before="0" w:after="240" w:line="240" w:lineRule="auto"/>
      <w:jc w:val="left"/>
    </w:pPr>
    <w:rPr>
      <w:rFonts w:ascii="宋体" w:hAnsi="宋体" w:cs="宋体"/>
      <w:bCs w:val="0"/>
      <w:kern w:val="0"/>
    </w:rPr>
  </w:style>
  <w:style w:type="character" w:customStyle="1" w:styleId="723">
    <w:name w:val="apple-style-span"/>
    <w:qFormat/>
    <w:uiPriority w:val="0"/>
    <w:rPr>
      <w:rFonts w:ascii="宋体" w:hAnsi="宋体" w:eastAsia="宋体"/>
      <w:sz w:val="22"/>
      <w:szCs w:val="22"/>
      <w:lang w:val="en-US" w:eastAsia="zh-CN" w:bidi="ar-SA"/>
    </w:rPr>
  </w:style>
  <w:style w:type="character" w:customStyle="1" w:styleId="724">
    <w:name w:val="apple-converted-space"/>
    <w:qFormat/>
    <w:uiPriority w:val="0"/>
    <w:rPr>
      <w:rFonts w:ascii="宋体" w:hAnsi="宋体" w:eastAsia="宋体"/>
      <w:sz w:val="22"/>
      <w:szCs w:val="22"/>
      <w:lang w:val="en-US" w:eastAsia="zh-CN" w:bidi="ar-SA"/>
    </w:rPr>
  </w:style>
  <w:style w:type="paragraph" w:customStyle="1" w:styleId="725">
    <w:name w:val="默认段落字体 Para Char Char"/>
    <w:basedOn w:val="1"/>
    <w:qFormat/>
    <w:uiPriority w:val="0"/>
    <w:pPr>
      <w:widowControl/>
    </w:pPr>
    <w:rPr>
      <w:rFonts w:ascii="Arial" w:hAnsi="Arial" w:cs="Arial"/>
      <w:kern w:val="0"/>
      <w:szCs w:val="21"/>
    </w:rPr>
  </w:style>
  <w:style w:type="character" w:customStyle="1" w:styleId="726">
    <w:name w:val="Default Char"/>
    <w:link w:val="98"/>
    <w:qFormat/>
    <w:uiPriority w:val="0"/>
    <w:rPr>
      <w:color w:val="000000"/>
      <w:sz w:val="24"/>
      <w:szCs w:val="24"/>
    </w:rPr>
  </w:style>
  <w:style w:type="paragraph" w:customStyle="1" w:styleId="727">
    <w:name w:val="CM182"/>
    <w:basedOn w:val="98"/>
    <w:next w:val="98"/>
    <w:qFormat/>
    <w:uiPriority w:val="0"/>
    <w:pPr>
      <w:widowControl/>
      <w:adjustRightInd/>
      <w:spacing w:after="283"/>
    </w:pPr>
    <w:rPr>
      <w:color w:val="auto"/>
    </w:rPr>
  </w:style>
  <w:style w:type="paragraph" w:customStyle="1" w:styleId="728">
    <w:name w:val="插图格式"/>
    <w:basedOn w:val="1"/>
    <w:qFormat/>
    <w:uiPriority w:val="0"/>
    <w:pPr>
      <w:widowControl/>
      <w:autoSpaceDE w:val="0"/>
      <w:autoSpaceDN w:val="0"/>
      <w:spacing w:after="120" w:line="360" w:lineRule="atLeast"/>
      <w:jc w:val="center"/>
    </w:pPr>
    <w:rPr>
      <w:kern w:val="0"/>
      <w:sz w:val="24"/>
    </w:rPr>
  </w:style>
  <w:style w:type="character" w:customStyle="1" w:styleId="729">
    <w:name w:val="正文（首行缩进两字） Char3"/>
    <w:qFormat/>
    <w:uiPriority w:val="0"/>
    <w:rPr>
      <w:rFonts w:ascii="宋体" w:hAnsi="宋体" w:eastAsia="宋体" w:cs="Times New Roman"/>
      <w:sz w:val="24"/>
      <w:szCs w:val="24"/>
    </w:rPr>
  </w:style>
  <w:style w:type="character" w:customStyle="1" w:styleId="730">
    <w:name w:val="bt3 Char"/>
    <w:qFormat/>
    <w:uiPriority w:val="0"/>
    <w:rPr>
      <w:rFonts w:ascii="Tahoma" w:hAnsi="Tahoma" w:eastAsia="宋体"/>
      <w:b/>
      <w:sz w:val="24"/>
      <w:szCs w:val="24"/>
      <w:lang w:val="en-US" w:eastAsia="zh-CN" w:bidi="ar-SA"/>
    </w:rPr>
  </w:style>
  <w:style w:type="paragraph" w:customStyle="1" w:styleId="731">
    <w:name w:val="表内文字（加粗居中）"/>
    <w:basedOn w:val="1"/>
    <w:qFormat/>
    <w:uiPriority w:val="0"/>
    <w:pPr>
      <w:widowControl/>
      <w:numPr>
        <w:ilvl w:val="0"/>
        <w:numId w:val="53"/>
      </w:numPr>
      <w:tabs>
        <w:tab w:val="clear" w:pos="432"/>
      </w:tabs>
      <w:spacing w:line="300" w:lineRule="auto"/>
      <w:ind w:left="0" w:firstLine="0"/>
      <w:jc w:val="center"/>
    </w:pPr>
    <w:rPr>
      <w:rFonts w:ascii="宋体" w:hAnsi="宋体" w:cs="宋体"/>
      <w:b/>
      <w:kern w:val="0"/>
      <w:szCs w:val="21"/>
    </w:rPr>
  </w:style>
  <w:style w:type="character" w:customStyle="1" w:styleId="732">
    <w:name w:val="Char Char51"/>
    <w:qFormat/>
    <w:uiPriority w:val="0"/>
    <w:rPr>
      <w:rFonts w:eastAsia="宋体"/>
      <w:sz w:val="21"/>
      <w:szCs w:val="21"/>
      <w:lang w:val="en-US" w:eastAsia="zh-CN" w:bidi="ar-SA"/>
    </w:rPr>
  </w:style>
  <w:style w:type="paragraph" w:customStyle="1" w:styleId="733">
    <w:name w:val="二级有编号文本"/>
    <w:basedOn w:val="84"/>
    <w:next w:val="84"/>
    <w:qFormat/>
    <w:uiPriority w:val="0"/>
    <w:pPr>
      <w:numPr>
        <w:ilvl w:val="0"/>
        <w:numId w:val="54"/>
      </w:numPr>
      <w:tabs>
        <w:tab w:val="left" w:pos="360"/>
        <w:tab w:val="clear" w:pos="227"/>
      </w:tabs>
      <w:spacing w:after="0" w:line="440" w:lineRule="exact"/>
      <w:ind w:left="420" w:firstLine="0"/>
    </w:pPr>
    <w:rPr>
      <w:sz w:val="24"/>
      <w:szCs w:val="24"/>
    </w:rPr>
  </w:style>
  <w:style w:type="table" w:customStyle="1" w:styleId="734">
    <w:name w:val="网格型11"/>
    <w:basedOn w:val="8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35">
    <w:name w:val="Heading 5 Char"/>
    <w:qFormat/>
    <w:uiPriority w:val="0"/>
    <w:rPr>
      <w:b/>
      <w:sz w:val="28"/>
      <w:szCs w:val="28"/>
    </w:rPr>
  </w:style>
  <w:style w:type="character" w:customStyle="1" w:styleId="736">
    <w:name w:val="Heading 4 Char"/>
    <w:qFormat/>
    <w:uiPriority w:val="0"/>
    <w:rPr>
      <w:rFonts w:ascii="Cambria" w:hAnsi="Cambria" w:eastAsia="宋体" w:cs="Times New Roman"/>
      <w:b/>
      <w:sz w:val="28"/>
      <w:szCs w:val="28"/>
    </w:rPr>
  </w:style>
  <w:style w:type="character" w:customStyle="1" w:styleId="737">
    <w:name w:val="批注引用1"/>
    <w:qFormat/>
    <w:uiPriority w:val="0"/>
    <w:rPr>
      <w:rFonts w:cs="Times New Roman"/>
      <w:sz w:val="21"/>
      <w:szCs w:val="21"/>
    </w:rPr>
  </w:style>
  <w:style w:type="character" w:customStyle="1" w:styleId="738">
    <w:name w:val="Heading 2 Char1"/>
    <w:qFormat/>
    <w:uiPriority w:val="0"/>
    <w:rPr>
      <w:rFonts w:ascii="Cambria" w:hAnsi="Cambria" w:eastAsia="宋体" w:cs="Times New Roman"/>
      <w:b/>
      <w:sz w:val="32"/>
      <w:szCs w:val="32"/>
    </w:rPr>
  </w:style>
  <w:style w:type="character" w:customStyle="1" w:styleId="739">
    <w:name w:val="页码1"/>
    <w:qFormat/>
    <w:uiPriority w:val="0"/>
    <w:rPr>
      <w:rFonts w:cs="Times New Roman"/>
    </w:rPr>
  </w:style>
  <w:style w:type="character" w:customStyle="1" w:styleId="740">
    <w:name w:val="st1"/>
    <w:qFormat/>
    <w:uiPriority w:val="0"/>
    <w:rPr>
      <w:rFonts w:cs="Times New Roman"/>
    </w:rPr>
  </w:style>
  <w:style w:type="character" w:customStyle="1" w:styleId="741">
    <w:name w:val="Heading 1 Char"/>
    <w:qFormat/>
    <w:uiPriority w:val="0"/>
    <w:rPr>
      <w:b/>
      <w:sz w:val="44"/>
      <w:szCs w:val="44"/>
    </w:rPr>
  </w:style>
  <w:style w:type="paragraph" w:customStyle="1" w:styleId="742">
    <w:name w:val="列出段落111"/>
    <w:basedOn w:val="1"/>
    <w:qFormat/>
    <w:uiPriority w:val="0"/>
    <w:pPr>
      <w:widowControl/>
      <w:ind w:firstLine="420"/>
    </w:pPr>
    <w:rPr>
      <w:rFonts w:ascii="Calibri" w:hAnsi="Calibri" w:cs="黑体"/>
      <w:kern w:val="0"/>
      <w:szCs w:val="21"/>
    </w:rPr>
  </w:style>
  <w:style w:type="paragraph" w:customStyle="1" w:styleId="743">
    <w:name w:val="文档结构图1"/>
    <w:basedOn w:val="1"/>
    <w:qFormat/>
    <w:uiPriority w:val="0"/>
    <w:pPr>
      <w:widowControl/>
    </w:pPr>
    <w:rPr>
      <w:rFonts w:ascii="宋体"/>
      <w:kern w:val="0"/>
      <w:sz w:val="18"/>
      <w:szCs w:val="18"/>
    </w:rPr>
  </w:style>
  <w:style w:type="character" w:customStyle="1" w:styleId="744">
    <w:name w:val="文档结构图 Char1"/>
    <w:qFormat/>
    <w:uiPriority w:val="0"/>
    <w:rPr>
      <w:sz w:val="21"/>
      <w:szCs w:val="21"/>
      <w:shd w:val="clear" w:color="000000" w:fill="000080"/>
    </w:rPr>
  </w:style>
  <w:style w:type="character" w:customStyle="1" w:styleId="745">
    <w:name w:val="程序片段 Char"/>
    <w:qFormat/>
    <w:uiPriority w:val="0"/>
    <w:rPr>
      <w:rFonts w:ascii="Courier New" w:hAnsi="Courier New" w:eastAsia="宋体"/>
      <w:sz w:val="24"/>
      <w:szCs w:val="24"/>
      <w:lang w:val="en-US" w:eastAsia="zh-CN" w:bidi="ar-SA"/>
    </w:rPr>
  </w:style>
  <w:style w:type="character" w:customStyle="1" w:styleId="746">
    <w:name w:val="short_text"/>
    <w:qFormat/>
    <w:uiPriority w:val="0"/>
  </w:style>
  <w:style w:type="character" w:customStyle="1" w:styleId="747">
    <w:name w:val="文档正文 Char Char Char Char Char Char Char"/>
    <w:qFormat/>
    <w:uiPriority w:val="0"/>
    <w:rPr>
      <w:rFonts w:ascii="Arial" w:hAnsi="Arial" w:eastAsia="宋体"/>
      <w:sz w:val="24"/>
      <w:szCs w:val="24"/>
      <w:lang w:val="en-US" w:eastAsia="zh-CN" w:bidi="ar-SA"/>
    </w:rPr>
  </w:style>
  <w:style w:type="character" w:customStyle="1" w:styleId="748">
    <w:name w:val="文档正文 Char Char Char Char Char Char Char1 Char Char Char Char"/>
    <w:link w:val="749"/>
    <w:qFormat/>
    <w:uiPriority w:val="0"/>
    <w:rPr>
      <w:rFonts w:ascii="Arial" w:hAnsi="Arial"/>
      <w:sz w:val="24"/>
      <w:szCs w:val="24"/>
    </w:rPr>
  </w:style>
  <w:style w:type="paragraph" w:customStyle="1" w:styleId="749">
    <w:name w:val="文档正文 Char Char Char Char Char Char Char1 Char Char Char"/>
    <w:basedOn w:val="1"/>
    <w:link w:val="748"/>
    <w:qFormat/>
    <w:uiPriority w:val="0"/>
    <w:pPr>
      <w:widowControl/>
      <w:spacing w:line="360" w:lineRule="auto"/>
    </w:pPr>
    <w:rPr>
      <w:rFonts w:ascii="Arial" w:hAnsi="Arial"/>
      <w:kern w:val="0"/>
      <w:sz w:val="24"/>
    </w:rPr>
  </w:style>
  <w:style w:type="character" w:customStyle="1" w:styleId="750">
    <w:name w:val="文档正文 Char Char1 Char Char Char1 Char Char Char Char"/>
    <w:link w:val="751"/>
    <w:qFormat/>
    <w:uiPriority w:val="0"/>
    <w:rPr>
      <w:rFonts w:ascii="Arial" w:hAnsi="Arial"/>
      <w:sz w:val="24"/>
      <w:szCs w:val="24"/>
    </w:rPr>
  </w:style>
  <w:style w:type="paragraph" w:customStyle="1" w:styleId="751">
    <w:name w:val="文档正文 Char Char1 Char Char Char1 Char Char Char"/>
    <w:basedOn w:val="1"/>
    <w:link w:val="750"/>
    <w:qFormat/>
    <w:uiPriority w:val="0"/>
    <w:pPr>
      <w:widowControl/>
      <w:spacing w:line="360" w:lineRule="auto"/>
    </w:pPr>
    <w:rPr>
      <w:rFonts w:ascii="Arial" w:hAnsi="Arial"/>
      <w:kern w:val="0"/>
      <w:sz w:val="24"/>
    </w:rPr>
  </w:style>
  <w:style w:type="character" w:customStyle="1" w:styleId="752">
    <w:name w:val="文档正文 Char Char1 Char Char Char"/>
    <w:qFormat/>
    <w:uiPriority w:val="0"/>
    <w:rPr>
      <w:rFonts w:ascii="Arial" w:hAnsi="Arial" w:eastAsia="宋体"/>
      <w:sz w:val="24"/>
      <w:szCs w:val="24"/>
      <w:lang w:val="en-US" w:eastAsia="zh-CN" w:bidi="ar-SA"/>
    </w:rPr>
  </w:style>
  <w:style w:type="character" w:customStyle="1" w:styleId="753">
    <w:name w:val="Char Char6"/>
    <w:qFormat/>
    <w:uiPriority w:val="0"/>
    <w:rPr>
      <w:rFonts w:ascii="Garamond" w:hAnsi="Garamond" w:eastAsia="宋体"/>
      <w:smallCaps/>
      <w:color w:val="333399"/>
      <w:sz w:val="21"/>
      <w:szCs w:val="21"/>
      <w:lang w:val="en-US" w:eastAsia="zh-CN" w:bidi="ar-SA"/>
    </w:rPr>
  </w:style>
  <w:style w:type="character" w:customStyle="1" w:styleId="754">
    <w:name w:val="Itali Courier"/>
    <w:qFormat/>
    <w:uiPriority w:val="0"/>
    <w:rPr>
      <w:rFonts w:ascii="Courier New" w:hAnsi="Courier New" w:eastAsia="宋体"/>
      <w:i/>
      <w:color w:val="auto"/>
      <w:sz w:val="24"/>
      <w:szCs w:val="24"/>
      <w:u w:val="none"/>
    </w:rPr>
  </w:style>
  <w:style w:type="character" w:customStyle="1" w:styleId="755">
    <w:name w:val="word"/>
    <w:qFormat/>
    <w:uiPriority w:val="0"/>
  </w:style>
  <w:style w:type="character" w:customStyle="1" w:styleId="756">
    <w:name w:val="样式 标题 2H2H21H22H23H24H25H26H27H28H29H210H211H212H2...2 Char Char Char Char Char Char Char Char Char Char Char Char Char Char Char Char"/>
    <w:qFormat/>
    <w:uiPriority w:val="0"/>
    <w:rPr>
      <w:rFonts w:ascii="Arial" w:hAnsi="Arial" w:eastAsia="宋体" w:cs="Arial"/>
      <w:b/>
      <w:caps/>
      <w:sz w:val="24"/>
      <w:szCs w:val="24"/>
      <w:lang w:val="en-US" w:eastAsia="zh-CN" w:bidi="ar-SA"/>
    </w:rPr>
  </w:style>
  <w:style w:type="paragraph" w:customStyle="1" w:styleId="757">
    <w:name w:val="正文 5"/>
    <w:qFormat/>
    <w:uiPriority w:val="0"/>
    <w:pPr>
      <w:tabs>
        <w:tab w:val="left" w:pos="1800"/>
        <w:tab w:val="left" w:pos="2880"/>
        <w:tab w:val="left" w:pos="3960"/>
        <w:tab w:val="left" w:pos="5040"/>
        <w:tab w:val="left" w:pos="6120"/>
        <w:tab w:val="left" w:pos="7200"/>
      </w:tabs>
      <w:ind w:left="1701"/>
    </w:pPr>
    <w:rPr>
      <w:rFonts w:ascii="Times New Roman" w:hAnsi="Times New Roman" w:eastAsia="宋体" w:cs="Times New Roman"/>
      <w:lang w:val="en-US" w:eastAsia="zh-CN" w:bidi="ar-SA"/>
    </w:rPr>
  </w:style>
  <w:style w:type="paragraph" w:customStyle="1" w:styleId="758">
    <w:name w:val="正文 4"/>
    <w:qFormat/>
    <w:uiPriority w:val="0"/>
    <w:pPr>
      <w:tabs>
        <w:tab w:val="left" w:pos="1800"/>
        <w:tab w:val="left" w:pos="2880"/>
        <w:tab w:val="left" w:pos="3960"/>
        <w:tab w:val="left" w:pos="5040"/>
        <w:tab w:val="left" w:pos="6120"/>
        <w:tab w:val="left" w:pos="7200"/>
      </w:tabs>
    </w:pPr>
    <w:rPr>
      <w:rFonts w:ascii="Times New Roman" w:hAnsi="Times New Roman" w:eastAsia="宋体" w:cs="Times New Roman"/>
      <w:lang w:val="en-US" w:eastAsia="zh-CN" w:bidi="ar-SA"/>
    </w:rPr>
  </w:style>
  <w:style w:type="paragraph" w:customStyle="1" w:styleId="759">
    <w:name w:val="正文 3"/>
    <w:basedOn w:val="1"/>
    <w:qFormat/>
    <w:uiPriority w:val="0"/>
    <w:pPr>
      <w:widowControl/>
      <w:tabs>
        <w:tab w:val="left" w:pos="1800"/>
        <w:tab w:val="left" w:pos="2880"/>
        <w:tab w:val="left" w:pos="3960"/>
        <w:tab w:val="left" w:pos="5040"/>
        <w:tab w:val="left" w:pos="6120"/>
        <w:tab w:val="left" w:pos="7200"/>
      </w:tabs>
      <w:spacing w:before="120" w:line="360" w:lineRule="exact"/>
      <w:ind w:left="851"/>
    </w:pPr>
    <w:rPr>
      <w:rFonts w:ascii="Garamond" w:hAnsi="Garamond" w:eastAsia="楷体_GB2312"/>
      <w:kern w:val="0"/>
      <w:sz w:val="24"/>
    </w:rPr>
  </w:style>
  <w:style w:type="paragraph" w:customStyle="1" w:styleId="760">
    <w:name w:val="封面日期"/>
    <w:basedOn w:val="1"/>
    <w:qFormat/>
    <w:uiPriority w:val="0"/>
    <w:pPr>
      <w:widowControl/>
      <w:spacing w:before="240" w:line="480" w:lineRule="exact"/>
      <w:jc w:val="center"/>
    </w:pPr>
    <w:rPr>
      <w:rFonts w:ascii="Garamond" w:hAnsi="Garamond" w:eastAsia="楷体_GB2312"/>
      <w:b/>
      <w:kern w:val="0"/>
      <w:sz w:val="32"/>
      <w:szCs w:val="32"/>
    </w:rPr>
  </w:style>
  <w:style w:type="paragraph" w:customStyle="1" w:styleId="761">
    <w:name w:val="封面版本号"/>
    <w:basedOn w:val="1"/>
    <w:qFormat/>
    <w:uiPriority w:val="0"/>
    <w:pPr>
      <w:widowControl/>
      <w:spacing w:before="240"/>
      <w:jc w:val="center"/>
    </w:pPr>
    <w:rPr>
      <w:rFonts w:eastAsia="楷体_GB2312"/>
      <w:b/>
      <w:kern w:val="0"/>
      <w:sz w:val="32"/>
      <w:szCs w:val="32"/>
    </w:rPr>
  </w:style>
  <w:style w:type="paragraph" w:customStyle="1" w:styleId="762">
    <w:name w:val="封面左上角标题"/>
    <w:basedOn w:val="1"/>
    <w:qFormat/>
    <w:uiPriority w:val="0"/>
    <w:pPr>
      <w:widowControl/>
      <w:spacing w:before="360"/>
    </w:pPr>
    <w:rPr>
      <w:rFonts w:eastAsia="楷体_GB2312"/>
      <w:b/>
      <w:kern w:val="0"/>
      <w:sz w:val="32"/>
      <w:szCs w:val="32"/>
    </w:rPr>
  </w:style>
  <w:style w:type="paragraph" w:customStyle="1" w:styleId="763">
    <w:name w:val="项目符号缩进"/>
    <w:basedOn w:val="1"/>
    <w:qFormat/>
    <w:uiPriority w:val="0"/>
    <w:pPr>
      <w:widowControl/>
      <w:overflowPunct w:val="0"/>
      <w:autoSpaceDE w:val="0"/>
      <w:autoSpaceDN w:val="0"/>
      <w:spacing w:line="360" w:lineRule="auto"/>
      <w:jc w:val="left"/>
    </w:pPr>
    <w:rPr>
      <w:rFonts w:ascii="Arial"/>
      <w:kern w:val="0"/>
      <w:sz w:val="24"/>
    </w:rPr>
  </w:style>
  <w:style w:type="paragraph" w:customStyle="1" w:styleId="764">
    <w:name w:val="文档正文 Char Char Char Char"/>
    <w:basedOn w:val="1"/>
    <w:qFormat/>
    <w:uiPriority w:val="0"/>
    <w:pPr>
      <w:widowControl/>
      <w:spacing w:line="360" w:lineRule="auto"/>
    </w:pPr>
    <w:rPr>
      <w:rFonts w:ascii="Arial" w:hAnsi="Arial"/>
      <w:kern w:val="0"/>
      <w:sz w:val="24"/>
    </w:rPr>
  </w:style>
  <w:style w:type="paragraph" w:customStyle="1" w:styleId="765">
    <w:name w:val="z-窗体顶端1"/>
    <w:basedOn w:val="1"/>
    <w:next w:val="1"/>
    <w:link w:val="766"/>
    <w:qFormat/>
    <w:uiPriority w:val="0"/>
    <w:pPr>
      <w:widowControl/>
      <w:pBdr>
        <w:bottom w:val="single" w:color="000000" w:sz="6" w:space="1"/>
      </w:pBdr>
      <w:jc w:val="center"/>
    </w:pPr>
    <w:rPr>
      <w:rFonts w:ascii="Arial" w:hAnsi="Arial" w:cs="Arial"/>
      <w:vanish/>
      <w:kern w:val="0"/>
      <w:sz w:val="16"/>
      <w:szCs w:val="16"/>
    </w:rPr>
  </w:style>
  <w:style w:type="character" w:customStyle="1" w:styleId="766">
    <w:name w:val="z-窗体顶端 Char"/>
    <w:basedOn w:val="89"/>
    <w:link w:val="765"/>
    <w:qFormat/>
    <w:uiPriority w:val="0"/>
    <w:rPr>
      <w:rFonts w:ascii="Arial" w:hAnsi="Arial" w:cs="Arial"/>
      <w:vanish/>
      <w:sz w:val="16"/>
      <w:szCs w:val="16"/>
    </w:rPr>
  </w:style>
  <w:style w:type="paragraph" w:customStyle="1" w:styleId="767">
    <w:name w:val="列表编号 1"/>
    <w:basedOn w:val="20"/>
    <w:qFormat/>
    <w:uiPriority w:val="0"/>
    <w:pPr>
      <w:numPr>
        <w:ilvl w:val="0"/>
        <w:numId w:val="0"/>
      </w:numPr>
      <w:spacing w:line="360" w:lineRule="exact"/>
    </w:pPr>
    <w:rPr>
      <w:rFonts w:ascii="Garamond" w:hAnsi="Garamond" w:eastAsia="楷体_GB2312"/>
    </w:rPr>
  </w:style>
  <w:style w:type="paragraph" w:customStyle="1" w:styleId="768">
    <w:name w:val="列表项目符号 1"/>
    <w:basedOn w:val="24"/>
    <w:qFormat/>
    <w:uiPriority w:val="0"/>
    <w:pPr>
      <w:tabs>
        <w:tab w:val="clear" w:pos="748"/>
      </w:tabs>
      <w:spacing w:line="360" w:lineRule="exact"/>
      <w:ind w:left="0"/>
    </w:pPr>
    <w:rPr>
      <w:rFonts w:ascii="Garamond" w:hAnsi="Garamond" w:eastAsia="楷体_GB2312"/>
      <w:sz w:val="24"/>
      <w:szCs w:val="24"/>
    </w:rPr>
  </w:style>
  <w:style w:type="paragraph" w:customStyle="1" w:styleId="769">
    <w:name w:val="附录"/>
    <w:basedOn w:val="1"/>
    <w:qFormat/>
    <w:uiPriority w:val="0"/>
    <w:pPr>
      <w:widowControl/>
      <w:spacing w:before="600" w:after="400" w:line="480" w:lineRule="exact"/>
      <w:ind w:left="75"/>
      <w:jc w:val="center"/>
      <w:outlineLvl w:val="0"/>
    </w:pPr>
    <w:rPr>
      <w:rFonts w:ascii="Arial" w:hAnsi="Arial" w:eastAsia="楷体_GB2312"/>
      <w:b/>
      <w:kern w:val="0"/>
      <w:sz w:val="48"/>
      <w:szCs w:val="48"/>
    </w:rPr>
  </w:style>
  <w:style w:type="paragraph" w:customStyle="1" w:styleId="770">
    <w:name w:val="样式 标题 5dashdsddh5H5ITT t5PA Pico Section5H5-Heading 5l..."/>
    <w:basedOn w:val="7"/>
    <w:qFormat/>
    <w:uiPriority w:val="0"/>
    <w:pPr>
      <w:keepNext w:val="0"/>
      <w:keepLines w:val="0"/>
      <w:widowControl/>
      <w:tabs>
        <w:tab w:val="left" w:pos="992"/>
      </w:tabs>
      <w:ind w:left="992" w:hanging="992"/>
      <w:outlineLvl w:val="1"/>
    </w:pPr>
    <w:rPr>
      <w:rFonts w:ascii="Arial" w:hAnsi="Arial"/>
      <w:b w:val="0"/>
      <w:bCs w:val="0"/>
      <w:kern w:val="0"/>
      <w:sz w:val="24"/>
      <w:szCs w:val="24"/>
    </w:rPr>
  </w:style>
  <w:style w:type="paragraph" w:customStyle="1" w:styleId="771">
    <w:name w:val="文档正文 Char Char1"/>
    <w:basedOn w:val="1"/>
    <w:qFormat/>
    <w:uiPriority w:val="0"/>
    <w:pPr>
      <w:widowControl/>
      <w:spacing w:line="360" w:lineRule="auto"/>
    </w:pPr>
    <w:rPr>
      <w:rFonts w:ascii="Arial" w:hAnsi="Arial"/>
      <w:kern w:val="0"/>
      <w:sz w:val="24"/>
    </w:rPr>
  </w:style>
  <w:style w:type="paragraph" w:customStyle="1" w:styleId="772">
    <w:name w:val="1 Char Char Char Char Char Char Char"/>
    <w:basedOn w:val="1"/>
    <w:qFormat/>
    <w:uiPriority w:val="0"/>
    <w:pPr>
      <w:widowControl/>
      <w:jc w:val="left"/>
    </w:pPr>
    <w:rPr>
      <w:rFonts w:ascii="Tahoma" w:hAnsi="Tahoma"/>
      <w:kern w:val="0"/>
      <w:sz w:val="24"/>
    </w:rPr>
  </w:style>
  <w:style w:type="paragraph" w:customStyle="1" w:styleId="773">
    <w:name w:val="Char Char Char Char1"/>
    <w:basedOn w:val="1"/>
    <w:qFormat/>
    <w:uiPriority w:val="0"/>
    <w:pPr>
      <w:widowControl/>
      <w:jc w:val="left"/>
    </w:pPr>
    <w:rPr>
      <w:rFonts w:ascii="Tahoma" w:hAnsi="Tahoma"/>
      <w:kern w:val="0"/>
      <w:sz w:val="24"/>
    </w:rPr>
  </w:style>
  <w:style w:type="paragraph" w:customStyle="1" w:styleId="774">
    <w:name w:val="正文文字的字体"/>
    <w:basedOn w:val="1"/>
    <w:qFormat/>
    <w:uiPriority w:val="0"/>
    <w:pPr>
      <w:widowControl/>
      <w:snapToGrid w:val="0"/>
      <w:ind w:firstLine="200"/>
    </w:pPr>
    <w:rPr>
      <w:color w:val="000000"/>
      <w:kern w:val="0"/>
      <w:szCs w:val="21"/>
    </w:rPr>
  </w:style>
  <w:style w:type="paragraph" w:customStyle="1" w:styleId="775">
    <w:name w:val="Char Char Char Char Char Char Char Char Char Char Char Char Char Char Char Char Char Char Char Char"/>
    <w:basedOn w:val="1"/>
    <w:qFormat/>
    <w:uiPriority w:val="0"/>
    <w:pPr>
      <w:widowControl/>
      <w:jc w:val="left"/>
    </w:pPr>
    <w:rPr>
      <w:rFonts w:ascii="Tahoma" w:hAnsi="Tahoma"/>
      <w:kern w:val="0"/>
      <w:sz w:val="24"/>
    </w:rPr>
  </w:style>
  <w:style w:type="paragraph" w:customStyle="1" w:styleId="776">
    <w:name w:val="封面软件名称"/>
    <w:basedOn w:val="1"/>
    <w:next w:val="1"/>
    <w:qFormat/>
    <w:uiPriority w:val="0"/>
    <w:pPr>
      <w:widowControl/>
      <w:pBdr>
        <w:bottom w:val="threeDEngrave" w:color="000000" w:sz="48" w:space="1"/>
      </w:pBdr>
      <w:spacing w:before="3600"/>
      <w:jc w:val="center"/>
    </w:pPr>
    <w:rPr>
      <w:rFonts w:ascii="Garamond" w:hAnsi="Garamond" w:eastAsia="楷体_GB2312"/>
      <w:b/>
      <w:kern w:val="0"/>
      <w:sz w:val="52"/>
      <w:szCs w:val="52"/>
    </w:rPr>
  </w:style>
  <w:style w:type="paragraph" w:customStyle="1" w:styleId="777">
    <w:name w:val="样式 标题 2H2H21H22H23H24H25H26H27H28H29H210H211H212H2..."/>
    <w:basedOn w:val="4"/>
    <w:qFormat/>
    <w:uiPriority w:val="0"/>
    <w:pPr>
      <w:keepNext w:val="0"/>
      <w:keepLines w:val="0"/>
      <w:widowControl/>
      <w:tabs>
        <w:tab w:val="left" w:pos="0"/>
        <w:tab w:val="left" w:pos="567"/>
      </w:tabs>
      <w:spacing w:before="120" w:after="156" w:line="240" w:lineRule="auto"/>
      <w:ind w:left="567" w:hanging="567"/>
    </w:pPr>
    <w:rPr>
      <w:rFonts w:eastAsia="宋体" w:cs="Arial"/>
      <w:bCs w:val="0"/>
      <w:caps/>
      <w:color w:val="000000"/>
      <w:kern w:val="0"/>
      <w:sz w:val="24"/>
      <w:szCs w:val="24"/>
    </w:rPr>
  </w:style>
  <w:style w:type="paragraph" w:customStyle="1" w:styleId="778">
    <w:name w:val="form caption 9pt"/>
    <w:basedOn w:val="1"/>
    <w:qFormat/>
    <w:uiPriority w:val="0"/>
    <w:pPr>
      <w:widowControl/>
      <w:overflowPunct w:val="0"/>
      <w:autoSpaceDE w:val="0"/>
      <w:autoSpaceDN w:val="0"/>
      <w:spacing w:before="40" w:after="40"/>
      <w:jc w:val="center"/>
    </w:pPr>
    <w:rPr>
      <w:rFonts w:ascii="MingLiU" w:eastAsia="MingLiU"/>
      <w:b/>
      <w:caps/>
      <w:kern w:val="0"/>
      <w:sz w:val="18"/>
      <w:szCs w:val="18"/>
      <w:lang w:eastAsia="zh-TW"/>
    </w:rPr>
  </w:style>
  <w:style w:type="paragraph" w:customStyle="1" w:styleId="779">
    <w:name w:val="Char Char Char Char Char Char Char Char Char Char Char Char Char Char Char Char Char Char Char Char1"/>
    <w:basedOn w:val="1"/>
    <w:qFormat/>
    <w:uiPriority w:val="0"/>
    <w:pPr>
      <w:widowControl/>
      <w:jc w:val="left"/>
    </w:pPr>
    <w:rPr>
      <w:rFonts w:ascii="Tahoma" w:hAnsi="Tahoma"/>
      <w:kern w:val="0"/>
      <w:sz w:val="24"/>
    </w:rPr>
  </w:style>
  <w:style w:type="paragraph" w:customStyle="1" w:styleId="780">
    <w:name w:val="Char Char Char Char Char Char Char Char Char Char Char Char Char Char Char Char Char Char Char Char1 Char Char Char Char"/>
    <w:basedOn w:val="1"/>
    <w:qFormat/>
    <w:uiPriority w:val="0"/>
    <w:pPr>
      <w:widowControl/>
      <w:jc w:val="left"/>
    </w:pPr>
    <w:rPr>
      <w:rFonts w:ascii="Tahoma" w:hAnsi="Tahoma"/>
      <w:kern w:val="0"/>
      <w:sz w:val="24"/>
    </w:rPr>
  </w:style>
  <w:style w:type="paragraph" w:customStyle="1" w:styleId="781">
    <w:name w:val="封面公司名称"/>
    <w:basedOn w:val="21"/>
    <w:qFormat/>
    <w:uiPriority w:val="0"/>
    <w:pPr>
      <w:widowControl/>
      <w:autoSpaceDE/>
      <w:autoSpaceDN/>
      <w:adjustRightInd/>
      <w:spacing w:before="400" w:line="400" w:lineRule="exact"/>
      <w:ind w:firstLine="0"/>
      <w:jc w:val="center"/>
    </w:pPr>
    <w:rPr>
      <w:rFonts w:ascii="Garamond" w:hAnsi="Garamond" w:eastAsia="宋体"/>
      <w:b/>
      <w:sz w:val="30"/>
      <w:szCs w:val="30"/>
    </w:rPr>
  </w:style>
  <w:style w:type="paragraph" w:customStyle="1" w:styleId="782">
    <w:name w:val="版权声明"/>
    <w:basedOn w:val="1"/>
    <w:qFormat/>
    <w:uiPriority w:val="0"/>
    <w:pPr>
      <w:pageBreakBefore/>
      <w:widowControl/>
      <w:spacing w:before="600" w:after="1200" w:line="360" w:lineRule="exact"/>
      <w:jc w:val="center"/>
      <w:outlineLvl w:val="0"/>
    </w:pPr>
    <w:rPr>
      <w:rFonts w:ascii="Garamond" w:hAnsi="Garamond" w:eastAsia="楷体_GB2312"/>
      <w:b/>
      <w:kern w:val="0"/>
      <w:sz w:val="48"/>
      <w:szCs w:val="48"/>
    </w:rPr>
  </w:style>
  <w:style w:type="paragraph" w:customStyle="1" w:styleId="783">
    <w:name w:val="Char Char Char Char Char Char Char Char Char Char Char Char Char Char Char Char Char Char Char Char Char Char Char Char"/>
    <w:basedOn w:val="1"/>
    <w:qFormat/>
    <w:uiPriority w:val="0"/>
    <w:pPr>
      <w:widowControl/>
      <w:jc w:val="left"/>
    </w:pPr>
    <w:rPr>
      <w:rFonts w:ascii="Tahoma" w:hAnsi="Tahoma"/>
      <w:kern w:val="0"/>
      <w:sz w:val="24"/>
    </w:rPr>
  </w:style>
  <w:style w:type="paragraph" w:customStyle="1" w:styleId="784">
    <w:name w:val="程序片段"/>
    <w:basedOn w:val="1"/>
    <w:qFormat/>
    <w:uiPriority w:val="0"/>
    <w:pPr>
      <w:widowControl/>
      <w:shd w:val="pct10" w:color="000000" w:fill="FFFFFF"/>
      <w:tabs>
        <w:tab w:val="left" w:pos="1080"/>
      </w:tabs>
      <w:spacing w:line="240" w:lineRule="atLeast"/>
      <w:ind w:left="851"/>
    </w:pPr>
    <w:rPr>
      <w:rFonts w:ascii="Courier New" w:hAnsi="Courier New"/>
      <w:kern w:val="0"/>
      <w:sz w:val="24"/>
    </w:rPr>
  </w:style>
  <w:style w:type="paragraph" w:customStyle="1" w:styleId="785">
    <w:name w:val="副题"/>
    <w:basedOn w:val="1"/>
    <w:next w:val="1"/>
    <w:qFormat/>
    <w:uiPriority w:val="0"/>
    <w:pPr>
      <w:widowControl/>
      <w:spacing w:after="600" w:line="360" w:lineRule="exact"/>
      <w:jc w:val="right"/>
    </w:pPr>
    <w:rPr>
      <w:rFonts w:ascii="Garamond" w:hAnsi="Garamond" w:eastAsia="楷体_GB2312"/>
      <w:b/>
      <w:spacing w:val="20"/>
      <w:kern w:val="0"/>
      <w:sz w:val="30"/>
      <w:szCs w:val="30"/>
    </w:rPr>
  </w:style>
  <w:style w:type="paragraph" w:customStyle="1" w:styleId="786">
    <w:name w:val="问题"/>
    <w:basedOn w:val="1"/>
    <w:qFormat/>
    <w:uiPriority w:val="0"/>
    <w:pPr>
      <w:widowControl/>
      <w:tabs>
        <w:tab w:val="left" w:pos="360"/>
      </w:tabs>
      <w:spacing w:before="120" w:line="360" w:lineRule="exact"/>
      <w:ind w:left="360" w:hanging="360"/>
      <w:outlineLvl w:val="1"/>
    </w:pPr>
    <w:rPr>
      <w:rFonts w:ascii="Garamond" w:hAnsi="Garamond" w:eastAsia="楷体_GB2312"/>
      <w:b/>
      <w:kern w:val="0"/>
      <w:sz w:val="24"/>
    </w:rPr>
  </w:style>
  <w:style w:type="paragraph" w:customStyle="1" w:styleId="787">
    <w:name w:val="Char Char Char Char Char Char Char Char Char Char Char Char Char Char Char Char Char Char Char Char Char Char Char Char Char Char Char Char Char Char"/>
    <w:basedOn w:val="1"/>
    <w:qFormat/>
    <w:uiPriority w:val="0"/>
    <w:pPr>
      <w:widowControl/>
      <w:jc w:val="left"/>
    </w:pPr>
    <w:rPr>
      <w:rFonts w:ascii="Tahoma" w:hAnsi="Tahoma"/>
      <w:kern w:val="0"/>
      <w:sz w:val="24"/>
    </w:rPr>
  </w:style>
  <w:style w:type="paragraph" w:customStyle="1" w:styleId="788">
    <w:name w:val="z-窗体底端1"/>
    <w:basedOn w:val="1"/>
    <w:next w:val="1"/>
    <w:link w:val="789"/>
    <w:qFormat/>
    <w:uiPriority w:val="0"/>
    <w:pPr>
      <w:widowControl/>
      <w:pBdr>
        <w:top w:val="single" w:color="000000" w:sz="6" w:space="1"/>
      </w:pBdr>
      <w:jc w:val="center"/>
    </w:pPr>
    <w:rPr>
      <w:rFonts w:ascii="Arial" w:hAnsi="Arial" w:cs="Arial"/>
      <w:vanish/>
      <w:kern w:val="0"/>
      <w:sz w:val="16"/>
      <w:szCs w:val="16"/>
    </w:rPr>
  </w:style>
  <w:style w:type="character" w:customStyle="1" w:styleId="789">
    <w:name w:val="z-窗体底端 Char"/>
    <w:basedOn w:val="89"/>
    <w:link w:val="788"/>
    <w:qFormat/>
    <w:uiPriority w:val="0"/>
    <w:rPr>
      <w:rFonts w:ascii="Arial" w:hAnsi="Arial" w:cs="Arial"/>
      <w:vanish/>
      <w:sz w:val="16"/>
      <w:szCs w:val="16"/>
    </w:rPr>
  </w:style>
  <w:style w:type="paragraph" w:customStyle="1" w:styleId="790">
    <w:name w:val="批注框文本1"/>
    <w:basedOn w:val="1"/>
    <w:qFormat/>
    <w:uiPriority w:val="0"/>
    <w:pPr>
      <w:widowControl/>
    </w:pPr>
    <w:rPr>
      <w:kern w:val="0"/>
      <w:sz w:val="16"/>
      <w:szCs w:val="16"/>
    </w:rPr>
  </w:style>
  <w:style w:type="paragraph" w:customStyle="1" w:styleId="791">
    <w:name w:val="样式 标题 5H5PIM 5dashdsddRoman listh5heading 5Block Label..."/>
    <w:basedOn w:val="6"/>
    <w:next w:val="7"/>
    <w:qFormat/>
    <w:uiPriority w:val="0"/>
    <w:pPr>
      <w:keepNext w:val="0"/>
      <w:widowControl/>
      <w:tabs>
        <w:tab w:val="left" w:pos="2268"/>
      </w:tabs>
      <w:spacing w:before="280" w:after="290" w:line="372" w:lineRule="auto"/>
      <w:ind w:left="2268" w:hanging="992"/>
    </w:pPr>
    <w:rPr>
      <w:rFonts w:ascii="Garamond" w:hAnsi="Garamond" w:eastAsia="楷体_GB2312" w:cs="宋体"/>
      <w:b/>
      <w:kern w:val="0"/>
      <w:sz w:val="24"/>
      <w:szCs w:val="24"/>
    </w:rPr>
  </w:style>
  <w:style w:type="paragraph" w:customStyle="1" w:styleId="792">
    <w:name w:val="Char Char Char"/>
    <w:basedOn w:val="1"/>
    <w:qFormat/>
    <w:uiPriority w:val="0"/>
    <w:pPr>
      <w:widowControl/>
      <w:jc w:val="left"/>
    </w:pPr>
    <w:rPr>
      <w:rFonts w:ascii="Tahoma" w:hAnsi="Tahoma"/>
      <w:kern w:val="0"/>
      <w:sz w:val="24"/>
    </w:rPr>
  </w:style>
  <w:style w:type="paragraph" w:customStyle="1" w:styleId="793">
    <w:name w:val="Char Char Char Char Char Char Char Char Char Char Char Char Char Char Char Char Char Char Char Char1 Char Char"/>
    <w:basedOn w:val="1"/>
    <w:qFormat/>
    <w:uiPriority w:val="0"/>
    <w:pPr>
      <w:widowControl/>
      <w:jc w:val="left"/>
    </w:pPr>
    <w:rPr>
      <w:rFonts w:ascii="Tahoma" w:hAnsi="Tahoma"/>
      <w:kern w:val="0"/>
      <w:sz w:val="24"/>
    </w:rPr>
  </w:style>
  <w:style w:type="paragraph" w:customStyle="1" w:styleId="794">
    <w:name w:val="Char Char Char Char Char Char Char Char Char Char Char Char Char Char Char Char Char Char"/>
    <w:basedOn w:val="1"/>
    <w:qFormat/>
    <w:uiPriority w:val="0"/>
    <w:pPr>
      <w:widowControl/>
      <w:jc w:val="left"/>
    </w:pPr>
    <w:rPr>
      <w:rFonts w:ascii="Tahoma" w:hAnsi="Tahoma"/>
      <w:kern w:val="0"/>
      <w:sz w:val="24"/>
    </w:rPr>
  </w:style>
  <w:style w:type="paragraph" w:customStyle="1" w:styleId="795">
    <w:name w:val="正文wh Char Char Char Char"/>
    <w:basedOn w:val="1"/>
    <w:qFormat/>
    <w:uiPriority w:val="0"/>
    <w:pPr>
      <w:widowControl/>
      <w:spacing w:line="360" w:lineRule="auto"/>
      <w:ind w:firstLine="200"/>
    </w:pPr>
    <w:rPr>
      <w:rFonts w:ascii="Tahoma" w:hAnsi="Tahoma"/>
      <w:kern w:val="0"/>
      <w:sz w:val="24"/>
    </w:rPr>
  </w:style>
  <w:style w:type="character" w:customStyle="1" w:styleId="796">
    <w:name w:val="标题5 Char"/>
    <w:link w:val="584"/>
    <w:qFormat/>
    <w:uiPriority w:val="0"/>
    <w:rPr>
      <w:b/>
      <w:sz w:val="28"/>
      <w:szCs w:val="28"/>
    </w:rPr>
  </w:style>
  <w:style w:type="paragraph" w:customStyle="1" w:styleId="797">
    <w:name w:val="新正文【规划】"/>
    <w:basedOn w:val="1"/>
    <w:link w:val="798"/>
    <w:qFormat/>
    <w:uiPriority w:val="0"/>
    <w:pPr>
      <w:widowControl/>
      <w:spacing w:line="360" w:lineRule="auto"/>
      <w:ind w:firstLine="177"/>
    </w:pPr>
    <w:rPr>
      <w:rFonts w:ascii="Calibri" w:hAnsi="Calibri"/>
      <w:kern w:val="0"/>
      <w:sz w:val="24"/>
    </w:rPr>
  </w:style>
  <w:style w:type="character" w:customStyle="1" w:styleId="798">
    <w:name w:val="新正文【规划】 Char"/>
    <w:link w:val="797"/>
    <w:qFormat/>
    <w:uiPriority w:val="0"/>
    <w:rPr>
      <w:rFonts w:ascii="Calibri" w:hAnsi="Calibri"/>
      <w:sz w:val="24"/>
      <w:szCs w:val="24"/>
    </w:rPr>
  </w:style>
  <w:style w:type="paragraph" w:customStyle="1" w:styleId="799">
    <w:name w:val="dy4"/>
    <w:basedOn w:val="5"/>
    <w:qFormat/>
    <w:uiPriority w:val="0"/>
    <w:pPr>
      <w:keepNext w:val="0"/>
      <w:keepLines w:val="0"/>
      <w:widowControl/>
      <w:tabs>
        <w:tab w:val="left" w:pos="300"/>
        <w:tab w:val="left" w:pos="851"/>
      </w:tabs>
      <w:autoSpaceDE/>
      <w:autoSpaceDN/>
      <w:adjustRightInd/>
      <w:spacing w:before="260" w:after="260" w:line="415" w:lineRule="auto"/>
      <w:ind w:left="851" w:hanging="851"/>
      <w:jc w:val="left"/>
    </w:pPr>
    <w:rPr>
      <w:rFonts w:ascii="Times New Roman" w:eastAsia="宋体"/>
      <w:b/>
      <w:sz w:val="30"/>
      <w:szCs w:val="30"/>
    </w:rPr>
  </w:style>
  <w:style w:type="paragraph" w:customStyle="1" w:styleId="800">
    <w:name w:val="样式17"/>
    <w:basedOn w:val="22"/>
    <w:qFormat/>
    <w:uiPriority w:val="0"/>
    <w:pPr>
      <w:widowControl/>
      <w:numPr>
        <w:ilvl w:val="0"/>
        <w:numId w:val="55"/>
      </w:numPr>
      <w:tabs>
        <w:tab w:val="left" w:pos="360"/>
        <w:tab w:val="left" w:pos="2000"/>
        <w:tab w:val="clear" w:pos="1701"/>
      </w:tabs>
      <w:spacing w:before="120" w:after="360"/>
      <w:ind w:left="0" w:firstLine="0"/>
      <w:jc w:val="center"/>
    </w:pPr>
    <w:rPr>
      <w:rFonts w:ascii="Arial" w:hAnsi="Arial" w:eastAsia="宋体"/>
      <w:kern w:val="0"/>
      <w:sz w:val="18"/>
      <w:szCs w:val="18"/>
      <w:lang w:eastAsia="en-US"/>
    </w:rPr>
  </w:style>
  <w:style w:type="paragraph" w:customStyle="1" w:styleId="801">
    <w:name w:val="图位"/>
    <w:basedOn w:val="561"/>
    <w:qFormat/>
    <w:uiPriority w:val="0"/>
    <w:pPr>
      <w:tabs>
        <w:tab w:val="left" w:pos="0"/>
        <w:tab w:val="clear" w:pos="1247"/>
      </w:tabs>
      <w:ind w:left="0"/>
      <w:jc w:val="center"/>
    </w:pPr>
    <w:rPr>
      <w:lang w:val="pt-BR" w:eastAsia="zh-CN"/>
    </w:rPr>
  </w:style>
  <w:style w:type="character" w:customStyle="1" w:styleId="802">
    <w:name w:val="标题2 Char"/>
    <w:link w:val="542"/>
    <w:qFormat/>
    <w:uiPriority w:val="0"/>
    <w:rPr>
      <w:rFonts w:ascii="Arial" w:hAnsi="Arial" w:cs="Arial"/>
      <w:b/>
      <w:spacing w:val="20"/>
      <w:sz w:val="28"/>
      <w:szCs w:val="28"/>
      <w:lang w:eastAsia="en-US"/>
    </w:rPr>
  </w:style>
  <w:style w:type="character" w:customStyle="1" w:styleId="803">
    <w:name w:val="标题3 Char"/>
    <w:link w:val="543"/>
    <w:qFormat/>
    <w:uiPriority w:val="0"/>
    <w:rPr>
      <w:rFonts w:ascii="Arial" w:hAnsi="Arial"/>
      <w:b/>
      <w:spacing w:val="20"/>
      <w:sz w:val="24"/>
      <w:szCs w:val="24"/>
      <w:lang w:val="pt-BR"/>
    </w:rPr>
  </w:style>
  <w:style w:type="paragraph" w:customStyle="1" w:styleId="804">
    <w:name w:val="8 Char Char Char Char Char Char Char"/>
    <w:basedOn w:val="26"/>
    <w:qFormat/>
    <w:uiPriority w:val="0"/>
    <w:pPr>
      <w:widowControl/>
      <w:shd w:val="clear" w:color="000000" w:fill="000080"/>
      <w:spacing w:line="436" w:lineRule="exact"/>
      <w:ind w:left="357" w:leftChars="357"/>
      <w:jc w:val="left"/>
      <w:outlineLvl w:val="3"/>
    </w:pPr>
    <w:rPr>
      <w:rFonts w:ascii="Tahoma" w:hAnsi="Tahoma"/>
      <w:b/>
      <w:kern w:val="0"/>
      <w:sz w:val="24"/>
      <w:szCs w:val="24"/>
    </w:rPr>
  </w:style>
  <w:style w:type="character" w:customStyle="1" w:styleId="805">
    <w:name w:val="批注引用11"/>
    <w:qFormat/>
    <w:uiPriority w:val="0"/>
    <w:rPr>
      <w:rFonts w:cs="Times New Roman"/>
      <w:sz w:val="21"/>
      <w:szCs w:val="21"/>
    </w:rPr>
  </w:style>
  <w:style w:type="character" w:customStyle="1" w:styleId="806">
    <w:name w:val="页码11"/>
    <w:qFormat/>
    <w:uiPriority w:val="0"/>
    <w:rPr>
      <w:rFonts w:cs="Times New Roman"/>
    </w:rPr>
  </w:style>
  <w:style w:type="paragraph" w:customStyle="1" w:styleId="807">
    <w:name w:val="列出段落11"/>
    <w:basedOn w:val="1"/>
    <w:qFormat/>
    <w:uiPriority w:val="0"/>
    <w:pPr>
      <w:widowControl/>
      <w:ind w:firstLine="420"/>
    </w:pPr>
    <w:rPr>
      <w:rFonts w:ascii="Calibri" w:hAnsi="Calibri" w:cs="黑体"/>
      <w:kern w:val="0"/>
      <w:szCs w:val="21"/>
    </w:rPr>
  </w:style>
  <w:style w:type="paragraph" w:customStyle="1" w:styleId="808">
    <w:name w:val="文档结构图11"/>
    <w:basedOn w:val="1"/>
    <w:qFormat/>
    <w:uiPriority w:val="0"/>
    <w:pPr>
      <w:widowControl/>
    </w:pPr>
    <w:rPr>
      <w:rFonts w:ascii="宋体"/>
      <w:kern w:val="0"/>
      <w:sz w:val="18"/>
      <w:szCs w:val="18"/>
    </w:rPr>
  </w:style>
  <w:style w:type="character" w:customStyle="1" w:styleId="809">
    <w:name w:val="Body Char"/>
    <w:qFormat/>
    <w:uiPriority w:val="0"/>
    <w:rPr>
      <w:rFonts w:ascii="Arial" w:hAnsi="Arial"/>
      <w:sz w:val="21"/>
      <w:szCs w:val="21"/>
      <w:lang w:eastAsia="en-US"/>
    </w:rPr>
  </w:style>
  <w:style w:type="paragraph" w:customStyle="1" w:styleId="810">
    <w:name w:val="Char Char1 Char1"/>
    <w:basedOn w:val="1"/>
    <w:qFormat/>
    <w:uiPriority w:val="0"/>
    <w:pPr>
      <w:widowControl/>
    </w:pPr>
    <w:rPr>
      <w:rFonts w:ascii="Tahoma" w:hAnsi="Tahoma"/>
      <w:kern w:val="0"/>
      <w:sz w:val="24"/>
    </w:rPr>
  </w:style>
  <w:style w:type="paragraph" w:customStyle="1" w:styleId="811">
    <w:name w:val="Item List in Table"/>
    <w:basedOn w:val="1"/>
    <w:qFormat/>
    <w:uiPriority w:val="0"/>
    <w:pPr>
      <w:widowControl/>
      <w:numPr>
        <w:ilvl w:val="0"/>
        <w:numId w:val="56"/>
      </w:numPr>
      <w:snapToGrid w:val="0"/>
      <w:spacing w:before="80" w:after="80" w:line="240" w:lineRule="atLeast"/>
      <w:ind w:firstLine="0"/>
      <w:jc w:val="left"/>
    </w:pPr>
    <w:rPr>
      <w:rFonts w:ascii="Arial" w:hAnsi="Arial" w:cs="Arial"/>
      <w:kern w:val="0"/>
      <w:szCs w:val="21"/>
    </w:rPr>
  </w:style>
  <w:style w:type="character" w:customStyle="1" w:styleId="812">
    <w:name w:val="列表编号 字符"/>
    <w:link w:val="20"/>
    <w:qFormat/>
    <w:uiPriority w:val="0"/>
    <w:rPr>
      <w:sz w:val="24"/>
      <w:szCs w:val="24"/>
    </w:rPr>
  </w:style>
  <w:style w:type="table" w:customStyle="1" w:styleId="813">
    <w:name w:val="网格型111"/>
    <w:basedOn w:val="85"/>
    <w:qFormat/>
    <w:uiPriority w:val="0"/>
    <w:pPr>
      <w:spacing w:after="120" w:line="240" w:lineRule="atLeas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4">
    <w:name w:val="网格型1111"/>
    <w:basedOn w:val="8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15">
    <w:name w:val="表格样式1"/>
    <w:basedOn w:val="85"/>
    <w:semiHidden/>
    <w:qFormat/>
    <w:uiPriority w:val="0"/>
    <w:pPr>
      <w:spacing w:after="120" w:line="360" w:lineRule="auto"/>
      <w:jc w:val="both"/>
    </w:pPr>
    <w:tblPr>
      <w:tblBorders>
        <w:top w:val="single" w:color="008000" w:sz="12" w:space="0"/>
        <w:left w:val="single" w:color="008000" w:sz="12" w:space="0"/>
        <w:bottom w:val="single" w:color="008000" w:sz="12" w:space="0"/>
        <w:right w:val="single" w:color="008000" w:sz="12" w:space="0"/>
        <w:insideH w:val="single" w:color="008000" w:sz="2" w:space="0"/>
        <w:insideV w:val="single" w:color="008000" w:sz="2" w:space="0"/>
      </w:tblBorders>
    </w:tblPr>
    <w:tcPr>
      <w:shd w:val="clear" w:color="000000" w:fill="auto"/>
    </w:tcPr>
    <w:tblStylePr w:type="firstRow">
      <w:rPr>
        <w:b w:val="0"/>
      </w:rPr>
      <w:tcPr>
        <w:tcBorders>
          <w:bottom w:val="single" w:color="008000" w:sz="6" w:space="0"/>
          <w:tl2br w:val="nil"/>
          <w:tr2bl w:val="nil"/>
        </w:tcBorders>
        <w:shd w:val="clear" w:color="000000" w:fill="E6E6E6"/>
      </w:tcPr>
    </w:tblStylePr>
    <w:tblStylePr w:type="lastRow">
      <w:tcPr>
        <w:tcBorders>
          <w:top w:val="single" w:color="008000" w:sz="6" w:space="0"/>
          <w:tl2br w:val="nil"/>
          <w:tr2bl w:val="nil"/>
        </w:tcBorders>
      </w:tcPr>
    </w:tblStylePr>
  </w:style>
  <w:style w:type="paragraph" w:customStyle="1" w:styleId="816">
    <w:name w:val="QB 正文"/>
    <w:basedOn w:val="1"/>
    <w:link w:val="817"/>
    <w:qFormat/>
    <w:uiPriority w:val="0"/>
    <w:pPr>
      <w:widowControl/>
      <w:overflowPunct w:val="0"/>
      <w:autoSpaceDE w:val="0"/>
      <w:autoSpaceDN w:val="0"/>
      <w:spacing w:line="360" w:lineRule="auto"/>
      <w:ind w:firstLine="400"/>
      <w:jc w:val="left"/>
    </w:pPr>
    <w:rPr>
      <w:rFonts w:ascii="ˎ̥" w:hAnsi="ˎ̥"/>
      <w:kern w:val="0"/>
      <w:sz w:val="24"/>
    </w:rPr>
  </w:style>
  <w:style w:type="character" w:customStyle="1" w:styleId="817">
    <w:name w:val="QB 正文 Char"/>
    <w:link w:val="816"/>
    <w:qFormat/>
    <w:uiPriority w:val="0"/>
    <w:rPr>
      <w:rFonts w:ascii="ˎ̥" w:hAnsi="ˎ̥"/>
      <w:sz w:val="24"/>
      <w:szCs w:val="24"/>
    </w:rPr>
  </w:style>
  <w:style w:type="paragraph" w:customStyle="1" w:styleId="818">
    <w:name w:val="文档内容"/>
    <w:basedOn w:val="1"/>
    <w:qFormat/>
    <w:uiPriority w:val="0"/>
    <w:pPr>
      <w:widowControl/>
      <w:spacing w:line="360" w:lineRule="auto"/>
      <w:ind w:firstLine="200"/>
    </w:pPr>
    <w:rPr>
      <w:kern w:val="0"/>
      <w:sz w:val="24"/>
    </w:rPr>
  </w:style>
  <w:style w:type="paragraph" w:customStyle="1" w:styleId="819">
    <w:name w:val="xl6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820">
    <w:name w:val="图段落"/>
    <w:next w:val="1"/>
    <w:qFormat/>
    <w:uiPriority w:val="0"/>
    <w:pPr>
      <w:spacing w:before="60" w:after="120"/>
      <w:jc w:val="center"/>
    </w:pPr>
    <w:rPr>
      <w:rFonts w:ascii="Times New Roman" w:hAnsi="Times New Roman" w:eastAsia="宋体" w:cs="Times New Roman"/>
      <w:sz w:val="24"/>
      <w:szCs w:val="24"/>
      <w:lang w:val="en-US" w:eastAsia="zh-CN" w:bidi="ar-SA"/>
    </w:rPr>
  </w:style>
  <w:style w:type="paragraph" w:customStyle="1" w:styleId="821">
    <w:name w:val="编号1级"/>
    <w:link w:val="822"/>
    <w:qFormat/>
    <w:uiPriority w:val="0"/>
    <w:pPr>
      <w:numPr>
        <w:ilvl w:val="0"/>
        <w:numId w:val="57"/>
      </w:numPr>
      <w:snapToGrid w:val="0"/>
      <w:spacing w:before="60" w:line="360" w:lineRule="auto"/>
    </w:pPr>
    <w:rPr>
      <w:rFonts w:ascii="Times New Roman" w:hAnsi="Times New Roman" w:eastAsia="宋体" w:cs="Times New Roman"/>
      <w:sz w:val="24"/>
      <w:szCs w:val="24"/>
      <w:lang w:val="en-US" w:eastAsia="zh-CN" w:bidi="ar-SA"/>
    </w:rPr>
  </w:style>
  <w:style w:type="character" w:customStyle="1" w:styleId="822">
    <w:name w:val="编号1级 Char"/>
    <w:link w:val="821"/>
    <w:qFormat/>
    <w:uiPriority w:val="0"/>
    <w:rPr>
      <w:sz w:val="24"/>
      <w:szCs w:val="24"/>
    </w:rPr>
  </w:style>
  <w:style w:type="paragraph" w:customStyle="1" w:styleId="823">
    <w:name w:val="Style 正文（首行缩进）2 + First line:  2 ch"/>
    <w:basedOn w:val="1"/>
    <w:link w:val="824"/>
    <w:qFormat/>
    <w:uiPriority w:val="0"/>
    <w:pPr>
      <w:widowControl/>
      <w:spacing w:before="100" w:beforeAutospacing="1" w:after="100" w:afterAutospacing="1" w:line="300" w:lineRule="auto"/>
      <w:ind w:firstLine="200"/>
      <w:jc w:val="left"/>
    </w:pPr>
    <w:rPr>
      <w:rFonts w:ascii="Arial" w:hAnsi="Arial"/>
      <w:kern w:val="0"/>
      <w:sz w:val="24"/>
    </w:rPr>
  </w:style>
  <w:style w:type="character" w:customStyle="1" w:styleId="824">
    <w:name w:val="Style 正文（首行缩进）2 + First line:  2 ch Char"/>
    <w:link w:val="823"/>
    <w:qFormat/>
    <w:uiPriority w:val="0"/>
    <w:rPr>
      <w:rFonts w:ascii="Arial" w:hAnsi="Arial"/>
      <w:sz w:val="24"/>
      <w:szCs w:val="24"/>
    </w:rPr>
  </w:style>
  <w:style w:type="paragraph" w:customStyle="1" w:styleId="825">
    <w:name w:val="样式 正文首行缩进 2 + 左"/>
    <w:basedOn w:val="84"/>
    <w:qFormat/>
    <w:uiPriority w:val="0"/>
    <w:pPr>
      <w:spacing w:after="0" w:line="360" w:lineRule="auto"/>
      <w:ind w:left="0" w:leftChars="0" w:firstLine="0"/>
      <w:jc w:val="left"/>
    </w:pPr>
    <w:rPr>
      <w:rFonts w:cs="宋体"/>
      <w:sz w:val="24"/>
      <w:szCs w:val="24"/>
    </w:rPr>
  </w:style>
  <w:style w:type="paragraph" w:customStyle="1" w:styleId="826">
    <w:name w:val="样式 标题 2h2Heading 2 HiddenHeading 2 CCBSl2heading 2I22nd l...1"/>
    <w:basedOn w:val="4"/>
    <w:qFormat/>
    <w:uiPriority w:val="0"/>
    <w:pPr>
      <w:keepNext w:val="0"/>
      <w:keepLines w:val="0"/>
      <w:widowControl/>
      <w:numPr>
        <w:ilvl w:val="0"/>
        <w:numId w:val="58"/>
      </w:numPr>
      <w:tabs>
        <w:tab w:val="left" w:pos="0"/>
        <w:tab w:val="left" w:pos="425"/>
      </w:tabs>
      <w:spacing w:before="0" w:after="0" w:line="360" w:lineRule="auto"/>
      <w:ind w:left="537" w:hanging="537"/>
      <w:jc w:val="left"/>
    </w:pPr>
    <w:rPr>
      <w:rFonts w:ascii="Times New Roman" w:hAnsi="Times New Roman" w:eastAsia="宋体" w:cs="宋体"/>
      <w:bCs w:val="0"/>
      <w:smallCaps/>
      <w:color w:val="000000"/>
      <w:kern w:val="0"/>
      <w:sz w:val="28"/>
      <w:szCs w:val="28"/>
      <w:lang w:bidi="en-US"/>
    </w:rPr>
  </w:style>
  <w:style w:type="paragraph" w:customStyle="1" w:styleId="827">
    <w:name w:val="样式 标题 1H1h1PIM 11.123321H11H12H111H13H1121Huvudrubri..."/>
    <w:basedOn w:val="3"/>
    <w:qFormat/>
    <w:uiPriority w:val="0"/>
    <w:pPr>
      <w:keepNext w:val="0"/>
      <w:keepLines w:val="0"/>
      <w:pageBreakBefore/>
      <w:widowControl/>
      <w:numPr>
        <w:ilvl w:val="0"/>
        <w:numId w:val="59"/>
      </w:numPr>
      <w:tabs>
        <w:tab w:val="left" w:pos="567"/>
      </w:tabs>
      <w:ind w:left="567" w:firstLine="0"/>
      <w:contextualSpacing/>
      <w:jc w:val="left"/>
    </w:pPr>
    <w:rPr>
      <w:rFonts w:ascii="Arial" w:hAnsi="Arial"/>
      <w:b w:val="0"/>
      <w:bCs w:val="0"/>
      <w:smallCaps/>
      <w:spacing w:val="5"/>
      <w:kern w:val="0"/>
      <w:position w:val="6"/>
      <w:lang w:eastAsia="en-US" w:bidi="en-US"/>
    </w:rPr>
  </w:style>
  <w:style w:type="paragraph" w:customStyle="1" w:styleId="828">
    <w:name w:val="正文首行缩进（绿盟科技）"/>
    <w:basedOn w:val="1"/>
    <w:link w:val="829"/>
    <w:qFormat/>
    <w:uiPriority w:val="0"/>
    <w:pPr>
      <w:widowControl/>
      <w:spacing w:after="50" w:line="300" w:lineRule="auto"/>
      <w:jc w:val="left"/>
    </w:pPr>
    <w:rPr>
      <w:rFonts w:ascii="Arial" w:hAnsi="Arial"/>
      <w:kern w:val="0"/>
      <w:szCs w:val="21"/>
      <w:lang w:eastAsia="en-US" w:bidi="en-US"/>
    </w:rPr>
  </w:style>
  <w:style w:type="character" w:customStyle="1" w:styleId="829">
    <w:name w:val="正文首行缩进（绿盟科技） Char"/>
    <w:link w:val="828"/>
    <w:qFormat/>
    <w:uiPriority w:val="0"/>
    <w:rPr>
      <w:rFonts w:ascii="Arial" w:hAnsi="Arial"/>
      <w:sz w:val="21"/>
      <w:szCs w:val="21"/>
      <w:lang w:eastAsia="en-US" w:bidi="en-US"/>
    </w:rPr>
  </w:style>
  <w:style w:type="paragraph" w:customStyle="1" w:styleId="830">
    <w:name w:val="标题 1（绿盟科技）"/>
    <w:basedOn w:val="3"/>
    <w:next w:val="1"/>
    <w:qFormat/>
    <w:uiPriority w:val="0"/>
    <w:pPr>
      <w:keepNext w:val="0"/>
      <w:keepLines w:val="0"/>
      <w:pageBreakBefore/>
      <w:widowControl/>
      <w:pBdr>
        <w:bottom w:val="single" w:color="000000" w:sz="48" w:space="1"/>
      </w:pBdr>
      <w:spacing w:before="600" w:line="576" w:lineRule="auto"/>
      <w:ind w:left="907" w:hanging="907"/>
      <w:jc w:val="left"/>
    </w:pPr>
    <w:rPr>
      <w:rFonts w:ascii="Arial" w:hAnsi="Arial" w:eastAsia="黑体"/>
      <w:bCs w:val="0"/>
      <w:kern w:val="0"/>
    </w:rPr>
  </w:style>
  <w:style w:type="paragraph" w:customStyle="1" w:styleId="831">
    <w:name w:val="标题 2（绿盟科技）"/>
    <w:basedOn w:val="4"/>
    <w:next w:val="1"/>
    <w:qFormat/>
    <w:uiPriority w:val="0"/>
    <w:pPr>
      <w:keepNext w:val="0"/>
      <w:keepLines w:val="0"/>
      <w:widowControl/>
      <w:tabs>
        <w:tab w:val="left" w:pos="0"/>
      </w:tabs>
      <w:spacing w:line="415" w:lineRule="auto"/>
      <w:ind w:left="907" w:hanging="907"/>
      <w:jc w:val="left"/>
    </w:pPr>
    <w:rPr>
      <w:bCs w:val="0"/>
      <w:kern w:val="0"/>
    </w:rPr>
  </w:style>
  <w:style w:type="paragraph" w:customStyle="1" w:styleId="832">
    <w:name w:val="标题 3（绿盟科技）"/>
    <w:basedOn w:val="5"/>
    <w:next w:val="1"/>
    <w:qFormat/>
    <w:uiPriority w:val="0"/>
    <w:pPr>
      <w:keepNext w:val="0"/>
      <w:keepLines w:val="0"/>
      <w:widowControl/>
      <w:tabs>
        <w:tab w:val="left" w:pos="960"/>
      </w:tabs>
      <w:autoSpaceDE/>
      <w:autoSpaceDN/>
      <w:adjustRightInd/>
      <w:spacing w:before="260" w:after="260" w:line="415" w:lineRule="auto"/>
      <w:ind w:left="907" w:hanging="907"/>
      <w:jc w:val="left"/>
    </w:pPr>
    <w:rPr>
      <w:rFonts w:ascii="Arial" w:hAnsi="Arial"/>
      <w:b/>
      <w:sz w:val="30"/>
      <w:szCs w:val="30"/>
    </w:rPr>
  </w:style>
  <w:style w:type="paragraph" w:customStyle="1" w:styleId="833">
    <w:name w:val="标题 4（绿盟科技）"/>
    <w:basedOn w:val="6"/>
    <w:next w:val="1"/>
    <w:qFormat/>
    <w:uiPriority w:val="0"/>
    <w:pPr>
      <w:keepNext w:val="0"/>
      <w:widowControl/>
      <w:numPr>
        <w:ilvl w:val="0"/>
        <w:numId w:val="60"/>
      </w:numPr>
      <w:spacing w:before="280" w:after="156" w:line="376" w:lineRule="auto"/>
      <w:jc w:val="left"/>
    </w:pPr>
    <w:rPr>
      <w:rFonts w:ascii="Arial" w:hAnsi="Arial" w:eastAsia="黑体"/>
      <w:b/>
      <w:kern w:val="0"/>
      <w:sz w:val="24"/>
      <w:szCs w:val="24"/>
    </w:rPr>
  </w:style>
  <w:style w:type="paragraph" w:customStyle="1" w:styleId="834">
    <w:name w:val="标题 5（有编号）（绿盟科技）"/>
    <w:basedOn w:val="1"/>
    <w:next w:val="1"/>
    <w:qFormat/>
    <w:uiPriority w:val="0"/>
    <w:pPr>
      <w:widowControl/>
      <w:numPr>
        <w:ilvl w:val="4"/>
        <w:numId w:val="60"/>
      </w:numPr>
      <w:spacing w:before="280" w:after="156" w:line="376" w:lineRule="auto"/>
      <w:ind w:firstLine="0"/>
      <w:jc w:val="left"/>
      <w:outlineLvl w:val="4"/>
    </w:pPr>
    <w:rPr>
      <w:rFonts w:ascii="Arial" w:hAnsi="Arial" w:eastAsia="黑体"/>
      <w:b/>
      <w:kern w:val="0"/>
      <w:sz w:val="24"/>
    </w:rPr>
  </w:style>
  <w:style w:type="paragraph" w:customStyle="1" w:styleId="835">
    <w:name w:val="标题 6（有编号）（绿盟科技）"/>
    <w:basedOn w:val="1"/>
    <w:next w:val="1"/>
    <w:qFormat/>
    <w:uiPriority w:val="0"/>
    <w:pPr>
      <w:widowControl/>
      <w:numPr>
        <w:ilvl w:val="5"/>
        <w:numId w:val="60"/>
      </w:numPr>
      <w:spacing w:before="240" w:after="64" w:line="319" w:lineRule="auto"/>
      <w:ind w:firstLine="0"/>
      <w:jc w:val="left"/>
      <w:outlineLvl w:val="5"/>
    </w:pPr>
    <w:rPr>
      <w:rFonts w:ascii="Arial" w:hAnsi="Arial" w:eastAsia="黑体"/>
      <w:b/>
      <w:kern w:val="0"/>
      <w:szCs w:val="21"/>
    </w:rPr>
  </w:style>
  <w:style w:type="paragraph" w:customStyle="1" w:styleId="836">
    <w:name w:val="插图标注（绿盟科技）"/>
    <w:next w:val="1"/>
    <w:qFormat/>
    <w:uiPriority w:val="0"/>
    <w:pPr>
      <w:numPr>
        <w:ilvl w:val="6"/>
        <w:numId w:val="60"/>
      </w:numPr>
      <w:spacing w:after="156"/>
      <w:jc w:val="center"/>
    </w:pPr>
    <w:rPr>
      <w:rFonts w:ascii="Arial" w:hAnsi="Arial" w:eastAsia="宋体" w:cs="Arial"/>
      <w:sz w:val="21"/>
      <w:szCs w:val="21"/>
      <w:lang w:val="en-US" w:eastAsia="zh-CN" w:bidi="ar-SA"/>
    </w:rPr>
  </w:style>
  <w:style w:type="paragraph" w:customStyle="1" w:styleId="837">
    <w:name w:val="表格标注（绿盟科技）"/>
    <w:basedOn w:val="836"/>
    <w:next w:val="1"/>
    <w:qFormat/>
    <w:uiPriority w:val="0"/>
    <w:pPr>
      <w:numPr>
        <w:ilvl w:val="0"/>
        <w:numId w:val="0"/>
      </w:numPr>
    </w:pPr>
  </w:style>
  <w:style w:type="paragraph" w:customStyle="1" w:styleId="838">
    <w:name w:val="正文（绿盟科技）"/>
    <w:link w:val="839"/>
    <w:qFormat/>
    <w:uiPriority w:val="0"/>
    <w:pPr>
      <w:spacing w:line="300" w:lineRule="auto"/>
    </w:pPr>
    <w:rPr>
      <w:rFonts w:ascii="Arial" w:hAnsi="Arial" w:eastAsia="宋体" w:cs="Times New Roman"/>
      <w:sz w:val="21"/>
      <w:szCs w:val="21"/>
      <w:lang w:val="en-US" w:eastAsia="zh-CN" w:bidi="ar-SA"/>
    </w:rPr>
  </w:style>
  <w:style w:type="character" w:customStyle="1" w:styleId="839">
    <w:name w:val="正文（绿盟科技） Char"/>
    <w:link w:val="838"/>
    <w:qFormat/>
    <w:uiPriority w:val="0"/>
    <w:rPr>
      <w:rFonts w:ascii="Arial" w:hAnsi="Arial"/>
      <w:sz w:val="21"/>
      <w:szCs w:val="21"/>
    </w:rPr>
  </w:style>
  <w:style w:type="paragraph" w:customStyle="1" w:styleId="840">
    <w:name w:val="列表（符号一级）（绿盟科技）"/>
    <w:basedOn w:val="838"/>
    <w:link w:val="842"/>
    <w:qFormat/>
    <w:uiPriority w:val="0"/>
    <w:pPr>
      <w:numPr>
        <w:ilvl w:val="0"/>
        <w:numId w:val="61"/>
      </w:numPr>
    </w:pPr>
  </w:style>
  <w:style w:type="paragraph" w:customStyle="1" w:styleId="841">
    <w:name w:val="列表（符号二级）（绿盟科技）"/>
    <w:basedOn w:val="840"/>
    <w:qFormat/>
    <w:uiPriority w:val="0"/>
    <w:pPr>
      <w:numPr>
        <w:numId w:val="0"/>
      </w:numPr>
      <w:tabs>
        <w:tab w:val="left" w:pos="360"/>
        <w:tab w:val="left" w:pos="737"/>
      </w:tabs>
      <w:ind w:left="576" w:hanging="576"/>
    </w:pPr>
  </w:style>
  <w:style w:type="character" w:customStyle="1" w:styleId="842">
    <w:name w:val="列表（符号一级）（绿盟科技） Char"/>
    <w:link w:val="840"/>
    <w:qFormat/>
    <w:uiPriority w:val="0"/>
    <w:rPr>
      <w:rFonts w:ascii="Arial" w:hAnsi="Arial"/>
      <w:sz w:val="21"/>
      <w:szCs w:val="21"/>
    </w:rPr>
  </w:style>
  <w:style w:type="paragraph" w:customStyle="1" w:styleId="843">
    <w:name w:val="xl6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spacing w:before="100" w:beforeAutospacing="1" w:after="100" w:afterAutospacing="1"/>
      <w:jc w:val="left"/>
    </w:pPr>
    <w:rPr>
      <w:rFonts w:ascii="宋体" w:hAnsi="宋体" w:cs="宋体"/>
      <w:b/>
      <w:kern w:val="0"/>
      <w:sz w:val="20"/>
      <w:szCs w:val="20"/>
    </w:rPr>
  </w:style>
  <w:style w:type="paragraph" w:customStyle="1" w:styleId="844">
    <w:name w:val="xl88"/>
    <w:basedOn w:val="1"/>
    <w:qFormat/>
    <w:uiPriority w:val="0"/>
    <w:pPr>
      <w:widowControl/>
      <w:pBdr>
        <w:top w:val="single" w:color="000000" w:sz="4" w:space="0"/>
        <w:left w:val="single" w:color="000000" w:sz="4" w:space="0"/>
        <w:bottom w:val="single" w:color="000000" w:sz="8" w:space="0"/>
        <w:right w:val="single" w:color="000000" w:sz="4" w:space="0"/>
      </w:pBdr>
      <w:spacing w:before="100" w:beforeAutospacing="1" w:after="100" w:afterAutospacing="1"/>
      <w:jc w:val="center"/>
    </w:pPr>
    <w:rPr>
      <w:rFonts w:ascii="宋体" w:hAnsi="宋体" w:cs="宋体"/>
      <w:b/>
      <w:kern w:val="0"/>
      <w:sz w:val="20"/>
      <w:szCs w:val="20"/>
    </w:rPr>
  </w:style>
  <w:style w:type="paragraph" w:customStyle="1" w:styleId="845">
    <w:name w:val="xl89"/>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846">
    <w:name w:val="xl90"/>
    <w:basedOn w:val="1"/>
    <w:qFormat/>
    <w:uiPriority w:val="0"/>
    <w:pPr>
      <w:widowControl/>
      <w:pBdr>
        <w:top w:val="single" w:color="000000" w:sz="8" w:space="0"/>
        <w:left w:val="single" w:color="000000" w:sz="8"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847">
    <w:name w:val="xl91"/>
    <w:basedOn w:val="1"/>
    <w:qFormat/>
    <w:uiPriority w:val="0"/>
    <w:pPr>
      <w:widowControl/>
      <w:pBdr>
        <w:left w:val="single" w:color="000000" w:sz="8"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848">
    <w:name w:val="xl92"/>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b/>
      <w:kern w:val="0"/>
      <w:sz w:val="20"/>
      <w:szCs w:val="20"/>
    </w:rPr>
  </w:style>
  <w:style w:type="paragraph" w:customStyle="1" w:styleId="849">
    <w:name w:val="xl93"/>
    <w:basedOn w:val="1"/>
    <w:qFormat/>
    <w:uiPriority w:val="0"/>
    <w:pPr>
      <w:widowControl/>
      <w:pBdr>
        <w:left w:val="single" w:color="000000" w:sz="4" w:space="0"/>
        <w:right w:val="single" w:color="000000" w:sz="4" w:space="0"/>
      </w:pBdr>
      <w:spacing w:before="100" w:beforeAutospacing="1" w:after="100" w:afterAutospacing="1"/>
      <w:jc w:val="left"/>
    </w:pPr>
    <w:rPr>
      <w:rFonts w:ascii="宋体" w:hAnsi="宋体" w:cs="宋体"/>
      <w:b/>
      <w:kern w:val="0"/>
      <w:sz w:val="20"/>
      <w:szCs w:val="20"/>
    </w:rPr>
  </w:style>
  <w:style w:type="paragraph" w:customStyle="1" w:styleId="850">
    <w:name w:val="xl9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b/>
      <w:kern w:val="0"/>
      <w:sz w:val="20"/>
      <w:szCs w:val="20"/>
    </w:rPr>
  </w:style>
  <w:style w:type="paragraph" w:customStyle="1" w:styleId="851">
    <w:name w:val="xl95"/>
    <w:basedOn w:val="1"/>
    <w:qFormat/>
    <w:uiPriority w:val="0"/>
    <w:pPr>
      <w:widowControl/>
      <w:pBdr>
        <w:top w:val="single" w:color="000000" w:sz="4" w:space="0"/>
        <w:left w:val="single" w:color="000000" w:sz="8"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852">
    <w:name w:val="xl96"/>
    <w:basedOn w:val="1"/>
    <w:qFormat/>
    <w:uiPriority w:val="0"/>
    <w:pPr>
      <w:widowControl/>
      <w:pBdr>
        <w:left w:val="single" w:color="000000" w:sz="8"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853">
    <w:name w:val="xl97"/>
    <w:basedOn w:val="1"/>
    <w:qFormat/>
    <w:uiPriority w:val="0"/>
    <w:pPr>
      <w:widowControl/>
      <w:pBdr>
        <w:left w:val="single" w:color="000000" w:sz="8" w:space="0"/>
        <w:bottom w:val="single" w:color="000000" w:sz="8"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854">
    <w:name w:val="xl9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855">
    <w:name w:val="xl9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856">
    <w:name w:val="font7"/>
    <w:basedOn w:val="1"/>
    <w:qFormat/>
    <w:uiPriority w:val="0"/>
    <w:pPr>
      <w:widowControl/>
      <w:spacing w:before="100" w:beforeAutospacing="1" w:after="100" w:afterAutospacing="1"/>
      <w:jc w:val="left"/>
    </w:pPr>
    <w:rPr>
      <w:rFonts w:ascii="Verdana" w:hAnsi="Verdana" w:cs="宋体"/>
      <w:kern w:val="0"/>
      <w:sz w:val="20"/>
      <w:szCs w:val="20"/>
    </w:rPr>
  </w:style>
  <w:style w:type="paragraph" w:customStyle="1" w:styleId="857">
    <w:name w:val="font8"/>
    <w:basedOn w:val="1"/>
    <w:qFormat/>
    <w:uiPriority w:val="0"/>
    <w:pPr>
      <w:widowControl/>
      <w:spacing w:before="100" w:beforeAutospacing="1" w:after="100" w:afterAutospacing="1"/>
      <w:jc w:val="left"/>
    </w:pPr>
    <w:rPr>
      <w:rFonts w:ascii="宋体" w:hAnsi="宋体" w:cs="宋体"/>
      <w:b/>
      <w:kern w:val="0"/>
      <w:sz w:val="20"/>
      <w:szCs w:val="20"/>
    </w:rPr>
  </w:style>
  <w:style w:type="paragraph" w:customStyle="1" w:styleId="858">
    <w:name w:val="font9"/>
    <w:basedOn w:val="1"/>
    <w:qFormat/>
    <w:uiPriority w:val="0"/>
    <w:pPr>
      <w:widowControl/>
      <w:spacing w:before="100" w:beforeAutospacing="1" w:after="100" w:afterAutospacing="1"/>
      <w:jc w:val="left"/>
    </w:pPr>
    <w:rPr>
      <w:rFonts w:ascii="宋体" w:hAnsi="宋体" w:cs="宋体"/>
      <w:kern w:val="0"/>
      <w:sz w:val="20"/>
      <w:szCs w:val="20"/>
    </w:rPr>
  </w:style>
  <w:style w:type="character" w:customStyle="1" w:styleId="859">
    <w:name w:val="文档正文 Char1"/>
    <w:qFormat/>
    <w:uiPriority w:val="0"/>
    <w:rPr>
      <w:rFonts w:ascii="宋体" w:eastAsia="宋体"/>
      <w:sz w:val="21"/>
      <w:szCs w:val="21"/>
      <w:lang w:val="en-US" w:eastAsia="zh-CN" w:bidi="ar-SA"/>
    </w:rPr>
  </w:style>
  <w:style w:type="paragraph" w:customStyle="1" w:styleId="86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861">
    <w:name w:val="样式 标题 2h2Heading 2 HiddenHeading 2 CCBSheading 2第一章 标题 2H2..."/>
    <w:basedOn w:val="4"/>
    <w:qFormat/>
    <w:uiPriority w:val="0"/>
    <w:pPr>
      <w:keepNext w:val="0"/>
      <w:keepLines w:val="0"/>
      <w:widowControl/>
      <w:numPr>
        <w:ilvl w:val="0"/>
        <w:numId w:val="38"/>
      </w:numPr>
      <w:tabs>
        <w:tab w:val="left" w:pos="0"/>
        <w:tab w:val="left" w:pos="567"/>
        <w:tab w:val="left" w:pos="576"/>
      </w:tabs>
      <w:spacing w:before="120" w:after="0" w:line="180" w:lineRule="auto"/>
      <w:jc w:val="left"/>
    </w:pPr>
    <w:rPr>
      <w:rFonts w:ascii="宋体" w:hAnsi="宋体" w:eastAsia="宋体" w:cs="Arial"/>
      <w:bCs w:val="0"/>
      <w:i/>
      <w:kern w:val="0"/>
      <w:sz w:val="28"/>
      <w:szCs w:val="28"/>
      <w:shd w:val="pct10" w:color="000000" w:fill="FFFFFF"/>
    </w:rPr>
  </w:style>
  <w:style w:type="paragraph" w:customStyle="1" w:styleId="862">
    <w:name w:val="gang"/>
    <w:qFormat/>
    <w:uiPriority w:val="0"/>
    <w:pPr>
      <w:spacing w:before="120" w:after="120" w:line="360" w:lineRule="auto"/>
      <w:ind w:firstLine="200"/>
    </w:pPr>
    <w:rPr>
      <w:rFonts w:ascii="Times New Roman" w:hAnsi="Times New Roman" w:eastAsia="宋体" w:cs="Times New Roman"/>
      <w:sz w:val="21"/>
      <w:szCs w:val="21"/>
      <w:lang w:val="en-US" w:eastAsia="zh-CN" w:bidi="ar-SA"/>
    </w:rPr>
  </w:style>
  <w:style w:type="paragraph" w:customStyle="1" w:styleId="863">
    <w:name w:val="l标题1"/>
    <w:next w:val="1"/>
    <w:qFormat/>
    <w:uiPriority w:val="0"/>
    <w:pPr>
      <w:numPr>
        <w:ilvl w:val="0"/>
        <w:numId w:val="62"/>
      </w:numPr>
      <w:spacing w:before="120" w:after="120"/>
      <w:outlineLvl w:val="0"/>
    </w:pPr>
    <w:rPr>
      <w:rFonts w:ascii="宋体" w:hAnsi="宋体" w:eastAsia="宋体" w:cs="Arial"/>
      <w:b/>
      <w:sz w:val="36"/>
      <w:szCs w:val="36"/>
      <w:lang w:val="en-US" w:eastAsia="zh-CN" w:bidi="ar-SA"/>
    </w:rPr>
  </w:style>
  <w:style w:type="paragraph" w:customStyle="1" w:styleId="864">
    <w:name w:val="font10"/>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5">
    <w:name w:val="font11"/>
    <w:basedOn w:val="1"/>
    <w:qFormat/>
    <w:uiPriority w:val="0"/>
    <w:pPr>
      <w:widowControl/>
      <w:spacing w:before="100" w:beforeAutospacing="1" w:after="100" w:afterAutospacing="1"/>
      <w:jc w:val="left"/>
    </w:pPr>
    <w:rPr>
      <w:rFonts w:ascii="宋体" w:hAnsi="宋体" w:cs="宋体"/>
      <w:b/>
      <w:color w:val="000000"/>
      <w:kern w:val="0"/>
      <w:sz w:val="18"/>
      <w:szCs w:val="18"/>
    </w:rPr>
  </w:style>
  <w:style w:type="paragraph" w:customStyle="1" w:styleId="866">
    <w:name w:val="font12"/>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67">
    <w:name w:val="font13"/>
    <w:basedOn w:val="1"/>
    <w:qFormat/>
    <w:uiPriority w:val="0"/>
    <w:pPr>
      <w:widowControl/>
      <w:spacing w:before="100" w:beforeAutospacing="1" w:after="100" w:afterAutospacing="1"/>
      <w:jc w:val="left"/>
    </w:pPr>
    <w:rPr>
      <w:rFonts w:ascii="Tahoma" w:hAnsi="Tahoma" w:cs="Tahoma"/>
      <w:color w:val="000000"/>
      <w:kern w:val="0"/>
      <w:sz w:val="18"/>
      <w:szCs w:val="18"/>
    </w:rPr>
  </w:style>
  <w:style w:type="paragraph" w:customStyle="1" w:styleId="868">
    <w:name w:val="font14"/>
    <w:basedOn w:val="1"/>
    <w:qFormat/>
    <w:uiPriority w:val="0"/>
    <w:pPr>
      <w:widowControl/>
      <w:spacing w:before="100" w:beforeAutospacing="1" w:after="100" w:afterAutospacing="1"/>
      <w:jc w:val="left"/>
    </w:pPr>
    <w:rPr>
      <w:kern w:val="0"/>
      <w:sz w:val="20"/>
      <w:szCs w:val="20"/>
    </w:rPr>
  </w:style>
  <w:style w:type="paragraph" w:customStyle="1" w:styleId="869">
    <w:name w:val="xl10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D9D9D9"/>
      <w:spacing w:before="100" w:beforeAutospacing="1" w:after="100" w:afterAutospacing="1"/>
      <w:jc w:val="right"/>
    </w:pPr>
    <w:rPr>
      <w:rFonts w:ascii="宋体" w:hAnsi="宋体" w:cs="宋体"/>
      <w:kern w:val="0"/>
      <w:sz w:val="20"/>
      <w:szCs w:val="20"/>
    </w:rPr>
  </w:style>
  <w:style w:type="paragraph" w:customStyle="1" w:styleId="870">
    <w:name w:val="xl10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D9D9D9"/>
      <w:spacing w:before="100" w:beforeAutospacing="1" w:after="100" w:afterAutospacing="1"/>
      <w:jc w:val="right"/>
    </w:pPr>
    <w:rPr>
      <w:rFonts w:ascii="宋体" w:hAnsi="宋体" w:cs="宋体"/>
      <w:kern w:val="0"/>
      <w:sz w:val="20"/>
      <w:szCs w:val="20"/>
    </w:rPr>
  </w:style>
  <w:style w:type="paragraph" w:customStyle="1" w:styleId="871">
    <w:name w:val="xl10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000"/>
      <w:spacing w:before="100" w:beforeAutospacing="1" w:after="100" w:afterAutospacing="1"/>
    </w:pPr>
    <w:rPr>
      <w:rFonts w:ascii="宋体" w:hAnsi="宋体" w:cs="宋体"/>
      <w:kern w:val="0"/>
      <w:sz w:val="20"/>
      <w:szCs w:val="20"/>
    </w:rPr>
  </w:style>
  <w:style w:type="paragraph" w:customStyle="1" w:styleId="872">
    <w:name w:val="xl10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000"/>
      <w:spacing w:before="100" w:beforeAutospacing="1" w:after="100" w:afterAutospacing="1"/>
      <w:jc w:val="right"/>
    </w:pPr>
    <w:rPr>
      <w:rFonts w:ascii="宋体" w:hAnsi="宋体" w:cs="宋体"/>
      <w:kern w:val="0"/>
      <w:sz w:val="20"/>
      <w:szCs w:val="20"/>
    </w:rPr>
  </w:style>
  <w:style w:type="paragraph" w:customStyle="1" w:styleId="873">
    <w:name w:val="xl10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000"/>
      <w:spacing w:before="100" w:beforeAutospacing="1" w:after="100" w:afterAutospacing="1"/>
      <w:jc w:val="center"/>
    </w:pPr>
    <w:rPr>
      <w:rFonts w:ascii="宋体" w:hAnsi="宋体" w:cs="宋体"/>
      <w:kern w:val="0"/>
      <w:sz w:val="20"/>
      <w:szCs w:val="20"/>
    </w:rPr>
  </w:style>
  <w:style w:type="paragraph" w:customStyle="1" w:styleId="874">
    <w:name w:val="xl10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000"/>
      <w:spacing w:before="100" w:beforeAutospacing="1" w:after="100" w:afterAutospacing="1"/>
      <w:jc w:val="left"/>
    </w:pPr>
    <w:rPr>
      <w:rFonts w:ascii="宋体" w:hAnsi="宋体" w:cs="宋体"/>
      <w:kern w:val="0"/>
      <w:sz w:val="20"/>
      <w:szCs w:val="20"/>
    </w:rPr>
  </w:style>
  <w:style w:type="paragraph" w:customStyle="1" w:styleId="875">
    <w:name w:val="xl10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000"/>
      <w:spacing w:before="100" w:beforeAutospacing="1" w:after="100" w:afterAutospacing="1"/>
      <w:jc w:val="center"/>
    </w:pPr>
    <w:rPr>
      <w:kern w:val="0"/>
      <w:sz w:val="20"/>
      <w:szCs w:val="20"/>
    </w:rPr>
  </w:style>
  <w:style w:type="paragraph" w:customStyle="1" w:styleId="876">
    <w:name w:val="xl10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000"/>
      <w:spacing w:before="100" w:beforeAutospacing="1" w:after="100" w:afterAutospacing="1"/>
      <w:jc w:val="right"/>
    </w:pPr>
    <w:rPr>
      <w:rFonts w:ascii="宋体" w:hAnsi="宋体" w:cs="宋体"/>
      <w:kern w:val="0"/>
      <w:sz w:val="20"/>
      <w:szCs w:val="20"/>
    </w:rPr>
  </w:style>
  <w:style w:type="paragraph" w:customStyle="1" w:styleId="877">
    <w:name w:val="xl10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000"/>
      <w:spacing w:before="100" w:beforeAutospacing="1" w:after="100" w:afterAutospacing="1"/>
      <w:jc w:val="right"/>
    </w:pPr>
    <w:rPr>
      <w:rFonts w:ascii="宋体" w:hAnsi="宋体" w:cs="宋体"/>
      <w:kern w:val="0"/>
      <w:sz w:val="20"/>
      <w:szCs w:val="20"/>
    </w:rPr>
  </w:style>
  <w:style w:type="paragraph" w:customStyle="1" w:styleId="878">
    <w:name w:val="xl10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kern w:val="0"/>
      <w:sz w:val="20"/>
      <w:szCs w:val="20"/>
    </w:rPr>
  </w:style>
  <w:style w:type="paragraph" w:customStyle="1" w:styleId="879">
    <w:name w:val="xl1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color w:val="000000"/>
      <w:kern w:val="0"/>
      <w:sz w:val="20"/>
      <w:szCs w:val="20"/>
    </w:rPr>
  </w:style>
  <w:style w:type="paragraph" w:customStyle="1" w:styleId="880">
    <w:name w:val="xl1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color w:val="000000"/>
      <w:kern w:val="0"/>
      <w:sz w:val="20"/>
      <w:szCs w:val="20"/>
    </w:rPr>
  </w:style>
  <w:style w:type="paragraph" w:customStyle="1" w:styleId="881">
    <w:name w:val="xl112"/>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b/>
      <w:kern w:val="0"/>
      <w:sz w:val="20"/>
      <w:szCs w:val="20"/>
    </w:rPr>
  </w:style>
  <w:style w:type="paragraph" w:customStyle="1" w:styleId="882">
    <w:name w:val="xl113"/>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kern w:val="0"/>
      <w:sz w:val="20"/>
      <w:szCs w:val="20"/>
    </w:rPr>
  </w:style>
  <w:style w:type="paragraph" w:customStyle="1" w:styleId="883">
    <w:name w:val="xl114"/>
    <w:basedOn w:val="1"/>
    <w:qFormat/>
    <w:uiPriority w:val="0"/>
    <w:pPr>
      <w:widowControl/>
      <w:spacing w:before="100" w:beforeAutospacing="1" w:after="100" w:afterAutospacing="1"/>
      <w:jc w:val="center"/>
    </w:pPr>
    <w:rPr>
      <w:rFonts w:ascii="宋体" w:hAnsi="宋体" w:cs="宋体"/>
      <w:kern w:val="0"/>
      <w:szCs w:val="21"/>
    </w:rPr>
  </w:style>
  <w:style w:type="paragraph" w:customStyle="1" w:styleId="884">
    <w:name w:val="xl1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color w:val="000000"/>
      <w:kern w:val="0"/>
      <w:sz w:val="20"/>
      <w:szCs w:val="20"/>
    </w:rPr>
  </w:style>
  <w:style w:type="paragraph" w:customStyle="1" w:styleId="885">
    <w:name w:val="xl1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微软雅黑" w:hAnsi="微软雅黑" w:eastAsia="微软雅黑" w:cs="宋体"/>
      <w:color w:val="000000"/>
      <w:kern w:val="0"/>
      <w:sz w:val="24"/>
    </w:rPr>
  </w:style>
  <w:style w:type="paragraph" w:customStyle="1" w:styleId="886">
    <w:name w:val="xl1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color w:val="000000"/>
      <w:kern w:val="0"/>
      <w:sz w:val="20"/>
      <w:szCs w:val="20"/>
    </w:rPr>
  </w:style>
  <w:style w:type="paragraph" w:customStyle="1" w:styleId="887">
    <w:name w:val="xl1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kern w:val="0"/>
      <w:szCs w:val="21"/>
    </w:rPr>
  </w:style>
  <w:style w:type="paragraph" w:customStyle="1" w:styleId="888">
    <w:name w:val="xl1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color w:val="000000"/>
      <w:kern w:val="0"/>
      <w:szCs w:val="21"/>
    </w:rPr>
  </w:style>
  <w:style w:type="paragraph" w:customStyle="1" w:styleId="889">
    <w:name w:val="font15"/>
    <w:basedOn w:val="1"/>
    <w:qFormat/>
    <w:uiPriority w:val="0"/>
    <w:pPr>
      <w:widowControl/>
      <w:spacing w:before="100" w:beforeAutospacing="1" w:after="100" w:afterAutospacing="1"/>
      <w:jc w:val="left"/>
    </w:pPr>
    <w:rPr>
      <w:rFonts w:ascii="宋体" w:hAnsi="宋体" w:cs="宋体"/>
      <w:kern w:val="0"/>
      <w:szCs w:val="21"/>
    </w:rPr>
  </w:style>
  <w:style w:type="paragraph" w:customStyle="1" w:styleId="890">
    <w:name w:val="xl1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891">
    <w:name w:val="xl12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Cs w:val="21"/>
    </w:rPr>
  </w:style>
  <w:style w:type="paragraph" w:customStyle="1" w:styleId="892">
    <w:name w:val="xl1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Cs w:val="21"/>
    </w:rPr>
  </w:style>
  <w:style w:type="paragraph" w:customStyle="1" w:styleId="893">
    <w:name w:val="xl1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kern w:val="0"/>
      <w:szCs w:val="21"/>
    </w:rPr>
  </w:style>
  <w:style w:type="paragraph" w:customStyle="1" w:styleId="894">
    <w:name w:val="xl1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895">
    <w:name w:val="xl125"/>
    <w:basedOn w:val="1"/>
    <w:qFormat/>
    <w:uiPriority w:val="0"/>
    <w:pPr>
      <w:widowControl/>
      <w:spacing w:before="100" w:beforeAutospacing="1" w:after="100" w:afterAutospacing="1"/>
      <w:jc w:val="left"/>
    </w:pPr>
    <w:rPr>
      <w:rFonts w:ascii="宋体" w:hAnsi="宋体" w:cs="宋体"/>
      <w:kern w:val="0"/>
      <w:sz w:val="24"/>
    </w:rPr>
  </w:style>
  <w:style w:type="paragraph" w:customStyle="1" w:styleId="896">
    <w:name w:val="xl1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kern w:val="0"/>
      <w:szCs w:val="21"/>
    </w:rPr>
  </w:style>
  <w:style w:type="paragraph" w:customStyle="1" w:styleId="897">
    <w:name w:val="xl12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Cs w:val="21"/>
    </w:rPr>
  </w:style>
  <w:style w:type="paragraph" w:customStyle="1" w:styleId="898">
    <w:name w:val="xl128"/>
    <w:basedOn w:val="1"/>
    <w:qFormat/>
    <w:uiPriority w:val="0"/>
    <w:pPr>
      <w:widowControl/>
      <w:pBdr>
        <w:top w:val="single" w:color="000000" w:sz="4" w:space="0"/>
        <w:bottom w:val="single" w:color="000000" w:sz="4" w:space="0"/>
      </w:pBdr>
      <w:spacing w:before="100" w:beforeAutospacing="1" w:after="100" w:afterAutospacing="1"/>
      <w:jc w:val="left"/>
    </w:pPr>
    <w:rPr>
      <w:rFonts w:ascii="宋体" w:hAnsi="宋体" w:cs="宋体"/>
      <w:b/>
      <w:color w:val="000000"/>
      <w:kern w:val="0"/>
      <w:szCs w:val="21"/>
    </w:rPr>
  </w:style>
  <w:style w:type="paragraph" w:customStyle="1" w:styleId="899">
    <w:name w:val="xl129"/>
    <w:basedOn w:val="1"/>
    <w:qFormat/>
    <w:uiPriority w:val="0"/>
    <w:pPr>
      <w:widowControl/>
      <w:pBdr>
        <w:top w:val="single" w:color="000000" w:sz="4" w:space="0"/>
        <w:bottom w:val="single" w:color="000000" w:sz="4" w:space="0"/>
        <w:right w:val="single" w:color="000000" w:sz="8" w:space="0"/>
      </w:pBdr>
      <w:spacing w:before="100" w:beforeAutospacing="1" w:after="100" w:afterAutospacing="1"/>
      <w:jc w:val="left"/>
    </w:pPr>
    <w:rPr>
      <w:rFonts w:ascii="宋体" w:hAnsi="宋体" w:cs="宋体"/>
      <w:b/>
      <w:color w:val="000000"/>
      <w:kern w:val="0"/>
      <w:szCs w:val="21"/>
    </w:rPr>
  </w:style>
  <w:style w:type="paragraph" w:customStyle="1" w:styleId="900">
    <w:name w:val="xl130"/>
    <w:basedOn w:val="1"/>
    <w:qFormat/>
    <w:uiPriority w:val="0"/>
    <w:pPr>
      <w:widowControl/>
      <w:pBdr>
        <w:top w:val="single" w:color="000000" w:sz="4" w:space="0"/>
        <w:left w:val="single" w:color="000000" w:sz="4" w:space="0"/>
        <w:bottom w:val="single" w:color="000000" w:sz="8" w:space="0"/>
      </w:pBdr>
      <w:spacing w:before="100" w:beforeAutospacing="1" w:after="100" w:afterAutospacing="1"/>
      <w:jc w:val="center"/>
    </w:pPr>
    <w:rPr>
      <w:rFonts w:ascii="宋体" w:hAnsi="宋体" w:cs="宋体"/>
      <w:kern w:val="0"/>
      <w:szCs w:val="21"/>
    </w:rPr>
  </w:style>
  <w:style w:type="paragraph" w:customStyle="1" w:styleId="901">
    <w:name w:val="xl131"/>
    <w:basedOn w:val="1"/>
    <w:qFormat/>
    <w:uiPriority w:val="0"/>
    <w:pPr>
      <w:widowControl/>
      <w:pBdr>
        <w:top w:val="single" w:color="000000" w:sz="4" w:space="0"/>
        <w:bottom w:val="single" w:color="000000" w:sz="8" w:space="0"/>
      </w:pBdr>
      <w:spacing w:before="100" w:beforeAutospacing="1" w:after="100" w:afterAutospacing="1"/>
      <w:jc w:val="center"/>
    </w:pPr>
    <w:rPr>
      <w:rFonts w:ascii="宋体" w:hAnsi="宋体" w:cs="宋体"/>
      <w:kern w:val="0"/>
      <w:szCs w:val="21"/>
    </w:rPr>
  </w:style>
  <w:style w:type="paragraph" w:customStyle="1" w:styleId="902">
    <w:name w:val="xl132"/>
    <w:basedOn w:val="1"/>
    <w:qFormat/>
    <w:uiPriority w:val="0"/>
    <w:pPr>
      <w:widowControl/>
      <w:pBdr>
        <w:top w:val="single" w:color="000000" w:sz="4" w:space="0"/>
        <w:bottom w:val="single" w:color="00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903">
    <w:name w:val="xl13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904">
    <w:name w:val="xl134"/>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905">
    <w:name w:val="xl135"/>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906">
    <w:name w:val="xl136"/>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kern w:val="0"/>
      <w:szCs w:val="21"/>
    </w:rPr>
  </w:style>
  <w:style w:type="paragraph" w:customStyle="1" w:styleId="907">
    <w:name w:val="xl137"/>
    <w:basedOn w:val="1"/>
    <w:qFormat/>
    <w:uiPriority w:val="0"/>
    <w:pPr>
      <w:widowControl/>
      <w:pBdr>
        <w:top w:val="single" w:color="000000" w:sz="4" w:space="0"/>
        <w:bottom w:val="single" w:color="000000" w:sz="4" w:space="0"/>
      </w:pBdr>
      <w:spacing w:before="100" w:beforeAutospacing="1" w:after="100" w:afterAutospacing="1"/>
      <w:jc w:val="center"/>
    </w:pPr>
    <w:rPr>
      <w:kern w:val="0"/>
      <w:szCs w:val="21"/>
    </w:rPr>
  </w:style>
  <w:style w:type="paragraph" w:customStyle="1" w:styleId="908">
    <w:name w:val="xl138"/>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kern w:val="0"/>
      <w:szCs w:val="21"/>
    </w:rPr>
  </w:style>
  <w:style w:type="paragraph" w:customStyle="1" w:styleId="909">
    <w:name w:val="xl139"/>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宋体" w:hAnsi="宋体" w:cs="宋体"/>
      <w:b/>
      <w:kern w:val="0"/>
      <w:szCs w:val="21"/>
    </w:rPr>
  </w:style>
  <w:style w:type="paragraph" w:customStyle="1" w:styleId="910">
    <w:name w:val="HFIndent1Bullet"/>
    <w:basedOn w:val="1"/>
    <w:qFormat/>
    <w:uiPriority w:val="0"/>
    <w:pPr>
      <w:widowControl/>
      <w:numPr>
        <w:ilvl w:val="0"/>
        <w:numId w:val="63"/>
      </w:numPr>
      <w:ind w:firstLine="0"/>
    </w:pPr>
    <w:rPr>
      <w:rFonts w:ascii="Arial" w:hAnsi="Arial"/>
      <w:kern w:val="0"/>
      <w:sz w:val="20"/>
      <w:szCs w:val="20"/>
      <w:lang w:eastAsia="en-US"/>
    </w:rPr>
  </w:style>
  <w:style w:type="paragraph" w:customStyle="1" w:styleId="911">
    <w:name w:val="彩色列表 - 着色 11"/>
    <w:basedOn w:val="1"/>
    <w:qFormat/>
    <w:uiPriority w:val="0"/>
    <w:pPr>
      <w:widowControl/>
      <w:spacing w:line="360" w:lineRule="auto"/>
      <w:ind w:firstLine="420"/>
    </w:pPr>
    <w:rPr>
      <w:rFonts w:ascii="Arial" w:hAnsi="Arial"/>
      <w:kern w:val="0"/>
      <w:szCs w:val="21"/>
    </w:rPr>
  </w:style>
  <w:style w:type="character" w:customStyle="1" w:styleId="912">
    <w:name w:val="标题 4 Char1"/>
    <w:qFormat/>
    <w:uiPriority w:val="0"/>
    <w:rPr>
      <w:rFonts w:ascii="宋体" w:hAnsi="宋体"/>
      <w:b/>
      <w:sz w:val="30"/>
      <w:szCs w:val="30"/>
    </w:rPr>
  </w:style>
  <w:style w:type="character" w:customStyle="1" w:styleId="913">
    <w:name w:val="title_marcom"/>
    <w:basedOn w:val="89"/>
    <w:qFormat/>
    <w:uiPriority w:val="0"/>
  </w:style>
  <w:style w:type="paragraph" w:customStyle="1" w:styleId="914">
    <w:name w:val="小五正文"/>
    <w:basedOn w:val="1"/>
    <w:qFormat/>
    <w:uiPriority w:val="0"/>
    <w:pPr>
      <w:widowControl/>
      <w:spacing w:line="360" w:lineRule="auto"/>
      <w:ind w:firstLine="420"/>
    </w:pPr>
    <w:rPr>
      <w:kern w:val="0"/>
      <w:szCs w:val="21"/>
    </w:rPr>
  </w:style>
  <w:style w:type="character" w:customStyle="1" w:styleId="915">
    <w:name w:val="title_emph"/>
    <w:basedOn w:val="89"/>
    <w:qFormat/>
    <w:uiPriority w:val="0"/>
  </w:style>
  <w:style w:type="paragraph" w:customStyle="1" w:styleId="916">
    <w:name w:val="正文中带正方形项目符号正文"/>
    <w:basedOn w:val="1"/>
    <w:qFormat/>
    <w:uiPriority w:val="0"/>
    <w:pPr>
      <w:widowControl/>
      <w:tabs>
        <w:tab w:val="left" w:pos="814"/>
      </w:tabs>
      <w:ind w:left="284"/>
    </w:pPr>
    <w:rPr>
      <w:kern w:val="0"/>
      <w:sz w:val="24"/>
    </w:rPr>
  </w:style>
  <w:style w:type="character" w:customStyle="1" w:styleId="917">
    <w:name w:val="point_normal"/>
    <w:basedOn w:val="89"/>
    <w:qFormat/>
    <w:uiPriority w:val="0"/>
  </w:style>
  <w:style w:type="character" w:customStyle="1" w:styleId="918">
    <w:name w:val="para"/>
    <w:basedOn w:val="89"/>
    <w:qFormat/>
    <w:uiPriority w:val="0"/>
  </w:style>
  <w:style w:type="paragraph" w:customStyle="1" w:styleId="919">
    <w:name w:val="CellBody"/>
    <w:basedOn w:val="1"/>
    <w:qFormat/>
    <w:uiPriority w:val="0"/>
    <w:pPr>
      <w:widowControl/>
      <w:tabs>
        <w:tab w:val="left" w:pos="907"/>
      </w:tabs>
      <w:spacing w:line="360" w:lineRule="auto"/>
      <w:ind w:left="907" w:hanging="427"/>
      <w:jc w:val="left"/>
    </w:pPr>
    <w:rPr>
      <w:kern w:val="0"/>
      <w:sz w:val="24"/>
    </w:rPr>
  </w:style>
  <w:style w:type="paragraph" w:customStyle="1" w:styleId="920">
    <w:name w:val="样式 标题 4 + 加粗"/>
    <w:basedOn w:val="6"/>
    <w:qFormat/>
    <w:uiPriority w:val="0"/>
    <w:pPr>
      <w:keepNext w:val="0"/>
      <w:widowControl/>
      <w:tabs>
        <w:tab w:val="left" w:pos="864"/>
      </w:tabs>
      <w:spacing w:line="360" w:lineRule="auto"/>
      <w:ind w:left="864" w:hanging="864"/>
    </w:pPr>
    <w:rPr>
      <w:rFonts w:ascii="宋体" w:hAnsi="宋体"/>
      <w:kern w:val="0"/>
      <w:sz w:val="30"/>
      <w:szCs w:val="30"/>
    </w:rPr>
  </w:style>
  <w:style w:type="character" w:customStyle="1" w:styleId="921">
    <w:name w:val="content1"/>
    <w:basedOn w:val="89"/>
    <w:qFormat/>
    <w:uiPriority w:val="0"/>
  </w:style>
  <w:style w:type="paragraph" w:customStyle="1" w:styleId="922">
    <w:name w:val="正文缩减"/>
    <w:basedOn w:val="1"/>
    <w:qFormat/>
    <w:uiPriority w:val="0"/>
    <w:pPr>
      <w:widowControl/>
      <w:spacing w:line="300" w:lineRule="auto"/>
      <w:ind w:firstLine="420"/>
    </w:pPr>
    <w:rPr>
      <w:kern w:val="0"/>
      <w:szCs w:val="21"/>
    </w:rPr>
  </w:style>
  <w:style w:type="paragraph" w:customStyle="1" w:styleId="923">
    <w:name w:val="样式 标题 4 + 左侧:  0 厘米 首行缩进:  0 厘米 行距: 1.5 倍行距"/>
    <w:basedOn w:val="6"/>
    <w:qFormat/>
    <w:uiPriority w:val="0"/>
    <w:pPr>
      <w:keepNext w:val="0"/>
      <w:widowControl/>
      <w:tabs>
        <w:tab w:val="left" w:pos="720"/>
      </w:tabs>
      <w:spacing w:line="360" w:lineRule="auto"/>
      <w:ind w:left="720" w:hanging="720"/>
      <w:outlineLvl w:val="2"/>
    </w:pPr>
    <w:rPr>
      <w:rFonts w:ascii="宋体" w:hAnsi="宋体" w:cs="宋体"/>
      <w:b/>
      <w:kern w:val="0"/>
      <w:sz w:val="30"/>
      <w:szCs w:val="30"/>
    </w:rPr>
  </w:style>
  <w:style w:type="paragraph" w:customStyle="1" w:styleId="924">
    <w:name w:val="样式 标题 1 + 行距: 1.5 倍行距"/>
    <w:basedOn w:val="3"/>
    <w:qFormat/>
    <w:uiPriority w:val="0"/>
    <w:pPr>
      <w:keepNext w:val="0"/>
      <w:keepLines w:val="0"/>
      <w:widowControl/>
      <w:spacing w:before="120" w:after="0" w:line="360" w:lineRule="auto"/>
    </w:pPr>
    <w:rPr>
      <w:rFonts w:ascii="宋体" w:hAnsi="宋体" w:cs="宋体"/>
      <w:bCs w:val="0"/>
      <w:color w:val="000000"/>
      <w:kern w:val="0"/>
    </w:rPr>
  </w:style>
  <w:style w:type="paragraph" w:customStyle="1" w:styleId="925">
    <w:name w:val="样式 标题 2H2Heading 2 HiddenHeading 2 CCBSh22nd levelHeader 2..."/>
    <w:basedOn w:val="4"/>
    <w:qFormat/>
    <w:uiPriority w:val="0"/>
    <w:pPr>
      <w:keepNext w:val="0"/>
      <w:keepLines w:val="0"/>
      <w:widowControl/>
      <w:tabs>
        <w:tab w:val="left" w:pos="0"/>
      </w:tabs>
      <w:spacing w:before="120" w:after="100" w:afterAutospacing="1" w:line="360" w:lineRule="auto"/>
      <w:jc w:val="left"/>
    </w:pPr>
    <w:rPr>
      <w:rFonts w:ascii="Times New Roman" w:hAnsi="Times New Roman" w:eastAsia="宋体" w:cs="宋体"/>
      <w:bCs w:val="0"/>
      <w:kern w:val="0"/>
      <w:sz w:val="36"/>
      <w:szCs w:val="36"/>
    </w:rPr>
  </w:style>
  <w:style w:type="paragraph" w:customStyle="1" w:styleId="926">
    <w:name w:val="表格正文（左对齐）"/>
    <w:basedOn w:val="1"/>
    <w:qFormat/>
    <w:uiPriority w:val="0"/>
    <w:pPr>
      <w:widowControl/>
      <w:autoSpaceDE w:val="0"/>
      <w:autoSpaceDN w:val="0"/>
      <w:jc w:val="left"/>
    </w:pPr>
    <w:rPr>
      <w:rFonts w:ascii="宋体"/>
      <w:b/>
      <w:color w:val="000000"/>
      <w:kern w:val="0"/>
      <w:sz w:val="28"/>
      <w:szCs w:val="28"/>
    </w:rPr>
  </w:style>
  <w:style w:type="paragraph" w:customStyle="1" w:styleId="927">
    <w:name w:val="Char4"/>
    <w:next w:val="1"/>
    <w:qFormat/>
    <w:uiPriority w:val="0"/>
    <w:pPr>
      <w:tabs>
        <w:tab w:val="left" w:pos="3360"/>
      </w:tabs>
      <w:spacing w:before="240" w:after="240"/>
      <w:ind w:left="3360" w:hanging="420"/>
      <w:outlineLvl w:val="7"/>
    </w:pPr>
    <w:rPr>
      <w:rFonts w:ascii="Arial" w:hAnsi="Arial" w:eastAsia="黑体" w:cs="Arial"/>
      <w:sz w:val="21"/>
      <w:szCs w:val="21"/>
      <w:lang w:val="en-US" w:eastAsia="zh-CN" w:bidi="ar-SA"/>
    </w:rPr>
  </w:style>
  <w:style w:type="paragraph" w:customStyle="1" w:styleId="928">
    <w:name w:val="条目1_My"/>
    <w:basedOn w:val="1"/>
    <w:qFormat/>
    <w:uiPriority w:val="0"/>
    <w:pPr>
      <w:widowControl/>
      <w:numPr>
        <w:ilvl w:val="0"/>
        <w:numId w:val="64"/>
      </w:numPr>
      <w:spacing w:line="360" w:lineRule="auto"/>
      <w:ind w:firstLine="0"/>
    </w:pPr>
    <w:rPr>
      <w:rFonts w:ascii="Verdana" w:hAnsi="Verdana"/>
      <w:kern w:val="0"/>
      <w:sz w:val="24"/>
    </w:rPr>
  </w:style>
  <w:style w:type="paragraph" w:customStyle="1" w:styleId="929">
    <w:name w:val="一级条标题"/>
    <w:basedOn w:val="524"/>
    <w:next w:val="6"/>
    <w:qFormat/>
    <w:uiPriority w:val="0"/>
    <w:pPr>
      <w:spacing w:before="0" w:after="0"/>
      <w:ind w:left="0"/>
      <w:jc w:val="both"/>
      <w:outlineLvl w:val="2"/>
    </w:pPr>
  </w:style>
  <w:style w:type="paragraph" w:customStyle="1" w:styleId="930">
    <w:name w:val="二级条标题"/>
    <w:basedOn w:val="929"/>
    <w:next w:val="6"/>
    <w:qFormat/>
    <w:uiPriority w:val="0"/>
    <w:pPr>
      <w:outlineLvl w:val="3"/>
    </w:pPr>
  </w:style>
  <w:style w:type="paragraph" w:customStyle="1" w:styleId="931">
    <w:name w:val="SRS正文"/>
    <w:basedOn w:val="1"/>
    <w:qFormat/>
    <w:uiPriority w:val="0"/>
    <w:pPr>
      <w:widowControl/>
      <w:spacing w:before="120" w:line="360" w:lineRule="auto"/>
    </w:pPr>
    <w:rPr>
      <w:kern w:val="0"/>
      <w:sz w:val="24"/>
    </w:rPr>
  </w:style>
  <w:style w:type="paragraph" w:customStyle="1" w:styleId="932">
    <w:name w:val="Char Char1 Char Char Char"/>
    <w:basedOn w:val="1"/>
    <w:qFormat/>
    <w:uiPriority w:val="0"/>
    <w:pPr>
      <w:widowControl/>
      <w:spacing w:line="360" w:lineRule="auto"/>
      <w:ind w:left="720"/>
      <w:jc w:val="left"/>
    </w:pPr>
    <w:rPr>
      <w:rFonts w:ascii="Verdana" w:hAnsi="Verdana" w:eastAsia="黑体"/>
      <w:kern w:val="0"/>
      <w:sz w:val="24"/>
      <w:lang w:eastAsia="en-US"/>
    </w:rPr>
  </w:style>
  <w:style w:type="paragraph" w:customStyle="1" w:styleId="933">
    <w:name w:val="图号"/>
    <w:basedOn w:val="1"/>
    <w:qFormat/>
    <w:uiPriority w:val="0"/>
    <w:pPr>
      <w:widowControl/>
      <w:numPr>
        <w:ilvl w:val="0"/>
        <w:numId w:val="65"/>
      </w:numPr>
      <w:autoSpaceDE w:val="0"/>
      <w:autoSpaceDN w:val="0"/>
      <w:spacing w:before="105" w:line="360" w:lineRule="auto"/>
      <w:jc w:val="center"/>
    </w:pPr>
    <w:rPr>
      <w:kern w:val="0"/>
      <w:szCs w:val="21"/>
    </w:rPr>
  </w:style>
  <w:style w:type="paragraph" w:customStyle="1" w:styleId="934">
    <w:name w:val="1）编号"/>
    <w:qFormat/>
    <w:uiPriority w:val="0"/>
    <w:pPr>
      <w:numPr>
        <w:ilvl w:val="0"/>
        <w:numId w:val="66"/>
      </w:numPr>
      <w:spacing w:line="360" w:lineRule="auto"/>
    </w:pPr>
    <w:rPr>
      <w:rFonts w:ascii="宋体" w:hAnsi="宋体" w:eastAsia="宋体" w:cs="宋体"/>
      <w:sz w:val="24"/>
      <w:szCs w:val="24"/>
      <w:lang w:val="en-GB" w:eastAsia="zh-CN" w:bidi="ar-SA"/>
    </w:rPr>
  </w:style>
  <w:style w:type="character" w:customStyle="1" w:styleId="935">
    <w:name w:val="插图说明 Char"/>
    <w:link w:val="577"/>
    <w:qFormat/>
    <w:uiPriority w:val="0"/>
    <w:rPr>
      <w:rFonts w:eastAsia="黑体"/>
      <w:sz w:val="24"/>
      <w:szCs w:val="24"/>
    </w:rPr>
  </w:style>
  <w:style w:type="paragraph" w:customStyle="1" w:styleId="936">
    <w:name w:val="正文(缩进)"/>
    <w:basedOn w:val="1"/>
    <w:qFormat/>
    <w:uiPriority w:val="0"/>
    <w:pPr>
      <w:widowControl/>
      <w:spacing w:before="120" w:line="400" w:lineRule="exact"/>
      <w:ind w:firstLine="200"/>
    </w:pPr>
    <w:rPr>
      <w:kern w:val="0"/>
      <w:sz w:val="24"/>
    </w:rPr>
  </w:style>
  <w:style w:type="paragraph" w:customStyle="1" w:styleId="937">
    <w:name w:val="列项"/>
    <w:basedOn w:val="1"/>
    <w:qFormat/>
    <w:uiPriority w:val="0"/>
    <w:pPr>
      <w:widowControl/>
      <w:numPr>
        <w:ilvl w:val="0"/>
        <w:numId w:val="67"/>
      </w:numPr>
      <w:ind w:firstLine="0"/>
    </w:pPr>
    <w:rPr>
      <w:kern w:val="0"/>
      <w:szCs w:val="21"/>
    </w:rPr>
  </w:style>
  <w:style w:type="paragraph" w:customStyle="1" w:styleId="938">
    <w:name w:val="版本控制标题"/>
    <w:basedOn w:val="1"/>
    <w:qFormat/>
    <w:uiPriority w:val="0"/>
    <w:pPr>
      <w:widowControl/>
      <w:numPr>
        <w:ilvl w:val="0"/>
        <w:numId w:val="68"/>
      </w:numPr>
      <w:tabs>
        <w:tab w:val="clear" w:pos="845"/>
      </w:tabs>
      <w:spacing w:before="156" w:after="156"/>
      <w:ind w:left="0" w:firstLine="0"/>
    </w:pPr>
    <w:rPr>
      <w:rFonts w:cs="宋体"/>
      <w:b/>
      <w:kern w:val="0"/>
      <w:sz w:val="24"/>
    </w:rPr>
  </w:style>
  <w:style w:type="paragraph" w:customStyle="1" w:styleId="939">
    <w:name w:val="Style Heading 4H4Ref Heading 1rh1Heading sqlsect 1.2.3.4bulle...1"/>
    <w:basedOn w:val="6"/>
    <w:qFormat/>
    <w:uiPriority w:val="0"/>
    <w:pPr>
      <w:keepNext w:val="0"/>
      <w:widowControl/>
      <w:tabs>
        <w:tab w:val="left" w:pos="864"/>
      </w:tabs>
      <w:spacing w:before="100" w:after="100" w:line="360" w:lineRule="auto"/>
      <w:ind w:left="864" w:hanging="864"/>
    </w:pPr>
    <w:rPr>
      <w:rFonts w:ascii="宋体" w:hAnsi="宋体" w:cs="宋体"/>
      <w:b/>
      <w:kern w:val="0"/>
      <w:sz w:val="24"/>
      <w:szCs w:val="24"/>
    </w:rPr>
  </w:style>
  <w:style w:type="paragraph" w:customStyle="1" w:styleId="940">
    <w:name w:val="实施日期"/>
    <w:basedOn w:val="1"/>
    <w:qFormat/>
    <w:uiPriority w:val="0"/>
    <w:pPr>
      <w:widowControl/>
      <w:jc w:val="right"/>
    </w:pPr>
    <w:rPr>
      <w:rFonts w:eastAsia="黑体"/>
      <w:kern w:val="0"/>
      <w:sz w:val="28"/>
      <w:szCs w:val="28"/>
    </w:rPr>
  </w:style>
  <w:style w:type="paragraph" w:customStyle="1" w:styleId="941">
    <w:name w:val="圆点列表1（Alt+A）"/>
    <w:basedOn w:val="1"/>
    <w:qFormat/>
    <w:uiPriority w:val="0"/>
    <w:pPr>
      <w:widowControl/>
      <w:tabs>
        <w:tab w:val="left" w:pos="720"/>
      </w:tabs>
      <w:spacing w:line="360" w:lineRule="auto"/>
      <w:ind w:left="720" w:hanging="360"/>
    </w:pPr>
    <w:rPr>
      <w:rFonts w:ascii="宋体"/>
      <w:kern w:val="0"/>
      <w:sz w:val="24"/>
    </w:rPr>
  </w:style>
  <w:style w:type="paragraph" w:customStyle="1" w:styleId="942">
    <w:name w:val="默认段落字体 Para Char Char Char Char Char Char Char Char Char1 Char Char Char Char"/>
    <w:basedOn w:val="26"/>
    <w:qFormat/>
    <w:uiPriority w:val="0"/>
    <w:pPr>
      <w:widowControl/>
      <w:shd w:val="clear" w:color="000000" w:fill="000080"/>
    </w:pPr>
    <w:rPr>
      <w:rFonts w:ascii="Tahoma" w:hAnsi="Tahoma"/>
      <w:kern w:val="0"/>
      <w:sz w:val="24"/>
      <w:szCs w:val="24"/>
    </w:rPr>
  </w:style>
  <w:style w:type="paragraph" w:customStyle="1" w:styleId="943">
    <w:name w:val="Char Char1 Char Char1 Char Char1 Char Char Char"/>
    <w:basedOn w:val="1"/>
    <w:qFormat/>
    <w:uiPriority w:val="0"/>
    <w:pPr>
      <w:widowControl/>
    </w:pPr>
    <w:rPr>
      <w:kern w:val="0"/>
      <w:sz w:val="24"/>
    </w:rPr>
  </w:style>
  <w:style w:type="paragraph" w:customStyle="1" w:styleId="944">
    <w:name w:val="样式 两端对齐"/>
    <w:basedOn w:val="1"/>
    <w:qFormat/>
    <w:uiPriority w:val="0"/>
    <w:pPr>
      <w:widowControl/>
      <w:spacing w:line="360" w:lineRule="auto"/>
      <w:ind w:firstLine="200"/>
    </w:pPr>
    <w:rPr>
      <w:rFonts w:ascii="宋体" w:cs="宋体"/>
      <w:kern w:val="0"/>
      <w:sz w:val="24"/>
    </w:rPr>
  </w:style>
  <w:style w:type="paragraph" w:customStyle="1" w:styleId="945">
    <w:name w:val="样式 标题 5Alt+5dashdsddH5h5Block LabelPIM 5 + 小四"/>
    <w:basedOn w:val="7"/>
    <w:qFormat/>
    <w:uiPriority w:val="0"/>
    <w:pPr>
      <w:keepNext w:val="0"/>
      <w:keepLines w:val="0"/>
      <w:widowControl/>
      <w:tabs>
        <w:tab w:val="left" w:pos="1368"/>
      </w:tabs>
      <w:spacing w:before="120" w:after="120" w:line="360" w:lineRule="auto"/>
      <w:ind w:left="1366" w:hanging="1009"/>
    </w:pPr>
    <w:rPr>
      <w:rFonts w:ascii="宋体"/>
      <w:b w:val="0"/>
      <w:bCs w:val="0"/>
      <w:kern w:val="0"/>
      <w:sz w:val="24"/>
      <w:szCs w:val="24"/>
    </w:rPr>
  </w:style>
  <w:style w:type="paragraph" w:customStyle="1" w:styleId="946">
    <w:name w:val="图"/>
    <w:next w:val="1"/>
    <w:link w:val="947"/>
    <w:qFormat/>
    <w:uiPriority w:val="0"/>
    <w:pPr>
      <w:spacing w:line="240" w:lineRule="atLeast"/>
      <w:jc w:val="center"/>
    </w:pPr>
    <w:rPr>
      <w:rFonts w:ascii="Times New Roman" w:hAnsi="Times New Roman" w:eastAsia="宋体" w:cs="Times New Roman"/>
      <w:color w:val="000000"/>
      <w:sz w:val="21"/>
      <w:szCs w:val="21"/>
      <w:lang w:val="en-US" w:eastAsia="zh-CN" w:bidi="ar-SA"/>
    </w:rPr>
  </w:style>
  <w:style w:type="character" w:customStyle="1" w:styleId="947">
    <w:name w:val="图 Char"/>
    <w:link w:val="946"/>
    <w:qFormat/>
    <w:uiPriority w:val="0"/>
    <w:rPr>
      <w:color w:val="000000"/>
      <w:sz w:val="21"/>
      <w:szCs w:val="21"/>
    </w:rPr>
  </w:style>
  <w:style w:type="paragraph" w:customStyle="1" w:styleId="948">
    <w:name w:val="正文1级"/>
    <w:qFormat/>
    <w:uiPriority w:val="0"/>
    <w:pPr>
      <w:tabs>
        <w:tab w:val="left" w:pos="420"/>
      </w:tabs>
      <w:spacing w:after="60" w:line="400" w:lineRule="exact"/>
      <w:ind w:left="839" w:hanging="419"/>
      <w:jc w:val="both"/>
    </w:pPr>
    <w:rPr>
      <w:rFonts w:ascii="Times New Roman" w:hAnsi="Times New Roman" w:eastAsia="宋体" w:cs="Times New Roman"/>
      <w:sz w:val="24"/>
      <w:szCs w:val="24"/>
      <w:lang w:val="en-US" w:eastAsia="zh-CN" w:bidi="ar-SA"/>
    </w:rPr>
  </w:style>
  <w:style w:type="paragraph" w:customStyle="1" w:styleId="949">
    <w:name w:val="正文2级"/>
    <w:qFormat/>
    <w:uiPriority w:val="0"/>
    <w:pPr>
      <w:tabs>
        <w:tab w:val="left" w:pos="839"/>
      </w:tabs>
      <w:spacing w:after="60" w:line="400" w:lineRule="exact"/>
      <w:ind w:left="1259" w:hanging="420"/>
      <w:jc w:val="both"/>
    </w:pPr>
    <w:rPr>
      <w:rFonts w:ascii="Times New Roman" w:hAnsi="Times New Roman" w:eastAsia="宋体" w:cs="Times New Roman"/>
      <w:sz w:val="24"/>
      <w:szCs w:val="24"/>
      <w:lang w:val="en-US" w:eastAsia="zh-CN" w:bidi="ar-SA"/>
    </w:rPr>
  </w:style>
  <w:style w:type="paragraph" w:customStyle="1" w:styleId="950">
    <w:name w:val="编号3级"/>
    <w:qFormat/>
    <w:uiPriority w:val="0"/>
    <w:pPr>
      <w:tabs>
        <w:tab w:val="left" w:pos="0"/>
      </w:tabs>
      <w:spacing w:line="400" w:lineRule="exact"/>
      <w:ind w:left="1259" w:hanging="420"/>
    </w:pPr>
    <w:rPr>
      <w:rFonts w:ascii="Times New Roman" w:hAnsi="Times New Roman" w:eastAsia="宋体" w:cs="Times New Roman"/>
      <w:sz w:val="24"/>
      <w:szCs w:val="24"/>
      <w:lang w:val="en-US" w:eastAsia="zh-CN" w:bidi="ar-SA"/>
    </w:rPr>
  </w:style>
  <w:style w:type="paragraph" w:customStyle="1" w:styleId="951">
    <w:name w:val="编号2级"/>
    <w:qFormat/>
    <w:uiPriority w:val="0"/>
    <w:pPr>
      <w:tabs>
        <w:tab w:val="left" w:pos="840"/>
      </w:tabs>
      <w:spacing w:after="48" w:line="400" w:lineRule="exact"/>
      <w:ind w:left="1679" w:hanging="419"/>
    </w:pPr>
    <w:rPr>
      <w:rFonts w:ascii="Times New Roman" w:hAnsi="Times New Roman" w:eastAsia="宋体" w:cs="Times New Roman"/>
      <w:sz w:val="24"/>
      <w:szCs w:val="24"/>
      <w:lang w:val="en-US" w:eastAsia="zh-CN" w:bidi="ar-SA"/>
    </w:rPr>
  </w:style>
  <w:style w:type="paragraph" w:customStyle="1" w:styleId="952">
    <w:name w:val="正文3级"/>
    <w:qFormat/>
    <w:uiPriority w:val="0"/>
    <w:pPr>
      <w:tabs>
        <w:tab w:val="left" w:pos="0"/>
      </w:tabs>
      <w:spacing w:after="60" w:line="400" w:lineRule="exact"/>
      <w:ind w:left="1678" w:hanging="419"/>
      <w:jc w:val="both"/>
    </w:pPr>
    <w:rPr>
      <w:rFonts w:ascii="Times New Roman" w:hAnsi="Times New Roman" w:eastAsia="宋体" w:cs="Times New Roman"/>
      <w:sz w:val="24"/>
      <w:szCs w:val="24"/>
      <w:lang w:val="en-US" w:eastAsia="zh-CN" w:bidi="ar-SA"/>
    </w:rPr>
  </w:style>
  <w:style w:type="paragraph" w:customStyle="1" w:styleId="953">
    <w:name w:val="表后"/>
    <w:next w:val="83"/>
    <w:link w:val="956"/>
    <w:qFormat/>
    <w:uiPriority w:val="0"/>
    <w:rPr>
      <w:rFonts w:ascii="宋体" w:hAnsi="宋体" w:eastAsia="宋体" w:cs="Times New Roman"/>
      <w:color w:val="000000"/>
      <w:sz w:val="21"/>
      <w:szCs w:val="21"/>
      <w:lang w:val="en-US" w:eastAsia="zh-CN" w:bidi="ar-SA"/>
    </w:rPr>
  </w:style>
  <w:style w:type="paragraph" w:customStyle="1" w:styleId="954">
    <w:name w:val="表内"/>
    <w:next w:val="953"/>
    <w:link w:val="955"/>
    <w:qFormat/>
    <w:uiPriority w:val="0"/>
    <w:pPr>
      <w:jc w:val="center"/>
    </w:pPr>
    <w:rPr>
      <w:rFonts w:ascii="Times New Roman" w:hAnsi="Times New Roman" w:eastAsia="宋体" w:cs="宋体"/>
      <w:lang w:val="en-US" w:eastAsia="zh-CN" w:bidi="ar-SA"/>
    </w:rPr>
  </w:style>
  <w:style w:type="character" w:customStyle="1" w:styleId="955">
    <w:name w:val="表内 Char"/>
    <w:link w:val="954"/>
    <w:qFormat/>
    <w:uiPriority w:val="0"/>
    <w:rPr>
      <w:rFonts w:cs="宋体"/>
    </w:rPr>
  </w:style>
  <w:style w:type="character" w:customStyle="1" w:styleId="956">
    <w:name w:val="表后 Char"/>
    <w:link w:val="953"/>
    <w:qFormat/>
    <w:uiPriority w:val="0"/>
    <w:rPr>
      <w:rFonts w:ascii="宋体" w:hAnsi="宋体"/>
      <w:color w:val="000000"/>
      <w:sz w:val="21"/>
      <w:szCs w:val="21"/>
    </w:rPr>
  </w:style>
  <w:style w:type="paragraph" w:customStyle="1" w:styleId="957">
    <w:name w:val="一级标题"/>
    <w:qFormat/>
    <w:uiPriority w:val="0"/>
    <w:pPr>
      <w:numPr>
        <w:ilvl w:val="0"/>
        <w:numId w:val="69"/>
      </w:numPr>
      <w:tabs>
        <w:tab w:val="clear" w:pos="403"/>
      </w:tabs>
      <w:spacing w:line="480" w:lineRule="auto"/>
      <w:ind w:left="425" w:hanging="425"/>
    </w:pPr>
    <w:rPr>
      <w:rFonts w:ascii="Times New Roman" w:hAnsi="Times New Roman" w:eastAsia="宋体" w:cs="Times New Roman"/>
      <w:b/>
      <w:sz w:val="24"/>
      <w:szCs w:val="24"/>
      <w:lang w:val="en-US" w:eastAsia="zh-CN" w:bidi="ar-SA"/>
    </w:rPr>
  </w:style>
  <w:style w:type="paragraph" w:customStyle="1" w:styleId="958">
    <w:name w:val="Char Char Char1"/>
    <w:basedOn w:val="1"/>
    <w:qFormat/>
    <w:uiPriority w:val="0"/>
    <w:pPr>
      <w:widowControl/>
      <w:spacing w:line="360" w:lineRule="auto"/>
    </w:pPr>
    <w:rPr>
      <w:rFonts w:ascii="宋体" w:hAnsi="宋体"/>
      <w:kern w:val="0"/>
      <w:sz w:val="22"/>
      <w:szCs w:val="22"/>
    </w:rPr>
  </w:style>
  <w:style w:type="paragraph" w:customStyle="1" w:styleId="959">
    <w:name w:val="Char Char3 Char Char Char Char Char Char Char"/>
    <w:basedOn w:val="1"/>
    <w:qFormat/>
    <w:uiPriority w:val="0"/>
    <w:pPr>
      <w:widowControl/>
    </w:pPr>
    <w:rPr>
      <w:rFonts w:ascii="Tahoma" w:hAnsi="Tahoma"/>
      <w:kern w:val="0"/>
      <w:sz w:val="24"/>
    </w:rPr>
  </w:style>
  <w:style w:type="paragraph" w:customStyle="1" w:styleId="960">
    <w:name w:val="默认段落字体 Para Char Char Char Char Char Char Char Char Char Char Char Char Char Char Char Char"/>
    <w:basedOn w:val="1"/>
    <w:qFormat/>
    <w:uiPriority w:val="0"/>
    <w:pPr>
      <w:widowControl/>
    </w:pPr>
    <w:rPr>
      <w:rFonts w:ascii="Tahoma" w:hAnsi="Tahoma"/>
      <w:kern w:val="0"/>
      <w:sz w:val="24"/>
    </w:rPr>
  </w:style>
  <w:style w:type="paragraph" w:customStyle="1" w:styleId="961">
    <w:name w:val="Char Char Char Char Char Char Char Char Char Char Char Char Char Char Char Char Char1 Char"/>
    <w:basedOn w:val="1"/>
    <w:qFormat/>
    <w:uiPriority w:val="0"/>
    <w:pPr>
      <w:widowControl/>
    </w:pPr>
    <w:rPr>
      <w:rFonts w:ascii="Tahoma" w:hAnsi="Tahoma" w:eastAsia="黑体"/>
      <w:kern w:val="0"/>
      <w:sz w:val="30"/>
      <w:szCs w:val="30"/>
    </w:rPr>
  </w:style>
  <w:style w:type="paragraph" w:customStyle="1" w:styleId="962">
    <w:name w:val="默认段落字体 Para Char Char Char Char Char Char Char Char Char Char Char Char Char Char Char Char Char Char Char Char Char Char Char Char Char Char Char Char Char"/>
    <w:basedOn w:val="26"/>
    <w:qFormat/>
    <w:uiPriority w:val="0"/>
    <w:pPr>
      <w:widowControl/>
      <w:shd w:val="clear" w:color="000000" w:fill="000080"/>
    </w:pPr>
    <w:rPr>
      <w:rFonts w:ascii="Tahoma" w:hAnsi="Tahoma"/>
      <w:kern w:val="0"/>
      <w:sz w:val="24"/>
      <w:szCs w:val="24"/>
    </w:rPr>
  </w:style>
  <w:style w:type="paragraph" w:customStyle="1" w:styleId="963">
    <w:name w:val="样式 标题 2 + 左侧:  1 字符 右侧:  1 字符"/>
    <w:basedOn w:val="4"/>
    <w:qFormat/>
    <w:uiPriority w:val="0"/>
    <w:pPr>
      <w:keepNext w:val="0"/>
      <w:keepLines w:val="0"/>
      <w:widowControl/>
      <w:tabs>
        <w:tab w:val="left" w:pos="0"/>
      </w:tabs>
      <w:spacing w:line="415" w:lineRule="auto"/>
      <w:ind w:left="210" w:leftChars="210" w:right="210"/>
    </w:pPr>
    <w:rPr>
      <w:rFonts w:cs="宋体"/>
      <w:bCs w:val="0"/>
      <w:kern w:val="0"/>
    </w:rPr>
  </w:style>
  <w:style w:type="paragraph" w:customStyle="1" w:styleId="964">
    <w:name w:val="样式 标题6样式2 + 左侧:  1 字符 右侧:  1 字符"/>
    <w:basedOn w:val="1"/>
    <w:qFormat/>
    <w:uiPriority w:val="0"/>
    <w:pPr>
      <w:widowControl/>
      <w:numPr>
        <w:ilvl w:val="0"/>
        <w:numId w:val="70"/>
      </w:numPr>
      <w:spacing w:before="240" w:after="64" w:line="360" w:lineRule="auto"/>
      <w:ind w:right="210" w:firstLine="0"/>
      <w:outlineLvl w:val="5"/>
    </w:pPr>
    <w:rPr>
      <w:rFonts w:ascii="Arial" w:hAnsi="Arial" w:eastAsia="黑体" w:cs="宋体"/>
      <w:b/>
      <w:kern w:val="0"/>
      <w:sz w:val="24"/>
    </w:rPr>
  </w:style>
  <w:style w:type="paragraph" w:customStyle="1" w:styleId="965">
    <w:name w:val="封面表格"/>
    <w:qFormat/>
    <w:uiPriority w:val="0"/>
    <w:pPr>
      <w:spacing w:line="480" w:lineRule="auto"/>
      <w:jc w:val="center"/>
    </w:pPr>
    <w:rPr>
      <w:rFonts w:ascii="Times New Roman" w:hAnsi="Times New Roman" w:eastAsia="宋体" w:cs="Times New Roman"/>
      <w:sz w:val="28"/>
      <w:szCs w:val="28"/>
      <w:lang w:val="en-US" w:eastAsia="zh-CN" w:bidi="ar-SA"/>
    </w:rPr>
  </w:style>
  <w:style w:type="paragraph" w:customStyle="1" w:styleId="966">
    <w:name w:val="段落缩进"/>
    <w:qFormat/>
    <w:uiPriority w:val="0"/>
    <w:pPr>
      <w:spacing w:after="120" w:line="360" w:lineRule="auto"/>
      <w:ind w:firstLine="425"/>
    </w:pPr>
    <w:rPr>
      <w:rFonts w:ascii="Times New Roman" w:hAnsi="Times New Roman" w:eastAsia="宋体" w:cs="Times New Roman"/>
      <w:sz w:val="24"/>
      <w:szCs w:val="24"/>
      <w:lang w:val="en-US" w:eastAsia="zh-CN" w:bidi="ar-SA"/>
    </w:rPr>
  </w:style>
  <w:style w:type="paragraph" w:customStyle="1" w:styleId="967">
    <w:name w:val="正文缩进2文字 Char Char Char Char"/>
    <w:basedOn w:val="1"/>
    <w:qFormat/>
    <w:uiPriority w:val="0"/>
    <w:pPr>
      <w:widowControl/>
      <w:spacing w:before="120" w:after="120" w:line="360" w:lineRule="auto"/>
      <w:ind w:firstLine="200"/>
    </w:pPr>
    <w:rPr>
      <w:kern w:val="0"/>
      <w:sz w:val="24"/>
    </w:rPr>
  </w:style>
  <w:style w:type="paragraph" w:customStyle="1" w:styleId="968">
    <w:name w:val="正文new"/>
    <w:basedOn w:val="1"/>
    <w:qFormat/>
    <w:uiPriority w:val="0"/>
    <w:pPr>
      <w:widowControl/>
      <w:tabs>
        <w:tab w:val="left" w:pos="-360"/>
        <w:tab w:val="left" w:pos="900"/>
      </w:tabs>
      <w:spacing w:line="360" w:lineRule="auto"/>
      <w:ind w:firstLine="200"/>
      <w:jc w:val="left"/>
    </w:pPr>
    <w:rPr>
      <w:rFonts w:ascii="宋体" w:hAnsi="宋体"/>
      <w:kern w:val="0"/>
      <w:sz w:val="24"/>
    </w:rPr>
  </w:style>
  <w:style w:type="paragraph" w:customStyle="1" w:styleId="969">
    <w:name w:val="Char Char8 Char Char Char Char Char Char Char Char Char1"/>
    <w:basedOn w:val="1"/>
    <w:qFormat/>
    <w:uiPriority w:val="0"/>
    <w:pPr>
      <w:widowControl/>
      <w:spacing w:line="360" w:lineRule="auto"/>
    </w:pPr>
    <w:rPr>
      <w:rFonts w:ascii="宋体" w:hAnsi="宋体"/>
      <w:kern w:val="0"/>
      <w:sz w:val="22"/>
      <w:szCs w:val="22"/>
    </w:rPr>
  </w:style>
  <w:style w:type="paragraph" w:customStyle="1" w:styleId="970">
    <w:name w:val="CU"/>
    <w:basedOn w:val="1"/>
    <w:link w:val="972"/>
    <w:qFormat/>
    <w:uiPriority w:val="0"/>
    <w:pPr>
      <w:widowControl/>
      <w:spacing w:line="360" w:lineRule="auto"/>
      <w:ind w:left="420"/>
      <w:jc w:val="left"/>
    </w:pPr>
    <w:rPr>
      <w:rFonts w:ascii="宋体" w:hAnsi="宋体"/>
      <w:kern w:val="0"/>
      <w:sz w:val="24"/>
    </w:rPr>
  </w:style>
  <w:style w:type="paragraph" w:customStyle="1" w:styleId="971">
    <w:name w:val="CU-bullentine2"/>
    <w:basedOn w:val="673"/>
    <w:qFormat/>
    <w:uiPriority w:val="0"/>
    <w:pPr>
      <w:ind w:left="709" w:hanging="709"/>
    </w:pPr>
    <w:rPr>
      <w:rFonts w:eastAsia="Times New Roman"/>
      <w:lang w:eastAsia="zh-CN"/>
    </w:rPr>
  </w:style>
  <w:style w:type="character" w:customStyle="1" w:styleId="972">
    <w:name w:val="CU Char"/>
    <w:link w:val="970"/>
    <w:qFormat/>
    <w:uiPriority w:val="0"/>
    <w:rPr>
      <w:rFonts w:ascii="宋体" w:hAnsi="宋体"/>
      <w:sz w:val="24"/>
      <w:szCs w:val="24"/>
    </w:rPr>
  </w:style>
  <w:style w:type="paragraph" w:customStyle="1" w:styleId="973">
    <w:name w:val="CU-bullentine--small"/>
    <w:basedOn w:val="1"/>
    <w:qFormat/>
    <w:uiPriority w:val="0"/>
    <w:pPr>
      <w:widowControl/>
      <w:numPr>
        <w:ilvl w:val="0"/>
        <w:numId w:val="71"/>
      </w:numPr>
      <w:ind w:firstLine="0"/>
      <w:jc w:val="left"/>
    </w:pPr>
    <w:rPr>
      <w:rFonts w:ascii="Arial" w:hAnsi="Arial"/>
      <w:kern w:val="0"/>
      <w:sz w:val="24"/>
    </w:rPr>
  </w:style>
  <w:style w:type="paragraph" w:customStyle="1" w:styleId="974">
    <w:name w:val="cu-b"/>
    <w:basedOn w:val="973"/>
    <w:link w:val="975"/>
    <w:qFormat/>
    <w:uiPriority w:val="0"/>
    <w:pPr>
      <w:spacing w:line="360" w:lineRule="auto"/>
    </w:pPr>
  </w:style>
  <w:style w:type="character" w:customStyle="1" w:styleId="975">
    <w:name w:val="cu-b Char"/>
    <w:link w:val="974"/>
    <w:qFormat/>
    <w:uiPriority w:val="0"/>
    <w:rPr>
      <w:rFonts w:ascii="Arial" w:hAnsi="Arial"/>
      <w:sz w:val="24"/>
      <w:szCs w:val="24"/>
    </w:rPr>
  </w:style>
  <w:style w:type="paragraph" w:customStyle="1" w:styleId="976">
    <w:name w:val="项目符号1说明"/>
    <w:basedOn w:val="1"/>
    <w:semiHidden/>
    <w:qFormat/>
    <w:uiPriority w:val="0"/>
    <w:pPr>
      <w:widowControl/>
      <w:spacing w:before="60" w:after="60"/>
      <w:jc w:val="center"/>
    </w:pPr>
    <w:rPr>
      <w:rFonts w:ascii="黑体" w:eastAsia="黑体"/>
      <w:kern w:val="0"/>
      <w:szCs w:val="21"/>
    </w:rPr>
  </w:style>
  <w:style w:type="paragraph" w:customStyle="1" w:styleId="977">
    <w:name w:val="样式 首行缩进:  4 字符"/>
    <w:basedOn w:val="1"/>
    <w:qFormat/>
    <w:uiPriority w:val="0"/>
    <w:pPr>
      <w:widowControl/>
      <w:spacing w:line="360" w:lineRule="auto"/>
      <w:ind w:firstLine="200"/>
    </w:pPr>
    <w:rPr>
      <w:rFonts w:cs="宋体"/>
      <w:kern w:val="0"/>
      <w:sz w:val="24"/>
    </w:rPr>
  </w:style>
  <w:style w:type="paragraph" w:customStyle="1" w:styleId="978">
    <w:name w:val="CU-bullentine1"/>
    <w:basedOn w:val="672"/>
    <w:qFormat/>
    <w:uiPriority w:val="0"/>
    <w:pPr>
      <w:numPr>
        <w:ilvl w:val="0"/>
        <w:numId w:val="0"/>
      </w:numPr>
      <w:tabs>
        <w:tab w:val="left" w:pos="1320"/>
      </w:tabs>
      <w:ind w:left="1320" w:hanging="420"/>
    </w:pPr>
    <w:rPr>
      <w:lang w:val="en-US" w:eastAsia="zh-CN"/>
    </w:rPr>
  </w:style>
  <w:style w:type="paragraph" w:customStyle="1" w:styleId="979">
    <w:name w:val="CU-sub"/>
    <w:basedOn w:val="1"/>
    <w:link w:val="981"/>
    <w:qFormat/>
    <w:uiPriority w:val="0"/>
    <w:pPr>
      <w:widowControl/>
      <w:numPr>
        <w:ilvl w:val="1"/>
        <w:numId w:val="72"/>
      </w:numPr>
      <w:spacing w:line="360" w:lineRule="auto"/>
      <w:ind w:firstLine="0"/>
      <w:jc w:val="left"/>
    </w:pPr>
    <w:rPr>
      <w:rFonts w:ascii="Arial" w:hAnsi="Arial"/>
      <w:kern w:val="0"/>
      <w:sz w:val="24"/>
    </w:rPr>
  </w:style>
  <w:style w:type="paragraph" w:customStyle="1" w:styleId="980">
    <w:name w:val="CU-6"/>
    <w:basedOn w:val="979"/>
    <w:qFormat/>
    <w:uiPriority w:val="0"/>
    <w:pPr>
      <w:numPr>
        <w:ilvl w:val="0"/>
        <w:numId w:val="0"/>
      </w:numPr>
      <w:tabs>
        <w:tab w:val="left" w:pos="1260"/>
        <w:tab w:val="left" w:pos="1740"/>
      </w:tabs>
    </w:pPr>
  </w:style>
  <w:style w:type="character" w:customStyle="1" w:styleId="981">
    <w:name w:val="CU-sub Char"/>
    <w:link w:val="979"/>
    <w:qFormat/>
    <w:uiPriority w:val="0"/>
    <w:rPr>
      <w:rFonts w:ascii="Arial" w:hAnsi="Arial"/>
      <w:sz w:val="24"/>
      <w:szCs w:val="24"/>
    </w:rPr>
  </w:style>
  <w:style w:type="paragraph" w:customStyle="1" w:styleId="982">
    <w:name w:val="缩进(ALT+Z)"/>
    <w:basedOn w:val="1"/>
    <w:link w:val="983"/>
    <w:qFormat/>
    <w:uiPriority w:val="0"/>
    <w:pPr>
      <w:widowControl/>
      <w:spacing w:line="360" w:lineRule="auto"/>
      <w:ind w:firstLine="200"/>
    </w:pPr>
    <w:rPr>
      <w:rFonts w:ascii="宋体" w:cs="宋体"/>
      <w:kern w:val="0"/>
      <w:sz w:val="24"/>
    </w:rPr>
  </w:style>
  <w:style w:type="character" w:customStyle="1" w:styleId="983">
    <w:name w:val="缩进(ALT+Z) Char1"/>
    <w:link w:val="982"/>
    <w:qFormat/>
    <w:uiPriority w:val="0"/>
    <w:rPr>
      <w:rFonts w:ascii="宋体" w:cs="宋体"/>
      <w:sz w:val="24"/>
      <w:szCs w:val="24"/>
    </w:rPr>
  </w:style>
  <w:style w:type="paragraph" w:customStyle="1" w:styleId="984">
    <w:name w:val="yd正文"/>
    <w:basedOn w:val="1"/>
    <w:qFormat/>
    <w:uiPriority w:val="0"/>
    <w:pPr>
      <w:widowControl/>
      <w:spacing w:line="360" w:lineRule="auto"/>
    </w:pPr>
    <w:rPr>
      <w:rFonts w:ascii="宋体" w:hAnsi="Arial Unicode MS"/>
      <w:kern w:val="0"/>
      <w:sz w:val="24"/>
    </w:rPr>
  </w:style>
  <w:style w:type="paragraph" w:customStyle="1" w:styleId="985">
    <w:name w:val="方案正文"/>
    <w:basedOn w:val="1"/>
    <w:qFormat/>
    <w:uiPriority w:val="0"/>
    <w:pPr>
      <w:widowControl/>
      <w:spacing w:before="156" w:line="360" w:lineRule="auto"/>
      <w:ind w:firstLine="171"/>
      <w:jc w:val="left"/>
    </w:pPr>
    <w:rPr>
      <w:rFonts w:ascii="Arial" w:hAnsi="Arial" w:cs="宋体"/>
      <w:kern w:val="0"/>
      <w:sz w:val="24"/>
    </w:rPr>
  </w:style>
  <w:style w:type="paragraph" w:customStyle="1" w:styleId="986">
    <w:name w:val="项目符号1"/>
    <w:basedOn w:val="1"/>
    <w:qFormat/>
    <w:uiPriority w:val="0"/>
    <w:pPr>
      <w:widowControl/>
      <w:numPr>
        <w:ilvl w:val="0"/>
        <w:numId w:val="73"/>
      </w:numPr>
      <w:spacing w:line="360" w:lineRule="auto"/>
      <w:ind w:firstLine="0"/>
    </w:pPr>
    <w:rPr>
      <w:rFonts w:ascii="Times" w:hAnsi="Times"/>
      <w:b/>
      <w:kern w:val="0"/>
      <w:sz w:val="28"/>
      <w:szCs w:val="28"/>
    </w:rPr>
  </w:style>
  <w:style w:type="paragraph" w:customStyle="1" w:styleId="987">
    <w:name w:val="封面标题"/>
    <w:qFormat/>
    <w:uiPriority w:val="0"/>
    <w:pPr>
      <w:spacing w:line="360" w:lineRule="auto"/>
      <w:jc w:val="center"/>
    </w:pPr>
    <w:rPr>
      <w:rFonts w:ascii="Times New Roman" w:hAnsi="Times New Roman" w:eastAsia="宋体" w:cs="Times New Roman"/>
      <w:b/>
      <w:color w:val="000000"/>
      <w:sz w:val="44"/>
      <w:szCs w:val="44"/>
      <w:lang w:val="en-US" w:eastAsia="zh-CN" w:bidi="ar-SA"/>
    </w:rPr>
  </w:style>
  <w:style w:type="paragraph" w:customStyle="1" w:styleId="988">
    <w:name w:val="移动五期"/>
    <w:basedOn w:val="1"/>
    <w:qFormat/>
    <w:uiPriority w:val="0"/>
    <w:pPr>
      <w:widowControl/>
      <w:snapToGrid w:val="0"/>
      <w:spacing w:line="360" w:lineRule="auto"/>
    </w:pPr>
    <w:rPr>
      <w:rFonts w:ascii="宋体"/>
      <w:kern w:val="0"/>
      <w:sz w:val="24"/>
    </w:rPr>
  </w:style>
  <w:style w:type="paragraph" w:customStyle="1" w:styleId="989">
    <w:name w:val="Char Char Char Char Char Char Char Char Char Char Char Char Char Char Char2 Char Char Char1 Char Char Char7 Char"/>
    <w:basedOn w:val="1"/>
    <w:semiHidden/>
    <w:qFormat/>
    <w:uiPriority w:val="0"/>
    <w:pPr>
      <w:widowControl/>
      <w:numPr>
        <w:ilvl w:val="2"/>
        <w:numId w:val="74"/>
      </w:numPr>
      <w:tabs>
        <w:tab w:val="clear" w:pos="720"/>
      </w:tabs>
      <w:ind w:left="0" w:firstLine="0"/>
    </w:pPr>
    <w:rPr>
      <w:rFonts w:ascii="Arial" w:hAnsi="Arial" w:cs="Arial"/>
      <w:kern w:val="0"/>
      <w:szCs w:val="21"/>
    </w:rPr>
  </w:style>
  <w:style w:type="character" w:customStyle="1" w:styleId="990">
    <w:name w:val="editmail"/>
    <w:qFormat/>
    <w:uiPriority w:val="0"/>
  </w:style>
  <w:style w:type="paragraph" w:customStyle="1" w:styleId="991">
    <w:name w:val="样式 小四 首行缩进:  2 字符"/>
    <w:basedOn w:val="1"/>
    <w:qFormat/>
    <w:uiPriority w:val="0"/>
    <w:pPr>
      <w:widowControl/>
      <w:spacing w:line="360" w:lineRule="auto"/>
    </w:pPr>
    <w:rPr>
      <w:rFonts w:cs="宋体"/>
      <w:kern w:val="0"/>
      <w:sz w:val="24"/>
    </w:rPr>
  </w:style>
  <w:style w:type="paragraph" w:customStyle="1" w:styleId="992">
    <w:name w:val="*正文"/>
    <w:basedOn w:val="1"/>
    <w:qFormat/>
    <w:uiPriority w:val="0"/>
    <w:pPr>
      <w:widowControl/>
      <w:ind w:firstLine="200"/>
    </w:pPr>
    <w:rPr>
      <w:rFonts w:ascii="仿宋_GB2312" w:eastAsia="仿宋_GB2312"/>
      <w:kern w:val="0"/>
      <w:sz w:val="24"/>
    </w:rPr>
  </w:style>
  <w:style w:type="paragraph" w:customStyle="1" w:styleId="993">
    <w:name w:val="表样式"/>
    <w:basedOn w:val="1"/>
    <w:qFormat/>
    <w:uiPriority w:val="0"/>
    <w:pPr>
      <w:widowControl/>
      <w:spacing w:line="360" w:lineRule="auto"/>
    </w:pPr>
    <w:rPr>
      <w:rFonts w:eastAsia="仿宋_GB2312"/>
      <w:kern w:val="0"/>
      <w:sz w:val="28"/>
      <w:szCs w:val="28"/>
    </w:rPr>
  </w:style>
  <w:style w:type="paragraph" w:customStyle="1" w:styleId="994">
    <w:name w:val="方案文档"/>
    <w:basedOn w:val="1"/>
    <w:qFormat/>
    <w:uiPriority w:val="0"/>
    <w:pPr>
      <w:widowControl/>
      <w:spacing w:before="120" w:after="120" w:line="360" w:lineRule="auto"/>
    </w:pPr>
    <w:rPr>
      <w:rFonts w:ascii="Arial" w:hAnsi="Arial"/>
      <w:kern w:val="0"/>
      <w:sz w:val="24"/>
    </w:rPr>
  </w:style>
  <w:style w:type="paragraph" w:customStyle="1" w:styleId="995">
    <w:name w:val="_Style 3"/>
    <w:basedOn w:val="1"/>
    <w:qFormat/>
    <w:uiPriority w:val="0"/>
    <w:pPr>
      <w:widowControl/>
      <w:ind w:firstLine="420"/>
    </w:pPr>
    <w:rPr>
      <w:rFonts w:ascii="宋体"/>
      <w:kern w:val="0"/>
      <w:sz w:val="34"/>
      <w:szCs w:val="34"/>
    </w:rPr>
  </w:style>
  <w:style w:type="paragraph" w:customStyle="1" w:styleId="996">
    <w:name w:val="列出段落2"/>
    <w:basedOn w:val="1"/>
    <w:qFormat/>
    <w:uiPriority w:val="0"/>
    <w:pPr>
      <w:widowControl/>
      <w:ind w:firstLine="420"/>
      <w:jc w:val="left"/>
    </w:pPr>
    <w:rPr>
      <w:rFonts w:ascii="Arial" w:hAnsi="Arial" w:cs="Arial"/>
      <w:kern w:val="0"/>
      <w:sz w:val="20"/>
      <w:szCs w:val="20"/>
      <w:lang w:eastAsia="en-US"/>
    </w:rPr>
  </w:style>
  <w:style w:type="paragraph" w:customStyle="1" w:styleId="997">
    <w:name w:val="标题2_ISS"/>
    <w:basedOn w:val="4"/>
    <w:qFormat/>
    <w:uiPriority w:val="0"/>
    <w:pPr>
      <w:keepNext w:val="0"/>
      <w:keepLines w:val="0"/>
      <w:widowControl/>
      <w:tabs>
        <w:tab w:val="left" w:pos="576"/>
        <w:tab w:val="left" w:pos="756"/>
      </w:tabs>
      <w:spacing w:before="240" w:after="60" w:line="240" w:lineRule="auto"/>
      <w:ind w:left="756" w:hanging="576"/>
      <w:jc w:val="left"/>
    </w:pPr>
    <w:rPr>
      <w:rFonts w:ascii="宋体" w:hAnsi="宋体" w:eastAsia="宋体"/>
      <w:bCs w:val="0"/>
      <w:kern w:val="0"/>
      <w:sz w:val="28"/>
      <w:szCs w:val="28"/>
      <w:lang w:val="en-GB"/>
    </w:rPr>
  </w:style>
  <w:style w:type="paragraph" w:customStyle="1" w:styleId="998">
    <w:name w:val="Char Char1 Char2"/>
    <w:basedOn w:val="26"/>
    <w:qFormat/>
    <w:uiPriority w:val="0"/>
    <w:pPr>
      <w:widowControl/>
      <w:shd w:val="clear" w:color="000000" w:fill="000080"/>
      <w:spacing w:line="312" w:lineRule="atLeast"/>
    </w:pPr>
    <w:rPr>
      <w:rFonts w:ascii="Tahoma" w:hAnsi="Tahoma"/>
      <w:kern w:val="0"/>
      <w:sz w:val="24"/>
      <w:szCs w:val="24"/>
    </w:rPr>
  </w:style>
  <w:style w:type="paragraph" w:customStyle="1" w:styleId="999">
    <w:name w:val="首行缩进2字符"/>
    <w:basedOn w:val="1"/>
    <w:qFormat/>
    <w:uiPriority w:val="0"/>
    <w:pPr>
      <w:widowControl/>
      <w:spacing w:line="300" w:lineRule="auto"/>
    </w:pPr>
    <w:rPr>
      <w:kern w:val="0"/>
    </w:rPr>
  </w:style>
  <w:style w:type="character" w:customStyle="1" w:styleId="1000">
    <w:name w:val="font41"/>
    <w:basedOn w:val="89"/>
    <w:qFormat/>
    <w:uiPriority w:val="0"/>
    <w:rPr>
      <w:rFonts w:hint="eastAsia" w:ascii="宋体" w:hAnsi="宋体" w:eastAsia="宋体" w:cs="宋体"/>
      <w:color w:val="000000"/>
      <w:sz w:val="24"/>
      <w:szCs w:val="24"/>
      <w:u w:val="none"/>
    </w:rPr>
  </w:style>
  <w:style w:type="paragraph" w:customStyle="1" w:styleId="1001">
    <w:name w:val="3级和以下标题及正文"/>
    <w:basedOn w:val="1"/>
    <w:qFormat/>
    <w:uiPriority w:val="0"/>
    <w:pPr>
      <w:ind w:firstLine="660"/>
    </w:pPr>
    <w:rPr>
      <w:rFonts w:ascii="仿宋" w:hAnsi="仿宋" w:eastAsia="仿宋" w:cstheme="minorBidi"/>
      <w:sz w:val="32"/>
      <w:szCs w:val="32"/>
    </w:rPr>
  </w:style>
  <w:style w:type="paragraph" w:customStyle="1" w:styleId="1002">
    <w:name w:val="目录 71"/>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1003">
    <w:name w:val="标题 10"/>
    <w:basedOn w:val="4"/>
    <w:qFormat/>
    <w:uiPriority w:val="0"/>
    <w:pPr>
      <w:keepNext w:val="0"/>
      <w:keepLines w:val="0"/>
      <w:jc w:val="center"/>
    </w:pPr>
    <w:rPr>
      <w:bCs w:val="0"/>
      <w:kern w:val="0"/>
    </w:rPr>
  </w:style>
  <w:style w:type="character" w:customStyle="1" w:styleId="1004">
    <w:name w:val="标题 1 Char"/>
    <w:basedOn w:val="89"/>
    <w:qFormat/>
    <w:uiPriority w:val="0"/>
    <w:rPr>
      <w:rFonts w:ascii="Times New Roman" w:hAnsi="Times New Roman" w:eastAsia="宋体" w:cs="Times New Roman"/>
      <w:b/>
      <w:bCs/>
      <w:kern w:val="44"/>
      <w:sz w:val="44"/>
      <w:szCs w:val="44"/>
    </w:rPr>
  </w:style>
  <w:style w:type="character" w:customStyle="1" w:styleId="1005">
    <w:name w:val="font31"/>
    <w:basedOn w:val="89"/>
    <w:qFormat/>
    <w:uiPriority w:val="0"/>
    <w:rPr>
      <w:rFonts w:hint="eastAsia" w:ascii="宋体" w:hAnsi="宋体" w:eastAsia="宋体" w:cs="宋体"/>
      <w:b/>
      <w:bCs/>
      <w:color w:val="000000"/>
      <w:sz w:val="22"/>
      <w:szCs w:val="22"/>
      <w:u w:val="none"/>
    </w:rPr>
  </w:style>
  <w:style w:type="character" w:customStyle="1" w:styleId="1006">
    <w:name w:val="font51"/>
    <w:basedOn w:val="89"/>
    <w:qFormat/>
    <w:uiPriority w:val="0"/>
    <w:rPr>
      <w:rFonts w:hint="default" w:ascii="仿宋_GB2312" w:eastAsia="仿宋_GB2312" w:cs="仿宋_GB2312"/>
      <w:color w:val="000000"/>
      <w:sz w:val="22"/>
      <w:szCs w:val="22"/>
      <w:u w:val="none"/>
    </w:rPr>
  </w:style>
  <w:style w:type="character" w:customStyle="1" w:styleId="1007">
    <w:name w:val="font61"/>
    <w:basedOn w:val="89"/>
    <w:qFormat/>
    <w:uiPriority w:val="0"/>
    <w:rPr>
      <w:rFonts w:hint="default" w:ascii="仿宋_GB2312" w:eastAsia="仿宋_GB2312" w:cs="仿宋_GB2312"/>
      <w:color w:val="000000"/>
      <w:sz w:val="24"/>
      <w:szCs w:val="24"/>
      <w:u w:val="single"/>
    </w:rPr>
  </w:style>
  <w:style w:type="paragraph" w:customStyle="1" w:styleId="1008">
    <w:name w:val="样式 小四 首行缩进:  0.85 厘米 行距: 1.5 倍行距"/>
    <w:basedOn w:val="1"/>
    <w:qFormat/>
    <w:uiPriority w:val="0"/>
    <w:pPr>
      <w:adjustRightInd w:val="0"/>
      <w:spacing w:line="360" w:lineRule="auto"/>
      <w:ind w:firstLine="480"/>
      <w:textAlignment w:val="baseline"/>
    </w:pPr>
    <w:rPr>
      <w:rFonts w:ascii="Calibri" w:hAnsi="Calibri" w:cs="宋体"/>
      <w:kern w:val="0"/>
      <w:sz w:val="24"/>
    </w:rPr>
  </w:style>
  <w:style w:type="paragraph" w:customStyle="1" w:styleId="1009">
    <w:name w:val="通用标题5"/>
    <w:qFormat/>
    <w:uiPriority w:val="0"/>
    <w:pPr>
      <w:widowControl w:val="0"/>
      <w:numPr>
        <w:ilvl w:val="3"/>
        <w:numId w:val="75"/>
      </w:numPr>
      <w:tabs>
        <w:tab w:val="left" w:pos="1134"/>
      </w:tabs>
      <w:autoSpaceDE w:val="0"/>
      <w:autoSpaceDN w:val="0"/>
      <w:adjustRightInd w:val="0"/>
      <w:snapToGrid w:val="0"/>
      <w:spacing w:after="120" w:afterLines="50" w:line="360" w:lineRule="auto"/>
      <w:jc w:val="both"/>
    </w:pPr>
    <w:rPr>
      <w:rFonts w:ascii="宋体" w:hAnsi="宋体" w:eastAsia="宋体" w:cs="Times New Roman"/>
      <w:kern w:val="2"/>
      <w:sz w:val="24"/>
      <w:szCs w:val="21"/>
      <w:lang w:val="en-US" w:eastAsia="zh-CN" w:bidi="ar-SA"/>
    </w:rPr>
  </w:style>
  <w:style w:type="paragraph" w:customStyle="1" w:styleId="1010">
    <w:name w:val="Other|1"/>
    <w:basedOn w:val="1"/>
    <w:qFormat/>
    <w:uiPriority w:val="0"/>
    <w:pPr>
      <w:spacing w:line="331" w:lineRule="exact"/>
      <w:ind w:firstLine="140"/>
    </w:pPr>
    <w:rPr>
      <w:rFonts w:ascii="宋体" w:hAnsi="宋体" w:cs="宋体"/>
      <w:sz w:val="20"/>
      <w:szCs w:val="20"/>
      <w:lang w:val="zh-TW" w:eastAsia="zh-TW" w:bidi="zh-TW"/>
    </w:rPr>
  </w:style>
  <w:style w:type="paragraph" w:customStyle="1" w:styleId="1011">
    <w:name w:val="QB表内文字"/>
    <w:basedOn w:val="199"/>
    <w:qFormat/>
    <w:uiPriority w:val="0"/>
    <w:pPr>
      <w:widowControl w:val="0"/>
      <w:ind w:firstLine="0" w:firstLineChars="200"/>
    </w:pPr>
    <w:rPr>
      <w:szCs w:val="20"/>
    </w:rPr>
  </w:style>
  <w:style w:type="character" w:customStyle="1" w:styleId="1012">
    <w:name w:val="font71"/>
    <w:basedOn w:val="89"/>
    <w:qFormat/>
    <w:uiPriority w:val="0"/>
    <w:rPr>
      <w:rFonts w:hint="eastAsia" w:ascii="宋体" w:hAnsi="宋体" w:eastAsia="宋体" w:cs="宋体"/>
      <w:color w:val="000000"/>
      <w:sz w:val="20"/>
      <w:szCs w:val="20"/>
      <w:u w:val="none"/>
    </w:rPr>
  </w:style>
  <w:style w:type="paragraph" w:customStyle="1" w:styleId="1013">
    <w:name w:val="注"/>
    <w:basedOn w:val="142"/>
    <w:qFormat/>
    <w:uiPriority w:val="0"/>
    <w:pPr>
      <w:spacing w:line="288" w:lineRule="auto"/>
      <w:ind w:firstLine="0" w:firstLineChars="0"/>
    </w:pPr>
    <w:rPr>
      <w:sz w:val="20"/>
    </w:rPr>
  </w:style>
  <w:style w:type="paragraph" w:customStyle="1" w:styleId="1014">
    <w:name w:val="报告正文"/>
    <w:basedOn w:val="1"/>
    <w:qFormat/>
    <w:uiPriority w:val="0"/>
    <w:pPr>
      <w:spacing w:before="100" w:beforeAutospacing="1" w:line="300" w:lineRule="auto"/>
      <w:ind w:firstLine="482"/>
    </w:pPr>
    <w:rPr>
      <w:kern w:val="0"/>
      <w:sz w:val="24"/>
      <w:szCs w:val="20"/>
    </w:rPr>
  </w:style>
  <w:style w:type="paragraph" w:customStyle="1" w:styleId="1015">
    <w:name w:val="Table Paragraph"/>
    <w:basedOn w:val="1"/>
    <w:qFormat/>
    <w:uiPriority w:val="1"/>
    <w:pPr>
      <w:spacing w:line="292" w:lineRule="exact"/>
      <w:ind w:left="108"/>
    </w:pPr>
    <w:rPr>
      <w:rFonts w:ascii="微软雅黑" w:hAnsi="微软雅黑" w:eastAsia="微软雅黑" w:cs="微软雅黑"/>
      <w:lang w:val="zh-CN" w:bidi="zh-CN"/>
    </w:rPr>
  </w:style>
  <w:style w:type="paragraph" w:customStyle="1" w:styleId="1016">
    <w:name w:val="标题 55"/>
    <w:basedOn w:val="7"/>
    <w:qFormat/>
    <w:uiPriority w:val="0"/>
    <w:rPr>
      <w:rFonts w:ascii="方正黑体简体" w:eastAsia="方正黑体简体"/>
      <w:b w:val="0"/>
      <w:bCs w:val="0"/>
    </w:rPr>
  </w:style>
  <w:style w:type="paragraph" w:customStyle="1" w:styleId="1017">
    <w:name w:val="列出段落"/>
    <w:basedOn w:val="1"/>
    <w:qFormat/>
    <w:uiPriority w:val="0"/>
    <w:pPr>
      <w:ind w:firstLine="420" w:firstLineChars="200"/>
    </w:pPr>
    <w:rPr>
      <w:rFonts w:ascii="Calibri" w:hAnsi="Calibri"/>
      <w:szCs w:val="22"/>
    </w:rPr>
  </w:style>
  <w:style w:type="paragraph" w:customStyle="1" w:styleId="1018">
    <w:name w:val="X正文"/>
    <w:basedOn w:val="1"/>
    <w:qFormat/>
    <w:uiPriority w:val="0"/>
    <w:pPr>
      <w:spacing w:line="360" w:lineRule="auto"/>
      <w:ind w:firstLine="200" w:firstLineChars="200"/>
    </w:pPr>
    <w:rPr>
      <w:rFonts w:eastAsia="仿宋_GB2312"/>
      <w:sz w:val="24"/>
      <w:szCs w:val="20"/>
    </w:rPr>
  </w:style>
  <w:style w:type="character" w:customStyle="1" w:styleId="1019">
    <w:name w:val="font91"/>
    <w:basedOn w:val="89"/>
    <w:qFormat/>
    <w:uiPriority w:val="0"/>
    <w:rPr>
      <w:rFonts w:hint="eastAsia" w:ascii="宋体" w:hAnsi="宋体" w:eastAsia="宋体" w:cs="宋体"/>
      <w:color w:val="000000"/>
      <w:sz w:val="18"/>
      <w:szCs w:val="18"/>
      <w:u w:val="none"/>
    </w:rPr>
  </w:style>
  <w:style w:type="paragraph" w:customStyle="1" w:styleId="1020">
    <w:name w:val="TOC 标题4"/>
    <w:basedOn w:val="3"/>
    <w:next w:val="1"/>
    <w:semiHidden/>
    <w:unhideWhenUsed/>
    <w:qFormat/>
    <w:uiPriority w:val="39"/>
    <w:pPr>
      <w:outlineLvl w:val="9"/>
    </w:pPr>
  </w:style>
  <w:style w:type="character" w:customStyle="1" w:styleId="1021">
    <w:name w:val="纯文本 字符1"/>
    <w:basedOn w:val="89"/>
    <w:qFormat/>
    <w:uiPriority w:val="0"/>
    <w:rPr>
      <w:rFonts w:hint="eastAsia" w:ascii="宋体" w:hAnsi="Courier New" w:eastAsia="宋体" w:cs="宋体"/>
    </w:rPr>
  </w:style>
  <w:style w:type="character" w:customStyle="1" w:styleId="1022">
    <w:name w:val="未处理的提及1"/>
    <w:basedOn w:val="89"/>
    <w:semiHidden/>
    <w:unhideWhenUsed/>
    <w:qFormat/>
    <w:uiPriority w:val="99"/>
    <w:rPr>
      <w:color w:val="605E5C"/>
      <w:shd w:val="clear" w:color="auto" w:fill="E1DFDD"/>
    </w:rPr>
  </w:style>
  <w:style w:type="character" w:customStyle="1" w:styleId="1023">
    <w:name w:val="readfield"/>
    <w:basedOn w:val="89"/>
    <w:qFormat/>
    <w:uiPriority w:val="99"/>
    <w:rPr>
      <w:rFonts w:cs="Times New Roman"/>
    </w:rPr>
  </w:style>
  <w:style w:type="paragraph" w:customStyle="1" w:styleId="1024">
    <w:name w:val="正文正"/>
    <w:qFormat/>
    <w:uiPriority w:val="0"/>
    <w:pPr>
      <w:widowControl w:val="0"/>
      <w:spacing w:line="560" w:lineRule="exact"/>
      <w:ind w:firstLine="561"/>
      <w:jc w:val="both"/>
    </w:pPr>
    <w:rPr>
      <w:rFonts w:ascii="Times New Roman" w:hAnsi="Times New Roman" w:eastAsia="仿宋_GB2312" w:cs="Times New Roman"/>
      <w:kern w:val="2"/>
      <w:sz w:val="28"/>
      <w:szCs w:val="24"/>
      <w:lang w:val="en-US" w:eastAsia="zh-CN" w:bidi="ar-SA"/>
    </w:rPr>
  </w:style>
  <w:style w:type="paragraph" w:customStyle="1" w:styleId="1025">
    <w:name w:val="样式 标题 1 + 四号 加粗"/>
    <w:next w:val="3"/>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144</Pages>
  <Words>4875</Words>
  <Characters>5734</Characters>
  <Lines>696</Lines>
  <Paragraphs>195</Paragraphs>
  <TotalTime>62</TotalTime>
  <ScaleCrop>false</ScaleCrop>
  <LinksUpToDate>false</LinksUpToDate>
  <CharactersWithSpaces>5850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2023-11-01T07:09:00Z</dcterms:created>
  <dcterms:modified xsi:type="dcterms:W3CDTF">2025-10-29T08:39:46Z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94F081E38FA34984B63182DE76E59930_13</vt:lpwstr>
  </property>
  <property fmtid="{D5CDD505-2E9C-101B-9397-08002B2CF9AE}" pid="4" name="KSOTemplateDocerSaveRecord">
    <vt:lpwstr>eyJoZGlkIjoiZDQ4MjkyNGZiYzBlZTdmN2U4NTlmMzExZTYxOThiNDIiLCJ1c2VySWQiOiIzMjU2NTk3NjgifQ==</vt:lpwstr>
  </property>
</Properties>
</file>