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6F0F">
      <w:pPr>
        <w:spacing w:line="440" w:lineRule="exact"/>
        <w:rPr>
          <w:rFonts w:asciiTheme="minorEastAsia" w:hAnsiTheme="minorEastAsia" w:eastAsiaTheme="minorEastAsia"/>
          <w:b/>
          <w:sz w:val="28"/>
          <w:szCs w:val="30"/>
          <w:highlight w:val="none"/>
        </w:rPr>
      </w:pPr>
    </w:p>
    <w:p w14:paraId="0C2D6174">
      <w:pPr>
        <w:spacing w:line="440" w:lineRule="exact"/>
        <w:rPr>
          <w:rFonts w:asciiTheme="minorEastAsia" w:hAnsiTheme="minorEastAsia" w:eastAsiaTheme="minorEastAsia"/>
          <w:b/>
          <w:sz w:val="28"/>
          <w:szCs w:val="30"/>
          <w:highlight w:val="none"/>
        </w:rPr>
      </w:pPr>
    </w:p>
    <w:p w14:paraId="6F59C788">
      <w:pPr>
        <w:spacing w:line="440" w:lineRule="exact"/>
        <w:rPr>
          <w:rFonts w:hint="default" w:asciiTheme="minorEastAsia" w:hAnsiTheme="minorEastAsia" w:eastAsiaTheme="minorEastAsia"/>
          <w:b/>
          <w:sz w:val="28"/>
          <w:szCs w:val="30"/>
          <w:highlight w:val="none"/>
          <w:lang w:val="en-US" w:eastAsia="zh-CN"/>
        </w:rPr>
      </w:pPr>
      <w:r>
        <w:rPr>
          <w:rFonts w:hint="eastAsia" w:asciiTheme="minorEastAsia" w:hAnsiTheme="minorEastAsia" w:eastAsiaTheme="minorEastAsia"/>
          <w:b/>
          <w:sz w:val="28"/>
          <w:szCs w:val="30"/>
          <w:highlight w:val="none"/>
        </w:rPr>
        <w:t>招标编号</w:t>
      </w:r>
      <w:r>
        <w:rPr>
          <w:rFonts w:asciiTheme="minorEastAsia" w:hAnsiTheme="minorEastAsia" w:eastAsiaTheme="minorEastAsia"/>
          <w:b/>
          <w:sz w:val="28"/>
          <w:szCs w:val="30"/>
          <w:highlight w:val="none"/>
        </w:rPr>
        <w:t>：</w:t>
      </w:r>
      <w:r>
        <w:rPr>
          <w:rFonts w:hint="eastAsia" w:asciiTheme="minorEastAsia" w:hAnsiTheme="minorEastAsia" w:eastAsiaTheme="minorEastAsia"/>
          <w:b/>
          <w:sz w:val="28"/>
          <w:szCs w:val="30"/>
          <w:highlight w:val="none"/>
        </w:rPr>
        <w:t>GZBBFA202510200008</w:t>
      </w:r>
      <w:bookmarkStart w:id="1351" w:name="_GoBack"/>
      <w:bookmarkEnd w:id="1351"/>
    </w:p>
    <w:p w14:paraId="5B26702D">
      <w:pPr>
        <w:spacing w:line="360" w:lineRule="auto"/>
        <w:ind w:firstLine="560"/>
        <w:rPr>
          <w:rFonts w:cs="宋体" w:asciiTheme="minorEastAsia" w:hAnsiTheme="minorEastAsia" w:eastAsiaTheme="minorEastAsia"/>
          <w:sz w:val="28"/>
          <w:szCs w:val="28"/>
          <w:highlight w:val="none"/>
        </w:rPr>
      </w:pPr>
    </w:p>
    <w:p w14:paraId="2288AC6B">
      <w:pPr>
        <w:spacing w:line="360" w:lineRule="auto"/>
        <w:ind w:firstLine="560"/>
        <w:rPr>
          <w:rFonts w:cs="宋体" w:asciiTheme="minorEastAsia" w:hAnsiTheme="minorEastAsia" w:eastAsiaTheme="minorEastAsia"/>
          <w:sz w:val="28"/>
          <w:szCs w:val="28"/>
          <w:highlight w:val="none"/>
        </w:rPr>
      </w:pPr>
    </w:p>
    <w:p w14:paraId="62E639E1">
      <w:pPr>
        <w:spacing w:line="360" w:lineRule="auto"/>
        <w:ind w:firstLine="560"/>
        <w:rPr>
          <w:rFonts w:cs="宋体" w:asciiTheme="minorEastAsia" w:hAnsiTheme="minorEastAsia" w:eastAsiaTheme="minorEastAsia"/>
          <w:sz w:val="28"/>
          <w:szCs w:val="28"/>
          <w:highlight w:val="none"/>
        </w:rPr>
      </w:pPr>
    </w:p>
    <w:p w14:paraId="16C02B75">
      <w:pPr>
        <w:spacing w:line="360" w:lineRule="auto"/>
        <w:ind w:firstLine="560"/>
        <w:rPr>
          <w:rFonts w:cs="宋体" w:asciiTheme="minorEastAsia" w:hAnsiTheme="minorEastAsia" w:eastAsiaTheme="minorEastAsia"/>
          <w:sz w:val="28"/>
          <w:szCs w:val="28"/>
          <w:highlight w:val="none"/>
        </w:rPr>
      </w:pPr>
    </w:p>
    <w:p w14:paraId="23E558C8">
      <w:pPr>
        <w:spacing w:line="360" w:lineRule="auto"/>
        <w:ind w:firstLine="560"/>
        <w:rPr>
          <w:rFonts w:cs="宋体" w:asciiTheme="minorEastAsia" w:hAnsiTheme="minorEastAsia" w:eastAsiaTheme="minorEastAsia"/>
          <w:sz w:val="28"/>
          <w:szCs w:val="28"/>
          <w:highlight w:val="none"/>
        </w:rPr>
      </w:pPr>
    </w:p>
    <w:p w14:paraId="5347CFF1">
      <w:pPr>
        <w:spacing w:line="360" w:lineRule="auto"/>
        <w:ind w:firstLine="560"/>
        <w:rPr>
          <w:rFonts w:cs="宋体" w:asciiTheme="minorEastAsia" w:hAnsiTheme="minorEastAsia" w:eastAsiaTheme="minorEastAsia"/>
          <w:b/>
          <w:szCs w:val="21"/>
          <w:highlight w:val="none"/>
          <w:u w:val="single"/>
        </w:rPr>
      </w:pPr>
    </w:p>
    <w:p w14:paraId="4E1564DE">
      <w:pPr>
        <w:spacing w:after="120" w:line="360" w:lineRule="atLeast"/>
        <w:jc w:val="center"/>
        <w:rPr>
          <w:rFonts w:hint="default" w:cs="宋体" w:asciiTheme="minorEastAsia" w:hAnsiTheme="minorEastAsia" w:eastAsiaTheme="minorEastAsia"/>
          <w:b/>
          <w:sz w:val="36"/>
          <w:szCs w:val="36"/>
          <w:highlight w:val="none"/>
          <w:lang w:val="en-US" w:eastAsia="zh-CN"/>
        </w:rPr>
      </w:pPr>
      <w:r>
        <w:rPr>
          <w:rFonts w:hint="eastAsia" w:cs="宋体" w:asciiTheme="minorEastAsia" w:hAnsiTheme="minorEastAsia" w:eastAsiaTheme="minorEastAsia"/>
          <w:b/>
          <w:sz w:val="36"/>
          <w:szCs w:val="36"/>
          <w:highlight w:val="none"/>
          <w:lang w:eastAsia="zh-CN"/>
        </w:rPr>
        <w:t>2025年中国电信遵义分公司中间件框架物资采购（</w:t>
      </w:r>
      <w:r>
        <w:rPr>
          <w:rFonts w:hint="eastAsia" w:cs="宋体" w:asciiTheme="minorEastAsia" w:hAnsiTheme="minorEastAsia" w:eastAsiaTheme="minorEastAsia"/>
          <w:b/>
          <w:sz w:val="36"/>
          <w:szCs w:val="36"/>
          <w:highlight w:val="none"/>
          <w:lang w:val="en-US" w:eastAsia="zh-CN"/>
        </w:rPr>
        <w:t>标包2）</w:t>
      </w:r>
      <w:r>
        <w:rPr>
          <w:rFonts w:hint="eastAsia" w:cs="宋体" w:asciiTheme="minorEastAsia" w:hAnsiTheme="minorEastAsia" w:eastAsiaTheme="minorEastAsia"/>
          <w:b/>
          <w:sz w:val="36"/>
          <w:szCs w:val="36"/>
          <w:highlight w:val="none"/>
        </w:rPr>
        <w:t>招标文件</w:t>
      </w:r>
    </w:p>
    <w:p w14:paraId="57A73AF5">
      <w:pPr>
        <w:spacing w:after="120" w:line="360" w:lineRule="atLeast"/>
        <w:jc w:val="center"/>
        <w:rPr>
          <w:rFonts w:cs="宋体" w:asciiTheme="minorEastAsia" w:hAnsiTheme="minorEastAsia" w:eastAsiaTheme="minorEastAsia"/>
          <w:b/>
          <w:sz w:val="32"/>
          <w:szCs w:val="32"/>
          <w:highlight w:val="none"/>
        </w:rPr>
      </w:pPr>
    </w:p>
    <w:p w14:paraId="61DFF59C">
      <w:pPr>
        <w:spacing w:after="120" w:line="360" w:lineRule="atLeast"/>
        <w:rPr>
          <w:rFonts w:cs="宋体" w:asciiTheme="minorEastAsia" w:hAnsiTheme="minorEastAsia" w:eastAsiaTheme="minorEastAsia"/>
          <w:b/>
          <w:sz w:val="32"/>
          <w:szCs w:val="32"/>
          <w:highlight w:val="none"/>
        </w:rPr>
      </w:pPr>
    </w:p>
    <w:p w14:paraId="0A96766F">
      <w:pPr>
        <w:spacing w:after="120" w:line="360" w:lineRule="atLeast"/>
        <w:jc w:val="center"/>
        <w:rPr>
          <w:rFonts w:cs="宋体" w:asciiTheme="minorEastAsia" w:hAnsiTheme="minorEastAsia" w:eastAsiaTheme="minorEastAsia"/>
          <w:b/>
          <w:sz w:val="32"/>
          <w:szCs w:val="32"/>
          <w:highlight w:val="none"/>
        </w:rPr>
      </w:pPr>
    </w:p>
    <w:p w14:paraId="2191F1BD">
      <w:pPr>
        <w:spacing w:line="600" w:lineRule="exact"/>
        <w:jc w:val="center"/>
        <w:rPr>
          <w:rFonts w:hint="eastAsia" w:asciiTheme="minorEastAsia" w:hAnsiTheme="minorEastAsia" w:eastAsiaTheme="minorEastAsia"/>
          <w:b/>
          <w:sz w:val="24"/>
          <w:highlight w:val="none"/>
          <w:lang w:eastAsia="zh-CN"/>
        </w:rPr>
      </w:pPr>
      <w:r>
        <w:rPr>
          <w:rFonts w:asciiTheme="minorEastAsia" w:hAnsiTheme="minorEastAsia" w:eastAsiaTheme="minorEastAsia"/>
          <w:b/>
          <w:sz w:val="24"/>
          <w:highlight w:val="none"/>
        </w:rPr>
        <w:t>招标人：</w:t>
      </w:r>
      <w:r>
        <w:rPr>
          <w:rFonts w:hint="eastAsia" w:ascii="宋体" w:hAnsi="宋体" w:eastAsiaTheme="minorEastAsia"/>
          <w:b/>
          <w:color w:val="000000" w:themeColor="text1"/>
          <w:sz w:val="24"/>
          <w:highlight w:val="none"/>
          <w:u w:val="single"/>
          <w:lang w:eastAsia="zh-CN"/>
          <w14:textFill>
            <w14:solidFill>
              <w14:schemeClr w14:val="tx1"/>
            </w14:solidFill>
          </w14:textFill>
        </w:rPr>
        <w:t>中国电信股份有限公司遵义分公司</w:t>
      </w:r>
    </w:p>
    <w:p w14:paraId="2A23399D">
      <w:pPr>
        <w:spacing w:line="480" w:lineRule="auto"/>
        <w:jc w:val="center"/>
        <w:rPr>
          <w:rFonts w:ascii="宋体" w:hAnsi="宋体"/>
          <w:b/>
          <w:color w:val="000000" w:themeColor="text1"/>
          <w:sz w:val="24"/>
          <w:highlight w:val="none"/>
          <w14:textFill>
            <w14:solidFill>
              <w14:schemeClr w14:val="tx1"/>
            </w14:solidFill>
          </w14:textFill>
        </w:rPr>
      </w:pPr>
      <w:r>
        <w:rPr>
          <w:rFonts w:asciiTheme="minorEastAsia" w:hAnsiTheme="minorEastAsia" w:eastAsiaTheme="minorEastAsia"/>
          <w:b/>
          <w:sz w:val="24"/>
          <w:highlight w:val="none"/>
        </w:rPr>
        <w:t>招标</w:t>
      </w:r>
      <w:r>
        <w:rPr>
          <w:rFonts w:hint="eastAsia" w:asciiTheme="minorEastAsia" w:hAnsiTheme="minorEastAsia" w:eastAsiaTheme="minorEastAsia"/>
          <w:b/>
          <w:sz w:val="24"/>
          <w:highlight w:val="none"/>
        </w:rPr>
        <w:t>代理机构</w:t>
      </w:r>
      <w:r>
        <w:rPr>
          <w:rFonts w:asciiTheme="minorEastAsia" w:hAnsiTheme="minorEastAsia" w:eastAsiaTheme="minorEastAsia"/>
          <w:b/>
          <w:sz w:val="24"/>
          <w:highlight w:val="none"/>
        </w:rPr>
        <w:t>：</w:t>
      </w:r>
      <w:r>
        <w:rPr>
          <w:rFonts w:hint="eastAsia" w:ascii="宋体" w:hAnsi="宋体"/>
          <w:b/>
          <w:color w:val="000000" w:themeColor="text1"/>
          <w:sz w:val="24"/>
          <w:highlight w:val="none"/>
          <w:u w:val="single"/>
          <w14:textFill>
            <w14:solidFill>
              <w14:schemeClr w14:val="tx1"/>
            </w14:solidFill>
          </w14:textFill>
        </w:rPr>
        <w:t>中通服供应链股份有限公司贵州分公司</w:t>
      </w:r>
    </w:p>
    <w:p w14:paraId="093675AB">
      <w:pPr>
        <w:spacing w:line="600" w:lineRule="exact"/>
        <w:ind w:firstLine="2640" w:firstLineChars="11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u w:val="single"/>
        </w:rPr>
        <w:t>202</w:t>
      </w:r>
      <w:r>
        <w:rPr>
          <w:rFonts w:hint="eastAsia" w:asciiTheme="minorEastAsia" w:hAnsiTheme="minorEastAsia" w:eastAsiaTheme="minorEastAsia"/>
          <w:b/>
          <w:sz w:val="24"/>
          <w:highlight w:val="none"/>
          <w:u w:val="single"/>
          <w:lang w:val="en-US" w:eastAsia="zh-CN"/>
        </w:rPr>
        <w:t>5</w:t>
      </w:r>
      <w:r>
        <w:rPr>
          <w:rFonts w:asciiTheme="minorEastAsia" w:hAnsiTheme="minorEastAsia" w:eastAsiaTheme="minorEastAsia"/>
          <w:b/>
          <w:sz w:val="24"/>
          <w:highlight w:val="none"/>
        </w:rPr>
        <w:t>年</w:t>
      </w:r>
      <w:r>
        <w:rPr>
          <w:rFonts w:hint="eastAsia" w:asciiTheme="minorEastAsia" w:hAnsiTheme="minorEastAsia" w:eastAsiaTheme="minorEastAsia"/>
          <w:b/>
          <w:sz w:val="24"/>
          <w:highlight w:val="none"/>
          <w:u w:val="single"/>
          <w:lang w:val="en-US" w:eastAsia="zh-CN"/>
        </w:rPr>
        <w:t>10</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u w:val="single"/>
          <w:lang w:val="en-US" w:eastAsia="zh-CN"/>
        </w:rPr>
        <w:t>29</w:t>
      </w:r>
      <w:r>
        <w:rPr>
          <w:rFonts w:asciiTheme="minorEastAsia" w:hAnsiTheme="minorEastAsia" w:eastAsiaTheme="minorEastAsia"/>
          <w:b/>
          <w:sz w:val="24"/>
          <w:highlight w:val="none"/>
        </w:rPr>
        <w:t>日</w:t>
      </w:r>
    </w:p>
    <w:p w14:paraId="46BCE0D0">
      <w:pPr>
        <w:spacing w:after="120" w:line="360" w:lineRule="atLeast"/>
        <w:jc w:val="center"/>
        <w:rPr>
          <w:rFonts w:cs="宋体" w:asciiTheme="minorEastAsia" w:hAnsiTheme="minorEastAsia" w:eastAsiaTheme="minorEastAsia"/>
          <w:sz w:val="24"/>
          <w:highlight w:val="none"/>
        </w:rPr>
        <w:sectPr>
          <w:headerReference r:id="rId4" w:type="first"/>
          <w:headerReference r:id="rId3" w:type="default"/>
          <w:footerReference r:id="rId5" w:type="default"/>
          <w:pgSz w:w="11906" w:h="16838"/>
          <w:pgMar w:top="1440" w:right="1701" w:bottom="1440" w:left="1701" w:header="851" w:footer="992" w:gutter="0"/>
          <w:pgNumType w:fmt="decimal" w:start="1"/>
          <w:cols w:space="720" w:num="1"/>
          <w:docGrid w:type="linesAndChars" w:linePitch="380" w:charSpace="0"/>
        </w:sectPr>
      </w:pPr>
    </w:p>
    <w:p w14:paraId="79C7A091">
      <w:pPr>
        <w:spacing w:after="120" w:line="360" w:lineRule="atLeast"/>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目  录</w:t>
      </w:r>
    </w:p>
    <w:p w14:paraId="471BCDBD">
      <w:pPr>
        <w:pStyle w:val="58"/>
        <w:tabs>
          <w:tab w:val="right" w:leader="dot" w:pos="8504"/>
          <w:tab w:val="clear" w:pos="567"/>
          <w:tab w:val="clear" w:pos="709"/>
          <w:tab w:val="clear" w:pos="8505"/>
        </w:tabs>
      </w:pPr>
      <w:r>
        <w:rPr>
          <w:rFonts w:hint="default" w:cs="宋体" w:asciiTheme="minorEastAsia" w:hAnsiTheme="minorEastAsia" w:eastAsiaTheme="minorEastAsia"/>
          <w:sz w:val="24"/>
          <w:highlight w:val="none"/>
          <w:lang w:val="en-US"/>
        </w:rPr>
        <w:fldChar w:fldCharType="begin"/>
      </w:r>
      <w:r>
        <w:rPr>
          <w:rFonts w:hint="default" w:cs="宋体" w:asciiTheme="minorEastAsia" w:hAnsiTheme="minorEastAsia" w:eastAsiaTheme="minorEastAsia"/>
          <w:sz w:val="24"/>
          <w:highlight w:val="none"/>
          <w:lang w:val="en-US"/>
        </w:rPr>
        <w:instrText xml:space="preserve"> TOC \o "1-3" \h \z \u \* MERGEFORMAT </w:instrText>
      </w:r>
      <w:r>
        <w:rPr>
          <w:rFonts w:hint="default" w:cs="宋体" w:asciiTheme="minorEastAsia" w:hAnsiTheme="minorEastAsia" w:eastAsiaTheme="minorEastAsia"/>
          <w:sz w:val="24"/>
          <w:highlight w:val="none"/>
          <w:lang w:val="en-US"/>
        </w:rPr>
        <w:fldChar w:fldCharType="separate"/>
      </w: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_Toc15364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第一章  招标公告</w:t>
      </w:r>
      <w:r>
        <w:tab/>
      </w:r>
      <w:r>
        <w:fldChar w:fldCharType="begin"/>
      </w:r>
      <w:r>
        <w:instrText xml:space="preserve"> PAGEREF _Toc15364 \h </w:instrText>
      </w:r>
      <w:r>
        <w:fldChar w:fldCharType="separate"/>
      </w:r>
      <w:r>
        <w:t>4</w:t>
      </w:r>
      <w:r>
        <w:fldChar w:fldCharType="end"/>
      </w:r>
      <w:r>
        <w:rPr>
          <w:rFonts w:hint="default" w:cs="宋体" w:asciiTheme="minorEastAsia" w:hAnsiTheme="minorEastAsia" w:eastAsiaTheme="minorEastAsia"/>
          <w:highlight w:val="none"/>
          <w:lang w:val="en-US"/>
        </w:rPr>
        <w:fldChar w:fldCharType="end"/>
      </w:r>
    </w:p>
    <w:p w14:paraId="3FA65D6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_Toc14786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第二章 投标人须知</w:t>
      </w:r>
      <w:r>
        <w:tab/>
      </w:r>
      <w:r>
        <w:fldChar w:fldCharType="begin"/>
      </w:r>
      <w:r>
        <w:instrText xml:space="preserve"> PAGEREF _Toc14786 \h </w:instrText>
      </w:r>
      <w:r>
        <w:fldChar w:fldCharType="separate"/>
      </w:r>
      <w:r>
        <w:t>10</w:t>
      </w:r>
      <w:r>
        <w:fldChar w:fldCharType="end"/>
      </w:r>
      <w:r>
        <w:rPr>
          <w:rFonts w:hint="default" w:cs="宋体" w:asciiTheme="minorEastAsia" w:hAnsiTheme="minorEastAsia" w:eastAsiaTheme="minorEastAsia"/>
          <w:highlight w:val="none"/>
          <w:lang w:val="en-US"/>
        </w:rPr>
        <w:fldChar w:fldCharType="end"/>
      </w:r>
    </w:p>
    <w:p w14:paraId="7F8C9EE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_Toc27076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第三章 评标办法（综合评估法）</w:t>
      </w:r>
      <w:r>
        <w:tab/>
      </w:r>
      <w:r>
        <w:fldChar w:fldCharType="begin"/>
      </w:r>
      <w:r>
        <w:instrText xml:space="preserve"> PAGEREF _Toc27076 \h </w:instrText>
      </w:r>
      <w:r>
        <w:fldChar w:fldCharType="separate"/>
      </w:r>
      <w:r>
        <w:t>33</w:t>
      </w:r>
      <w:r>
        <w:fldChar w:fldCharType="end"/>
      </w:r>
      <w:r>
        <w:rPr>
          <w:rFonts w:hint="default" w:cs="宋体" w:asciiTheme="minorEastAsia" w:hAnsiTheme="minorEastAsia" w:eastAsiaTheme="minorEastAsia"/>
          <w:highlight w:val="none"/>
          <w:lang w:val="en-US"/>
        </w:rPr>
        <w:fldChar w:fldCharType="end"/>
      </w:r>
    </w:p>
    <w:p w14:paraId="67E830D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_Toc10610 </w:instrText>
      </w:r>
      <w:r>
        <w:rPr>
          <w:rFonts w:hint="default" w:cs="宋体" w:asciiTheme="minorEastAsia" w:hAnsiTheme="minorEastAsia" w:eastAsiaTheme="minorEastAsia"/>
          <w:highlight w:val="none"/>
          <w:lang w:val="en-US"/>
        </w:rPr>
        <w:fldChar w:fldCharType="separate"/>
      </w:r>
      <w:r>
        <w:rPr>
          <w:rFonts w:hint="eastAsia"/>
          <w:szCs w:val="32"/>
        </w:rPr>
        <w:t xml:space="preserve">第四章 </w:t>
      </w:r>
      <w:r>
        <w:rPr>
          <w:rFonts w:hint="eastAsia"/>
          <w:szCs w:val="32"/>
          <w:lang w:val="en-US" w:eastAsia="zh-CN"/>
        </w:rPr>
        <w:t>商务规范书</w:t>
      </w:r>
      <w:r>
        <w:tab/>
      </w:r>
      <w:r>
        <w:fldChar w:fldCharType="begin"/>
      </w:r>
      <w:r>
        <w:instrText xml:space="preserve"> PAGEREF _Toc10610 \h </w:instrText>
      </w:r>
      <w:r>
        <w:fldChar w:fldCharType="separate"/>
      </w:r>
      <w:r>
        <w:t>43</w:t>
      </w:r>
      <w:r>
        <w:fldChar w:fldCharType="end"/>
      </w:r>
      <w:r>
        <w:rPr>
          <w:rFonts w:hint="default" w:cs="宋体" w:asciiTheme="minorEastAsia" w:hAnsiTheme="minorEastAsia" w:eastAsiaTheme="minorEastAsia"/>
          <w:highlight w:val="none"/>
          <w:lang w:val="en-US"/>
        </w:rPr>
        <w:fldChar w:fldCharType="end"/>
      </w:r>
    </w:p>
    <w:p w14:paraId="309C76AB">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_Toc8948 </w:instrText>
      </w:r>
      <w:r>
        <w:rPr>
          <w:rFonts w:hint="default" w:cs="宋体" w:asciiTheme="minorEastAsia" w:hAnsiTheme="minorEastAsia" w:eastAsiaTheme="minorEastAsia"/>
          <w:highlight w:val="none"/>
          <w:lang w:val="en-US"/>
        </w:rPr>
        <w:fldChar w:fldCharType="separate"/>
      </w:r>
      <w:r>
        <w:rPr>
          <w:rFonts w:hint="eastAsia"/>
          <w:szCs w:val="28"/>
        </w:rPr>
        <w:t>第五章 技术规范书</w:t>
      </w:r>
      <w:r>
        <w:tab/>
      </w:r>
      <w:r>
        <w:fldChar w:fldCharType="begin"/>
      </w:r>
      <w:r>
        <w:instrText xml:space="preserve"> PAGEREF _Toc8948 \h </w:instrText>
      </w:r>
      <w:r>
        <w:fldChar w:fldCharType="separate"/>
      </w:r>
      <w:r>
        <w:t>79</w:t>
      </w:r>
      <w:r>
        <w:fldChar w:fldCharType="end"/>
      </w:r>
      <w:r>
        <w:rPr>
          <w:rFonts w:hint="default" w:cs="宋体" w:asciiTheme="minorEastAsia" w:hAnsiTheme="minorEastAsia" w:eastAsiaTheme="minorEastAsia"/>
          <w:highlight w:val="none"/>
          <w:lang w:val="en-US"/>
        </w:rPr>
        <w:fldChar w:fldCharType="end"/>
      </w:r>
    </w:p>
    <w:p w14:paraId="40AAB6FB">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_Toc32529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rPr>
        <w:t xml:space="preserve">第六章 </w:t>
      </w:r>
      <w:r>
        <w:rPr>
          <w:rFonts w:hint="eastAsia" w:cs="宋体" w:asciiTheme="minorEastAsia" w:hAnsiTheme="minorEastAsia" w:eastAsiaTheme="minorEastAsia"/>
          <w:bCs w:val="0"/>
          <w:kern w:val="0"/>
          <w:szCs w:val="28"/>
          <w:highlight w:val="none"/>
        </w:rPr>
        <w:t>投标文件格式</w:t>
      </w:r>
      <w:r>
        <w:tab/>
      </w:r>
      <w:r>
        <w:fldChar w:fldCharType="begin"/>
      </w:r>
      <w:r>
        <w:instrText xml:space="preserve"> PAGEREF _Toc32529 \h </w:instrText>
      </w:r>
      <w:r>
        <w:fldChar w:fldCharType="separate"/>
      </w:r>
      <w:r>
        <w:t>89</w:t>
      </w:r>
      <w:r>
        <w:fldChar w:fldCharType="end"/>
      </w:r>
      <w:r>
        <w:rPr>
          <w:rFonts w:hint="default" w:cs="宋体" w:asciiTheme="minorEastAsia" w:hAnsiTheme="minorEastAsia" w:eastAsiaTheme="minorEastAsia"/>
          <w:highlight w:val="none"/>
          <w:lang w:val="en-US"/>
        </w:rPr>
        <w:fldChar w:fldCharType="end"/>
      </w:r>
    </w:p>
    <w:p w14:paraId="5307A15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_Toc15607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第一分册 商务投标文件</w:t>
      </w:r>
      <w:r>
        <w:tab/>
      </w:r>
      <w:r>
        <w:fldChar w:fldCharType="begin"/>
      </w:r>
      <w:r>
        <w:instrText xml:space="preserve"> PAGEREF _Toc15607 \h </w:instrText>
      </w:r>
      <w:r>
        <w:fldChar w:fldCharType="separate"/>
      </w:r>
      <w:r>
        <w:t>92</w:t>
      </w:r>
      <w:r>
        <w:fldChar w:fldCharType="end"/>
      </w:r>
      <w:r>
        <w:rPr>
          <w:rFonts w:hint="default" w:cs="宋体" w:asciiTheme="minorEastAsia" w:hAnsiTheme="minorEastAsia" w:eastAsiaTheme="minorEastAsia"/>
          <w:highlight w:val="none"/>
          <w:lang w:val="en-US"/>
        </w:rPr>
        <w:fldChar w:fldCharType="end"/>
      </w:r>
    </w:p>
    <w:p w14:paraId="0F73DF6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_Toc22240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rPr>
        <w:t>商务投标文件封面</w:t>
      </w:r>
      <w:r>
        <w:tab/>
      </w:r>
      <w:r>
        <w:fldChar w:fldCharType="begin"/>
      </w:r>
      <w:r>
        <w:instrText xml:space="preserve"> PAGEREF _Toc22240 \h </w:instrText>
      </w:r>
      <w:r>
        <w:fldChar w:fldCharType="separate"/>
      </w:r>
      <w:r>
        <w:t>92</w:t>
      </w:r>
      <w:r>
        <w:fldChar w:fldCharType="end"/>
      </w:r>
      <w:r>
        <w:rPr>
          <w:rFonts w:hint="default" w:cs="宋体" w:asciiTheme="minorEastAsia" w:hAnsiTheme="minorEastAsia" w:eastAsiaTheme="minorEastAsia"/>
          <w:highlight w:val="none"/>
          <w:lang w:val="en-US"/>
        </w:rPr>
        <w:fldChar w:fldCharType="end"/>
      </w:r>
    </w:p>
    <w:p w14:paraId="1121CCD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_Toc899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_Toc899 \h </w:instrText>
      </w:r>
      <w:r>
        <w:fldChar w:fldCharType="separate"/>
      </w:r>
      <w:r>
        <w:t>93</w:t>
      </w:r>
      <w:r>
        <w:fldChar w:fldCharType="end"/>
      </w:r>
      <w:r>
        <w:rPr>
          <w:rFonts w:hint="default" w:cs="宋体" w:asciiTheme="minorEastAsia" w:hAnsiTheme="minorEastAsia" w:eastAsiaTheme="minorEastAsia"/>
          <w:highlight w:val="none"/>
          <w:lang w:val="en-US"/>
        </w:rPr>
        <w:fldChar w:fldCharType="end"/>
      </w:r>
    </w:p>
    <w:p w14:paraId="3CD5E25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_Toc28403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val="en-US" w:eastAsia="zh-CN"/>
        </w:rPr>
        <w:t>及服务</w:t>
      </w:r>
      <w:r>
        <w:rPr>
          <w:rFonts w:hint="eastAsia" w:asciiTheme="minorEastAsia" w:hAnsiTheme="minorEastAsia" w:eastAsiaTheme="minorEastAsia"/>
          <w:szCs w:val="24"/>
          <w:highlight w:val="none"/>
        </w:rPr>
        <w:t>评审索引表</w:t>
      </w:r>
      <w:r>
        <w:tab/>
      </w:r>
      <w:r>
        <w:fldChar w:fldCharType="begin"/>
      </w:r>
      <w:r>
        <w:instrText xml:space="preserve"> PAGEREF _Toc28403 \h </w:instrText>
      </w:r>
      <w:r>
        <w:fldChar w:fldCharType="separate"/>
      </w:r>
      <w:r>
        <w:t>94</w:t>
      </w:r>
      <w:r>
        <w:fldChar w:fldCharType="end"/>
      </w:r>
      <w:r>
        <w:rPr>
          <w:rFonts w:hint="default" w:cs="宋体" w:asciiTheme="minorEastAsia" w:hAnsiTheme="minorEastAsia" w:eastAsiaTheme="minorEastAsia"/>
          <w:highlight w:val="none"/>
          <w:lang w:val="en-US"/>
        </w:rPr>
        <w:fldChar w:fldCharType="end"/>
      </w:r>
    </w:p>
    <w:p w14:paraId="4D48F72F">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_Toc30540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投标专用印章授权函（如有）</w:t>
      </w:r>
      <w:r>
        <w:tab/>
      </w:r>
      <w:r>
        <w:fldChar w:fldCharType="begin"/>
      </w:r>
      <w:r>
        <w:instrText xml:space="preserve"> PAGEREF _Toc30540 \h </w:instrText>
      </w:r>
      <w:r>
        <w:fldChar w:fldCharType="separate"/>
      </w:r>
      <w:r>
        <w:t>95</w:t>
      </w:r>
      <w:r>
        <w:fldChar w:fldCharType="end"/>
      </w:r>
      <w:r>
        <w:rPr>
          <w:rFonts w:hint="default" w:cs="宋体" w:asciiTheme="minorEastAsia" w:hAnsiTheme="minorEastAsia" w:eastAsiaTheme="minorEastAsia"/>
          <w:highlight w:val="none"/>
          <w:lang w:val="en-US"/>
        </w:rPr>
        <w:fldChar w:fldCharType="end"/>
      </w:r>
    </w:p>
    <w:p w14:paraId="150A61C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_Toc25144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rPr>
        <w:t>投标函</w:t>
      </w:r>
      <w:r>
        <w:tab/>
      </w:r>
      <w:r>
        <w:fldChar w:fldCharType="begin"/>
      </w:r>
      <w:r>
        <w:instrText xml:space="preserve"> PAGEREF _Toc25144 \h </w:instrText>
      </w:r>
      <w:r>
        <w:fldChar w:fldCharType="separate"/>
      </w:r>
      <w:r>
        <w:t>96</w:t>
      </w:r>
      <w:r>
        <w:fldChar w:fldCharType="end"/>
      </w:r>
      <w:r>
        <w:rPr>
          <w:rFonts w:hint="default" w:cs="宋体" w:asciiTheme="minorEastAsia" w:hAnsiTheme="minorEastAsia" w:eastAsiaTheme="minorEastAsia"/>
          <w:highlight w:val="none"/>
          <w:lang w:val="en-US"/>
        </w:rPr>
        <w:fldChar w:fldCharType="end"/>
      </w:r>
    </w:p>
    <w:p w14:paraId="198F035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_Toc10686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asciiTheme="minorEastAsia" w:hAnsiTheme="minorEastAsia" w:eastAsiaTheme="minorEastAsia"/>
          <w:szCs w:val="24"/>
          <w:highlight w:val="none"/>
        </w:rPr>
        <w:t>法定代表人/负责人身份证明</w:t>
      </w:r>
      <w:r>
        <w:tab/>
      </w:r>
      <w:r>
        <w:fldChar w:fldCharType="begin"/>
      </w:r>
      <w:r>
        <w:instrText xml:space="preserve"> PAGEREF _Toc10686 \h </w:instrText>
      </w:r>
      <w:r>
        <w:fldChar w:fldCharType="separate"/>
      </w:r>
      <w:r>
        <w:t>98</w:t>
      </w:r>
      <w:r>
        <w:fldChar w:fldCharType="end"/>
      </w:r>
      <w:r>
        <w:rPr>
          <w:rFonts w:hint="default" w:cs="宋体" w:asciiTheme="minorEastAsia" w:hAnsiTheme="minorEastAsia" w:eastAsiaTheme="minorEastAsia"/>
          <w:highlight w:val="none"/>
          <w:lang w:val="en-US"/>
        </w:rPr>
        <w:fldChar w:fldCharType="end"/>
      </w:r>
    </w:p>
    <w:p w14:paraId="5A24F71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_Toc15805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rPr>
        <w:t>法定代表人/负责人授权委托书</w:t>
      </w:r>
      <w:r>
        <w:tab/>
      </w:r>
      <w:r>
        <w:fldChar w:fldCharType="begin"/>
      </w:r>
      <w:r>
        <w:instrText xml:space="preserve"> PAGEREF _Toc15805 \h </w:instrText>
      </w:r>
      <w:r>
        <w:fldChar w:fldCharType="separate"/>
      </w:r>
      <w:r>
        <w:t>99</w:t>
      </w:r>
      <w:r>
        <w:fldChar w:fldCharType="end"/>
      </w:r>
      <w:r>
        <w:rPr>
          <w:rFonts w:hint="default" w:cs="宋体" w:asciiTheme="minorEastAsia" w:hAnsiTheme="minorEastAsia" w:eastAsiaTheme="minorEastAsia"/>
          <w:highlight w:val="none"/>
          <w:lang w:val="en-US"/>
        </w:rPr>
        <w:fldChar w:fldCharType="end"/>
      </w:r>
    </w:p>
    <w:p w14:paraId="0F8838BD">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_Toc30651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rPr>
        <w:t>廉洁投标承诺书</w:t>
      </w:r>
      <w:r>
        <w:tab/>
      </w:r>
      <w:r>
        <w:fldChar w:fldCharType="begin"/>
      </w:r>
      <w:r>
        <w:instrText xml:space="preserve"> PAGEREF _Toc30651 \h </w:instrText>
      </w:r>
      <w:r>
        <w:fldChar w:fldCharType="separate"/>
      </w:r>
      <w:r>
        <w:t>100</w:t>
      </w:r>
      <w:r>
        <w:fldChar w:fldCharType="end"/>
      </w:r>
      <w:r>
        <w:rPr>
          <w:rFonts w:hint="default" w:cs="宋体" w:asciiTheme="minorEastAsia" w:hAnsiTheme="minorEastAsia" w:eastAsiaTheme="minorEastAsia"/>
          <w:highlight w:val="none"/>
          <w:lang w:val="en-US"/>
        </w:rPr>
        <w:fldChar w:fldCharType="end"/>
      </w:r>
    </w:p>
    <w:p w14:paraId="534A832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_Toc1728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9.</w:t>
      </w:r>
      <w:r>
        <w:rPr>
          <w:rFonts w:hint="eastAsia" w:asciiTheme="minorEastAsia" w:hAnsiTheme="minorEastAsia" w:eastAsiaTheme="minorEastAsia"/>
          <w:szCs w:val="24"/>
        </w:rPr>
        <w:t>近【五】年发生的诉讼及仲裁情况</w:t>
      </w:r>
      <w:r>
        <w:tab/>
      </w:r>
      <w:r>
        <w:fldChar w:fldCharType="begin"/>
      </w:r>
      <w:r>
        <w:instrText xml:space="preserve"> PAGEREF _Toc1728 \h </w:instrText>
      </w:r>
      <w:r>
        <w:fldChar w:fldCharType="separate"/>
      </w:r>
      <w:r>
        <w:t>101</w:t>
      </w:r>
      <w:r>
        <w:fldChar w:fldCharType="end"/>
      </w:r>
      <w:r>
        <w:rPr>
          <w:rFonts w:hint="default" w:cs="宋体" w:asciiTheme="minorEastAsia" w:hAnsiTheme="minorEastAsia" w:eastAsiaTheme="minorEastAsia"/>
          <w:highlight w:val="none"/>
          <w:lang w:val="en-US"/>
        </w:rPr>
        <w:fldChar w:fldCharType="end"/>
      </w:r>
    </w:p>
    <w:p w14:paraId="3ACD320E">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_Toc1509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10.</w:t>
      </w:r>
      <w:r>
        <w:rPr>
          <w:rFonts w:hint="eastAsia" w:asciiTheme="minorEastAsia" w:hAnsiTheme="minorEastAsia" w:eastAsiaTheme="minorEastAsia"/>
          <w:szCs w:val="24"/>
        </w:rPr>
        <w:t>招标代理服务费支付承诺函</w:t>
      </w:r>
      <w:r>
        <w:tab/>
      </w:r>
      <w:r>
        <w:fldChar w:fldCharType="begin"/>
      </w:r>
      <w:r>
        <w:instrText xml:space="preserve"> PAGEREF _Toc1509 \h </w:instrText>
      </w:r>
      <w:r>
        <w:fldChar w:fldCharType="separate"/>
      </w:r>
      <w:r>
        <w:t>102</w:t>
      </w:r>
      <w:r>
        <w:fldChar w:fldCharType="end"/>
      </w:r>
      <w:r>
        <w:rPr>
          <w:rFonts w:hint="default" w:cs="宋体" w:asciiTheme="minorEastAsia" w:hAnsiTheme="minorEastAsia" w:eastAsiaTheme="minorEastAsia"/>
          <w:highlight w:val="none"/>
          <w:lang w:val="en-US"/>
        </w:rPr>
        <w:fldChar w:fldCharType="end"/>
      </w:r>
    </w:p>
    <w:p w14:paraId="1E5F0A9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_Toc6731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rPr>
        <w:t>不得存在情形承诺</w:t>
      </w:r>
      <w:r>
        <w:tab/>
      </w:r>
      <w:r>
        <w:fldChar w:fldCharType="begin"/>
      </w:r>
      <w:r>
        <w:instrText xml:space="preserve"> PAGEREF _Toc6731 \h </w:instrText>
      </w:r>
      <w:r>
        <w:fldChar w:fldCharType="separate"/>
      </w:r>
      <w:r>
        <w:t>103</w:t>
      </w:r>
      <w:r>
        <w:fldChar w:fldCharType="end"/>
      </w:r>
      <w:r>
        <w:rPr>
          <w:rFonts w:hint="default" w:cs="宋体" w:asciiTheme="minorEastAsia" w:hAnsiTheme="minorEastAsia" w:eastAsiaTheme="minorEastAsia"/>
          <w:highlight w:val="none"/>
          <w:lang w:val="en-US"/>
        </w:rPr>
        <w:fldChar w:fldCharType="end"/>
      </w:r>
    </w:p>
    <w:p w14:paraId="7553A6E6">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_Toc9283 </w:instrText>
      </w:r>
      <w:r>
        <w:rPr>
          <w:rFonts w:hint="default" w:cs="宋体" w:asciiTheme="minorEastAsia" w:hAnsiTheme="minorEastAsia" w:eastAsiaTheme="minorEastAsia"/>
          <w:highlight w:val="none"/>
          <w:lang w:val="en-US"/>
        </w:rPr>
        <w:fldChar w:fldCharType="separate"/>
      </w:r>
      <w:r>
        <w:rPr>
          <w:rFonts w:hint="eastAsia" w:ascii="宋体" w:hAnsi="宋体" w:cs="宋体"/>
          <w:szCs w:val="24"/>
          <w:lang w:val="en-US" w:eastAsia="zh-CN"/>
        </w:rPr>
        <w:t>12.</w:t>
      </w:r>
      <w:r>
        <w:rPr>
          <w:rFonts w:hint="eastAsia" w:ascii="宋体" w:hAnsi="宋体" w:cs="宋体"/>
          <w:szCs w:val="24"/>
        </w:rPr>
        <w:t>开</w:t>
      </w:r>
      <w:r>
        <w:rPr>
          <w:rFonts w:hint="eastAsia" w:asciiTheme="minorEastAsia" w:hAnsiTheme="minorEastAsia" w:eastAsiaTheme="minorEastAsia"/>
          <w:szCs w:val="24"/>
        </w:rPr>
        <w:t>具增值税专用发票承诺</w:t>
      </w:r>
      <w:r>
        <w:tab/>
      </w:r>
      <w:r>
        <w:fldChar w:fldCharType="begin"/>
      </w:r>
      <w:r>
        <w:instrText xml:space="preserve"> PAGEREF _Toc9283 \h </w:instrText>
      </w:r>
      <w:r>
        <w:fldChar w:fldCharType="separate"/>
      </w:r>
      <w:r>
        <w:t>104</w:t>
      </w:r>
      <w:r>
        <w:fldChar w:fldCharType="end"/>
      </w:r>
      <w:r>
        <w:rPr>
          <w:rFonts w:hint="default" w:cs="宋体" w:asciiTheme="minorEastAsia" w:hAnsiTheme="minorEastAsia" w:eastAsiaTheme="minorEastAsia"/>
          <w:highlight w:val="none"/>
          <w:lang w:val="en-US"/>
        </w:rPr>
        <w:fldChar w:fldCharType="end"/>
      </w:r>
    </w:p>
    <w:p w14:paraId="26E3D27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_Toc31438 </w:instrText>
      </w:r>
      <w:r>
        <w:rPr>
          <w:rFonts w:hint="default" w:cs="宋体" w:asciiTheme="minorEastAsia" w:hAnsiTheme="minorEastAsia" w:eastAsiaTheme="minorEastAsia"/>
          <w:highlight w:val="none"/>
          <w:lang w:val="en-US"/>
        </w:rPr>
        <w:fldChar w:fldCharType="separate"/>
      </w:r>
      <w:r>
        <w:rPr>
          <w:rFonts w:hint="eastAsia" w:ascii="宋体" w:hAnsi="宋体" w:eastAsia="宋体" w:cs="宋体"/>
          <w:szCs w:val="24"/>
          <w:lang w:val="en-US" w:eastAsia="zh-CN"/>
        </w:rPr>
        <w:t>13.特定关系信息收集表</w:t>
      </w:r>
      <w:r>
        <w:tab/>
      </w:r>
      <w:r>
        <w:fldChar w:fldCharType="begin"/>
      </w:r>
      <w:r>
        <w:instrText xml:space="preserve"> PAGEREF _Toc31438 \h </w:instrText>
      </w:r>
      <w:r>
        <w:fldChar w:fldCharType="separate"/>
      </w:r>
      <w:r>
        <w:t>105</w:t>
      </w:r>
      <w:r>
        <w:fldChar w:fldCharType="end"/>
      </w:r>
      <w:r>
        <w:rPr>
          <w:rFonts w:hint="default" w:cs="宋体" w:asciiTheme="minorEastAsia" w:hAnsiTheme="minorEastAsia" w:eastAsiaTheme="minorEastAsia"/>
          <w:highlight w:val="none"/>
          <w:lang w:val="en-US"/>
        </w:rPr>
        <w:fldChar w:fldCharType="end"/>
      </w:r>
    </w:p>
    <w:p w14:paraId="66E30A77">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_Toc31749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14.</w:t>
      </w:r>
      <w:r>
        <w:rPr>
          <w:rFonts w:hint="eastAsia" w:asciiTheme="minorEastAsia" w:hAnsiTheme="minorEastAsia" w:eastAsiaTheme="minorEastAsia"/>
          <w:szCs w:val="24"/>
        </w:rPr>
        <w:t>资格审查资料</w:t>
      </w:r>
      <w:r>
        <w:tab/>
      </w:r>
      <w:r>
        <w:fldChar w:fldCharType="begin"/>
      </w:r>
      <w:r>
        <w:instrText xml:space="preserve"> PAGEREF _Toc31749 \h </w:instrText>
      </w:r>
      <w:r>
        <w:fldChar w:fldCharType="separate"/>
      </w:r>
      <w:r>
        <w:t>107</w:t>
      </w:r>
      <w:r>
        <w:fldChar w:fldCharType="end"/>
      </w:r>
      <w:r>
        <w:rPr>
          <w:rFonts w:hint="default" w:cs="宋体" w:asciiTheme="minorEastAsia" w:hAnsiTheme="minorEastAsia" w:eastAsiaTheme="minorEastAsia"/>
          <w:highlight w:val="none"/>
          <w:lang w:val="en-US"/>
        </w:rPr>
        <w:fldChar w:fldCharType="end"/>
      </w:r>
    </w:p>
    <w:p w14:paraId="3CF72BE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_Toc840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15.</w:t>
      </w:r>
      <w:r>
        <w:rPr>
          <w:rFonts w:hint="eastAsia" w:asciiTheme="minorEastAsia" w:hAnsiTheme="minorEastAsia" w:eastAsiaTheme="minorEastAsia"/>
          <w:szCs w:val="24"/>
        </w:rPr>
        <w:t>投标人控股及管理关系情况申报表</w:t>
      </w:r>
      <w:r>
        <w:tab/>
      </w:r>
      <w:r>
        <w:fldChar w:fldCharType="begin"/>
      </w:r>
      <w:r>
        <w:instrText xml:space="preserve"> PAGEREF _Toc840 \h </w:instrText>
      </w:r>
      <w:r>
        <w:fldChar w:fldCharType="separate"/>
      </w:r>
      <w:r>
        <w:t>108</w:t>
      </w:r>
      <w:r>
        <w:fldChar w:fldCharType="end"/>
      </w:r>
      <w:r>
        <w:rPr>
          <w:rFonts w:hint="default" w:cs="宋体" w:asciiTheme="minorEastAsia" w:hAnsiTheme="minorEastAsia" w:eastAsiaTheme="minorEastAsia"/>
          <w:highlight w:val="none"/>
          <w:lang w:val="en-US"/>
        </w:rPr>
        <w:fldChar w:fldCharType="end"/>
      </w:r>
    </w:p>
    <w:p w14:paraId="5F3D60A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_Toc16500 </w:instrText>
      </w:r>
      <w:r>
        <w:rPr>
          <w:rFonts w:hint="default" w:cs="宋体" w:asciiTheme="minorEastAsia" w:hAnsiTheme="minorEastAsia" w:eastAsiaTheme="minorEastAsia"/>
          <w:highlight w:val="none"/>
          <w:lang w:val="en-US"/>
        </w:rPr>
        <w:fldChar w:fldCharType="separate"/>
      </w:r>
      <w:r>
        <w:rPr>
          <w:rFonts w:hint="eastAsia" w:ascii="宋体" w:hAnsi="宋体" w:cs="Times New Roman"/>
          <w:bCs/>
          <w:kern w:val="2"/>
          <w:szCs w:val="24"/>
          <w:lang w:val="en-US" w:eastAsia="zh-CN" w:bidi="ar-SA"/>
        </w:rPr>
        <w:t>16.</w:t>
      </w:r>
      <w:r>
        <w:rPr>
          <w:rFonts w:hint="eastAsia" w:ascii="宋体" w:hAnsi="宋体" w:eastAsia="宋体" w:cs="Times New Roman"/>
          <w:bCs/>
          <w:kern w:val="2"/>
          <w:szCs w:val="24"/>
          <w:lang w:val="en-US" w:eastAsia="zh-CN" w:bidi="ar-SA"/>
        </w:rPr>
        <w:t>商务条款偏离表</w:t>
      </w:r>
      <w:r>
        <w:tab/>
      </w:r>
      <w:r>
        <w:fldChar w:fldCharType="begin"/>
      </w:r>
      <w:r>
        <w:instrText xml:space="preserve"> PAGEREF _Toc16500 \h </w:instrText>
      </w:r>
      <w:r>
        <w:fldChar w:fldCharType="separate"/>
      </w:r>
      <w:r>
        <w:t>110</w:t>
      </w:r>
      <w:r>
        <w:fldChar w:fldCharType="end"/>
      </w:r>
      <w:r>
        <w:rPr>
          <w:rFonts w:hint="default" w:cs="宋体" w:asciiTheme="minorEastAsia" w:hAnsiTheme="minorEastAsia" w:eastAsiaTheme="minorEastAsia"/>
          <w:highlight w:val="none"/>
          <w:lang w:val="en-US"/>
        </w:rPr>
        <w:fldChar w:fldCharType="end"/>
      </w:r>
    </w:p>
    <w:p w14:paraId="4AD00E8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_Toc29955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rPr>
        <w:t>合同条款偏离表</w:t>
      </w:r>
      <w:r>
        <w:tab/>
      </w:r>
      <w:r>
        <w:fldChar w:fldCharType="begin"/>
      </w:r>
      <w:r>
        <w:instrText xml:space="preserve"> PAGEREF _Toc29955 \h </w:instrText>
      </w:r>
      <w:r>
        <w:fldChar w:fldCharType="separate"/>
      </w:r>
      <w:r>
        <w:t>112</w:t>
      </w:r>
      <w:r>
        <w:fldChar w:fldCharType="end"/>
      </w:r>
      <w:r>
        <w:rPr>
          <w:rFonts w:hint="default" w:cs="宋体" w:asciiTheme="minorEastAsia" w:hAnsiTheme="minorEastAsia" w:eastAsiaTheme="minorEastAsia"/>
          <w:highlight w:val="none"/>
          <w:lang w:val="en-US"/>
        </w:rPr>
        <w:fldChar w:fldCharType="end"/>
      </w:r>
    </w:p>
    <w:p w14:paraId="7EE101B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_Toc9295 </w:instrText>
      </w:r>
      <w:r>
        <w:rPr>
          <w:rFonts w:hint="default" w:cs="宋体" w:asciiTheme="minorEastAsia" w:hAnsiTheme="minorEastAsia" w:eastAsiaTheme="minorEastAsia"/>
          <w:highlight w:val="none"/>
          <w:lang w:val="en-US"/>
        </w:rPr>
        <w:fldChar w:fldCharType="separate"/>
      </w:r>
      <w:r>
        <w:rPr>
          <w:rFonts w:hint="eastAsia" w:ascii="宋体" w:hAnsi="宋体"/>
          <w:szCs w:val="24"/>
          <w:lang w:val="en-US" w:eastAsia="zh-CN"/>
        </w:rPr>
        <w:t>18</w:t>
      </w:r>
      <w:r>
        <w:rPr>
          <w:rFonts w:hint="eastAsia" w:ascii="宋体" w:hAnsi="宋体" w:eastAsia="宋体"/>
          <w:szCs w:val="24"/>
          <w:lang w:val="en-US" w:eastAsia="zh-CN"/>
        </w:rPr>
        <w:t>.投标</w:t>
      </w:r>
      <w:r>
        <w:rPr>
          <w:rFonts w:hint="eastAsia" w:ascii="宋体" w:hAnsi="宋体" w:eastAsia="宋体"/>
          <w:szCs w:val="24"/>
        </w:rPr>
        <w:t>人须知前附表偏离表</w:t>
      </w:r>
      <w:r>
        <w:tab/>
      </w:r>
      <w:r>
        <w:fldChar w:fldCharType="begin"/>
      </w:r>
      <w:r>
        <w:instrText xml:space="preserve"> PAGEREF _Toc9295 \h </w:instrText>
      </w:r>
      <w:r>
        <w:fldChar w:fldCharType="separate"/>
      </w:r>
      <w:r>
        <w:t>113</w:t>
      </w:r>
      <w:r>
        <w:fldChar w:fldCharType="end"/>
      </w:r>
      <w:r>
        <w:rPr>
          <w:rFonts w:hint="default" w:cs="宋体" w:asciiTheme="minorEastAsia" w:hAnsiTheme="minorEastAsia" w:eastAsiaTheme="minorEastAsia"/>
          <w:highlight w:val="none"/>
          <w:lang w:val="en-US"/>
        </w:rPr>
        <w:fldChar w:fldCharType="end"/>
      </w:r>
    </w:p>
    <w:p w14:paraId="3EC65B10">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_Toc15346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lang w:val="en-US" w:eastAsia="zh-CN"/>
        </w:rPr>
        <w:t>网络及</w:t>
      </w:r>
      <w:r>
        <w:rPr>
          <w:rFonts w:hint="eastAsia" w:asciiTheme="minorEastAsia" w:hAnsiTheme="minorEastAsia" w:eastAsiaTheme="minorEastAsia"/>
          <w:szCs w:val="24"/>
        </w:rPr>
        <w:t>信息安全承诺书</w:t>
      </w:r>
      <w:r>
        <w:tab/>
      </w:r>
      <w:r>
        <w:fldChar w:fldCharType="begin"/>
      </w:r>
      <w:r>
        <w:instrText xml:space="preserve"> PAGEREF _Toc15346 \h </w:instrText>
      </w:r>
      <w:r>
        <w:fldChar w:fldCharType="separate"/>
      </w:r>
      <w:r>
        <w:t>114</w:t>
      </w:r>
      <w:r>
        <w:fldChar w:fldCharType="end"/>
      </w:r>
      <w:r>
        <w:rPr>
          <w:rFonts w:hint="default" w:cs="宋体" w:asciiTheme="minorEastAsia" w:hAnsiTheme="minorEastAsia" w:eastAsiaTheme="minorEastAsia"/>
          <w:highlight w:val="none"/>
          <w:lang w:val="en-US"/>
        </w:rPr>
        <w:fldChar w:fldCharType="end"/>
      </w:r>
    </w:p>
    <w:p w14:paraId="2793C9A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_Toc7972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rPr>
        <w:t>开源软件、第三方软件清单及合法获取开源软件、第三方软件使用权的证明[与《</w:t>
      </w:r>
      <w:r>
        <w:rPr>
          <w:rFonts w:hint="eastAsia" w:asciiTheme="minorEastAsia" w:hAnsiTheme="minorEastAsia" w:eastAsiaTheme="minorEastAsia"/>
          <w:szCs w:val="24"/>
          <w:lang w:val="en-US" w:eastAsia="zh-CN"/>
        </w:rPr>
        <w:t>网络及</w:t>
      </w:r>
      <w:r>
        <w:rPr>
          <w:rFonts w:hint="eastAsia" w:asciiTheme="minorEastAsia" w:hAnsiTheme="minorEastAsia" w:eastAsiaTheme="minorEastAsia"/>
          <w:szCs w:val="24"/>
        </w:rPr>
        <w:t>信息安全承诺书》同步使用，软件类采购应当使用，使用本文件的应作为采购合同的附件]</w:t>
      </w:r>
      <w:r>
        <w:tab/>
      </w:r>
      <w:r>
        <w:fldChar w:fldCharType="begin"/>
      </w:r>
      <w:r>
        <w:instrText xml:space="preserve"> PAGEREF _Toc7972 \h </w:instrText>
      </w:r>
      <w:r>
        <w:fldChar w:fldCharType="separate"/>
      </w:r>
      <w:r>
        <w:t>119</w:t>
      </w:r>
      <w:r>
        <w:fldChar w:fldCharType="end"/>
      </w:r>
      <w:r>
        <w:rPr>
          <w:rFonts w:hint="default" w:cs="宋体" w:asciiTheme="minorEastAsia" w:hAnsiTheme="minorEastAsia" w:eastAsiaTheme="minorEastAsia"/>
          <w:highlight w:val="none"/>
          <w:lang w:val="en-US"/>
        </w:rPr>
        <w:fldChar w:fldCharType="end"/>
      </w:r>
    </w:p>
    <w:p w14:paraId="63069E8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_Toc26412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21.</w:t>
      </w:r>
      <w:r>
        <w:rPr>
          <w:rFonts w:hint="eastAsia" w:asciiTheme="minorEastAsia" w:hAnsiTheme="minorEastAsia" w:eastAsiaTheme="minorEastAsia"/>
          <w:szCs w:val="24"/>
        </w:rPr>
        <w:t>销售/转许可同意函</w:t>
      </w:r>
      <w:r>
        <w:tab/>
      </w:r>
      <w:r>
        <w:fldChar w:fldCharType="begin"/>
      </w:r>
      <w:r>
        <w:instrText xml:space="preserve"> PAGEREF _Toc26412 \h </w:instrText>
      </w:r>
      <w:r>
        <w:fldChar w:fldCharType="separate"/>
      </w:r>
      <w:r>
        <w:t>120</w:t>
      </w:r>
      <w:r>
        <w:fldChar w:fldCharType="end"/>
      </w:r>
      <w:r>
        <w:rPr>
          <w:rFonts w:hint="default" w:cs="宋体" w:asciiTheme="minorEastAsia" w:hAnsiTheme="minorEastAsia" w:eastAsiaTheme="minorEastAsia"/>
          <w:highlight w:val="none"/>
          <w:lang w:val="en-US"/>
        </w:rPr>
        <w:fldChar w:fldCharType="end"/>
      </w:r>
    </w:p>
    <w:p w14:paraId="30784F6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_Toc10859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22.</w:t>
      </w:r>
      <w:r>
        <w:rPr>
          <w:rFonts w:hint="eastAsia" w:asciiTheme="minorEastAsia" w:hAnsiTheme="minorEastAsia" w:eastAsiaTheme="minorEastAsia"/>
          <w:szCs w:val="24"/>
        </w:rPr>
        <w:t>投标保函</w:t>
      </w:r>
      <w:r>
        <w:tab/>
      </w:r>
      <w:r>
        <w:fldChar w:fldCharType="begin"/>
      </w:r>
      <w:r>
        <w:instrText xml:space="preserve"> PAGEREF _Toc10859 \h </w:instrText>
      </w:r>
      <w:r>
        <w:fldChar w:fldCharType="separate"/>
      </w:r>
      <w:r>
        <w:t>121</w:t>
      </w:r>
      <w:r>
        <w:fldChar w:fldCharType="end"/>
      </w:r>
      <w:r>
        <w:rPr>
          <w:rFonts w:hint="default" w:cs="宋体" w:asciiTheme="minorEastAsia" w:hAnsiTheme="minorEastAsia" w:eastAsiaTheme="minorEastAsia"/>
          <w:highlight w:val="none"/>
          <w:lang w:val="en-US"/>
        </w:rPr>
        <w:fldChar w:fldCharType="end"/>
      </w:r>
    </w:p>
    <w:p w14:paraId="0AF37717">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_Toc32285 </w:instrText>
      </w:r>
      <w:r>
        <w:rPr>
          <w:rFonts w:hint="default" w:cs="宋体" w:asciiTheme="minorEastAsia" w:hAnsiTheme="minorEastAsia" w:eastAsiaTheme="minorEastAsia"/>
          <w:highlight w:val="none"/>
          <w:lang w:val="en-US"/>
        </w:rPr>
        <w:fldChar w:fldCharType="separate"/>
      </w:r>
      <w:r>
        <w:rPr>
          <w:rFonts w:hint="eastAsia"/>
          <w:szCs w:val="28"/>
          <w:lang w:val="en-US" w:eastAsia="zh-CN"/>
        </w:rPr>
        <w:t>23.</w:t>
      </w:r>
      <w:r>
        <w:rPr>
          <w:rFonts w:hint="eastAsia"/>
          <w:szCs w:val="28"/>
        </w:rPr>
        <w:t>基本开户银行情况</w:t>
      </w:r>
      <w:r>
        <w:tab/>
      </w:r>
      <w:r>
        <w:fldChar w:fldCharType="begin"/>
      </w:r>
      <w:r>
        <w:instrText xml:space="preserve"> PAGEREF _Toc32285 \h </w:instrText>
      </w:r>
      <w:r>
        <w:fldChar w:fldCharType="separate"/>
      </w:r>
      <w:r>
        <w:t>124</w:t>
      </w:r>
      <w:r>
        <w:fldChar w:fldCharType="end"/>
      </w:r>
      <w:r>
        <w:rPr>
          <w:rFonts w:hint="default" w:cs="宋体" w:asciiTheme="minorEastAsia" w:hAnsiTheme="minorEastAsia" w:eastAsiaTheme="minorEastAsia"/>
          <w:highlight w:val="none"/>
          <w:lang w:val="en-US"/>
        </w:rPr>
        <w:fldChar w:fldCharType="end"/>
      </w:r>
    </w:p>
    <w:p w14:paraId="4C33072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_Toc7268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24.</w:t>
      </w:r>
      <w:r>
        <w:rPr>
          <w:rFonts w:hint="eastAsia" w:asciiTheme="minorEastAsia" w:hAnsiTheme="minorEastAsia" w:eastAsiaTheme="minorEastAsia"/>
          <w:szCs w:val="24"/>
        </w:rPr>
        <w:t>业绩情况表</w:t>
      </w:r>
      <w:r>
        <w:tab/>
      </w:r>
      <w:r>
        <w:fldChar w:fldCharType="begin"/>
      </w:r>
      <w:r>
        <w:instrText xml:space="preserve"> PAGEREF _Toc7268 \h </w:instrText>
      </w:r>
      <w:r>
        <w:fldChar w:fldCharType="separate"/>
      </w:r>
      <w:r>
        <w:t>125</w:t>
      </w:r>
      <w:r>
        <w:fldChar w:fldCharType="end"/>
      </w:r>
      <w:r>
        <w:rPr>
          <w:rFonts w:hint="default" w:cs="宋体" w:asciiTheme="minorEastAsia" w:hAnsiTheme="minorEastAsia" w:eastAsiaTheme="minorEastAsia"/>
          <w:highlight w:val="none"/>
          <w:lang w:val="en-US"/>
        </w:rPr>
        <w:fldChar w:fldCharType="end"/>
      </w:r>
    </w:p>
    <w:p w14:paraId="13391BC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_Toc24678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rPr>
        <w:t>社会保险经办机构出具的投标人为职工缴纳社会保险的单位缴费信息记录</w:t>
      </w:r>
      <w:r>
        <w:tab/>
      </w:r>
      <w:r>
        <w:fldChar w:fldCharType="begin"/>
      </w:r>
      <w:r>
        <w:instrText xml:space="preserve"> PAGEREF _Toc24678 \h </w:instrText>
      </w:r>
      <w:r>
        <w:fldChar w:fldCharType="separate"/>
      </w:r>
      <w:r>
        <w:t>126</w:t>
      </w:r>
      <w:r>
        <w:fldChar w:fldCharType="end"/>
      </w:r>
      <w:r>
        <w:rPr>
          <w:rFonts w:hint="default" w:cs="宋体" w:asciiTheme="minorEastAsia" w:hAnsiTheme="minorEastAsia" w:eastAsiaTheme="minorEastAsia"/>
          <w:highlight w:val="none"/>
          <w:lang w:val="en-US"/>
        </w:rPr>
        <w:fldChar w:fldCharType="end"/>
      </w:r>
    </w:p>
    <w:p w14:paraId="6E2B9AE1">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_Toc14095 </w:instrText>
      </w:r>
      <w:r>
        <w:rPr>
          <w:rFonts w:hint="default" w:cs="宋体" w:asciiTheme="minorEastAsia" w:hAnsiTheme="minorEastAsia" w:eastAsiaTheme="minorEastAsia"/>
          <w:highlight w:val="none"/>
          <w:lang w:val="en-US"/>
        </w:rPr>
        <w:fldChar w:fldCharType="separate"/>
      </w:r>
      <w:r>
        <w:rPr>
          <w:rFonts w:hint="eastAsia"/>
          <w:szCs w:val="24"/>
          <w:lang w:val="en-US" w:eastAsia="zh-CN"/>
        </w:rPr>
        <w:t>26.</w:t>
      </w:r>
      <w:r>
        <w:rPr>
          <w:rFonts w:hint="eastAsia"/>
          <w:szCs w:val="24"/>
        </w:rPr>
        <w:t>知识产权不侵权承诺函</w:t>
      </w:r>
      <w:r>
        <w:tab/>
      </w:r>
      <w:r>
        <w:fldChar w:fldCharType="begin"/>
      </w:r>
      <w:r>
        <w:instrText xml:space="preserve"> PAGEREF _Toc14095 \h </w:instrText>
      </w:r>
      <w:r>
        <w:fldChar w:fldCharType="separate"/>
      </w:r>
      <w:r>
        <w:t>127</w:t>
      </w:r>
      <w:r>
        <w:fldChar w:fldCharType="end"/>
      </w:r>
      <w:r>
        <w:rPr>
          <w:rFonts w:hint="default" w:cs="宋体" w:asciiTheme="minorEastAsia" w:hAnsiTheme="minorEastAsia" w:eastAsiaTheme="minorEastAsia"/>
          <w:highlight w:val="none"/>
          <w:lang w:val="en-US"/>
        </w:rPr>
        <w:fldChar w:fldCharType="end"/>
      </w:r>
    </w:p>
    <w:p w14:paraId="4E964F1A">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_Toc3451 </w:instrText>
      </w:r>
      <w:r>
        <w:rPr>
          <w:rFonts w:hint="default" w:cs="宋体" w:asciiTheme="minorEastAsia" w:hAnsiTheme="minorEastAsia" w:eastAsiaTheme="minorEastAsia"/>
          <w:highlight w:val="none"/>
          <w:lang w:val="en-US"/>
        </w:rPr>
        <w:fldChar w:fldCharType="separate"/>
      </w:r>
      <w:r>
        <w:rPr>
          <w:rFonts w:hint="eastAsia" w:ascii="宋体" w:hAnsi="宋体" w:cs="Times New Roman"/>
          <w:bCs/>
          <w:kern w:val="2"/>
          <w:szCs w:val="24"/>
          <w:lang w:val="en-US" w:eastAsia="zh-CN" w:bidi="ar-SA"/>
        </w:rPr>
        <w:t>27</w:t>
      </w:r>
      <w:r>
        <w:rPr>
          <w:rFonts w:hint="eastAsia" w:ascii="宋体" w:hAnsi="宋体" w:eastAsia="宋体" w:cs="Times New Roman"/>
          <w:bCs/>
          <w:kern w:val="2"/>
          <w:szCs w:val="24"/>
          <w:lang w:val="en-US" w:eastAsia="zh-CN" w:bidi="ar-SA"/>
        </w:rPr>
        <w:t>.</w:t>
      </w:r>
      <w:r>
        <w:rPr>
          <w:rFonts w:hint="eastAsia" w:ascii="宋体" w:hAnsi="宋体" w:cs="Times New Roman"/>
          <w:szCs w:val="24"/>
        </w:rPr>
        <w:t>供应链数字化配合说明</w:t>
      </w:r>
      <w:r>
        <w:tab/>
      </w:r>
      <w:r>
        <w:fldChar w:fldCharType="begin"/>
      </w:r>
      <w:r>
        <w:instrText xml:space="preserve"> PAGEREF _Toc3451 \h </w:instrText>
      </w:r>
      <w:r>
        <w:fldChar w:fldCharType="separate"/>
      </w:r>
      <w:r>
        <w:t>129</w:t>
      </w:r>
      <w:r>
        <w:fldChar w:fldCharType="end"/>
      </w:r>
      <w:r>
        <w:rPr>
          <w:rFonts w:hint="default" w:cs="宋体" w:asciiTheme="minorEastAsia" w:hAnsiTheme="minorEastAsia" w:eastAsiaTheme="minorEastAsia"/>
          <w:highlight w:val="none"/>
          <w:lang w:val="en-US"/>
        </w:rPr>
        <w:fldChar w:fldCharType="end"/>
      </w:r>
    </w:p>
    <w:p w14:paraId="54C44AC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_Toc29619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第二分册 技术投标文件</w:t>
      </w:r>
      <w:r>
        <w:tab/>
      </w:r>
      <w:r>
        <w:fldChar w:fldCharType="begin"/>
      </w:r>
      <w:r>
        <w:instrText xml:space="preserve"> PAGEREF _Toc29619 \h </w:instrText>
      </w:r>
      <w:r>
        <w:fldChar w:fldCharType="separate"/>
      </w:r>
      <w:r>
        <w:t>130</w:t>
      </w:r>
      <w:r>
        <w:fldChar w:fldCharType="end"/>
      </w:r>
      <w:r>
        <w:rPr>
          <w:rFonts w:hint="default" w:cs="宋体" w:asciiTheme="minorEastAsia" w:hAnsiTheme="minorEastAsia" w:eastAsiaTheme="minorEastAsia"/>
          <w:highlight w:val="none"/>
          <w:lang w:val="en-US"/>
        </w:rPr>
        <w:fldChar w:fldCharType="end"/>
      </w:r>
    </w:p>
    <w:p w14:paraId="1AE205A3">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_Toc23174 </w:instrText>
      </w:r>
      <w:r>
        <w:rPr>
          <w:rFonts w:hint="default" w:cs="宋体" w:asciiTheme="minorEastAsia" w:hAnsiTheme="minorEastAsia" w:eastAsiaTheme="minorEastAsia"/>
          <w:highlight w:val="none"/>
          <w:lang w:val="en-US"/>
        </w:rPr>
        <w:fldChar w:fldCharType="separate"/>
      </w:r>
      <w:r>
        <w:rPr>
          <w:rFonts w:hint="eastAsia"/>
          <w:szCs w:val="24"/>
          <w:lang w:val="en-US" w:eastAsia="zh-CN"/>
        </w:rPr>
        <w:t>28.技术投标文件封面</w:t>
      </w:r>
      <w:r>
        <w:tab/>
      </w:r>
      <w:r>
        <w:fldChar w:fldCharType="begin"/>
      </w:r>
      <w:r>
        <w:instrText xml:space="preserve"> PAGEREF _Toc23174 \h </w:instrText>
      </w:r>
      <w:r>
        <w:fldChar w:fldCharType="separate"/>
      </w:r>
      <w:r>
        <w:t>130</w:t>
      </w:r>
      <w:r>
        <w:fldChar w:fldCharType="end"/>
      </w:r>
      <w:r>
        <w:rPr>
          <w:rFonts w:hint="default" w:cs="宋体" w:asciiTheme="minorEastAsia" w:hAnsiTheme="minorEastAsia" w:eastAsiaTheme="minorEastAsia"/>
          <w:highlight w:val="none"/>
          <w:lang w:val="en-US"/>
        </w:rPr>
        <w:fldChar w:fldCharType="end"/>
      </w:r>
    </w:p>
    <w:p w14:paraId="545D18BE">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_Toc6095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rPr>
        <w:t>技术服务评审索引表</w:t>
      </w:r>
      <w:r>
        <w:tab/>
      </w:r>
      <w:r>
        <w:fldChar w:fldCharType="begin"/>
      </w:r>
      <w:r>
        <w:instrText xml:space="preserve"> PAGEREF _Toc6095 \h </w:instrText>
      </w:r>
      <w:r>
        <w:fldChar w:fldCharType="separate"/>
      </w:r>
      <w:r>
        <w:t>131</w:t>
      </w:r>
      <w:r>
        <w:fldChar w:fldCharType="end"/>
      </w:r>
      <w:r>
        <w:rPr>
          <w:rFonts w:hint="default" w:cs="宋体" w:asciiTheme="minorEastAsia" w:hAnsiTheme="minorEastAsia" w:eastAsiaTheme="minorEastAsia"/>
          <w:highlight w:val="none"/>
          <w:lang w:val="en-US"/>
        </w:rPr>
        <w:fldChar w:fldCharType="end"/>
      </w:r>
    </w:p>
    <w:p w14:paraId="4F878F7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_Toc4122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30.</w:t>
      </w:r>
      <w:r>
        <w:rPr>
          <w:rFonts w:hint="eastAsia" w:asciiTheme="minorEastAsia" w:hAnsiTheme="minorEastAsia" w:eastAsiaTheme="minorEastAsia"/>
          <w:szCs w:val="24"/>
        </w:rPr>
        <w:t>技术规范书偏离表</w:t>
      </w:r>
      <w:r>
        <w:tab/>
      </w:r>
      <w:r>
        <w:fldChar w:fldCharType="begin"/>
      </w:r>
      <w:r>
        <w:instrText xml:space="preserve"> PAGEREF _Toc4122 \h </w:instrText>
      </w:r>
      <w:r>
        <w:fldChar w:fldCharType="separate"/>
      </w:r>
      <w:r>
        <w:t>132</w:t>
      </w:r>
      <w:r>
        <w:fldChar w:fldCharType="end"/>
      </w:r>
      <w:r>
        <w:rPr>
          <w:rFonts w:hint="default" w:cs="宋体" w:asciiTheme="minorEastAsia" w:hAnsiTheme="minorEastAsia" w:eastAsiaTheme="minorEastAsia"/>
          <w:highlight w:val="none"/>
          <w:lang w:val="en-US"/>
        </w:rPr>
        <w:fldChar w:fldCharType="end"/>
      </w:r>
    </w:p>
    <w:p w14:paraId="50A8BDD8">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_Toc18033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31.</w:t>
      </w:r>
      <w:r>
        <w:rPr>
          <w:rFonts w:hint="eastAsia" w:cs="Times New Roman" w:asciiTheme="minorEastAsia" w:hAnsiTheme="minorEastAsia" w:eastAsiaTheme="minorEastAsia"/>
          <w:szCs w:val="24"/>
        </w:rPr>
        <w:t>技术规范书点对点应答</w:t>
      </w:r>
      <w:r>
        <w:tab/>
      </w:r>
      <w:r>
        <w:fldChar w:fldCharType="begin"/>
      </w:r>
      <w:r>
        <w:instrText xml:space="preserve"> PAGEREF _Toc18033 \h </w:instrText>
      </w:r>
      <w:r>
        <w:fldChar w:fldCharType="separate"/>
      </w:r>
      <w:r>
        <w:t>133</w:t>
      </w:r>
      <w:r>
        <w:fldChar w:fldCharType="end"/>
      </w:r>
      <w:r>
        <w:rPr>
          <w:rFonts w:hint="default" w:cs="宋体" w:asciiTheme="minorEastAsia" w:hAnsiTheme="minorEastAsia" w:eastAsiaTheme="minorEastAsia"/>
          <w:highlight w:val="none"/>
          <w:lang w:val="en-US"/>
        </w:rPr>
        <w:fldChar w:fldCharType="end"/>
      </w:r>
    </w:p>
    <w:p w14:paraId="5796A4E4">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_Toc30391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32.</w:t>
      </w:r>
      <w:r>
        <w:rPr>
          <w:rFonts w:hint="eastAsia" w:cs="Times New Roman" w:asciiTheme="minorEastAsia" w:hAnsiTheme="minorEastAsia" w:eastAsiaTheme="minorEastAsia"/>
          <w:szCs w:val="24"/>
        </w:rPr>
        <w:t>技术建议书</w:t>
      </w:r>
      <w:r>
        <w:tab/>
      </w:r>
      <w:r>
        <w:fldChar w:fldCharType="begin"/>
      </w:r>
      <w:r>
        <w:instrText xml:space="preserve"> PAGEREF _Toc30391 \h </w:instrText>
      </w:r>
      <w:r>
        <w:fldChar w:fldCharType="separate"/>
      </w:r>
      <w:r>
        <w:t>134</w:t>
      </w:r>
      <w:r>
        <w:fldChar w:fldCharType="end"/>
      </w:r>
      <w:r>
        <w:rPr>
          <w:rFonts w:hint="default" w:cs="宋体" w:asciiTheme="minorEastAsia" w:hAnsiTheme="minorEastAsia" w:eastAsiaTheme="minorEastAsia"/>
          <w:highlight w:val="none"/>
          <w:lang w:val="en-US"/>
        </w:rPr>
        <w:fldChar w:fldCharType="end"/>
      </w:r>
    </w:p>
    <w:p w14:paraId="1305959C">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_Toc6455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33.</w:t>
      </w:r>
      <w:r>
        <w:rPr>
          <w:rFonts w:hint="eastAsia" w:cs="Times New Roman" w:asciiTheme="minorEastAsia" w:hAnsiTheme="minorEastAsia" w:eastAsiaTheme="minorEastAsia"/>
          <w:szCs w:val="24"/>
        </w:rPr>
        <w:t>技术规范书中明确要求投标人提供的其他相关文件</w:t>
      </w:r>
      <w:r>
        <w:tab/>
      </w:r>
      <w:r>
        <w:fldChar w:fldCharType="begin"/>
      </w:r>
      <w:r>
        <w:instrText xml:space="preserve"> PAGEREF _Toc6455 \h </w:instrText>
      </w:r>
      <w:r>
        <w:fldChar w:fldCharType="separate"/>
      </w:r>
      <w:r>
        <w:t>136</w:t>
      </w:r>
      <w:r>
        <w:fldChar w:fldCharType="end"/>
      </w:r>
      <w:r>
        <w:rPr>
          <w:rFonts w:hint="default" w:cs="宋体" w:asciiTheme="minorEastAsia" w:hAnsiTheme="minorEastAsia" w:eastAsiaTheme="minorEastAsia"/>
          <w:highlight w:val="none"/>
          <w:lang w:val="en-US"/>
        </w:rPr>
        <w:fldChar w:fldCharType="end"/>
      </w:r>
    </w:p>
    <w:p w14:paraId="702C3389">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_Toc20526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34.外部组件软件成分信息清单模版</w:t>
      </w:r>
      <w:r>
        <w:tab/>
      </w:r>
      <w:r>
        <w:fldChar w:fldCharType="begin"/>
      </w:r>
      <w:r>
        <w:instrText xml:space="preserve"> PAGEREF _Toc20526 \h </w:instrText>
      </w:r>
      <w:r>
        <w:fldChar w:fldCharType="separate"/>
      </w:r>
      <w:r>
        <w:t>137</w:t>
      </w:r>
      <w:r>
        <w:fldChar w:fldCharType="end"/>
      </w:r>
      <w:r>
        <w:rPr>
          <w:rFonts w:hint="default" w:cs="宋体" w:asciiTheme="minorEastAsia" w:hAnsiTheme="minorEastAsia" w:eastAsiaTheme="minorEastAsia"/>
          <w:highlight w:val="none"/>
          <w:lang w:val="en-US"/>
        </w:rPr>
        <w:fldChar w:fldCharType="end"/>
      </w:r>
    </w:p>
    <w:p w14:paraId="6DD6B90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_Toc1822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_Toc1822 \h </w:instrText>
      </w:r>
      <w:r>
        <w:fldChar w:fldCharType="separate"/>
      </w:r>
      <w:r>
        <w:t>141</w:t>
      </w:r>
      <w:r>
        <w:fldChar w:fldCharType="end"/>
      </w:r>
      <w:r>
        <w:rPr>
          <w:rFonts w:hint="default" w:cs="宋体" w:asciiTheme="minorEastAsia" w:hAnsiTheme="minorEastAsia" w:eastAsiaTheme="minorEastAsia"/>
          <w:highlight w:val="none"/>
          <w:lang w:val="en-US"/>
        </w:rPr>
        <w:fldChar w:fldCharType="end"/>
      </w:r>
    </w:p>
    <w:p w14:paraId="7F38B6CE">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_Toc12680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35.</w:t>
      </w:r>
      <w:r>
        <w:rPr>
          <w:rFonts w:hint="eastAsia" w:cs="Times New Roman" w:asciiTheme="minorEastAsia" w:hAnsiTheme="minorEastAsia" w:eastAsiaTheme="minorEastAsia"/>
          <w:szCs w:val="24"/>
        </w:rPr>
        <w:t>报价文件封面</w:t>
      </w:r>
      <w:r>
        <w:tab/>
      </w:r>
      <w:r>
        <w:fldChar w:fldCharType="begin"/>
      </w:r>
      <w:r>
        <w:instrText xml:space="preserve"> PAGEREF _Toc12680 \h </w:instrText>
      </w:r>
      <w:r>
        <w:fldChar w:fldCharType="separate"/>
      </w:r>
      <w:r>
        <w:t>141</w:t>
      </w:r>
      <w:r>
        <w:fldChar w:fldCharType="end"/>
      </w:r>
      <w:r>
        <w:rPr>
          <w:rFonts w:hint="default" w:cs="宋体" w:asciiTheme="minorEastAsia" w:hAnsiTheme="minorEastAsia" w:eastAsiaTheme="minorEastAsia"/>
          <w:highlight w:val="none"/>
          <w:lang w:val="en-US"/>
        </w:rPr>
        <w:fldChar w:fldCharType="end"/>
      </w:r>
    </w:p>
    <w:p w14:paraId="370DC512">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_Toc18393 </w:instrText>
      </w:r>
      <w:r>
        <w:rPr>
          <w:rFonts w:hint="default" w:cs="宋体" w:asciiTheme="minorEastAsia" w:hAnsiTheme="minorEastAsia" w:eastAsiaTheme="minorEastAsia"/>
          <w:highlight w:val="none"/>
          <w:lang w:val="en-US"/>
        </w:rPr>
        <w:fldChar w:fldCharType="separate"/>
      </w:r>
      <w:r>
        <w:rPr>
          <w:rFonts w:hint="eastAsia" w:cs="Times New Roman" w:asciiTheme="minorEastAsia" w:hAnsiTheme="minorEastAsia" w:eastAsiaTheme="minorEastAsia"/>
          <w:bCs/>
          <w:kern w:val="2"/>
          <w:szCs w:val="24"/>
          <w:lang w:val="en-US" w:eastAsia="zh-CN" w:bidi="ar-SA"/>
        </w:rPr>
        <w:t>36.</w:t>
      </w:r>
      <w:r>
        <w:rPr>
          <w:rFonts w:hint="eastAsia" w:cs="Times New Roman" w:asciiTheme="minorEastAsia" w:hAnsiTheme="minorEastAsia" w:eastAsiaTheme="minorEastAsia"/>
          <w:szCs w:val="24"/>
        </w:rPr>
        <w:t>投标一览表</w:t>
      </w:r>
      <w:r>
        <w:tab/>
      </w:r>
      <w:r>
        <w:fldChar w:fldCharType="begin"/>
      </w:r>
      <w:r>
        <w:instrText xml:space="preserve"> PAGEREF _Toc18393 \h </w:instrText>
      </w:r>
      <w:r>
        <w:fldChar w:fldCharType="separate"/>
      </w:r>
      <w:r>
        <w:t>142</w:t>
      </w:r>
      <w:r>
        <w:fldChar w:fldCharType="end"/>
      </w:r>
      <w:r>
        <w:rPr>
          <w:rFonts w:hint="default" w:cs="宋体" w:asciiTheme="minorEastAsia" w:hAnsiTheme="minorEastAsia" w:eastAsiaTheme="minorEastAsia"/>
          <w:highlight w:val="none"/>
          <w:lang w:val="en-US"/>
        </w:rPr>
        <w:fldChar w:fldCharType="end"/>
      </w:r>
    </w:p>
    <w:p w14:paraId="7D586215">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_Toc9767 </w:instrText>
      </w:r>
      <w:r>
        <w:rPr>
          <w:rFonts w:hint="default" w:cs="宋体" w:asciiTheme="minorEastAsia" w:hAnsiTheme="minorEastAsia" w:eastAsiaTheme="minorEastAsia"/>
          <w:highlight w:val="none"/>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_Toc9767 \h </w:instrText>
      </w:r>
      <w:r>
        <w:fldChar w:fldCharType="separate"/>
      </w:r>
      <w:r>
        <w:t>145</w:t>
      </w:r>
      <w:r>
        <w:fldChar w:fldCharType="end"/>
      </w:r>
      <w:r>
        <w:rPr>
          <w:rFonts w:hint="default" w:cs="宋体" w:asciiTheme="minorEastAsia" w:hAnsiTheme="minorEastAsia" w:eastAsiaTheme="minorEastAsia"/>
          <w:highlight w:val="none"/>
          <w:lang w:val="en-US"/>
        </w:rPr>
        <w:fldChar w:fldCharType="end"/>
      </w:r>
    </w:p>
    <w:p w14:paraId="543AC37D">
      <w:pPr>
        <w:pStyle w:val="58"/>
        <w:tabs>
          <w:tab w:val="right" w:leader="dot" w:pos="8504"/>
          <w:tab w:val="clear" w:pos="567"/>
          <w:tab w:val="clear" w:pos="709"/>
          <w:tab w:val="clear" w:pos="8505"/>
        </w:tabs>
      </w:pPr>
      <w:r>
        <w:rPr>
          <w:rFonts w:hint="default" w:cs="宋体" w:asciiTheme="minorEastAsia" w:hAnsiTheme="minorEastAsia" w:eastAsiaTheme="minorEastAsia"/>
          <w:highlight w:val="none"/>
          <w:lang w:val="en-US"/>
        </w:rPr>
        <w:fldChar w:fldCharType="begin"/>
      </w:r>
      <w:r>
        <w:rPr>
          <w:rFonts w:hint="default" w:cs="宋体" w:asciiTheme="minorEastAsia" w:hAnsiTheme="minorEastAsia" w:eastAsiaTheme="minorEastAsia"/>
          <w:highlight w:val="none"/>
          <w:lang w:val="en-US"/>
        </w:rPr>
        <w:instrText xml:space="preserve"> HYPERLINK \l _Toc16810 </w:instrText>
      </w:r>
      <w:r>
        <w:rPr>
          <w:rFonts w:hint="default" w:cs="宋体" w:asciiTheme="minorEastAsia" w:hAnsiTheme="minorEastAsia" w:eastAsiaTheme="minorEastAsia"/>
          <w:highlight w:val="none"/>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_Toc16810 \h </w:instrText>
      </w:r>
      <w:r>
        <w:fldChar w:fldCharType="separate"/>
      </w:r>
      <w:r>
        <w:t>145</w:t>
      </w:r>
      <w:r>
        <w:fldChar w:fldCharType="end"/>
      </w:r>
      <w:r>
        <w:rPr>
          <w:rFonts w:hint="default" w:cs="宋体" w:asciiTheme="minorEastAsia" w:hAnsiTheme="minorEastAsia" w:eastAsiaTheme="minorEastAsia"/>
          <w:highlight w:val="none"/>
          <w:lang w:val="en-US"/>
        </w:rPr>
        <w:fldChar w:fldCharType="end"/>
      </w:r>
    </w:p>
    <w:p w14:paraId="44F1A287">
      <w:pPr>
        <w:pStyle w:val="58"/>
        <w:tabs>
          <w:tab w:val="clear" w:pos="567"/>
          <w:tab w:val="clear" w:pos="709"/>
        </w:tabs>
        <w:rPr>
          <w:rFonts w:hint="default" w:cs="宋体" w:asciiTheme="minorEastAsia" w:hAnsiTheme="minorEastAsia" w:eastAsiaTheme="minorEastAsia"/>
          <w:sz w:val="24"/>
          <w:highlight w:val="none"/>
          <w:lang w:val="en-US"/>
        </w:rPr>
        <w:sectPr>
          <w:footerReference r:id="rId6" w:type="default"/>
          <w:pgSz w:w="11906" w:h="16838"/>
          <w:pgMar w:top="1440" w:right="1701" w:bottom="1440" w:left="1701" w:header="851" w:footer="992" w:gutter="0"/>
          <w:pgNumType w:fmt="decimal"/>
          <w:cols w:space="720" w:num="1"/>
          <w:docGrid w:type="linesAndChars" w:linePitch="380" w:charSpace="0"/>
        </w:sectPr>
      </w:pPr>
      <w:r>
        <w:rPr>
          <w:rFonts w:hint="default" w:cs="宋体" w:asciiTheme="minorEastAsia" w:hAnsiTheme="minorEastAsia" w:eastAsiaTheme="minorEastAsia"/>
          <w:highlight w:val="none"/>
          <w:lang w:val="en-US"/>
        </w:rPr>
        <w:fldChar w:fldCharType="end"/>
      </w:r>
    </w:p>
    <w:p w14:paraId="2BB1702F">
      <w:pPr>
        <w:pStyle w:val="100"/>
        <w:spacing w:before="240" w:after="120"/>
        <w:rPr>
          <w:rFonts w:cs="宋体" w:asciiTheme="minorEastAsia" w:hAnsiTheme="minorEastAsia" w:eastAsiaTheme="minorEastAsia"/>
          <w:b/>
          <w:bCs w:val="0"/>
          <w:kern w:val="0"/>
          <w:sz w:val="28"/>
          <w:szCs w:val="28"/>
          <w:highlight w:val="none"/>
        </w:rPr>
      </w:pPr>
      <w:bookmarkStart w:id="0" w:name="_Toc447265211"/>
      <w:bookmarkStart w:id="1" w:name="_Toc447265497"/>
      <w:bookmarkStart w:id="2" w:name="_Toc8361"/>
      <w:bookmarkStart w:id="3" w:name="_Toc3736"/>
      <w:bookmarkStart w:id="4" w:name="_Toc12221"/>
      <w:bookmarkStart w:id="5" w:name="_Toc31473"/>
      <w:bookmarkStart w:id="6" w:name="_Toc28449"/>
      <w:bookmarkStart w:id="7" w:name="_Toc38007946"/>
      <w:bookmarkStart w:id="8" w:name="_Toc447265797"/>
      <w:bookmarkStart w:id="9" w:name="_Toc447188662"/>
      <w:bookmarkStart w:id="10" w:name="_Toc26007"/>
      <w:bookmarkStart w:id="11" w:name="_Toc5918"/>
      <w:bookmarkStart w:id="12" w:name="_Toc24184"/>
      <w:bookmarkStart w:id="13" w:name="_Toc15364"/>
      <w:bookmarkStart w:id="14" w:name="_Toc22643"/>
      <w:bookmarkStart w:id="15" w:name="_Toc11944"/>
      <w:r>
        <w:rPr>
          <w:rFonts w:hint="eastAsia" w:cs="宋体" w:asciiTheme="minorEastAsia" w:hAnsiTheme="minorEastAsia" w:eastAsiaTheme="minorEastAsia"/>
          <w:b/>
          <w:bCs w:val="0"/>
          <w:kern w:val="0"/>
          <w:sz w:val="28"/>
          <w:szCs w:val="28"/>
          <w:highlight w:val="none"/>
        </w:rPr>
        <w:t xml:space="preserve">第一章  </w:t>
      </w:r>
      <w:bookmarkStart w:id="16" w:name="OLE_LINK3"/>
      <w:r>
        <w:rPr>
          <w:rFonts w:hint="eastAsia" w:cs="宋体" w:asciiTheme="minorEastAsia" w:hAnsiTheme="minorEastAsia" w:eastAsiaTheme="minorEastAsia"/>
          <w:b/>
          <w:bCs w:val="0"/>
          <w:kern w:val="0"/>
          <w:sz w:val="28"/>
          <w:szCs w:val="28"/>
          <w:highlight w:val="none"/>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00E2679">
      <w:pPr>
        <w:adjustRightInd w:val="0"/>
        <w:snapToGrid w:val="0"/>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本招标项目为</w:t>
      </w:r>
      <w:r>
        <w:rPr>
          <w:rFonts w:hint="eastAsia" w:asciiTheme="minorEastAsia" w:hAnsiTheme="minorEastAsia" w:eastAsiaTheme="minorEastAsia"/>
          <w:highlight w:val="none"/>
          <w:u w:val="single"/>
          <w:lang w:eastAsia="zh-CN"/>
        </w:rPr>
        <w:t>2025年中国电信遵义分公司中间件框架物资采购</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（招标编号：</w:t>
      </w:r>
      <w:r>
        <w:rPr>
          <w:rFonts w:hint="eastAsia" w:asciiTheme="minorEastAsia" w:hAnsiTheme="minorEastAsia" w:eastAsiaTheme="minorEastAsia"/>
          <w:highlight w:val="none"/>
          <w:u w:val="single"/>
          <w:lang w:val="en-US" w:eastAsia="zh-CN"/>
        </w:rPr>
        <w:t>GZBBFA202510200008</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，招标人为</w:t>
      </w:r>
      <w:r>
        <w:rPr>
          <w:rFonts w:hint="eastAsia" w:asciiTheme="minorEastAsia" w:hAnsiTheme="minorEastAsia" w:eastAsiaTheme="minorEastAsia"/>
          <w:highlight w:val="none"/>
          <w:u w:val="single"/>
        </w:rPr>
        <w:t>中国电信股份有限公司</w:t>
      </w:r>
      <w:r>
        <w:rPr>
          <w:rFonts w:hint="eastAsia" w:asciiTheme="minorEastAsia" w:hAnsiTheme="minorEastAsia" w:eastAsiaTheme="minorEastAsia"/>
          <w:highlight w:val="none"/>
          <w:u w:val="single"/>
          <w:lang w:val="en-US" w:eastAsia="zh-CN"/>
        </w:rPr>
        <w:t>遵义</w:t>
      </w:r>
      <w:r>
        <w:rPr>
          <w:rFonts w:hint="eastAsia" w:asciiTheme="minorEastAsia" w:hAnsiTheme="minorEastAsia" w:eastAsiaTheme="minorEastAsia"/>
          <w:highlight w:val="none"/>
          <w:u w:val="single"/>
        </w:rPr>
        <w:t>分公司</w:t>
      </w:r>
      <w:r>
        <w:rPr>
          <w:rFonts w:hint="eastAsia" w:asciiTheme="minorEastAsia" w:hAnsiTheme="minorEastAsia" w:eastAsiaTheme="minorEastAsia"/>
          <w:szCs w:val="21"/>
          <w:highlight w:val="none"/>
        </w:rPr>
        <w:t>，招标代理机构为</w:t>
      </w:r>
      <w:r>
        <w:rPr>
          <w:rFonts w:hint="eastAsia" w:asciiTheme="minorEastAsia" w:hAnsiTheme="minorEastAsia" w:eastAsiaTheme="minorEastAsia"/>
          <w:highlight w:val="none"/>
          <w:u w:val="single"/>
        </w:rPr>
        <w:t>中通服供应链股份有限公司贵州分公司</w:t>
      </w:r>
      <w:r>
        <w:rPr>
          <w:rFonts w:hint="eastAsia" w:asciiTheme="minorEastAsia" w:hAnsiTheme="minorEastAsia" w:eastAsiaTheme="minorEastAsia"/>
          <w:szCs w:val="21"/>
          <w:highlight w:val="none"/>
        </w:rPr>
        <w:t>。项目资金由</w:t>
      </w:r>
      <w:r>
        <w:rPr>
          <w:rFonts w:hint="eastAsia" w:asciiTheme="minorEastAsia" w:hAnsiTheme="minorEastAsia" w:eastAsiaTheme="minorEastAsia"/>
          <w:szCs w:val="21"/>
          <w:highlight w:val="none"/>
          <w:u w:val="single"/>
        </w:rPr>
        <w:t>招标人自筹</w:t>
      </w:r>
      <w:r>
        <w:rPr>
          <w:rFonts w:hint="eastAsia" w:asciiTheme="minorEastAsia" w:hAnsiTheme="minorEastAsia" w:eastAsiaTheme="minorEastAsia"/>
          <w:szCs w:val="21"/>
          <w:highlight w:val="none"/>
        </w:rPr>
        <w:t>，资金已落实。项目已具备招标条件，现进行公开招标，特邀请有意向的且具有提供标的物能力的潜在投标人（以下简称投标人）参加投标。</w:t>
      </w:r>
    </w:p>
    <w:p w14:paraId="15267F36">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1.项目概况与招标内容</w:t>
      </w:r>
    </w:p>
    <w:p w14:paraId="06411016">
      <w:pPr>
        <w:pStyle w:val="101"/>
        <w:spacing w:line="440" w:lineRule="exac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1.1</w:t>
      </w:r>
      <w:r>
        <w:rPr>
          <w:rFonts w:hint="eastAsia" w:asciiTheme="minorEastAsia" w:hAnsiTheme="minorEastAsia" w:eastAsiaTheme="minorEastAsia"/>
          <w:szCs w:val="21"/>
        </w:rPr>
        <w:t>招标内容</w:t>
      </w:r>
      <w:r>
        <w:rPr>
          <w:rFonts w:hint="eastAsia" w:asciiTheme="minorEastAsia" w:hAnsiTheme="minorEastAsia" w:eastAsiaTheme="minorEastAsia"/>
          <w:szCs w:val="21"/>
          <w:highlight w:val="none"/>
          <w:lang w:eastAsia="zh-CN"/>
        </w:rPr>
        <w:t>：本项目为集中招标项目</w:t>
      </w:r>
      <w:r>
        <w:rPr>
          <w:rFonts w:hint="eastAsia" w:asciiTheme="minorEastAsia" w:hAnsiTheme="minorEastAsia" w:eastAsiaTheme="minorEastAsia"/>
          <w:szCs w:val="21"/>
          <w:highlight w:val="none"/>
          <w:lang w:val="en-US" w:eastAsia="zh-CN"/>
        </w:rPr>
        <w:t>。</w:t>
      </w:r>
    </w:p>
    <w:p w14:paraId="03FB76BE">
      <w:pPr>
        <w:pStyle w:val="101"/>
        <w:spacing w:line="440" w:lineRule="exact"/>
        <w:ind w:left="0" w:leftChars="0"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本次集中招标合同有效期为：合同签订之日起12个月。</w:t>
      </w:r>
    </w:p>
    <w:p w14:paraId="6A55030F">
      <w:pPr>
        <w:pStyle w:val="101"/>
        <w:adjustRightInd w:val="0"/>
        <w:snapToGrid w:val="0"/>
        <w:spacing w:line="440" w:lineRule="exact"/>
        <w:ind w:left="425"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highlight w:val="none"/>
        </w:rPr>
        <w:t>1.2</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内容</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采</w:t>
      </w:r>
      <w:r>
        <w:rPr>
          <w:rFonts w:hint="eastAsia" w:asciiTheme="minorEastAsia" w:hAnsiTheme="minorEastAsia" w:eastAsiaTheme="minorEastAsia"/>
          <w:szCs w:val="21"/>
          <w:highlight w:val="none"/>
          <w:lang w:eastAsia="zh-CN"/>
        </w:rPr>
        <w:t>购市场主流中间件授权，使云平台具备提供正版中间件的能力</w:t>
      </w:r>
      <w:r>
        <w:rPr>
          <w:rFonts w:hint="eastAsia" w:asciiTheme="minorEastAsia" w:hAnsiTheme="minorEastAsia" w:eastAsiaTheme="minorEastAsia"/>
          <w:szCs w:val="21"/>
          <w:highlight w:val="none"/>
          <w:lang w:val="en-US" w:eastAsia="zh-CN"/>
        </w:rPr>
        <w:t>。</w:t>
      </w:r>
      <w:r>
        <w:rPr>
          <w:rFonts w:hint="eastAsia" w:asciiTheme="minorEastAsia" w:hAnsiTheme="minorEastAsia" w:eastAsiaTheme="minorEastAsia"/>
          <w:szCs w:val="21"/>
          <w:lang w:val="en-US" w:eastAsia="zh-CN"/>
        </w:rPr>
        <w:t>本次采购采用框架+订单合同形式，预估金额2849509.70元人民币（含税）。最终采购数量以实际结算为准，框架合同预估金额按中标金额签订。</w:t>
      </w:r>
    </w:p>
    <w:p w14:paraId="176D9331">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1.3本项目不划分份额，划分2个标包，具体划分如下：</w:t>
      </w:r>
    </w:p>
    <w:p w14:paraId="41416C2C">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标包1:预估金额2156505.56元(含税)。</w:t>
      </w:r>
    </w:p>
    <w:p w14:paraId="0E77C7AB">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标包2:预估金额693004.14元(含税)。</w:t>
      </w:r>
    </w:p>
    <w:p w14:paraId="1E2E6240">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rPr>
        <w:t>注：本项目允许</w:t>
      </w:r>
      <w:r>
        <w:rPr>
          <w:rFonts w:hint="eastAsia" w:cs="宋体" w:asciiTheme="minorEastAsia" w:hAnsiTheme="minorEastAsia" w:eastAsiaTheme="minorEastAsia"/>
          <w:kern w:val="0"/>
          <w:szCs w:val="21"/>
          <w:highlight w:val="none"/>
          <w:lang w:val="en-US" w:eastAsia="zh-CN"/>
        </w:rPr>
        <w:t>投标人</w:t>
      </w:r>
      <w:r>
        <w:rPr>
          <w:rFonts w:hint="eastAsia" w:cs="宋体" w:asciiTheme="minorEastAsia" w:hAnsiTheme="minorEastAsia" w:eastAsiaTheme="minorEastAsia"/>
          <w:kern w:val="0"/>
          <w:szCs w:val="21"/>
          <w:highlight w:val="none"/>
        </w:rPr>
        <w:t>同时</w:t>
      </w:r>
      <w:r>
        <w:rPr>
          <w:rFonts w:hint="eastAsia" w:cs="宋体" w:asciiTheme="minorEastAsia" w:hAnsiTheme="minorEastAsia" w:eastAsiaTheme="minorEastAsia"/>
          <w:kern w:val="0"/>
          <w:szCs w:val="21"/>
          <w:highlight w:val="none"/>
          <w:lang w:val="en-US" w:eastAsia="zh-CN"/>
        </w:rPr>
        <w:t>中标</w:t>
      </w:r>
      <w:r>
        <w:rPr>
          <w:rFonts w:hint="eastAsia" w:cs="宋体" w:asciiTheme="minorEastAsia" w:hAnsiTheme="minorEastAsia" w:eastAsiaTheme="minorEastAsia"/>
          <w:kern w:val="0"/>
          <w:szCs w:val="21"/>
          <w:highlight w:val="none"/>
        </w:rPr>
        <w:t>的最多标包数为【2】个</w:t>
      </w:r>
      <w:r>
        <w:rPr>
          <w:rFonts w:hint="eastAsia" w:cs="宋体" w:asciiTheme="minorEastAsia" w:hAnsiTheme="minorEastAsia" w:eastAsiaTheme="minorEastAsia"/>
          <w:kern w:val="0"/>
          <w:szCs w:val="21"/>
          <w:highlight w:val="none"/>
          <w:lang w:val="en-US" w:eastAsia="zh-CN"/>
        </w:rPr>
        <w:t>。</w:t>
      </w:r>
    </w:p>
    <w:p w14:paraId="416B3C26">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1.4保修期：软件保修期为12个月，自项目正式验收合格之日起计算。</w:t>
      </w:r>
    </w:p>
    <w:p w14:paraId="031C6B4D">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1.5项目工期：合同签订之日起，乙方接收到甲方订单后30个工作日内完成软件的部署交付。</w:t>
      </w:r>
    </w:p>
    <w:p w14:paraId="53021B46">
      <w:pPr>
        <w:pStyle w:val="101"/>
        <w:adjustRightInd w:val="0"/>
        <w:snapToGrid w:val="0"/>
        <w:spacing w:line="440" w:lineRule="exact"/>
        <w:ind w:left="425" w:firstLine="0" w:firstLineChars="0"/>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1.6服务地点：贵州省遵义市红花岗区。</w:t>
      </w:r>
    </w:p>
    <w:p w14:paraId="5F783B2B">
      <w:pPr>
        <w:pStyle w:val="101"/>
        <w:adjustRightInd w:val="0"/>
        <w:snapToGrid w:val="0"/>
        <w:spacing w:line="440" w:lineRule="exact"/>
        <w:ind w:left="425" w:firstLine="0" w:firstLineChars="0"/>
        <w:rPr>
          <w:rFonts w:hint="eastAsia" w:asciiTheme="minorEastAsia" w:hAnsiTheme="minorEastAsia" w:eastAsiaTheme="minorEastAsia"/>
          <w:szCs w:val="21"/>
          <w:highlight w:val="none"/>
        </w:rPr>
      </w:pPr>
      <w:bookmarkStart w:id="17" w:name="_Toc319769473"/>
      <w:bookmarkStart w:id="18" w:name="_Toc184704555"/>
      <w:bookmarkStart w:id="19" w:name="_Toc319394714"/>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本项目设置不含税</w:t>
      </w:r>
      <w:r>
        <w:rPr>
          <w:rFonts w:hint="eastAsia" w:asciiTheme="minorEastAsia" w:hAnsiTheme="minorEastAsia" w:eastAsiaTheme="minorEastAsia"/>
          <w:szCs w:val="21"/>
          <w:highlight w:val="none"/>
          <w:lang w:val="en-US" w:eastAsia="zh-CN"/>
        </w:rPr>
        <w:t>单</w:t>
      </w:r>
      <w:r>
        <w:rPr>
          <w:rFonts w:hint="eastAsia" w:asciiTheme="minorEastAsia" w:hAnsiTheme="minorEastAsia" w:eastAsiaTheme="minorEastAsia"/>
          <w:szCs w:val="21"/>
          <w:highlight w:val="none"/>
        </w:rPr>
        <w:t>价最高限价，不含税</w:t>
      </w:r>
      <w:r>
        <w:rPr>
          <w:rFonts w:hint="eastAsia" w:asciiTheme="minorEastAsia" w:hAnsiTheme="minorEastAsia" w:eastAsiaTheme="minorEastAsia"/>
          <w:szCs w:val="21"/>
          <w:highlight w:val="none"/>
          <w:lang w:val="en-US" w:eastAsia="zh-CN"/>
        </w:rPr>
        <w:t>单</w:t>
      </w:r>
      <w:r>
        <w:rPr>
          <w:rFonts w:hint="eastAsia" w:asciiTheme="minorEastAsia" w:hAnsiTheme="minorEastAsia" w:eastAsiaTheme="minorEastAsia"/>
          <w:szCs w:val="21"/>
          <w:highlight w:val="none"/>
        </w:rPr>
        <w:t>价最高限价</w:t>
      </w:r>
      <w:r>
        <w:rPr>
          <w:rFonts w:hint="eastAsia" w:asciiTheme="minorEastAsia" w:hAnsiTheme="minorEastAsia" w:eastAsiaTheme="minorEastAsia"/>
          <w:szCs w:val="21"/>
          <w:highlight w:val="none"/>
          <w:lang w:val="en-US" w:eastAsia="zh-CN"/>
        </w:rPr>
        <w:t>详见下表</w:t>
      </w:r>
      <w:r>
        <w:rPr>
          <w:rFonts w:hint="eastAsia" w:asciiTheme="minorEastAsia" w:hAnsiTheme="minorEastAsia" w:eastAsiaTheme="minorEastAsia"/>
          <w:szCs w:val="21"/>
          <w:highlight w:val="none"/>
        </w:rPr>
        <w:t>，投标人报价高于最高限价的，其投标将被否决。</w:t>
      </w:r>
    </w:p>
    <w:p w14:paraId="38102629">
      <w:pPr>
        <w:pStyle w:val="101"/>
        <w:adjustRightInd w:val="0"/>
        <w:snapToGrid w:val="0"/>
        <w:spacing w:line="440" w:lineRule="exact"/>
        <w:ind w:left="425" w:firstLine="0" w:firstLineChars="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b/>
          <w:bCs/>
          <w:szCs w:val="21"/>
          <w:highlight w:val="none"/>
          <w:lang w:val="en-US" w:eastAsia="zh-CN"/>
        </w:rPr>
        <w:t>标包1：</w:t>
      </w:r>
    </w:p>
    <w:tbl>
      <w:tblPr>
        <w:tblStyle w:val="85"/>
        <w:tblW w:w="8031"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929"/>
        <w:gridCol w:w="2287"/>
        <w:gridCol w:w="1600"/>
        <w:gridCol w:w="1600"/>
      </w:tblGrid>
      <w:tr w14:paraId="0CEC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53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70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采购内容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2A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不含税单价最高限价（元/套/年）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96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预估数量（套）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22E">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备注</w:t>
            </w:r>
          </w:p>
        </w:tc>
      </w:tr>
      <w:tr w14:paraId="35D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C1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2E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中间件1（应用服务器软件企业版）</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C15C">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11062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13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4C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0952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ADD">
            <w:pPr>
              <w:keepNext w:val="0"/>
              <w:keepLines w:val="0"/>
              <w:widowControl/>
              <w:suppressLineNumbers w:val="0"/>
              <w:ind w:firstLine="210" w:firstLineChars="100"/>
              <w:jc w:val="left"/>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CF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中间件1（消息中间件软件）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3D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24779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1E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FA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15E7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EE7B">
            <w:pPr>
              <w:keepNext w:val="0"/>
              <w:keepLines w:val="0"/>
              <w:widowControl/>
              <w:suppressLineNumbers w:val="0"/>
              <w:ind w:firstLine="210" w:firstLineChars="100"/>
              <w:jc w:val="left"/>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C68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中间件1（负载均衡软件）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CE61">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37168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D02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A3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r w14:paraId="168A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9E9">
            <w:pPr>
              <w:keepNext w:val="0"/>
              <w:keepLines w:val="0"/>
              <w:widowControl/>
              <w:suppressLineNumbers w:val="0"/>
              <w:ind w:firstLine="210" w:firstLineChars="100"/>
              <w:jc w:val="left"/>
              <w:textAlignment w:val="center"/>
              <w:rPr>
                <w:rFonts w:hint="default" w:cs="Times New Roman" w:asciiTheme="minorEastAsia" w:hAnsiTheme="minorEastAsia" w:eastAsiaTheme="minorEastAsia"/>
                <w:kern w:val="2"/>
                <w:sz w:val="21"/>
                <w:szCs w:val="21"/>
                <w:highlight w:val="none"/>
                <w:lang w:val="en-US" w:eastAsia="zh-CN" w:bidi="ar-SA"/>
              </w:rPr>
            </w:pPr>
            <w:r>
              <w:rPr>
                <w:rFonts w:hint="eastAsia" w:cs="Times New Roman" w:asciiTheme="minorEastAsia" w:hAnsiTheme="minorEastAsia" w:eastAsiaTheme="minorEastAsia"/>
                <w:kern w:val="2"/>
                <w:sz w:val="21"/>
                <w:szCs w:val="21"/>
                <w:highlight w:val="none"/>
                <w:lang w:val="en-US" w:eastAsia="zh-CN" w:bidi="ar-SA"/>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33D">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中间件1（分布式数据缓存中间件软件）</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C3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24779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FBC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776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highlight w:val="none"/>
                <w:lang w:val="en-US" w:eastAsia="zh-CN" w:bidi="ar-SA"/>
              </w:rPr>
            </w:pPr>
          </w:p>
        </w:tc>
      </w:tr>
    </w:tbl>
    <w:p w14:paraId="7F4DAD4C">
      <w:pPr>
        <w:pStyle w:val="101"/>
        <w:adjustRightInd w:val="0"/>
        <w:snapToGrid w:val="0"/>
        <w:spacing w:line="440" w:lineRule="exact"/>
        <w:ind w:left="425" w:firstLine="0" w:firstLineChars="0"/>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标包2：</w:t>
      </w:r>
    </w:p>
    <w:tbl>
      <w:tblPr>
        <w:tblStyle w:val="85"/>
        <w:tblW w:w="8150"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2650"/>
        <w:gridCol w:w="2275"/>
        <w:gridCol w:w="1325"/>
        <w:gridCol w:w="1175"/>
      </w:tblGrid>
      <w:tr w14:paraId="2595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E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4C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3BEE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中间件2（应用服务器软件企业版）</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6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5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F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DC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中间件2（负载均衡软件）</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19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D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中间件2（内存数据缓存软件）</w:t>
            </w:r>
          </w:p>
        </w:tc>
        <w:tc>
          <w:tcPr>
            <w:tcW w:w="2275" w:type="dxa"/>
            <w:tcBorders>
              <w:top w:val="single" w:color="000000" w:sz="4" w:space="0"/>
              <w:left w:val="nil"/>
              <w:bottom w:val="single" w:color="000000" w:sz="4" w:space="0"/>
              <w:right w:val="single" w:color="000000" w:sz="4" w:space="0"/>
            </w:tcBorders>
            <w:shd w:val="clear" w:color="auto" w:fill="auto"/>
            <w:vAlign w:val="center"/>
          </w:tcPr>
          <w:p w14:paraId="6A2B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15929</w:t>
            </w:r>
          </w:p>
        </w:tc>
        <w:tc>
          <w:tcPr>
            <w:tcW w:w="1325" w:type="dxa"/>
            <w:tcBorders>
              <w:top w:val="single" w:color="000000" w:sz="4" w:space="0"/>
              <w:left w:val="nil"/>
              <w:bottom w:val="single" w:color="000000" w:sz="4" w:space="0"/>
              <w:right w:val="single" w:color="000000" w:sz="4" w:space="0"/>
            </w:tcBorders>
            <w:shd w:val="clear" w:color="auto" w:fill="auto"/>
            <w:vAlign w:val="center"/>
          </w:tcPr>
          <w:p w14:paraId="42153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5" w:type="dxa"/>
            <w:tcBorders>
              <w:top w:val="single" w:color="000000" w:sz="4" w:space="0"/>
              <w:left w:val="nil"/>
              <w:bottom w:val="single" w:color="000000" w:sz="4" w:space="0"/>
              <w:right w:val="single" w:color="000000" w:sz="4" w:space="0"/>
            </w:tcBorders>
            <w:shd w:val="clear" w:color="auto" w:fill="auto"/>
            <w:vAlign w:val="center"/>
          </w:tcPr>
          <w:p w14:paraId="310C99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C6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0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中间件2（分布式消息队列软件）</w:t>
            </w:r>
          </w:p>
        </w:tc>
        <w:tc>
          <w:tcPr>
            <w:tcW w:w="2275" w:type="dxa"/>
            <w:tcBorders>
              <w:top w:val="single" w:color="000000" w:sz="4" w:space="0"/>
              <w:left w:val="nil"/>
              <w:bottom w:val="single" w:color="000000" w:sz="4" w:space="0"/>
              <w:right w:val="single" w:color="000000" w:sz="4" w:space="0"/>
            </w:tcBorders>
            <w:shd w:val="clear" w:color="auto" w:fill="auto"/>
            <w:vAlign w:val="center"/>
          </w:tcPr>
          <w:p w14:paraId="2469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23009</w:t>
            </w:r>
          </w:p>
        </w:tc>
        <w:tc>
          <w:tcPr>
            <w:tcW w:w="1325" w:type="dxa"/>
            <w:tcBorders>
              <w:top w:val="single" w:color="000000" w:sz="4" w:space="0"/>
              <w:left w:val="nil"/>
              <w:bottom w:val="single" w:color="000000" w:sz="4" w:space="0"/>
              <w:right w:val="single" w:color="000000" w:sz="4" w:space="0"/>
            </w:tcBorders>
            <w:shd w:val="clear" w:color="auto" w:fill="auto"/>
            <w:vAlign w:val="center"/>
          </w:tcPr>
          <w:p w14:paraId="5D12D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5" w:type="dxa"/>
            <w:tcBorders>
              <w:top w:val="single" w:color="000000" w:sz="4" w:space="0"/>
              <w:left w:val="nil"/>
              <w:bottom w:val="single" w:color="000000" w:sz="4" w:space="0"/>
              <w:right w:val="single" w:color="000000" w:sz="4" w:space="0"/>
            </w:tcBorders>
            <w:shd w:val="clear" w:color="auto" w:fill="auto"/>
            <w:vAlign w:val="center"/>
          </w:tcPr>
          <w:p w14:paraId="7FEAF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92E7176">
      <w:pPr>
        <w:pStyle w:val="101"/>
        <w:adjustRightInd w:val="0"/>
        <w:snapToGrid w:val="0"/>
        <w:spacing w:line="440" w:lineRule="exact"/>
        <w:ind w:left="425"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r>
        <w:rPr>
          <w:rFonts w:hint="eastAsia" w:asciiTheme="minorEastAsia" w:hAnsiTheme="minorEastAsia" w:eastAsiaTheme="minorEastAsia"/>
          <w:szCs w:val="21"/>
          <w:highlight w:val="none"/>
        </w:rPr>
        <w:t>。</w:t>
      </w:r>
    </w:p>
    <w:p w14:paraId="3EA48478">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2.投标人资格要求</w:t>
      </w:r>
      <w:bookmarkEnd w:id="17"/>
      <w:bookmarkEnd w:id="18"/>
      <w:bookmarkEnd w:id="19"/>
    </w:p>
    <w:p w14:paraId="083F852E">
      <w:pPr>
        <w:pStyle w:val="101"/>
        <w:adjustRightInd w:val="0"/>
        <w:snapToGrid w:val="0"/>
        <w:spacing w:line="440" w:lineRule="exac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2.1.投标人基本资格要求</w:t>
      </w:r>
    </w:p>
    <w:p w14:paraId="0A0F86B4">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（1）投标人应为中华人民共和国境内法律上和财务上独立的法人或依法登记注册的其他组织，合法运作并独立于招标人和招标代理机构。</w:t>
      </w:r>
    </w:p>
    <w:p w14:paraId="5C3F17C0">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（2）单位负责人为同一人或者存在控股、管理关系的不同单位，不得参加同一标包投标或者未划分标包的同一招标项目投标。</w:t>
      </w:r>
    </w:p>
    <w:p w14:paraId="47DD2E3E">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（3）须承诺为本项目开具增值税专用发票。（提供承诺）</w:t>
      </w:r>
    </w:p>
    <w:p w14:paraId="4BCC867A">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（4）本项目不接受联合体投标。</w:t>
      </w:r>
    </w:p>
    <w:p w14:paraId="287C07A4">
      <w:pPr>
        <w:pStyle w:val="101"/>
        <w:adjustRightInd w:val="0"/>
        <w:snapToGrid w:val="0"/>
        <w:spacing w:line="440" w:lineRule="exact"/>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（5）本项目接受代理商投标。代理商投标的须提供制造商针对本项目采购的</w:t>
      </w:r>
      <w:r>
        <w:rPr>
          <w:rFonts w:hint="eastAsia" w:asciiTheme="minorEastAsia" w:hAnsiTheme="minorEastAsia" w:eastAsiaTheme="minorEastAsia"/>
          <w:bCs/>
          <w:szCs w:val="21"/>
          <w:highlight w:val="none"/>
          <w:lang w:val="en-US" w:eastAsia="zh-CN"/>
        </w:rPr>
        <w:t>中间件</w:t>
      </w:r>
      <w:r>
        <w:rPr>
          <w:rFonts w:hint="eastAsia" w:asciiTheme="minorEastAsia" w:hAnsiTheme="minorEastAsia" w:eastAsiaTheme="minorEastAsia"/>
          <w:bCs/>
          <w:szCs w:val="21"/>
          <w:highlight w:val="none"/>
        </w:rPr>
        <w:t>出具</w:t>
      </w:r>
      <w:r>
        <w:rPr>
          <w:rFonts w:hint="eastAsia" w:asciiTheme="minorEastAsia" w:hAnsiTheme="minorEastAsia" w:eastAsiaTheme="minorEastAsia"/>
          <w:bCs/>
          <w:szCs w:val="21"/>
          <w:highlight w:val="none"/>
          <w:lang w:val="en-US" w:eastAsia="zh-CN"/>
        </w:rPr>
        <w:t>的</w:t>
      </w:r>
      <w:r>
        <w:rPr>
          <w:rFonts w:hint="eastAsia" w:asciiTheme="minorEastAsia" w:hAnsiTheme="minorEastAsia" w:eastAsiaTheme="minorEastAsia"/>
          <w:bCs/>
          <w:szCs w:val="21"/>
          <w:highlight w:val="none"/>
        </w:rPr>
        <w:t>授权函，制造商与其代理商不得同时参与本项目的投标 。</w:t>
      </w:r>
    </w:p>
    <w:p w14:paraId="3D9A5637">
      <w:pPr>
        <w:pStyle w:val="101"/>
        <w:adjustRightInd w:val="0"/>
        <w:snapToGrid w:val="0"/>
        <w:spacing w:line="440" w:lineRule="exac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2.2.投标人不得存在下列情形之一</w:t>
      </w:r>
    </w:p>
    <w:p w14:paraId="6D27E61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bookmarkStart w:id="20" w:name="_Toc319769474"/>
      <w:bookmarkStart w:id="21" w:name="_Toc319394715"/>
      <w:bookmarkStart w:id="22" w:name="_Toc184704556"/>
      <w:r>
        <w:rPr>
          <w:rFonts w:hint="eastAsia" w:asciiTheme="minorEastAsia" w:hAnsiTheme="minorEastAsia" w:eastAsiaTheme="minorEastAsia"/>
          <w:bCs/>
          <w:szCs w:val="21"/>
          <w:highlight w:val="none"/>
        </w:rPr>
        <w:t>（1）为采购人不具有独立法人资格的附属机构（单位）；</w:t>
      </w:r>
    </w:p>
    <w:p w14:paraId="1736F062">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（2）被依法暂停或取消投标/响应资格的；</w:t>
      </w:r>
    </w:p>
    <w:p w14:paraId="687046C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（3）被责令停产停业、暂扣或者吊销许可证、暂扣或者吊销执照； </w:t>
      </w:r>
    </w:p>
    <w:p w14:paraId="28A700FD">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（4）进入清算程序，或被宣告破产，或其他丧失履约能力的情形； </w:t>
      </w:r>
    </w:p>
    <w:p w14:paraId="6C9A378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（5）在最近三年内[响应截止时间前36个月]被相关行业主管部门或司法机关认定骗取中标/成交、严重违约、重大工程质量或者安全问题的；</w:t>
      </w:r>
    </w:p>
    <w:p w14:paraId="6AD5C2B6">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（6）在最近五年内[响应截止时间前60个月]被判处单位行贿罪，且行贿行为与采购活动相关的（以“中国裁判文书网”的生效判决为准）；</w:t>
      </w:r>
    </w:p>
    <w:p w14:paraId="55ECDAF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（7）在最近五年内[响应截止时间前60个月]被判处合同诈骗罪的（以“中国裁判文书网”的生效判决为准）；</w:t>
      </w:r>
    </w:p>
    <w:p w14:paraId="5B9EEC9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（8）被最高人民法院在“信用中国”网站（www.creditchina.gov.cn）或各级信用信息共享平台中列入失信被执行人名单，已执行完毕或不再执行的除外；</w:t>
      </w:r>
    </w:p>
    <w:p w14:paraId="753DC83D">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（9）为本招标项目提供过设计、编制技术规范和其他文件的咨询服务；</w:t>
      </w:r>
    </w:p>
    <w:p w14:paraId="61162240">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（10）为本工程项目的相关监理人，或者与本工程项目的相关监理人存在隶属关系或者其他利害关系；</w:t>
      </w:r>
    </w:p>
    <w:p w14:paraId="1E58A6FA">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（11）为本招标项目的代建人；</w:t>
      </w:r>
    </w:p>
    <w:p w14:paraId="5A4AF51C">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（12）为本招标项目的采购代理机构；</w:t>
      </w:r>
    </w:p>
    <w:p w14:paraId="2C6D4045">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（13）与本招标项目的监理人或代建人或采购代理机构同为一个法定代表人；</w:t>
      </w:r>
    </w:p>
    <w:p w14:paraId="6D832422">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（14）与本招标项目的监理人或代建人或采购代理机构存在控股或参股关系；</w:t>
      </w:r>
    </w:p>
    <w:p w14:paraId="2BAC70FB">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（15）被工商行政管理机关在国家企业信用信息公示系统中列入严重违法失信企业名单的；</w:t>
      </w:r>
    </w:p>
    <w:p w14:paraId="37EDBDDE">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（16）中国电信在职员工违规担任供应商法定代表人并参与采购活动的；</w:t>
      </w:r>
    </w:p>
    <w:p w14:paraId="33FAEF60">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（17）中国电信集团有限公司/中国电信股份有限公司中层及以上管理人员违反有关领导人员配偶、子女及其配偶经商办企业行为管理规定，其配偶、子女及其配偶经商办企业参与采购活动的；</w:t>
      </w:r>
    </w:p>
    <w:p w14:paraId="6F7C8D6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（18）中国电信领导人员离职或退休后三年内违反《国有企业领导人员廉洁从业若干规定》等相关规定任职、投资入股的私营企业、外资企业和中介机构，参与其原任职单位采购活动的；</w:t>
      </w:r>
    </w:p>
    <w:p w14:paraId="4556E708">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15BB21B9">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（20）法律法规、招标文件限定的其他情形。</w:t>
      </w:r>
    </w:p>
    <w:p w14:paraId="3DF25866">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供应商是代理商的，本条所指的供应商也包括其所代理的制造商；联合体响应的，联合体成员均不得存在上述任一情形。</w:t>
      </w:r>
    </w:p>
    <w:p w14:paraId="4C6AD57F">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2.3 投标产品资格要求：无。</w:t>
      </w:r>
    </w:p>
    <w:p w14:paraId="34896547">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2.4 投标产品制造商（集成商、软件开发商、软件著作权人等）资格要求：无</w:t>
      </w:r>
    </w:p>
    <w:p w14:paraId="367C1EA9">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2.5 评价检测:无。</w:t>
      </w:r>
    </w:p>
    <w:p w14:paraId="4CCB962E">
      <w:pPr>
        <w:pStyle w:val="101"/>
        <w:adjustRightInd w:val="0"/>
        <w:snapToGrid w:val="0"/>
        <w:spacing w:line="440" w:lineRule="exact"/>
        <w:ind w:left="424" w:firstLine="0"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2.6法律法规规定的其他要求。</w:t>
      </w:r>
    </w:p>
    <w:p w14:paraId="7FE63C96">
      <w:pPr>
        <w:pStyle w:val="101"/>
        <w:adjustRightInd w:val="0"/>
        <w:snapToGrid w:val="0"/>
        <w:spacing w:line="440" w:lineRule="exact"/>
        <w:ind w:left="424"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3.资格审查方法</w:t>
      </w:r>
      <w:bookmarkEnd w:id="20"/>
      <w:bookmarkEnd w:id="21"/>
      <w:bookmarkEnd w:id="22"/>
    </w:p>
    <w:p w14:paraId="39E05BFE">
      <w:pPr>
        <w:pStyle w:val="101"/>
        <w:adjustRightInd w:val="0"/>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本项目将进行资格后审，资格审查标准和内容见招标文件第三章“评标办法”，凡未通过资格后审的投标人，其投标将被否决。</w:t>
      </w:r>
    </w:p>
    <w:p w14:paraId="44CDB87D">
      <w:pPr>
        <w:pStyle w:val="101"/>
        <w:adjustRightInd w:val="0"/>
        <w:snapToGrid w:val="0"/>
        <w:spacing w:line="440" w:lineRule="exact"/>
        <w:ind w:left="426" w:firstLine="0" w:firstLineChars="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4.招标文件的获取</w:t>
      </w:r>
    </w:p>
    <w:p w14:paraId="758F338B">
      <w:pPr>
        <w:pStyle w:val="101"/>
        <w:adjustRightInd w:val="0"/>
        <w:snapToGrid w:val="0"/>
        <w:spacing w:line="440" w:lineRule="exact"/>
        <w:ind w:left="426" w:firstLine="0" w:firstLineChars="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招标文件获取时间:</w:t>
      </w:r>
      <w:r>
        <w:rPr>
          <w:rFonts w:hint="eastAsia" w:ascii="宋体" w:hAnsi="宋体"/>
          <w:b/>
          <w:bCs/>
          <w:color w:val="000000" w:themeColor="text1"/>
          <w:szCs w:val="21"/>
          <w:highlight w:val="none"/>
          <w14:textFill>
            <w14:solidFill>
              <w14:schemeClr w14:val="tx1"/>
            </w14:solidFill>
          </w14:textFill>
        </w:rPr>
        <w:t>2</w:t>
      </w:r>
      <w:r>
        <w:rPr>
          <w:rFonts w:ascii="宋体" w:hAnsi="宋体"/>
          <w:b/>
          <w:bCs/>
          <w:color w:val="000000" w:themeColor="text1"/>
          <w:szCs w:val="21"/>
          <w:highlight w:val="none"/>
          <w14:textFill>
            <w14:solidFill>
              <w14:schemeClr w14:val="tx1"/>
            </w14:solidFill>
          </w14:textFill>
        </w:rPr>
        <w:t>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10</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30</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09</w:t>
      </w:r>
      <w:r>
        <w:rPr>
          <w:rFonts w:hint="eastAsia" w:ascii="宋体" w:hAnsi="宋体"/>
          <w:b/>
          <w:bCs/>
          <w:color w:val="000000" w:themeColor="text1"/>
          <w:szCs w:val="21"/>
          <w:highlight w:val="none"/>
          <w14:textFill>
            <w14:solidFill>
              <w14:schemeClr w14:val="tx1"/>
            </w14:solidFill>
          </w14:textFill>
        </w:rPr>
        <w:t>时</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分至</w:t>
      </w:r>
      <w:r>
        <w:rPr>
          <w:rFonts w:ascii="宋体" w:hAnsi="宋体"/>
          <w:b/>
          <w:bCs/>
          <w:color w:val="000000" w:themeColor="text1"/>
          <w:szCs w:val="21"/>
          <w:highlight w:val="none"/>
          <w14:textFill>
            <w14:solidFill>
              <w14:schemeClr w14:val="tx1"/>
            </w14:solidFill>
          </w14:textFill>
        </w:rPr>
        <w:t>202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17</w:t>
      </w:r>
      <w:r>
        <w:rPr>
          <w:rFonts w:hint="eastAsia" w:ascii="宋体" w:hAnsi="宋体"/>
          <w:b/>
          <w:bCs/>
          <w:color w:val="000000" w:themeColor="text1"/>
          <w:szCs w:val="21"/>
          <w:highlight w:val="none"/>
          <w14:textFill>
            <w14:solidFill>
              <w14:schemeClr w14:val="tx1"/>
            </w14:solidFill>
          </w14:textFill>
        </w:rPr>
        <w:t>时</w:t>
      </w:r>
      <w:r>
        <w:rPr>
          <w:rFonts w:ascii="宋体" w:hAnsi="宋体"/>
          <w:b/>
          <w:bCs/>
          <w:color w:val="000000" w:themeColor="text1"/>
          <w:szCs w:val="21"/>
          <w:highlight w:val="none"/>
          <w14:textFill>
            <w14:solidFill>
              <w14:schemeClr w14:val="tx1"/>
            </w14:solidFill>
          </w14:textFill>
        </w:rPr>
        <w:t>00</w:t>
      </w:r>
      <w:r>
        <w:rPr>
          <w:rFonts w:hint="eastAsia" w:ascii="宋体" w:hAnsi="宋体"/>
          <w:b/>
          <w:bCs/>
          <w:color w:val="000000" w:themeColor="text1"/>
          <w:szCs w:val="21"/>
          <w:highlight w:val="none"/>
          <w14:textFill>
            <w14:solidFill>
              <w14:schemeClr w14:val="tx1"/>
            </w14:solidFill>
          </w14:textFill>
        </w:rPr>
        <w:t>分（北京时间，下同）。</w:t>
      </w:r>
    </w:p>
    <w:p w14:paraId="2625B6EB">
      <w:pPr>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招标文件获取方式：凡有意参与投标的潜在投标人，请按以下步骤顺序进行操作，获取招标文件：</w:t>
      </w:r>
    </w:p>
    <w:p w14:paraId="285DFF66">
      <w:pPr>
        <w:pStyle w:val="101"/>
        <w:tabs>
          <w:tab w:val="left" w:pos="993"/>
        </w:tabs>
        <w:wordWrap w:val="0"/>
        <w:adjustRightInd w:val="0"/>
        <w:snapToGrid w:val="0"/>
        <w:spacing w:line="440" w:lineRule="exact"/>
        <w:ind w:firstLine="424" w:firstLineChars="20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4.2.1登录“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 后，通过“招投标-采购文件领取”模块或通过“电子采购入口”跳转中国电信电子采购系统，进入本项目进行招标文件登记申领 。未在系统注册的投标人须先进行注册，注册方法详见本公告“7投标人注册”。</w:t>
      </w:r>
    </w:p>
    <w:p w14:paraId="6F391920">
      <w:pPr>
        <w:pStyle w:val="101"/>
        <w:wordWrap w:val="0"/>
        <w:adjustRightInd w:val="0"/>
        <w:snapToGrid w:val="0"/>
        <w:spacing w:line="440" w:lineRule="exact"/>
        <w:ind w:left="424" w:leftChars="202"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4.3招标文件费用：获取本集中招标文件不收取费用</w:t>
      </w:r>
      <w:r>
        <w:rPr>
          <w:rFonts w:ascii="宋体" w:hAnsi="宋体"/>
          <w:color w:val="000000" w:themeColor="text1"/>
          <w:szCs w:val="21"/>
          <w:highlight w:val="none"/>
          <w14:textFill>
            <w14:solidFill>
              <w14:schemeClr w14:val="tx1"/>
            </w14:solidFill>
          </w14:textFill>
        </w:rPr>
        <w:t>。</w:t>
      </w:r>
    </w:p>
    <w:p w14:paraId="4CC68704">
      <w:pPr>
        <w:wordWrap w:val="0"/>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投标文件的递交</w:t>
      </w:r>
    </w:p>
    <w:p w14:paraId="17E166CB">
      <w:pPr>
        <w:wordWrap w:val="0"/>
        <w:adjustRightInd w:val="0"/>
        <w:snapToGrid w:val="0"/>
        <w:spacing w:line="440" w:lineRule="exact"/>
        <w:ind w:firstLine="420" w:firstLineChars="200"/>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投标文件递交截止时间（即投标截止时间）为：</w:t>
      </w:r>
      <w:r>
        <w:rPr>
          <w:rFonts w:hint="eastAsia" w:ascii="宋体" w:hAnsi="宋体"/>
          <w:b/>
          <w:bCs/>
          <w:color w:val="000000" w:themeColor="text1"/>
          <w:szCs w:val="21"/>
          <w:highlight w:val="none"/>
          <w14:textFill>
            <w14:solidFill>
              <w14:schemeClr w14:val="tx1"/>
            </w14:solidFill>
          </w14:textFill>
        </w:rPr>
        <w:t>2</w:t>
      </w:r>
      <w:r>
        <w:rPr>
          <w:rFonts w:ascii="宋体" w:hAnsi="宋体"/>
          <w:b/>
          <w:bCs/>
          <w:color w:val="000000" w:themeColor="text1"/>
          <w:szCs w:val="21"/>
          <w:highlight w:val="none"/>
          <w14:textFill>
            <w14:solidFill>
              <w14:schemeClr w14:val="tx1"/>
            </w14:solidFill>
          </w14:textFill>
        </w:rPr>
        <w:t>02</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17</w:t>
      </w:r>
      <w:r>
        <w:rPr>
          <w:rFonts w:hint="eastAsia" w:ascii="宋体" w:hAnsi="宋体"/>
          <w:b/>
          <w:bCs/>
          <w:color w:val="000000" w:themeColor="text1"/>
          <w:szCs w:val="21"/>
          <w:highlight w:val="none"/>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9</w:t>
      </w:r>
      <w:r>
        <w:rPr>
          <w:rFonts w:hint="eastAsia" w:ascii="宋体" w:hAnsi="宋体"/>
          <w:b/>
          <w:bCs/>
          <w:color w:val="000000" w:themeColor="text1"/>
          <w:szCs w:val="21"/>
          <w:highlight w:val="none"/>
          <w14:textFill>
            <w14:solidFill>
              <w14:schemeClr w14:val="tx1"/>
            </w14:solidFill>
          </w14:textFill>
        </w:rPr>
        <w:t>时</w:t>
      </w:r>
      <w:r>
        <w:rPr>
          <w:rFonts w:hint="eastAsia" w:ascii="宋体" w:hAnsi="宋体"/>
          <w:b/>
          <w:bCs/>
          <w:color w:val="000000" w:themeColor="text1"/>
          <w:szCs w:val="21"/>
          <w:highlight w:val="none"/>
          <w:lang w:val="en-US" w:eastAsia="zh-CN"/>
          <w14:textFill>
            <w14:solidFill>
              <w14:schemeClr w14:val="tx1"/>
            </w14:solidFill>
          </w14:textFill>
        </w:rPr>
        <w:t>3</w:t>
      </w:r>
      <w:r>
        <w:rPr>
          <w:rFonts w:ascii="宋体" w:hAnsi="宋体"/>
          <w:b/>
          <w:bCs/>
          <w:color w:val="000000" w:themeColor="text1"/>
          <w:szCs w:val="21"/>
          <w:highlight w:val="none"/>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分</w:t>
      </w:r>
    </w:p>
    <w:p w14:paraId="60FB40A3">
      <w:pPr>
        <w:wordWrap w:val="0"/>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电子投标文件的递交：登录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）后，通过“招投标-我的项目”模块或通过“电子采购入口”跳转中国电信电子采购系统，选择本项目进行投标文件递交</w:t>
      </w:r>
      <w:r>
        <w:rPr>
          <w:rFonts w:hint="eastAsia" w:ascii="宋体" w:hAnsi="宋体"/>
          <w:color w:val="000000" w:themeColor="text1"/>
          <w:szCs w:val="21"/>
          <w:highlight w:val="none"/>
          <w14:textFill>
            <w14:solidFill>
              <w14:schemeClr w14:val="tx1"/>
            </w14:solidFill>
          </w14:textFill>
        </w:rPr>
        <w:t>，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25ACD3E2">
      <w:pPr>
        <w:wordWrap w:val="0"/>
        <w:adjustRightInd w:val="0"/>
        <w:snapToGrid w:val="0"/>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本项目将于投标文件递交截止同一时间通过中国电信电子采购系统开标，【招标人/招标代理机构】邀请投标人的法定代表人/负责人或者其委托代理人准时参加。</w:t>
      </w:r>
    </w:p>
    <w:p w14:paraId="5CC836D0">
      <w:pPr>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6．样品的递交</w:t>
      </w:r>
    </w:p>
    <w:p w14:paraId="59D7FB34">
      <w:pPr>
        <w:pStyle w:val="101"/>
        <w:numPr>
          <w:ilvl w:val="1"/>
          <w:numId w:val="76"/>
        </w:numPr>
        <w:adjustRightInd w:val="0"/>
        <w:snapToGrid w:val="0"/>
        <w:spacing w:line="440" w:lineRule="exact"/>
        <w:ind w:left="0" w:firstLine="426"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样品递交的时间、地点：不涉及</w:t>
      </w:r>
    </w:p>
    <w:p w14:paraId="6F14139B">
      <w:pPr>
        <w:pStyle w:val="101"/>
        <w:numPr>
          <w:ilvl w:val="1"/>
          <w:numId w:val="76"/>
        </w:numPr>
        <w:adjustRightInd w:val="0"/>
        <w:snapToGrid w:val="0"/>
        <w:spacing w:line="440" w:lineRule="exact"/>
        <w:ind w:left="0" w:firstLine="425"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检测相关费用：不涉及</w:t>
      </w:r>
    </w:p>
    <w:p w14:paraId="483B10A5">
      <w:pPr>
        <w:pStyle w:val="101"/>
        <w:adjustRightInd w:val="0"/>
        <w:snapToGrid w:val="0"/>
        <w:spacing w:line="440" w:lineRule="exact"/>
        <w:ind w:left="424"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投标人注册</w:t>
      </w:r>
    </w:p>
    <w:p w14:paraId="64D73C9F">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7.1</w:t>
      </w:r>
      <w:r>
        <w:rPr>
          <w:rFonts w:hint="eastAsia"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注册</w:t>
      </w:r>
    </w:p>
    <w:p w14:paraId="6389D5E1">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未注册过的潜在投标人，须通过</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rFonts w:hint="eastAsia" w:asciiTheme="minorEastAsia" w:hAnsiTheme="minorEastAsia" w:eastAsiaTheme="minorEastAsia" w:cstheme="minorEastAsia"/>
          <w:highlight w:val="none"/>
        </w:rPr>
        <w:t>https://caigou.chinatelecom.com.cn</w:t>
      </w:r>
      <w:r>
        <w:rPr>
          <w:rFonts w:hint="eastAsia" w:ascii="宋体" w:hAnsi="宋体"/>
          <w:color w:val="000000" w:themeColor="text1"/>
          <w:highlight w:val="none"/>
          <w14:textFill>
            <w14:solidFill>
              <w14:schemeClr w14:val="tx1"/>
            </w14:solidFill>
          </w14:textFill>
        </w:rPr>
        <w:t>）首页“立即注册”模块完成注册后，方可申领本项目招标文件。</w:t>
      </w:r>
    </w:p>
    <w:p w14:paraId="763BA2F1">
      <w:pPr>
        <w:wordWrap w:val="0"/>
        <w:adjustRightInd w:val="0"/>
        <w:snapToGrid w:val="0"/>
        <w:spacing w:line="440" w:lineRule="exact"/>
        <w:ind w:firstLine="417" w:firstLineChars="19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 CA证书办理</w:t>
      </w:r>
    </w:p>
    <w:p w14:paraId="15119BA1">
      <w:pPr>
        <w:pStyle w:val="101"/>
        <w:tabs>
          <w:tab w:val="left" w:pos="1134"/>
        </w:tabs>
        <w:wordWrap w:val="0"/>
        <w:adjustRightInd w:val="0"/>
        <w:snapToGrid w:val="0"/>
        <w:spacing w:line="440" w:lineRule="exact"/>
        <w:ind w:firstLine="428"/>
        <w:rPr>
          <w:rFonts w:ascii="宋体" w:hAnsi="宋体"/>
          <w:color w:val="000000" w:themeColor="text1"/>
          <w:spacing w:val="2"/>
          <w:szCs w:val="21"/>
          <w:highlight w:val="none"/>
          <w14:textFill>
            <w14:solidFill>
              <w14:schemeClr w14:val="tx1"/>
            </w14:solidFill>
          </w14:textFill>
        </w:rPr>
      </w:pPr>
      <w:r>
        <w:rPr>
          <w:rFonts w:hint="eastAsia" w:ascii="宋体" w:hAnsi="宋体"/>
          <w:color w:val="000000" w:themeColor="text1"/>
          <w:spacing w:val="2"/>
          <w:szCs w:val="21"/>
          <w:highlight w:val="none"/>
          <w14:textFill>
            <w14:solidFill>
              <w14:schemeClr w14:val="tx1"/>
            </w14:solidFill>
          </w14:textFill>
        </w:rPr>
        <w:t>参与电子采购的潜在投标人须提前办理CA证书进行电子投</w:t>
      </w:r>
      <w:bookmarkStart w:id="23" w:name="OLE_LINK31"/>
      <w:r>
        <w:rPr>
          <w:rFonts w:hint="eastAsia" w:ascii="宋体" w:hAnsi="宋体"/>
          <w:color w:val="000000" w:themeColor="text1"/>
          <w:spacing w:val="2"/>
          <w:szCs w:val="21"/>
          <w:highlight w:val="none"/>
          <w14:textFill>
            <w14:solidFill>
              <w14:schemeClr w14:val="tx1"/>
            </w14:solidFill>
          </w14:textFill>
        </w:rPr>
        <w:t>标文件编制和投标，并确保CA证书在使用时有效。CA证书办理流程</w:t>
      </w:r>
      <w:r>
        <w:rPr>
          <w:rFonts w:hint="eastAsia" w:ascii="宋体" w:hAnsi="宋体"/>
          <w:color w:val="000000" w:themeColor="text1"/>
          <w:szCs w:val="21"/>
          <w:highlight w:val="none"/>
          <w14:textFill>
            <w14:solidFill>
              <w14:schemeClr w14:val="tx1"/>
            </w14:solidFill>
          </w14:textFill>
        </w:rPr>
        <w:t>详见</w:t>
      </w:r>
      <w:r>
        <w:rPr>
          <w:rFonts w:hint="eastAsia" w:ascii="宋体" w:hAnsi="宋体"/>
          <w:color w:val="000000" w:themeColor="text1"/>
          <w:highlight w:val="none"/>
          <w14:textFill>
            <w14:solidFill>
              <w14:schemeClr w14:val="tx1"/>
            </w14:solidFill>
          </w14:textFill>
        </w:rPr>
        <w:t>中国电信阳光采</w:t>
      </w:r>
      <w:bookmarkEnd w:id="23"/>
      <w:r>
        <w:rPr>
          <w:rFonts w:hint="eastAsia" w:ascii="宋体" w:hAnsi="宋体"/>
          <w:color w:val="000000" w:themeColor="text1"/>
          <w:highlight w:val="none"/>
          <w14:textFill>
            <w14:solidFill>
              <w14:schemeClr w14:val="tx1"/>
            </w14:solidFill>
          </w14:textFill>
        </w:rPr>
        <w:t>购网首页“操作指引</w:t>
      </w:r>
      <w:r>
        <w:rPr>
          <w:rFonts w:ascii="宋体" w:hAnsi="宋体"/>
          <w:color w:val="000000" w:themeColor="text1"/>
          <w:highlight w:val="none"/>
          <w14:textFill>
            <w14:solidFill>
              <w14:schemeClr w14:val="tx1"/>
            </w14:solidFill>
          </w14:textFill>
        </w:rPr>
        <w:t>-CA办理</w:t>
      </w:r>
      <w:r>
        <w:rPr>
          <w:rFonts w:hint="eastAsia" w:ascii="宋体" w:hAnsi="宋体"/>
          <w:color w:val="000000" w:themeColor="text1"/>
          <w:highlight w:val="none"/>
          <w14:textFill>
            <w14:solidFill>
              <w14:schemeClr w14:val="tx1"/>
            </w14:solidFill>
          </w14:textFill>
        </w:rPr>
        <w:t>”。</w:t>
      </w:r>
    </w:p>
    <w:p w14:paraId="0EDB47A7">
      <w:pPr>
        <w:pStyle w:val="101"/>
        <w:tabs>
          <w:tab w:val="left" w:pos="993"/>
        </w:tabs>
        <w:wordWrap w:val="0"/>
        <w:adjustRightInd w:val="0"/>
        <w:snapToGrid w:val="0"/>
        <w:spacing w:line="440" w:lineRule="exact"/>
        <w:ind w:left="426" w:firstLine="0" w:firstLineChars="0"/>
        <w:rPr>
          <w:rFonts w:ascii="宋体" w:hAnsi="宋体"/>
          <w:color w:val="000000" w:themeColor="text1"/>
          <w:spacing w:val="2"/>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w:t>
      </w:r>
      <w:r>
        <w:rPr>
          <w:rFonts w:ascii="宋体" w:hAnsi="宋体" w:cs="宋体"/>
          <w:color w:val="000000" w:themeColor="text1"/>
          <w:kern w:val="0"/>
          <w:szCs w:val="21"/>
          <w:highlight w:val="none"/>
          <w14:textFill>
            <w14:solidFill>
              <w14:schemeClr w14:val="tx1"/>
            </w14:solidFill>
          </w14:textFill>
        </w:rPr>
        <w:t>技术支撑联系方式</w:t>
      </w:r>
    </w:p>
    <w:p w14:paraId="22974576">
      <w:pPr>
        <w:pStyle w:val="101"/>
        <w:wordWrap w:val="0"/>
        <w:adjustRightInd w:val="0"/>
        <w:snapToGrid w:val="0"/>
        <w:spacing w:line="440" w:lineRule="exact"/>
        <w:ind w:left="2" w:firstLine="432" w:firstLineChars="2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服务热线：010-56107929 /010-56107880</w:t>
      </w:r>
    </w:p>
    <w:p w14:paraId="480E7520">
      <w:pPr>
        <w:pStyle w:val="101"/>
        <w:wordWrap w:val="0"/>
        <w:adjustRightInd w:val="0"/>
        <w:snapToGrid w:val="0"/>
        <w:spacing w:line="440" w:lineRule="exact"/>
        <w:ind w:left="2" w:firstLine="432" w:firstLineChars="2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服务邮箱：zb_support@chinatelecom.cn（电子采购系统技术支撑）</w:t>
      </w:r>
    </w:p>
    <w:p w14:paraId="6E37A7E1">
      <w:pPr>
        <w:pStyle w:val="101"/>
        <w:wordWrap w:val="0"/>
        <w:adjustRightInd w:val="0"/>
        <w:snapToGrid w:val="0"/>
        <w:spacing w:line="440" w:lineRule="exact"/>
        <w:ind w:left="2" w:firstLine="1502" w:firstLineChars="702"/>
        <w:rPr>
          <w:rFonts w:asciiTheme="minorEastAsia" w:hAnsiTheme="minorEastAsia" w:eastAsiaTheme="minorEastAsia"/>
          <w:color w:val="000000" w:themeColor="text1"/>
          <w:spacing w:val="2"/>
          <w:szCs w:val="21"/>
          <w:highlight w:val="none"/>
          <w14:textFill>
            <w14:solidFill>
              <w14:schemeClr w14:val="tx1"/>
            </w14:solidFill>
          </w14:textFill>
        </w:rPr>
      </w:pPr>
      <w:r>
        <w:rPr>
          <w:rFonts w:hint="eastAsia" w:asciiTheme="minorEastAsia" w:hAnsiTheme="minorEastAsia" w:eastAsiaTheme="minorEastAsia"/>
          <w:color w:val="000000" w:themeColor="text1"/>
          <w:spacing w:val="2"/>
          <w:szCs w:val="21"/>
          <w:highlight w:val="none"/>
          <w14:textFill>
            <w14:solidFill>
              <w14:schemeClr w14:val="tx1"/>
            </w14:solidFill>
          </w14:textFill>
        </w:rPr>
        <w:t>ctsc@chinatelecom.cn（CA证书办理技术支撑）</w:t>
      </w:r>
      <w:r>
        <w:rPr>
          <w:rFonts w:asciiTheme="minorEastAsia" w:hAnsiTheme="minorEastAsia" w:eastAsiaTheme="minorEastAsia"/>
          <w:color w:val="000000" w:themeColor="text1"/>
          <w:spacing w:val="2"/>
          <w:szCs w:val="21"/>
          <w:highlight w:val="none"/>
          <w14:textFill>
            <w14:solidFill>
              <w14:schemeClr w14:val="tx1"/>
            </w14:solidFill>
          </w14:textFill>
        </w:rPr>
        <w:t xml:space="preserve">。 </w:t>
      </w:r>
    </w:p>
    <w:p w14:paraId="5B007606">
      <w:pPr>
        <w:pStyle w:val="101"/>
        <w:wordWrap w:val="0"/>
        <w:adjustRightInd w:val="0"/>
        <w:snapToGrid w:val="0"/>
        <w:spacing w:line="440" w:lineRule="exact"/>
        <w:ind w:left="2" w:firstLine="426" w:firstLineChars="202"/>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w:t>
      </w:r>
      <w:r>
        <w:rPr>
          <w:rFonts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发布公告的媒介</w:t>
      </w:r>
    </w:p>
    <w:p w14:paraId="13A7FB07">
      <w:pPr>
        <w:pStyle w:val="101"/>
        <w:wordWrap w:val="0"/>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本招标公告</w:t>
      </w:r>
      <w:r>
        <w:rPr>
          <w:rFonts w:hint="eastAsia" w:ascii="宋体" w:hAnsi="宋体"/>
          <w:color w:val="000000" w:themeColor="text1"/>
          <w:highlight w:val="none"/>
          <w14:textFill>
            <w14:solidFill>
              <w14:schemeClr w14:val="tx1"/>
            </w14:solidFill>
          </w14:textFill>
        </w:rPr>
        <w:t>仅在</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w:t>
      </w:r>
      <w:r>
        <w:rPr>
          <w:highlight w:val="none"/>
        </w:rPr>
        <w:fldChar w:fldCharType="begin"/>
      </w:r>
      <w:r>
        <w:rPr>
          <w:highlight w:val="none"/>
        </w:rPr>
        <w:instrText xml:space="preserve"> HYPERLINK "https://caigou.chinatelecom.com.cn/ctsc-portal/ctscPortal）、（http://bulletin.cebpubservice.com/" </w:instrText>
      </w:r>
      <w:r>
        <w:rPr>
          <w:highlight w:val="none"/>
        </w:rPr>
        <w:fldChar w:fldCharType="separate"/>
      </w:r>
      <w:r>
        <w:rPr>
          <w:rFonts w:hint="eastAsia" w:asciiTheme="minorEastAsia" w:hAnsiTheme="minorEastAsia" w:eastAsiaTheme="minorEastAsia" w:cstheme="minorEastAsia"/>
          <w:highlight w:val="none"/>
        </w:rPr>
        <w:t>https://caigou.chinatelecom.com.cn）、中国招标投标公共服务平台（</w:t>
      </w:r>
      <w:r>
        <w:rPr>
          <w:rFonts w:asciiTheme="minorEastAsia" w:hAnsiTheme="minorEastAsia" w:eastAsiaTheme="minorEastAsia" w:cstheme="minorEastAsia"/>
          <w:highlight w:val="none"/>
        </w:rPr>
        <w:t>http://bulletin.cebpubservice.com/</w:t>
      </w:r>
      <w:r>
        <w:rPr>
          <w:rFonts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t>）</w:t>
      </w:r>
      <w:r>
        <w:rPr>
          <w:rFonts w:hint="eastAsia" w:ascii="宋体" w:hAnsi="宋体"/>
          <w:color w:val="000000" w:themeColor="text1"/>
          <w:szCs w:val="21"/>
          <w:highlight w:val="none"/>
          <w14:textFill>
            <w14:solidFill>
              <w14:schemeClr w14:val="tx1"/>
            </w14:solidFill>
          </w14:textFill>
        </w:rPr>
        <w:t>上发布，其他媒介转载无效。</w:t>
      </w:r>
    </w:p>
    <w:p w14:paraId="4A0EDC65">
      <w:pPr>
        <w:adjustRightInd w:val="0"/>
        <w:snapToGrid w:val="0"/>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联系及异议接收方式</w:t>
      </w:r>
    </w:p>
    <w:p w14:paraId="7C03201C">
      <w:pPr>
        <w:pStyle w:val="101"/>
        <w:spacing w:line="400" w:lineRule="exact"/>
        <w:ind w:firstLine="422" w:firstLineChars="0"/>
        <w:rPr>
          <w:rFonts w:asciiTheme="minorEastAsia" w:hAnsiTheme="minorEastAsia" w:eastAsiaTheme="minorEastAsia"/>
        </w:rPr>
      </w:pPr>
      <w:r>
        <w:rPr>
          <w:rFonts w:asciiTheme="minorEastAsia" w:hAnsiTheme="minorEastAsia" w:eastAsiaTheme="minorEastAsia"/>
        </w:rPr>
        <w:t>9.1</w:t>
      </w:r>
      <w:r>
        <w:rPr>
          <w:rFonts w:hint="eastAsia" w:asciiTheme="minorEastAsia" w:hAnsiTheme="minorEastAsia" w:eastAsiaTheme="minorEastAsia"/>
        </w:rPr>
        <w:t>联系方式</w:t>
      </w:r>
    </w:p>
    <w:p w14:paraId="0969E4CA">
      <w:pPr>
        <w:spacing w:line="440" w:lineRule="exact"/>
        <w:ind w:firstLine="420" w:firstLineChars="200"/>
        <w:rPr>
          <w:rFonts w:ascii="宋体" w:hAnsi="宋体"/>
          <w:color w:val="000000"/>
          <w:szCs w:val="21"/>
        </w:rPr>
      </w:pPr>
      <w:r>
        <w:rPr>
          <w:rFonts w:hint="eastAsia" w:ascii="宋体" w:hAnsi="宋体"/>
          <w:color w:val="000000"/>
          <w:szCs w:val="21"/>
        </w:rPr>
        <w:t>招标人：中国电信股份有限公司</w:t>
      </w:r>
      <w:r>
        <w:rPr>
          <w:rFonts w:hint="eastAsia" w:ascii="宋体" w:hAnsi="宋体"/>
          <w:color w:val="000000"/>
          <w:szCs w:val="21"/>
          <w:lang w:eastAsia="zh-CN"/>
        </w:rPr>
        <w:t>遵义</w:t>
      </w:r>
      <w:r>
        <w:rPr>
          <w:rFonts w:hint="eastAsia" w:ascii="宋体" w:hAnsi="宋体"/>
          <w:color w:val="000000"/>
          <w:szCs w:val="21"/>
        </w:rPr>
        <w:t>分公司</w:t>
      </w:r>
    </w:p>
    <w:p w14:paraId="3222BDC6">
      <w:pPr>
        <w:spacing w:line="440" w:lineRule="exact"/>
        <w:ind w:firstLine="420" w:firstLineChars="200"/>
        <w:rPr>
          <w:rFonts w:ascii="宋体" w:hAnsi="宋体"/>
          <w:color w:val="000000"/>
          <w:szCs w:val="21"/>
        </w:rPr>
      </w:pP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址：遵义市红花岗区大兴路249号</w:t>
      </w:r>
    </w:p>
    <w:p w14:paraId="3EB8DB94">
      <w:pPr>
        <w:spacing w:line="440" w:lineRule="exact"/>
        <w:ind w:firstLine="420" w:firstLineChars="200"/>
        <w:rPr>
          <w:rFonts w:ascii="宋体" w:hAnsi="宋体" w:cs="宋体"/>
          <w:kern w:val="0"/>
          <w:szCs w:val="21"/>
        </w:rPr>
      </w:pPr>
      <w:r>
        <w:rPr>
          <w:rFonts w:hint="eastAsia" w:ascii="宋体" w:hAnsi="宋体"/>
          <w:color w:val="000000"/>
          <w:szCs w:val="21"/>
        </w:rPr>
        <w:t>邮  编：563000</w:t>
      </w:r>
    </w:p>
    <w:p w14:paraId="0A433F47">
      <w:pPr>
        <w:spacing w:line="440" w:lineRule="exact"/>
        <w:ind w:firstLine="420" w:firstLineChars="200"/>
        <w:rPr>
          <w:rFonts w:hint="eastAsia" w:ascii="宋体" w:hAnsi="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张</w:t>
      </w:r>
      <w:r>
        <w:rPr>
          <w:rFonts w:hint="eastAsia" w:ascii="宋体" w:hAnsi="宋体" w:cs="宋体"/>
          <w:kern w:val="0"/>
          <w:szCs w:val="21"/>
        </w:rPr>
        <w:t>老师        电话：</w:t>
      </w:r>
      <w:r>
        <w:rPr>
          <w:rFonts w:hint="eastAsia" w:ascii="宋体" w:hAnsi="宋体" w:cs="宋体"/>
          <w:kern w:val="0"/>
          <w:szCs w:val="21"/>
          <w:lang w:val="en-US" w:eastAsia="zh-CN"/>
        </w:rPr>
        <w:t>18985206669</w:t>
      </w:r>
    </w:p>
    <w:p w14:paraId="2DA9019F">
      <w:pPr>
        <w:spacing w:line="44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rPr>
        <w:t>招标代理机构：</w:t>
      </w:r>
      <w:r>
        <w:rPr>
          <w:rFonts w:hint="eastAsia" w:ascii="宋体" w:hAnsi="宋体" w:cs="宋体"/>
          <w:kern w:val="0"/>
          <w:szCs w:val="21"/>
          <w:lang w:eastAsia="zh-CN"/>
        </w:rPr>
        <w:t>中通服供应链</w:t>
      </w:r>
      <w:r>
        <w:rPr>
          <w:rFonts w:hint="eastAsia" w:ascii="宋体" w:hAnsi="宋体" w:cs="宋体"/>
          <w:kern w:val="0"/>
          <w:szCs w:val="21"/>
          <w:lang w:val="en-US" w:eastAsia="zh-CN"/>
        </w:rPr>
        <w:t>股份</w:t>
      </w:r>
      <w:r>
        <w:rPr>
          <w:rFonts w:hint="eastAsia" w:ascii="宋体" w:hAnsi="宋体" w:cs="宋体"/>
          <w:kern w:val="0"/>
          <w:szCs w:val="21"/>
          <w:lang w:eastAsia="zh-CN"/>
        </w:rPr>
        <w:t>有限公司贵州分公司</w:t>
      </w:r>
    </w:p>
    <w:p w14:paraId="2F809790">
      <w:pPr>
        <w:spacing w:line="440" w:lineRule="exact"/>
        <w:ind w:firstLine="420" w:firstLineChars="200"/>
        <w:rPr>
          <w:rFonts w:ascii="宋体" w:hAnsi="宋体"/>
          <w:color w:val="000000"/>
          <w:szCs w:val="21"/>
        </w:rPr>
      </w:pPr>
      <w:r>
        <w:rPr>
          <w:rFonts w:hint="eastAsia" w:ascii="宋体" w:hAnsi="宋体"/>
          <w:color w:val="000000"/>
          <w:szCs w:val="21"/>
        </w:rPr>
        <w:t>地址：贵州省贵阳市金阳北路27号麒龙贵州塔16楼</w:t>
      </w:r>
    </w:p>
    <w:p w14:paraId="7155AFBF">
      <w:pPr>
        <w:spacing w:line="440" w:lineRule="exact"/>
        <w:ind w:firstLine="420" w:firstLineChars="200"/>
        <w:rPr>
          <w:rFonts w:ascii="宋体" w:hAnsi="宋体"/>
          <w:color w:val="000000"/>
          <w:szCs w:val="21"/>
        </w:rPr>
      </w:pPr>
      <w:r>
        <w:rPr>
          <w:rFonts w:hint="eastAsia" w:ascii="宋体" w:hAnsi="宋体"/>
          <w:color w:val="000000"/>
          <w:szCs w:val="21"/>
        </w:rPr>
        <w:t>邮编：550001</w:t>
      </w:r>
    </w:p>
    <w:p w14:paraId="1ACB5D23">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项目总负责人：</w:t>
      </w:r>
      <w:r>
        <w:rPr>
          <w:rFonts w:hint="eastAsia" w:ascii="宋体" w:hAnsi="宋体"/>
          <w:color w:val="000000"/>
          <w:szCs w:val="21"/>
          <w:lang w:val="en-US" w:eastAsia="zh-CN"/>
        </w:rPr>
        <w:t>杨孟雨</w:t>
      </w:r>
    </w:p>
    <w:p w14:paraId="7540B819">
      <w:pPr>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rPr>
        <w:t>项目负责人：</w:t>
      </w:r>
      <w:r>
        <w:rPr>
          <w:rFonts w:hint="eastAsia" w:ascii="宋体" w:hAnsi="宋体"/>
          <w:color w:val="000000"/>
          <w:szCs w:val="21"/>
          <w:lang w:val="en-US" w:eastAsia="zh-CN"/>
        </w:rPr>
        <w:t>张鹏</w:t>
      </w:r>
    </w:p>
    <w:p w14:paraId="43AD0131">
      <w:pPr>
        <w:spacing w:line="440" w:lineRule="exact"/>
        <w:ind w:firstLine="420" w:firstLineChars="200"/>
        <w:rPr>
          <w:rFonts w:hint="eastAsia" w:ascii="宋体" w:hAnsi="宋体"/>
          <w:lang w:val="en-US" w:eastAsia="zh-CN"/>
        </w:rPr>
      </w:pPr>
      <w:r>
        <w:rPr>
          <w:rFonts w:hint="eastAsia" w:ascii="宋体" w:hAnsi="宋体"/>
          <w:color w:val="000000"/>
          <w:szCs w:val="21"/>
          <w:lang w:val="en-US" w:eastAsia="zh-CN"/>
        </w:rPr>
        <w:t>项目</w:t>
      </w:r>
      <w:r>
        <w:rPr>
          <w:rFonts w:hint="eastAsia" w:ascii="宋体" w:hAnsi="宋体"/>
          <w:color w:val="000000"/>
          <w:szCs w:val="21"/>
        </w:rPr>
        <w:t>联系</w:t>
      </w:r>
      <w:r>
        <w:rPr>
          <w:rFonts w:hint="eastAsia" w:ascii="宋体" w:hAnsi="宋体"/>
          <w:color w:val="000000"/>
          <w:szCs w:val="21"/>
          <w:lang w:val="en-US" w:eastAsia="zh-CN"/>
        </w:rPr>
        <w:t>人</w:t>
      </w:r>
      <w:r>
        <w:rPr>
          <w:rFonts w:hint="eastAsia" w:ascii="宋体" w:hAnsi="宋体"/>
          <w:color w:val="000000"/>
          <w:szCs w:val="21"/>
        </w:rPr>
        <w:t>：</w:t>
      </w:r>
      <w:r>
        <w:rPr>
          <w:rFonts w:hint="eastAsia" w:ascii="宋体" w:hAnsi="宋体"/>
          <w:szCs w:val="20"/>
          <w:lang w:val="en-US" w:eastAsia="zh-CN"/>
        </w:rPr>
        <w:t>杨学琴</w:t>
      </w:r>
      <w:r>
        <w:rPr>
          <w:rFonts w:ascii="宋体" w:hAnsi="宋体"/>
          <w:szCs w:val="20"/>
        </w:rPr>
        <w:t xml:space="preserve">  </w:t>
      </w:r>
      <w:r>
        <w:rPr>
          <w:rFonts w:hint="eastAsia" w:ascii="宋体" w:hAnsi="宋体"/>
          <w:lang w:val="en-US" w:eastAsia="zh-CN"/>
        </w:rPr>
        <w:t xml:space="preserve">18984903330 </w:t>
      </w:r>
    </w:p>
    <w:p w14:paraId="645ED86A">
      <w:pPr>
        <w:spacing w:line="440" w:lineRule="exact"/>
        <w:ind w:firstLine="420" w:firstLineChars="200"/>
        <w:rPr>
          <w:rFonts w:ascii="宋体" w:hAnsi="宋体"/>
          <w:color w:val="000000"/>
          <w:szCs w:val="21"/>
        </w:rPr>
      </w:pPr>
      <w:r>
        <w:rPr>
          <w:rFonts w:hint="eastAsia" w:ascii="宋体" w:hAnsi="宋体"/>
          <w:lang w:val="en-US" w:eastAsia="zh-CN"/>
        </w:rPr>
        <w:t xml:space="preserve"> </w:t>
      </w:r>
      <w:r>
        <w:rPr>
          <w:rFonts w:hint="eastAsia" w:ascii="宋体" w:hAnsi="宋体"/>
          <w:color w:val="000000"/>
          <w:szCs w:val="21"/>
        </w:rPr>
        <w:t>联系邮箱：</w:t>
      </w:r>
      <w:r>
        <w:rPr>
          <w:rFonts w:hint="eastAsia" w:ascii="宋体" w:hAnsi="宋体"/>
          <w:szCs w:val="20"/>
          <w:lang w:val="en-US" w:eastAsia="zh-CN"/>
        </w:rPr>
        <w:t>2116573176</w:t>
      </w:r>
      <w:r>
        <w:rPr>
          <w:rFonts w:hint="eastAsia" w:ascii="宋体" w:hAnsi="宋体"/>
          <w:szCs w:val="20"/>
        </w:rPr>
        <w:t>@qq.com</w:t>
      </w:r>
      <w:r>
        <w:rPr>
          <w:rFonts w:hint="eastAsia" w:ascii="宋体" w:hAnsi="宋体"/>
          <w:color w:val="000000"/>
          <w:szCs w:val="21"/>
        </w:rPr>
        <w:t xml:space="preserve"> </w:t>
      </w:r>
    </w:p>
    <w:p w14:paraId="024C027F">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 xml:space="preserve">开户银行：中信银行股份有限公司贵阳林城西路支行  </w:t>
      </w:r>
    </w:p>
    <w:p w14:paraId="6B058A5C">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账    号：8113201012700144272</w:t>
      </w:r>
    </w:p>
    <w:p w14:paraId="4255FAA2">
      <w:pPr>
        <w:spacing w:line="44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开户名称：中通服供应链股份有限公司贵州分公司</w:t>
      </w:r>
    </w:p>
    <w:p w14:paraId="7D708A76">
      <w:pPr>
        <w:pStyle w:val="101"/>
        <w:spacing w:line="400" w:lineRule="exact"/>
        <w:ind w:firstLine="424" w:firstLineChars="202"/>
        <w:rPr>
          <w:rFonts w:asciiTheme="minorEastAsia" w:hAnsiTheme="minorEastAsia" w:eastAsiaTheme="minorEastAsia"/>
        </w:rPr>
      </w:pPr>
      <w:r>
        <w:rPr>
          <w:rFonts w:hint="eastAsia" w:asciiTheme="minorEastAsia" w:hAnsiTheme="minorEastAsia" w:eastAsiaTheme="minorEastAsia"/>
        </w:rPr>
        <w:t>9.2异议接收方式</w:t>
      </w:r>
    </w:p>
    <w:p w14:paraId="3FFAC7D2">
      <w:pPr>
        <w:pStyle w:val="101"/>
        <w:spacing w:line="400" w:lineRule="exact"/>
        <w:ind w:left="425" w:firstLine="0" w:firstLineChars="0"/>
        <w:rPr>
          <w:rFonts w:ascii="宋体" w:hAnsi="宋体"/>
          <w:color w:val="000000" w:themeColor="text1"/>
          <w:highlight w:val="none"/>
          <w14:textFill>
            <w14:solidFill>
              <w14:schemeClr w14:val="tx1"/>
            </w14:solidFill>
          </w14:textFill>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https://caigou.chinatelecom.com.cn/ctsc-portal/ctscPortal</w:t>
      </w:r>
      <w:r>
        <w:rPr>
          <w:rFonts w:hint="eastAsia"/>
        </w:rPr>
        <w:t>）</w:t>
      </w:r>
      <w:r>
        <w:rPr>
          <w:rFonts w:hint="eastAsia" w:asciiTheme="minorEastAsia" w:hAnsiTheme="minorEastAsia" w:eastAsiaTheme="minorEastAsia"/>
        </w:rPr>
        <w:t>后，通过“招投标-采购异议-提出异议”模块提出。】</w:t>
      </w:r>
    </w:p>
    <w:p w14:paraId="3C2B9329">
      <w:pPr>
        <w:spacing w:line="360" w:lineRule="auto"/>
        <w:ind w:right="6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w:t>
      </w:r>
      <w:r>
        <w:rPr>
          <w:rFonts w:hint="eastAsia" w:ascii="宋体" w:hAnsi="宋体"/>
          <w:color w:val="000000" w:themeColor="text1"/>
          <w:szCs w:val="21"/>
          <w:highlight w:val="none"/>
          <w:u w:val="single"/>
          <w14:textFill>
            <w14:solidFill>
              <w14:schemeClr w14:val="tx1"/>
            </w14:solidFill>
          </w14:textFill>
        </w:rPr>
        <w:t xml:space="preserve">中通服供应链股份有限公司贵州分公司 </w:t>
      </w:r>
    </w:p>
    <w:p w14:paraId="3E2BD1F2">
      <w:pPr>
        <w:pStyle w:val="101"/>
        <w:wordWrap w:val="0"/>
        <w:adjustRightInd w:val="0"/>
        <w:snapToGrid w:val="0"/>
        <w:spacing w:line="440" w:lineRule="exact"/>
        <w:ind w:left="424" w:leftChars="202" w:firstLine="0" w:firstLineChars="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日</w:t>
      </w:r>
    </w:p>
    <w:p w14:paraId="7A77D8C8">
      <w:pPr>
        <w:widowControl/>
        <w:jc w:val="right"/>
        <w:rPr>
          <w:rFonts w:asciiTheme="minorEastAsia" w:hAnsiTheme="minorEastAsia" w:eastAsiaTheme="minorEastAsia"/>
          <w:szCs w:val="21"/>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bookmarkEnd w:id="16"/>
    <w:p w14:paraId="366000C1">
      <w:pPr>
        <w:pStyle w:val="100"/>
        <w:spacing w:before="240" w:after="120"/>
        <w:rPr>
          <w:rFonts w:cs="宋体" w:asciiTheme="minorEastAsia" w:hAnsiTheme="minorEastAsia" w:eastAsiaTheme="minorEastAsia"/>
          <w:b/>
          <w:sz w:val="28"/>
          <w:szCs w:val="28"/>
          <w:highlight w:val="none"/>
        </w:rPr>
      </w:pPr>
      <w:bookmarkStart w:id="24" w:name="_Toc24623"/>
      <w:bookmarkStart w:id="25" w:name="_Toc28015"/>
      <w:bookmarkStart w:id="26" w:name="_Toc96"/>
      <w:bookmarkStart w:id="27" w:name="_Toc21874"/>
      <w:bookmarkStart w:id="28" w:name="_Toc2709"/>
      <w:bookmarkStart w:id="29" w:name="_Toc447188665"/>
      <w:bookmarkStart w:id="30" w:name="_Toc38007949"/>
      <w:bookmarkStart w:id="31" w:name="_Toc5800"/>
      <w:bookmarkStart w:id="32" w:name="_Toc9969"/>
      <w:bookmarkStart w:id="33" w:name="_Toc26022"/>
      <w:bookmarkStart w:id="34" w:name="_Toc14786"/>
      <w:bookmarkStart w:id="35" w:name="_Toc447265500"/>
      <w:bookmarkStart w:id="36" w:name="_Toc23621"/>
      <w:bookmarkStart w:id="37" w:name="_Toc447265214"/>
      <w:bookmarkStart w:id="38" w:name="_Toc31555"/>
      <w:r>
        <w:rPr>
          <w:rFonts w:hint="eastAsia" w:cs="宋体" w:asciiTheme="minorEastAsia" w:hAnsiTheme="minorEastAsia" w:eastAsiaTheme="minorEastAsia"/>
          <w:b/>
          <w:bCs w:val="0"/>
          <w:kern w:val="0"/>
          <w:sz w:val="28"/>
          <w:szCs w:val="28"/>
          <w:highlight w:val="none"/>
        </w:rPr>
        <w:t>第二章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27889E6">
      <w:pPr>
        <w:pStyle w:val="4"/>
        <w:snapToGrid w:val="0"/>
        <w:spacing w:before="240" w:after="120" w:line="240" w:lineRule="auto"/>
        <w:jc w:val="center"/>
        <w:rPr>
          <w:rFonts w:cs="宋体" w:asciiTheme="minorEastAsia" w:hAnsiTheme="minorEastAsia" w:eastAsiaTheme="minorEastAsia"/>
          <w:sz w:val="24"/>
          <w:szCs w:val="24"/>
          <w:highlight w:val="none"/>
        </w:rPr>
      </w:pPr>
      <w:bookmarkStart w:id="39" w:name="_Toc226969277"/>
      <w:bookmarkStart w:id="40" w:name="_Toc123"/>
      <w:bookmarkStart w:id="41" w:name="_Toc227057884"/>
      <w:bookmarkStart w:id="42" w:name="_Toc22379"/>
      <w:bookmarkStart w:id="43" w:name="_Toc16096"/>
      <w:bookmarkStart w:id="44" w:name="_Toc5095"/>
      <w:bookmarkStart w:id="45" w:name="_Toc38007950"/>
      <w:bookmarkStart w:id="46" w:name="_Toc273"/>
      <w:bookmarkStart w:id="47" w:name="_Toc7848"/>
      <w:bookmarkStart w:id="48" w:name="_Toc447188666"/>
      <w:bookmarkStart w:id="49" w:name="_Toc10083"/>
      <w:bookmarkStart w:id="50" w:name="_Toc15344"/>
      <w:bookmarkStart w:id="51" w:name="_Toc19927"/>
      <w:bookmarkStart w:id="52" w:name="_Toc28826"/>
      <w:bookmarkStart w:id="53" w:name="_Toc447265215"/>
      <w:bookmarkStart w:id="54" w:name="_Toc26737"/>
      <w:bookmarkStart w:id="55" w:name="_Toc447265501"/>
      <w:r>
        <w:rPr>
          <w:rFonts w:hint="eastAsia" w:cs="宋体" w:asciiTheme="minorEastAsia" w:hAnsiTheme="minorEastAsia" w:eastAsiaTheme="minorEastAsia"/>
          <w:b w:val="0"/>
          <w:bCs w:val="0"/>
          <w:sz w:val="24"/>
          <w:szCs w:val="24"/>
          <w:highlight w:val="none"/>
        </w:rPr>
        <w:t>投标人须知前附表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88E81A0">
      <w:pPr>
        <w:autoSpaceDE w:val="0"/>
        <w:autoSpaceDN w:val="0"/>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本投标人须知前附表是对投标人须知正文的具体补充和修改，如有矛盾，以本前附表为准。</w:t>
      </w:r>
    </w:p>
    <w:tbl>
      <w:tblPr>
        <w:tblStyle w:val="85"/>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2082"/>
        <w:gridCol w:w="5379"/>
      </w:tblGrid>
      <w:tr w14:paraId="242F42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4E3A7FC3">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2082" w:type="dxa"/>
            <w:vAlign w:val="center"/>
          </w:tcPr>
          <w:p w14:paraId="25415E0E">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5379" w:type="dxa"/>
            <w:vAlign w:val="center"/>
          </w:tcPr>
          <w:p w14:paraId="7483CCE3">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编列内容</w:t>
            </w:r>
          </w:p>
        </w:tc>
      </w:tr>
      <w:tr w14:paraId="1E895A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674C7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2</w:t>
            </w:r>
          </w:p>
        </w:tc>
        <w:tc>
          <w:tcPr>
            <w:tcW w:w="2082" w:type="dxa"/>
            <w:vAlign w:val="center"/>
          </w:tcPr>
          <w:p w14:paraId="2B45F1C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招标人</w:t>
            </w:r>
          </w:p>
        </w:tc>
        <w:tc>
          <w:tcPr>
            <w:tcW w:w="5379" w:type="dxa"/>
            <w:vAlign w:val="center"/>
          </w:tcPr>
          <w:p w14:paraId="00A944CF">
            <w:pPr>
              <w:autoSpaceDE w:val="0"/>
              <w:autoSpaceDN w:val="0"/>
              <w:rPr>
                <w:rFonts w:ascii="宋体" w:hAnsi="宋体"/>
                <w:color w:val="000000" w:themeColor="text1"/>
                <w:szCs w:val="21"/>
                <w:highlight w:val="none"/>
                <w14:textFill>
                  <w14:solidFill>
                    <w14:schemeClr w14:val="tx1"/>
                  </w14:solidFill>
                </w14:textFill>
              </w:rPr>
            </w:pPr>
            <w:r>
              <w:rPr>
                <w:rFonts w:hint="eastAsia" w:cs="宋体" w:asciiTheme="minorEastAsia" w:hAnsiTheme="minorEastAsia" w:eastAsiaTheme="minorEastAsia"/>
                <w:szCs w:val="21"/>
                <w:highlight w:val="none"/>
              </w:rPr>
              <w:t>招标人名称：</w:t>
            </w:r>
            <w:r>
              <w:rPr>
                <w:rFonts w:hint="eastAsia" w:ascii="宋体" w:hAnsi="宋体" w:eastAsiaTheme="minorEastAsia"/>
                <w:color w:val="000000" w:themeColor="text1"/>
                <w:szCs w:val="21"/>
                <w:highlight w:val="none"/>
                <w:lang w:eastAsia="zh-CN"/>
                <w14:textFill>
                  <w14:solidFill>
                    <w14:schemeClr w14:val="tx1"/>
                  </w14:solidFill>
                </w14:textFill>
              </w:rPr>
              <w:t>中国电信股份有限公司遵义分公司</w:t>
            </w:r>
            <w:r>
              <w:rPr>
                <w:rFonts w:cs="宋体" w:asciiTheme="minorEastAsia" w:hAnsiTheme="minorEastAsia" w:eastAsiaTheme="minorEastAsia"/>
                <w:szCs w:val="21"/>
                <w:highlight w:val="none"/>
              </w:rPr>
              <w:t xml:space="preserve"> </w:t>
            </w:r>
          </w:p>
          <w:p w14:paraId="5945D1F4">
            <w:pPr>
              <w:autoSpaceDE w:val="0"/>
              <w:autoSpaceDN w:val="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招标人地址：</w:t>
            </w:r>
            <w:r>
              <w:rPr>
                <w:rFonts w:hint="eastAsia" w:ascii="宋体" w:hAnsi="宋体" w:eastAsiaTheme="minorEastAsia"/>
                <w:color w:val="000000" w:themeColor="text1"/>
                <w:szCs w:val="21"/>
                <w:highlight w:val="none"/>
                <w:lang w:eastAsia="zh-CN"/>
                <w14:textFill>
                  <w14:solidFill>
                    <w14:schemeClr w14:val="tx1"/>
                  </w14:solidFill>
                </w14:textFill>
              </w:rPr>
              <w:t>遵义市红花岗区大兴路249号</w:t>
            </w:r>
          </w:p>
          <w:p w14:paraId="63AE833F">
            <w:pPr>
              <w:rPr>
                <w:rFonts w:hint="default" w:asciiTheme="minorEastAsia" w:hAnsiTheme="minorEastAsia" w:eastAsiaTheme="minorEastAsia"/>
                <w:szCs w:val="21"/>
                <w:highlight w:val="none"/>
                <w:u w:val="single"/>
                <w:lang w:val="en-US"/>
              </w:rPr>
            </w:pPr>
            <w:r>
              <w:rPr>
                <w:rFonts w:hint="eastAsia" w:cs="宋体" w:asciiTheme="minorEastAsia" w:hAnsiTheme="minorEastAsia" w:eastAsiaTheme="minorEastAsia"/>
                <w:szCs w:val="21"/>
                <w:highlight w:val="none"/>
              </w:rPr>
              <w:t>招标人联系方式：</w:t>
            </w:r>
            <w:r>
              <w:rPr>
                <w:rFonts w:hint="eastAsia" w:cs="宋体" w:asciiTheme="minorEastAsia" w:hAnsiTheme="minorEastAsia" w:eastAsiaTheme="minorEastAsia"/>
                <w:szCs w:val="21"/>
                <w:highlight w:val="none"/>
                <w:lang w:val="en-US" w:eastAsia="zh-CN"/>
              </w:rPr>
              <w:t>张</w:t>
            </w:r>
            <w:r>
              <w:rPr>
                <w:rFonts w:hint="eastAsia" w:asciiTheme="minorEastAsia" w:hAnsiTheme="minorEastAsia" w:eastAsiaTheme="minorEastAsia"/>
                <w:szCs w:val="21"/>
                <w:highlight w:val="none"/>
                <w:lang w:val="en-US" w:eastAsia="zh-CN"/>
              </w:rPr>
              <w:t>老师</w:t>
            </w:r>
            <w:r>
              <w:rPr>
                <w:rFonts w:hint="eastAsia" w:asciiTheme="minorEastAsia" w:hAnsiTheme="minorEastAsia" w:eastAsiaTheme="minorEastAsia"/>
                <w:szCs w:val="21"/>
                <w:highlight w:val="none"/>
              </w:rPr>
              <w:t xml:space="preserve">   电话：</w:t>
            </w:r>
            <w:r>
              <w:rPr>
                <w:rFonts w:hint="eastAsia" w:asciiTheme="minorEastAsia" w:hAnsiTheme="minorEastAsia" w:eastAsiaTheme="minorEastAsia"/>
                <w:szCs w:val="21"/>
                <w:highlight w:val="none"/>
                <w:lang w:val="en-US" w:eastAsia="zh-CN"/>
              </w:rPr>
              <w:t>18985206669</w:t>
            </w:r>
          </w:p>
        </w:tc>
      </w:tr>
      <w:tr w14:paraId="3F88D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840" w:type="dxa"/>
            <w:vAlign w:val="center"/>
          </w:tcPr>
          <w:p w14:paraId="54F18D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3</w:t>
            </w:r>
          </w:p>
        </w:tc>
        <w:tc>
          <w:tcPr>
            <w:tcW w:w="2082" w:type="dxa"/>
            <w:vAlign w:val="center"/>
          </w:tcPr>
          <w:p w14:paraId="65059A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集中</w:t>
            </w:r>
            <w:r>
              <w:rPr>
                <w:rFonts w:hint="eastAsia" w:cs="宋体" w:asciiTheme="minorEastAsia" w:hAnsiTheme="minorEastAsia" w:eastAsiaTheme="minorEastAsia"/>
                <w:szCs w:val="21"/>
                <w:highlight w:val="none"/>
              </w:rPr>
              <w:t>招标项目名称</w:t>
            </w:r>
          </w:p>
        </w:tc>
        <w:tc>
          <w:tcPr>
            <w:tcW w:w="5379" w:type="dxa"/>
            <w:vAlign w:val="center"/>
          </w:tcPr>
          <w:p w14:paraId="0F717BCF">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2025年中国电信遵义分公司中间件框架物资采购（</w:t>
            </w:r>
            <w:r>
              <w:rPr>
                <w:rFonts w:hint="eastAsia" w:cs="宋体" w:asciiTheme="minorEastAsia" w:hAnsiTheme="minorEastAsia" w:eastAsiaTheme="minorEastAsia"/>
                <w:szCs w:val="21"/>
                <w:highlight w:val="none"/>
                <w:lang w:val="en-US" w:eastAsia="zh-CN"/>
              </w:rPr>
              <w:t>标包2）</w:t>
            </w:r>
          </w:p>
          <w:p w14:paraId="1FDE7AC1">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招标编号：</w:t>
            </w:r>
            <w:r>
              <w:rPr>
                <w:rFonts w:hint="eastAsia" w:asciiTheme="minorEastAsia" w:hAnsiTheme="minorEastAsia" w:eastAsiaTheme="minorEastAsia"/>
                <w:szCs w:val="21"/>
                <w:highlight w:val="none"/>
                <w:lang w:eastAsia="zh-CN"/>
              </w:rPr>
              <w:t>GZBBFA202510200008</w:t>
            </w:r>
          </w:p>
        </w:tc>
      </w:tr>
      <w:tr w14:paraId="2214B4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E7A62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2</w:t>
            </w:r>
          </w:p>
        </w:tc>
        <w:tc>
          <w:tcPr>
            <w:tcW w:w="2082" w:type="dxa"/>
            <w:vAlign w:val="center"/>
          </w:tcPr>
          <w:p w14:paraId="698B056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资金来源</w:t>
            </w:r>
          </w:p>
        </w:tc>
        <w:tc>
          <w:tcPr>
            <w:tcW w:w="5379" w:type="dxa"/>
            <w:vAlign w:val="center"/>
          </w:tcPr>
          <w:p w14:paraId="3C90E6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招标人自筹</w:t>
            </w:r>
          </w:p>
          <w:p w14:paraId="74655B8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使用财政资金</w:t>
            </w:r>
          </w:p>
          <w:p w14:paraId="7848FF2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银行贷款</w:t>
            </w:r>
          </w:p>
          <w:p w14:paraId="685160D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国家融资</w:t>
            </w:r>
          </w:p>
          <w:p w14:paraId="50BB0E14">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□其他：</w:t>
            </w:r>
          </w:p>
        </w:tc>
      </w:tr>
      <w:tr w14:paraId="5E6FC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7415AA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1.3</w:t>
            </w:r>
          </w:p>
        </w:tc>
        <w:tc>
          <w:tcPr>
            <w:tcW w:w="2082" w:type="dxa"/>
            <w:vAlign w:val="center"/>
          </w:tcPr>
          <w:p w14:paraId="7069E1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招标范围</w:t>
            </w:r>
          </w:p>
        </w:tc>
        <w:tc>
          <w:tcPr>
            <w:tcW w:w="5379" w:type="dxa"/>
            <w:vAlign w:val="center"/>
          </w:tcPr>
          <w:p w14:paraId="3ACC2286">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rPr>
              <w:t>详见第一章【招标公告】 “1.招标范围”。</w:t>
            </w:r>
          </w:p>
        </w:tc>
      </w:tr>
      <w:tr w14:paraId="2FE78D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5AAAB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1.4</w:t>
            </w:r>
          </w:p>
        </w:tc>
        <w:tc>
          <w:tcPr>
            <w:tcW w:w="2082" w:type="dxa"/>
            <w:vAlign w:val="center"/>
          </w:tcPr>
          <w:p w14:paraId="25AD77C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集中招标类型</w:t>
            </w:r>
          </w:p>
        </w:tc>
        <w:tc>
          <w:tcPr>
            <w:tcW w:w="5379" w:type="dxa"/>
            <w:vAlign w:val="center"/>
          </w:tcPr>
          <w:p w14:paraId="1FA12F60">
            <w:pPr>
              <w:autoSpaceDE w:val="0"/>
              <w:autoSpaceDN w:val="0"/>
              <w:rPr>
                <w:rFonts w:cs="Times New Roman" w:asciiTheme="minorEastAsia" w:hAnsiTheme="minorEastAsia" w:eastAsiaTheme="minorEastAsia"/>
              </w:rPr>
            </w:pPr>
            <w:r>
              <w:rPr>
                <w:rFonts w:hint="eastAsia" w:cs="宋体" w:asciiTheme="minorEastAsia" w:hAnsiTheme="minorEastAsia" w:eastAsiaTheme="minorEastAsia"/>
                <w:szCs w:val="21"/>
                <w:lang w:eastAsia="zh-CN"/>
              </w:rPr>
              <w:t>☑</w:t>
            </w:r>
            <w:r>
              <w:rPr>
                <w:rFonts w:hint="eastAsia" w:cs="Times New Roman" w:asciiTheme="minorEastAsia" w:hAnsiTheme="minorEastAsia" w:eastAsiaTheme="minorEastAsia"/>
              </w:rPr>
              <w:t>标包招标</w:t>
            </w:r>
          </w:p>
          <w:p w14:paraId="05A3321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□份额招标</w:t>
            </w:r>
          </w:p>
          <w:p w14:paraId="60C6843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□混合招标</w:t>
            </w:r>
          </w:p>
          <w:p w14:paraId="039B26C5">
            <w:pPr>
              <w:autoSpaceDE w:val="0"/>
              <w:autoSpaceDN w:val="0"/>
              <w:rPr>
                <w:rFonts w:asciiTheme="minorEastAsia" w:hAnsiTheme="minorEastAsia" w:eastAsiaTheme="minorEastAsia"/>
                <w:highlight w:val="none"/>
              </w:rPr>
            </w:pPr>
            <w:r>
              <w:rPr>
                <w:rFonts w:hint="eastAsia" w:cs="Times New Roman" w:asciiTheme="minorEastAsia" w:hAnsiTheme="minorEastAsia" w:eastAsiaTheme="minorEastAsia"/>
              </w:rPr>
              <w:t>具体标包、份额划分情况</w:t>
            </w:r>
            <w:r>
              <w:rPr>
                <w:rFonts w:hint="eastAsia" w:cs="Times New Roman" w:asciiTheme="minorEastAsia" w:hAnsiTheme="minorEastAsia" w:eastAsiaTheme="minorEastAsia"/>
                <w:szCs w:val="21"/>
              </w:rPr>
              <w:t>详见第一章【招标公告或投标邀请书】。</w:t>
            </w:r>
          </w:p>
        </w:tc>
      </w:tr>
      <w:tr w14:paraId="453AD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4843B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1.5.1</w:t>
            </w:r>
          </w:p>
        </w:tc>
        <w:tc>
          <w:tcPr>
            <w:tcW w:w="2082" w:type="dxa"/>
            <w:vAlign w:val="center"/>
          </w:tcPr>
          <w:p w14:paraId="03B6146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招标方式</w:t>
            </w:r>
          </w:p>
        </w:tc>
        <w:tc>
          <w:tcPr>
            <w:tcW w:w="5379" w:type="dxa"/>
            <w:vAlign w:val="center"/>
          </w:tcPr>
          <w:p w14:paraId="5DA68CF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公开招标</w:t>
            </w:r>
          </w:p>
          <w:p w14:paraId="3FAD484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□邀请招标</w:t>
            </w:r>
          </w:p>
        </w:tc>
      </w:tr>
      <w:tr w14:paraId="666F85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BEE630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1.6</w:t>
            </w:r>
          </w:p>
        </w:tc>
        <w:tc>
          <w:tcPr>
            <w:tcW w:w="2082" w:type="dxa"/>
            <w:vAlign w:val="center"/>
          </w:tcPr>
          <w:p w14:paraId="178063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招标组织形式</w:t>
            </w:r>
          </w:p>
        </w:tc>
        <w:tc>
          <w:tcPr>
            <w:tcW w:w="5379" w:type="dxa"/>
            <w:vAlign w:val="center"/>
          </w:tcPr>
          <w:p w14:paraId="245DCF15">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□自行招标</w:t>
            </w:r>
          </w:p>
          <w:p w14:paraId="54E8C652">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F0FE"/>
            </w:r>
            <w:r>
              <w:rPr>
                <w:rFonts w:hint="eastAsia" w:ascii="宋体" w:hAnsi="宋体"/>
                <w:color w:val="000000" w:themeColor="text1"/>
                <w:szCs w:val="21"/>
                <w:highlight w:val="none"/>
                <w14:textFill>
                  <w14:solidFill>
                    <w14:schemeClr w14:val="tx1"/>
                  </w14:solidFill>
                </w14:textFill>
              </w:rPr>
              <w:t>委托招标代理机构代理招标</w:t>
            </w:r>
          </w:p>
          <w:p w14:paraId="50D962E3">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招标代理机构名称：中通服供应链股份有限公司贵州分公司</w:t>
            </w:r>
          </w:p>
          <w:p w14:paraId="4EEA3177">
            <w:pPr>
              <w:autoSpaceDE w:val="0"/>
              <w:autoSpaceDN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招标代理机构地址：贵州省贵阳市麒龙贵州塔金阳北路27号16楼</w:t>
            </w:r>
          </w:p>
          <w:p w14:paraId="474D593E">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招标代理机构联系人：</w:t>
            </w:r>
            <w:r>
              <w:rPr>
                <w:rFonts w:hint="eastAsia" w:ascii="宋体" w:hAnsi="宋体"/>
                <w:color w:val="000000" w:themeColor="text1"/>
                <w:szCs w:val="21"/>
                <w:highlight w:val="none"/>
                <w:lang w:val="en-US" w:eastAsia="zh-CN"/>
                <w14:textFill>
                  <w14:solidFill>
                    <w14:schemeClr w14:val="tx1"/>
                  </w14:solidFill>
                </w14:textFill>
              </w:rPr>
              <w:t>张鹏  18985164627</w:t>
            </w:r>
          </w:p>
          <w:p w14:paraId="2B7ED117">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项目联系人：</w:t>
            </w:r>
            <w:r>
              <w:rPr>
                <w:rFonts w:hint="eastAsia" w:ascii="宋体" w:hAnsi="宋体"/>
                <w:color w:val="000000" w:themeColor="text1"/>
                <w:szCs w:val="21"/>
                <w:highlight w:val="none"/>
                <w:lang w:val="en-US" w:eastAsia="zh-CN"/>
                <w14:textFill>
                  <w14:solidFill>
                    <w14:schemeClr w14:val="tx1"/>
                  </w14:solidFill>
                </w14:textFill>
              </w:rPr>
              <w:t>杨学琴  18984903330</w:t>
            </w:r>
          </w:p>
        </w:tc>
      </w:tr>
      <w:tr w14:paraId="32BD03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8C59A9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1.7</w:t>
            </w:r>
          </w:p>
        </w:tc>
        <w:tc>
          <w:tcPr>
            <w:tcW w:w="2082" w:type="dxa"/>
            <w:vAlign w:val="center"/>
          </w:tcPr>
          <w:p w14:paraId="0AE9679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资格审查方式</w:t>
            </w:r>
          </w:p>
        </w:tc>
        <w:tc>
          <w:tcPr>
            <w:tcW w:w="5379" w:type="dxa"/>
            <w:vAlign w:val="center"/>
          </w:tcPr>
          <w:p w14:paraId="3F23CD7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□资格预审，本项目已完成资格预审。</w:t>
            </w:r>
          </w:p>
          <w:p w14:paraId="377F28C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cs="宋体" w:asciiTheme="minorEastAsia" w:hAnsiTheme="minorEastAsia" w:eastAsiaTheme="minorEastAsia"/>
                <w:szCs w:val="21"/>
                <w:highlight w:val="none"/>
              </w:rPr>
              <w:t>资格后审</w:t>
            </w:r>
            <w:r>
              <w:rPr>
                <w:rFonts w:hint="eastAsia" w:cs="宋体" w:asciiTheme="minorEastAsia" w:hAnsiTheme="minorEastAsia" w:eastAsiaTheme="minorEastAsia"/>
                <w:szCs w:val="21"/>
                <w:highlight w:val="none"/>
              </w:rPr>
              <w:t>，资格条件详见第一章</w:t>
            </w:r>
            <w:r>
              <w:rPr>
                <w:rFonts w:hint="eastAsia" w:asciiTheme="minorEastAsia" w:hAnsiTheme="minorEastAsia" w:eastAsiaTheme="minorEastAsia"/>
                <w:szCs w:val="21"/>
                <w:highlight w:val="none"/>
              </w:rPr>
              <w:t>【招标公告或投标邀请书】</w:t>
            </w:r>
            <w:r>
              <w:rPr>
                <w:rFonts w:hint="eastAsia" w:cs="宋体" w:asciiTheme="minorEastAsia" w:hAnsiTheme="minorEastAsia" w:eastAsiaTheme="minorEastAsia"/>
                <w:szCs w:val="21"/>
                <w:highlight w:val="none"/>
              </w:rPr>
              <w:t>。</w:t>
            </w:r>
          </w:p>
        </w:tc>
      </w:tr>
      <w:tr w14:paraId="48C54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9D5C7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1.8</w:t>
            </w:r>
            <w:r>
              <w:rPr>
                <w:rFonts w:cs="宋体" w:asciiTheme="minorEastAsia" w:hAnsiTheme="minorEastAsia" w:eastAsiaTheme="minorEastAsia"/>
                <w:szCs w:val="21"/>
                <w:highlight w:val="none"/>
              </w:rPr>
              <w:t>.1</w:t>
            </w:r>
          </w:p>
        </w:tc>
        <w:tc>
          <w:tcPr>
            <w:tcW w:w="2082" w:type="dxa"/>
            <w:vAlign w:val="center"/>
          </w:tcPr>
          <w:p w14:paraId="2E2F27E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投标人不得存在的情形</w:t>
            </w:r>
          </w:p>
        </w:tc>
        <w:tc>
          <w:tcPr>
            <w:tcW w:w="5379" w:type="dxa"/>
            <w:vAlign w:val="center"/>
          </w:tcPr>
          <w:p w14:paraId="3172C10B">
            <w:pPr>
              <w:tabs>
                <w:tab w:val="left" w:pos="585"/>
              </w:tabs>
              <w:spacing w:line="440" w:lineRule="exact"/>
              <w:ind w:lef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本条款替换为：</w:t>
            </w:r>
          </w:p>
          <w:p w14:paraId="7AE8B725">
            <w:pPr>
              <w:tabs>
                <w:tab w:val="left" w:pos="585"/>
              </w:tabs>
              <w:ind w:left="18"/>
              <w:rPr>
                <w:rFonts w:asciiTheme="minorEastAsia" w:hAnsiTheme="minorEastAsia" w:eastAsiaTheme="minorEastAsia"/>
                <w:highlight w:val="none"/>
              </w:rPr>
            </w:pPr>
            <w:r>
              <w:rPr>
                <w:rFonts w:hint="eastAsia" w:asciiTheme="minorEastAsia" w:hAnsiTheme="minorEastAsia" w:eastAsiaTheme="minorEastAsia"/>
                <w:highlight w:val="none"/>
              </w:rPr>
              <w:t>□资格预审，详见资格预审文件。</w:t>
            </w:r>
          </w:p>
          <w:p w14:paraId="3EB8BFCB">
            <w:pPr>
              <w:tabs>
                <w:tab w:val="left" w:pos="585"/>
              </w:tabs>
              <w:ind w:left="18"/>
              <w:rPr>
                <w:rFonts w:asciiTheme="minorEastAsia" w:hAnsiTheme="minorEastAsia" w:eastAsiaTheme="minorEastAsia"/>
                <w:highlight w:val="none"/>
              </w:rPr>
            </w:pPr>
            <w:r>
              <w:rPr>
                <w:rFonts w:hint="eastAsia" w:asciiTheme="minorEastAsia" w:hAnsiTheme="minorEastAsia" w:eastAsiaTheme="minorEastAsia"/>
                <w:highlight w:val="none"/>
              </w:rPr>
              <w:sym w:font="Wingdings" w:char="F0FE"/>
            </w:r>
            <w:r>
              <w:rPr>
                <w:rFonts w:hint="eastAsia" w:asciiTheme="minorEastAsia" w:hAnsiTheme="minorEastAsia" w:eastAsiaTheme="minorEastAsia"/>
                <w:highlight w:val="none"/>
              </w:rPr>
              <w:t>资格后审，资格条件详见第一章招标公告。</w:t>
            </w:r>
          </w:p>
        </w:tc>
      </w:tr>
      <w:tr w14:paraId="64FA01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DD34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2.1.1</w:t>
            </w:r>
          </w:p>
        </w:tc>
        <w:tc>
          <w:tcPr>
            <w:tcW w:w="2082" w:type="dxa"/>
            <w:vAlign w:val="center"/>
          </w:tcPr>
          <w:p w14:paraId="330C253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招标文件的组成</w:t>
            </w:r>
          </w:p>
        </w:tc>
        <w:tc>
          <w:tcPr>
            <w:tcW w:w="5379" w:type="dxa"/>
            <w:vAlign w:val="center"/>
          </w:tcPr>
          <w:p w14:paraId="4863F344">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本条款替换为：</w:t>
            </w:r>
          </w:p>
          <w:p w14:paraId="6AF8DDD7">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招标公告</w:t>
            </w:r>
          </w:p>
          <w:p w14:paraId="09615BAA">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投标人须知</w:t>
            </w:r>
          </w:p>
          <w:p w14:paraId="0C583596">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评标办法</w:t>
            </w:r>
          </w:p>
          <w:p w14:paraId="2014B386">
            <w:pPr>
              <w:tabs>
                <w:tab w:val="left" w:pos="799"/>
              </w:tabs>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第四章 </w:t>
            </w:r>
            <w:r>
              <w:rPr>
                <w:rFonts w:hint="eastAsia" w:ascii="宋体" w:hAnsi="宋体" w:cs="宋体"/>
                <w:color w:val="000000" w:themeColor="text1"/>
                <w:szCs w:val="21"/>
                <w:highlight w:val="none"/>
                <w:lang w:val="en-US" w:eastAsia="zh-CN"/>
                <w14:textFill>
                  <w14:solidFill>
                    <w14:schemeClr w14:val="tx1"/>
                  </w14:solidFill>
                </w14:textFill>
              </w:rPr>
              <w:t>商务规范书</w:t>
            </w:r>
          </w:p>
          <w:p w14:paraId="4E689837">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技术规范书</w:t>
            </w:r>
          </w:p>
          <w:p w14:paraId="750AF6D1">
            <w:pPr>
              <w:tabs>
                <w:tab w:val="left" w:pos="799"/>
              </w:tabs>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投标文件格式</w:t>
            </w:r>
          </w:p>
          <w:p w14:paraId="5A9A19F9">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第七章 其他</w:t>
            </w:r>
          </w:p>
        </w:tc>
      </w:tr>
      <w:tr w14:paraId="73D4CF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424BE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2.1.3</w:t>
            </w:r>
          </w:p>
        </w:tc>
        <w:tc>
          <w:tcPr>
            <w:tcW w:w="2082" w:type="dxa"/>
            <w:vAlign w:val="center"/>
          </w:tcPr>
          <w:p w14:paraId="367EC58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招标文件实质性要求的标识及非实质性要求的偏离要求</w:t>
            </w:r>
          </w:p>
        </w:tc>
        <w:tc>
          <w:tcPr>
            <w:tcW w:w="5379" w:type="dxa"/>
            <w:vAlign w:val="center"/>
          </w:tcPr>
          <w:p w14:paraId="66DA484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（1）招标文件中标识“</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”的条款，均为实质性条款，投标人任何不满足实质性条款的投标均将被否决。</w:t>
            </w:r>
          </w:p>
          <w:p w14:paraId="1B793F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（2）非实质性要求的偏离要求：</w:t>
            </w:r>
            <w:r>
              <w:rPr>
                <w:rFonts w:hint="eastAsia" w:asciiTheme="minorEastAsia" w:hAnsiTheme="minorEastAsia" w:eastAsiaTheme="minorEastAsia"/>
                <w:highlight w:val="none"/>
              </w:rPr>
              <w:t>允许偏差的最大范围、最高项数为</w:t>
            </w:r>
            <w:r>
              <w:rPr>
                <w:rFonts w:hint="eastAsia" w:asciiTheme="minorEastAsia" w:hAnsiTheme="minorEastAsia" w:eastAsiaTheme="minorEastAsia"/>
                <w:highlight w:val="none"/>
                <w:u w:val="single"/>
                <w:lang w:val="en-US" w:eastAsia="zh-CN"/>
              </w:rPr>
              <w:t>5</w:t>
            </w:r>
            <w:r>
              <w:rPr>
                <w:rFonts w:hint="eastAsia" w:asciiTheme="minorEastAsia" w:hAnsiTheme="minorEastAsia" w:eastAsiaTheme="minorEastAsia"/>
                <w:highlight w:val="none"/>
              </w:rPr>
              <w:t>项，超出最大范围、最高项数视为实质性偏离，将被否决投标。</w:t>
            </w:r>
          </w:p>
        </w:tc>
      </w:tr>
      <w:tr w14:paraId="0A692C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1416A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2.1.4</w:t>
            </w:r>
          </w:p>
        </w:tc>
        <w:tc>
          <w:tcPr>
            <w:tcW w:w="2082" w:type="dxa"/>
            <w:vAlign w:val="center"/>
          </w:tcPr>
          <w:p w14:paraId="54E417C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是否以单项报价核定低于成本</w:t>
            </w:r>
          </w:p>
        </w:tc>
        <w:tc>
          <w:tcPr>
            <w:tcW w:w="5379" w:type="dxa"/>
            <w:vAlign w:val="center"/>
          </w:tcPr>
          <w:p w14:paraId="55305A8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00A8"/>
            </w:r>
            <w:r>
              <w:rPr>
                <w:rFonts w:hint="eastAsia" w:cs="宋体" w:asciiTheme="minorEastAsia" w:hAnsiTheme="minorEastAsia" w:eastAsiaTheme="minorEastAsia"/>
                <w:szCs w:val="21"/>
                <w:highlight w:val="none"/>
              </w:rPr>
              <w:t>不要求</w:t>
            </w:r>
          </w:p>
          <w:p w14:paraId="60885707">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6C6556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D30A36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2.2.1</w:t>
            </w:r>
          </w:p>
        </w:tc>
        <w:tc>
          <w:tcPr>
            <w:tcW w:w="2082" w:type="dxa"/>
            <w:vAlign w:val="center"/>
          </w:tcPr>
          <w:p w14:paraId="297AE86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踏勘现场</w:t>
            </w:r>
          </w:p>
        </w:tc>
        <w:tc>
          <w:tcPr>
            <w:tcW w:w="5379" w:type="dxa"/>
            <w:vAlign w:val="center"/>
          </w:tcPr>
          <w:p w14:paraId="4BC07BC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不组织</w:t>
            </w:r>
          </w:p>
          <w:p w14:paraId="5154427D">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□组织，踏勘现场的时间、地点：</w:t>
            </w:r>
            <w:r>
              <w:rPr>
                <w:rFonts w:hint="eastAsia" w:asciiTheme="minorEastAsia" w:hAnsiTheme="minorEastAsia" w:eastAsiaTheme="minorEastAsia"/>
                <w:szCs w:val="21"/>
                <w:highlight w:val="none"/>
                <w:u w:val="single"/>
              </w:rPr>
              <w:t>【XX年XX月XX日XX时XX分】，【具体踏勘地点】</w:t>
            </w:r>
          </w:p>
        </w:tc>
      </w:tr>
      <w:tr w14:paraId="2C8545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D4CD3A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2.3</w:t>
            </w:r>
          </w:p>
        </w:tc>
        <w:tc>
          <w:tcPr>
            <w:tcW w:w="2082" w:type="dxa"/>
            <w:vAlign w:val="center"/>
          </w:tcPr>
          <w:p w14:paraId="7330745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投标预备会</w:t>
            </w:r>
          </w:p>
        </w:tc>
        <w:tc>
          <w:tcPr>
            <w:tcW w:w="5379" w:type="dxa"/>
            <w:vAlign w:val="center"/>
          </w:tcPr>
          <w:p w14:paraId="35CB5D0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不召开</w:t>
            </w:r>
          </w:p>
          <w:p w14:paraId="62B39DFD">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□召开，召开投标预备会时间、地点：</w:t>
            </w:r>
            <w:r>
              <w:rPr>
                <w:rFonts w:hint="eastAsia" w:asciiTheme="minorEastAsia" w:hAnsiTheme="minorEastAsia" w:eastAsiaTheme="minorEastAsia"/>
                <w:szCs w:val="21"/>
                <w:highlight w:val="none"/>
                <w:u w:val="single"/>
              </w:rPr>
              <w:t>【XX年XX月XX日XX时XX分】，【具体召开预备会地点，具体到会议室】</w:t>
            </w:r>
          </w:p>
        </w:tc>
      </w:tr>
      <w:tr w14:paraId="3FEBF0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86444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2.4.1</w:t>
            </w:r>
          </w:p>
        </w:tc>
        <w:tc>
          <w:tcPr>
            <w:tcW w:w="2082" w:type="dxa"/>
            <w:vAlign w:val="center"/>
          </w:tcPr>
          <w:p w14:paraId="110F159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投标人提出澄清问题的截止时间和方式</w:t>
            </w:r>
          </w:p>
        </w:tc>
        <w:tc>
          <w:tcPr>
            <w:tcW w:w="5379" w:type="dxa"/>
            <w:vAlign w:val="center"/>
          </w:tcPr>
          <w:p w14:paraId="7D93335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Theme="minorEastAsia" w:hAnsiTheme="minorEastAsia" w:eastAsiaTheme="minorEastAsia"/>
                <w:szCs w:val="21"/>
                <w:highlight w:val="none"/>
              </w:rPr>
              <w:t>投标截止时间前10日。</w:t>
            </w:r>
          </w:p>
          <w:p w14:paraId="16F193F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提出澄清的方式：</w:t>
            </w:r>
            <w:r>
              <w:rPr>
                <w:rFonts w:hint="eastAsia" w:asciiTheme="minorEastAsia" w:hAnsiTheme="minorEastAsia" w:eastAsiaTheme="minorEastAsia"/>
                <w:szCs w:val="21"/>
                <w:highlight w:val="none"/>
              </w:rPr>
              <w:t>通过中国电信电子采购系统提出。</w:t>
            </w:r>
          </w:p>
        </w:tc>
      </w:tr>
      <w:tr w14:paraId="5646ED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6BA4F38D">
            <w:pPr>
              <w:autoSpaceDE w:val="0"/>
              <w:autoSpaceDN w:val="0"/>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4.2</w:t>
            </w:r>
          </w:p>
        </w:tc>
        <w:tc>
          <w:tcPr>
            <w:tcW w:w="2082" w:type="dxa"/>
            <w:vAlign w:val="center"/>
          </w:tcPr>
          <w:p w14:paraId="47453D2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招标人发出招标文件澄清或者修改的截止时间和方式</w:t>
            </w:r>
          </w:p>
        </w:tc>
        <w:tc>
          <w:tcPr>
            <w:tcW w:w="5379" w:type="dxa"/>
            <w:vAlign w:val="center"/>
          </w:tcPr>
          <w:p w14:paraId="1B032A4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宋体" w:hAnsi="宋体"/>
                <w:color w:val="000000" w:themeColor="text1"/>
                <w:szCs w:val="21"/>
                <w:highlight w:val="none"/>
                <w14:textFill>
                  <w14:solidFill>
                    <w14:schemeClr w14:val="tx1"/>
                  </w14:solidFill>
                </w14:textFill>
              </w:rPr>
              <w:t>投标截止时间10天（日历天）</w:t>
            </w:r>
            <w:r>
              <w:rPr>
                <w:rFonts w:hint="eastAsia" w:ascii="宋体" w:hAnsi="宋体" w:cs="宋体"/>
                <w:color w:val="000000" w:themeColor="text1"/>
                <w:szCs w:val="21"/>
                <w:highlight w:val="none"/>
                <w14:textFill>
                  <w14:solidFill>
                    <w14:schemeClr w14:val="tx1"/>
                  </w14:solidFill>
                </w14:textFill>
              </w:rPr>
              <w:t>前。</w:t>
            </w:r>
          </w:p>
          <w:p w14:paraId="6CB5FB7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发出澄清或者修改的方式：</w:t>
            </w:r>
            <w:r>
              <w:rPr>
                <w:rFonts w:hint="eastAsia" w:asciiTheme="minorEastAsia" w:hAnsiTheme="minorEastAsia" w:eastAsiaTheme="minorEastAsia"/>
                <w:szCs w:val="21"/>
                <w:highlight w:val="none"/>
              </w:rPr>
              <w:t>通过中国电信电子采购系统发出。</w:t>
            </w:r>
          </w:p>
        </w:tc>
      </w:tr>
      <w:tr w14:paraId="27C846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89F35C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2.4.4</w:t>
            </w:r>
          </w:p>
        </w:tc>
        <w:tc>
          <w:tcPr>
            <w:tcW w:w="2082" w:type="dxa"/>
            <w:vAlign w:val="center"/>
          </w:tcPr>
          <w:p w14:paraId="4B741C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投标人确认收到澄清或者修改的时间和方式</w:t>
            </w:r>
          </w:p>
        </w:tc>
        <w:tc>
          <w:tcPr>
            <w:tcW w:w="5379" w:type="dxa"/>
            <w:vAlign w:val="center"/>
          </w:tcPr>
          <w:p w14:paraId="3DA4EED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投标人收到澄清或修改文件后1日内以</w:t>
            </w:r>
            <w:r>
              <w:rPr>
                <w:rFonts w:hint="eastAsia" w:asciiTheme="minorEastAsia" w:hAnsiTheme="minorEastAsia" w:eastAsiaTheme="minorEastAsia"/>
                <w:szCs w:val="21"/>
                <w:highlight w:val="none"/>
              </w:rPr>
              <w:t>书面方式确认（包括中国电信电子采购系统等形式）。</w:t>
            </w:r>
          </w:p>
        </w:tc>
      </w:tr>
      <w:tr w14:paraId="672AAF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3E7DD8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2.5</w:t>
            </w:r>
          </w:p>
        </w:tc>
        <w:tc>
          <w:tcPr>
            <w:tcW w:w="2082" w:type="dxa"/>
            <w:vAlign w:val="center"/>
          </w:tcPr>
          <w:p w14:paraId="5E42811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招标文件的异议</w:t>
            </w:r>
          </w:p>
        </w:tc>
        <w:tc>
          <w:tcPr>
            <w:tcW w:w="5379" w:type="dxa"/>
            <w:vAlign w:val="center"/>
          </w:tcPr>
          <w:p w14:paraId="7F4C7F9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潜在投标人或者其他利害关系人对招标文件有异议的，应当在投标截止时间10日前【登录</w:t>
            </w:r>
            <w:r>
              <w:rPr>
                <w:rFonts w:cs="宋体" w:asciiTheme="minorEastAsia" w:hAnsiTheme="minorEastAsia" w:eastAsiaTheme="minorEastAsia"/>
                <w:szCs w:val="21"/>
                <w:highlight w:val="none"/>
              </w:rPr>
              <w:t>中国电信阳光采购网</w:t>
            </w:r>
            <w:r>
              <w:rPr>
                <w:rFonts w:hint="eastAsia" w:cs="宋体" w:asciiTheme="minorEastAsia" w:hAnsiTheme="minorEastAsia" w:eastAsiaTheme="minorEastAsia"/>
                <w:szCs w:val="21"/>
                <w:highlight w:val="none"/>
              </w:rPr>
              <w:t>（</w:t>
            </w:r>
            <w:r>
              <w:rPr>
                <w:rFonts w:hint="eastAsia" w:ascii="宋体" w:hAnsi="宋体" w:cs="宋体"/>
                <w:color w:val="000000" w:themeColor="text1"/>
                <w:szCs w:val="21"/>
                <w:highlight w:val="none"/>
                <w14:textFill>
                  <w14:solidFill>
                    <w14:schemeClr w14:val="tx1"/>
                  </w14:solidFill>
                </w14:textFill>
              </w:rPr>
              <w:t>https://caigou.chinatelecom.com.cn</w:t>
            </w:r>
            <w:r>
              <w:rPr>
                <w:rFonts w:hint="eastAsia" w:cs="宋体" w:asciiTheme="minorEastAsia" w:hAnsiTheme="minorEastAsia" w:eastAsiaTheme="minorEastAsia"/>
                <w:szCs w:val="21"/>
                <w:highlight w:val="none"/>
              </w:rPr>
              <w:t>）后，通过“招投标-采购异议-提出异议”模块提出】。招标人将在收到异议之日起 3 日内作出答复；作出答复前，将暂停招标投标活动。已作出明确答复，且无新的事实证据，就同一事项反复提出异议的，不予受理。</w:t>
            </w:r>
          </w:p>
        </w:tc>
      </w:tr>
      <w:tr w14:paraId="146302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B2679B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w:t>
            </w:r>
          </w:p>
        </w:tc>
        <w:tc>
          <w:tcPr>
            <w:tcW w:w="2082" w:type="dxa"/>
            <w:vAlign w:val="center"/>
          </w:tcPr>
          <w:p w14:paraId="6B0CCE9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投标文件组成</w:t>
            </w:r>
          </w:p>
        </w:tc>
        <w:tc>
          <w:tcPr>
            <w:tcW w:w="5379" w:type="dxa"/>
            <w:vAlign w:val="center"/>
          </w:tcPr>
          <w:p w14:paraId="5B92D8C4">
            <w:pPr>
              <w:autoSpaceDE w:val="0"/>
              <w:autoSpaceDN w:val="0"/>
              <w:rPr>
                <w:rFonts w:hint="eastAsia" w:ascii="宋体" w:hAnsi="宋体" w:cs="宋体"/>
                <w:b/>
                <w:bCs/>
                <w:color w:val="000000" w:themeColor="text1"/>
                <w:szCs w:val="21"/>
                <w:highlight w:val="none"/>
                <w14:textFill>
                  <w14:solidFill>
                    <w14:schemeClr w14:val="tx1"/>
                  </w14:solidFill>
                </w14:textFill>
              </w:rPr>
            </w:pPr>
            <w:bookmarkStart w:id="56" w:name="_Toc5292"/>
            <w:bookmarkStart w:id="57" w:name="_Toc11958"/>
            <w:r>
              <w:rPr>
                <w:rFonts w:hint="eastAsia" w:ascii="宋体" w:hAnsi="宋体" w:cs="宋体"/>
                <w:b/>
                <w:bCs/>
                <w:color w:val="000000" w:themeColor="text1"/>
                <w:szCs w:val="21"/>
                <w:highlight w:val="none"/>
                <w14:textFill>
                  <w14:solidFill>
                    <w14:schemeClr w14:val="tx1"/>
                  </w14:solidFill>
                </w14:textFill>
              </w:rPr>
              <w:t>第一分册 商务投标文件</w:t>
            </w:r>
            <w:bookmarkEnd w:id="56"/>
            <w:bookmarkEnd w:id="57"/>
          </w:p>
          <w:p w14:paraId="72F5397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1.商务投标文件封面</w:t>
            </w:r>
          </w:p>
          <w:p w14:paraId="525925B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2.初步评审索引表</w:t>
            </w:r>
          </w:p>
          <w:p w14:paraId="6A14A03C">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3.商务及服务评审索引表</w:t>
            </w:r>
          </w:p>
          <w:p w14:paraId="45A9E676">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4.投标专用印章授权函（如有）</w:t>
            </w:r>
          </w:p>
          <w:p w14:paraId="2D71D5FB">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5.投标函</w:t>
            </w:r>
          </w:p>
          <w:p w14:paraId="3E677D0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6.法定代表人/负责人身份证明</w:t>
            </w:r>
          </w:p>
          <w:p w14:paraId="25587E8E">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7.法定代表人/负责人授权委托书</w:t>
            </w:r>
          </w:p>
          <w:p w14:paraId="2A0FE90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8.廉洁投标承诺书</w:t>
            </w:r>
          </w:p>
          <w:p w14:paraId="607FD53D">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9.近【五】年发生的诉讼及仲裁情况</w:t>
            </w:r>
          </w:p>
          <w:p w14:paraId="3F7D7A5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10.招标代理服务费支付承诺函</w:t>
            </w:r>
          </w:p>
          <w:p w14:paraId="7352544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11.不得存在情形承诺</w:t>
            </w:r>
          </w:p>
          <w:p w14:paraId="5A1EF182">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12.开具增值税专用发票承诺</w:t>
            </w:r>
          </w:p>
          <w:p w14:paraId="29A9F59F">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13.特定关系信息收集表</w:t>
            </w:r>
          </w:p>
          <w:p w14:paraId="4F8A7B5D">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14.资格审查资料</w:t>
            </w:r>
          </w:p>
          <w:p w14:paraId="0D888B70">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15.投标人控股及管理关系情况申报表</w:t>
            </w:r>
          </w:p>
          <w:p w14:paraId="69DB8CA1">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16.商务条款偏离表</w:t>
            </w:r>
          </w:p>
          <w:p w14:paraId="0271FE5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17.合同条款偏离表</w:t>
            </w:r>
          </w:p>
          <w:p w14:paraId="746E4CF9">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18.投标人须知前附表偏离表</w:t>
            </w:r>
          </w:p>
          <w:p w14:paraId="3015D818">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19.网络及信息安全承诺书</w:t>
            </w:r>
          </w:p>
          <w:p w14:paraId="2A65EF55">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20.开源软件、第三方软件清单及合法获取开源软件、第三方软件使用权的证明</w:t>
            </w:r>
          </w:p>
          <w:p w14:paraId="70F81BD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21.销售/转许可同意函</w:t>
            </w:r>
          </w:p>
          <w:p w14:paraId="45FCAF04">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22.投标保函</w:t>
            </w:r>
          </w:p>
          <w:p w14:paraId="2474EC6B">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23.基本开户银行情况</w:t>
            </w:r>
          </w:p>
          <w:p w14:paraId="1FC6A23F">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24.业绩情况表</w:t>
            </w:r>
          </w:p>
          <w:p w14:paraId="45F9BC2A">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25.社会保险经办机构出具的投标人为职工缴纳社会保险的单位缴费信息记录</w:t>
            </w:r>
          </w:p>
          <w:p w14:paraId="538B5335">
            <w:pPr>
              <w:autoSpaceDE w:val="0"/>
              <w:autoSpaceDN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26.知识产权不侵权承诺函</w:t>
            </w:r>
          </w:p>
          <w:p w14:paraId="38CD6D0D">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27.供应链数字化配合说明</w:t>
            </w:r>
          </w:p>
          <w:p w14:paraId="64AE11E2">
            <w:pPr>
              <w:autoSpaceDE w:val="0"/>
              <w:autoSpaceDN w:val="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第二分册 技术投标文件</w:t>
            </w:r>
          </w:p>
          <w:p w14:paraId="4B7B36A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28.技术投标文件封面</w:t>
            </w:r>
          </w:p>
          <w:p w14:paraId="44579EB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29.技术服务评审索引表</w:t>
            </w:r>
          </w:p>
          <w:p w14:paraId="76AD85E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30.技术规范书偏离表</w:t>
            </w:r>
          </w:p>
          <w:p w14:paraId="1D378C4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31.技术规范书点对点应答</w:t>
            </w:r>
          </w:p>
          <w:p w14:paraId="7FFDA0E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32.技术建议书</w:t>
            </w:r>
          </w:p>
          <w:p w14:paraId="664E7D9A">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33.技术规范书中明确要求投标人提供的其他相关文件</w:t>
            </w:r>
          </w:p>
          <w:p w14:paraId="2786077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34.外部组件软件成分信息清单模版</w:t>
            </w:r>
          </w:p>
          <w:p w14:paraId="5B81B4A8">
            <w:pPr>
              <w:autoSpaceDE w:val="0"/>
              <w:autoSpaceDN w:val="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第三分册 报价文件</w:t>
            </w:r>
          </w:p>
          <w:p w14:paraId="55512AF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35.报价文件封面</w:t>
            </w:r>
          </w:p>
          <w:p w14:paraId="1471F45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36.投标一览表</w:t>
            </w:r>
          </w:p>
        </w:tc>
      </w:tr>
      <w:tr w14:paraId="15681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559F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3.2.2</w:t>
            </w:r>
          </w:p>
        </w:tc>
        <w:tc>
          <w:tcPr>
            <w:tcW w:w="2082" w:type="dxa"/>
            <w:vAlign w:val="center"/>
          </w:tcPr>
          <w:p w14:paraId="53EEBAB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投标文件应答和编写</w:t>
            </w:r>
          </w:p>
        </w:tc>
        <w:tc>
          <w:tcPr>
            <w:tcW w:w="5379" w:type="dxa"/>
            <w:vAlign w:val="center"/>
          </w:tcPr>
          <w:p w14:paraId="65262E91">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5C8B92E8">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投标文件应答和编写的具体要求如下：</w:t>
            </w:r>
          </w:p>
          <w:p w14:paraId="7B121C15">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（1）投标人应当按照招标文件的要求编制投标文件，投标文件应当对招标文件提出的实质性要求和条件作出响应。</w:t>
            </w:r>
          </w:p>
          <w:p w14:paraId="47AD2E5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（2）投标人应当认真阅读招标文件中所有的事项、格式、条款和技术规范等。</w:t>
            </w:r>
          </w:p>
          <w:p w14:paraId="5A2E1F3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（3）投标人递交的投标文件以及投标人与招标人就有关投标的所有往来函电均应当使用中文。投标人递交的证明文件和文献可以使用另一种语言，但相应内容应当译成中文，在解释投标文件时以中文译本为准。</w:t>
            </w:r>
          </w:p>
          <w:p w14:paraId="5DC773A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投标人为联合体的，投标人除按照上述要求编制外，还应遵守以下要求：</w:t>
            </w:r>
          </w:p>
          <w:p w14:paraId="39892EF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所有联合体成员均应提供的文件包括：法定代表人/负责人身份证明、投标人控股及管理关系申报表、廉洁投标承诺书、近年发生的诉讼及仲裁情况、投标人登记注册证明文件，除联合体牵头人外的其它各方均应分别提供并加盖单位公章。</w:t>
            </w:r>
          </w:p>
          <w:p w14:paraId="73EBD2D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（2）其他文件的编制要求根据项目实际情况自行细化。</w:t>
            </w:r>
          </w:p>
        </w:tc>
      </w:tr>
      <w:tr w14:paraId="25FCF4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5849BC9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3.2.5</w:t>
            </w:r>
          </w:p>
        </w:tc>
        <w:tc>
          <w:tcPr>
            <w:tcW w:w="2082" w:type="dxa"/>
            <w:vAlign w:val="center"/>
          </w:tcPr>
          <w:p w14:paraId="27CC579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电子投标文件的编制</w:t>
            </w:r>
          </w:p>
        </w:tc>
        <w:tc>
          <w:tcPr>
            <w:tcW w:w="5379" w:type="dxa"/>
            <w:vAlign w:val="center"/>
          </w:tcPr>
          <w:p w14:paraId="0CF975C2">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投标人需按照如下要求编制电子投标文件：</w:t>
            </w:r>
          </w:p>
          <w:p w14:paraId="249C82DC">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（1）电子投标文件需使用专用制作工具编制，投标人需通过中国电信阳光采购网“操作指引-电子采购-驱动和投标文件制作工具下载指引”模块，按指引下载并安装“中国电信投标文件制作工具”。</w:t>
            </w:r>
          </w:p>
          <w:p w14:paraId="3200974E">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（2）投标文件需按照组成部分分别完成编制，单个组成部分大小不超过50Mb，总容量不超过500Mb。</w:t>
            </w:r>
          </w:p>
          <w:p w14:paraId="6F0D574B">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（3）电子投标文件以及相关证明文件均须清晰可读，明确要求的内容不得遮盖、隐藏，否则视为未提供。</w:t>
            </w:r>
          </w:p>
          <w:p w14:paraId="44C230DF">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（4）电子投标文件须使用投标人CA数字证书签章和加密，未按规定签章和加密的电子投标文件无法上传。</w:t>
            </w:r>
          </w:p>
          <w:p w14:paraId="60008A71">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（5）需投标人与其他第三方共同签字盖章的文件、需联合体各方签字盖章的文件，投标人与其他第三方均应按文件要求进行签字盖章，并上传扫描件，如制造商授权函、联合体协议书等；</w:t>
            </w:r>
          </w:p>
          <w:p w14:paraId="0F9C235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仅需第三方签字盖章的文件，投标人应上传经第三方签字盖章后的扫描件，如要求制造商单独提供的网络</w:t>
            </w:r>
            <w:r>
              <w:rPr>
                <w:rFonts w:hint="eastAsia" w:cs="宋体" w:asciiTheme="minorEastAsia" w:hAnsiTheme="minorEastAsia" w:eastAsiaTheme="minorEastAsia"/>
                <w:szCs w:val="21"/>
                <w:highlight w:val="none"/>
                <w:lang w:val="en-US" w:eastAsia="zh-CN"/>
              </w:rPr>
              <w:t>及</w:t>
            </w:r>
            <w:r>
              <w:rPr>
                <w:rFonts w:hint="eastAsia" w:cs="宋体" w:asciiTheme="minorEastAsia" w:hAnsiTheme="minorEastAsia" w:eastAsiaTheme="minorEastAsia"/>
                <w:szCs w:val="21"/>
                <w:highlight w:val="none"/>
              </w:rPr>
              <w:t>信息安全承诺书等；</w:t>
            </w:r>
          </w:p>
          <w:p w14:paraId="4DF8DB0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解密成功的投标文件中，仅需投标人签字盖章的文件，视为已按招标文件要求进行了签字盖章。</w:t>
            </w:r>
          </w:p>
          <w:p w14:paraId="70B3319A">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投标产品制造商注册地在中华人民共和国境外（与中华人民共和国有正常贸易与往来的国家或地区）及香港、澳门、台湾地区，必须使用代理商投标和签订销售合同且无法加盖单位公章的，投标文件中需制造商出具的文件应由有签署权的代表签字确认，并提供委托签署权的相关证明材料。</w:t>
            </w:r>
          </w:p>
          <w:p w14:paraId="1198AFA5">
            <w:pPr>
              <w:autoSpaceDE w:val="0"/>
              <w:autoSpaceDN w:val="0"/>
              <w:jc w:val="left"/>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7）投标保证金（如有）以支票、汇票、投标保函、保险等形式递交的，必须递交纸质原件（采用线上开具的情况除外，如：电子保险），且应密封装于独立的信封内，信封上标明“投标保证金”字样，并在封口处加盖单位公章或投标专用章的骑缝章（采用线上开具的情况除外，如：电子保险）</w:t>
            </w:r>
            <w:r>
              <w:rPr>
                <w:rFonts w:hint="eastAsia" w:cs="宋体" w:asciiTheme="minorEastAsia" w:hAnsiTheme="minorEastAsia" w:eastAsiaTheme="minorEastAsia"/>
                <w:szCs w:val="21"/>
                <w:highlight w:val="none"/>
                <w:lang w:val="en-US" w:eastAsia="zh-CN"/>
              </w:rPr>
              <w:t>。</w:t>
            </w:r>
          </w:p>
          <w:p w14:paraId="6BF1EB69">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（8）如业绩等证明文件超出电子投标文件单个组成部分大小限制，须按下方操作：</w:t>
            </w:r>
          </w:p>
          <w:p w14:paraId="72524800">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①投标人须在“中国电信投标文件制作工具”中对应文件位置上传业绩情况表及说明等文件，说明中必须包含“该证明文件超过50Mb，我方承诺在电子采购系统上递交的大附件为真实有效的文件”。</w:t>
            </w:r>
          </w:p>
          <w:p w14:paraId="0180C404">
            <w:pPr>
              <w:autoSpaceDE w:val="0"/>
              <w:autoSpaceDN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②该证明文件通过中国电信电子采购系统“投标文件递交-04大附件上传”进行提交。</w:t>
            </w:r>
          </w:p>
        </w:tc>
      </w:tr>
      <w:tr w14:paraId="30C73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CFE1E9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3.3.3</w:t>
            </w:r>
          </w:p>
        </w:tc>
        <w:tc>
          <w:tcPr>
            <w:tcW w:w="2082" w:type="dxa"/>
            <w:vAlign w:val="center"/>
          </w:tcPr>
          <w:p w14:paraId="62F96217">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最高投标限价或者其计算方法</w:t>
            </w:r>
          </w:p>
        </w:tc>
        <w:tc>
          <w:tcPr>
            <w:tcW w:w="5379" w:type="dxa"/>
            <w:vAlign w:val="center"/>
          </w:tcPr>
          <w:p w14:paraId="55C75C80">
            <w:pPr>
              <w:autoSpaceDE w:val="0"/>
              <w:autoSpaceDN w:val="0"/>
              <w:jc w:val="both"/>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□不设置最高投标限价</w:t>
            </w:r>
          </w:p>
          <w:p w14:paraId="563232E4">
            <w:pPr>
              <w:autoSpaceDE w:val="0"/>
              <w:autoSpaceDN w:val="0"/>
              <w:jc w:val="both"/>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设置最高投标限价，最高投标限价详见第一章招标公告。</w:t>
            </w:r>
          </w:p>
        </w:tc>
      </w:tr>
      <w:tr w14:paraId="554138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BAA80A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3.3.5</w:t>
            </w:r>
          </w:p>
        </w:tc>
        <w:tc>
          <w:tcPr>
            <w:tcW w:w="2082" w:type="dxa"/>
            <w:vAlign w:val="center"/>
          </w:tcPr>
          <w:p w14:paraId="7C2B99F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w:t>
            </w:r>
            <w:r>
              <w:rPr>
                <w:rFonts w:hint="eastAsia" w:asciiTheme="minorEastAsia" w:hAnsiTheme="minorEastAsia" w:eastAsiaTheme="minorEastAsia"/>
                <w:highlight w:val="none"/>
              </w:rPr>
              <w:t>优惠条件</w:t>
            </w:r>
          </w:p>
        </w:tc>
        <w:tc>
          <w:tcPr>
            <w:tcW w:w="5379" w:type="dxa"/>
            <w:vAlign w:val="center"/>
          </w:tcPr>
          <w:p w14:paraId="1440285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□报优惠价</w:t>
            </w:r>
          </w:p>
          <w:p w14:paraId="176F3DBE">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不接受报优惠价</w:t>
            </w:r>
          </w:p>
          <w:p w14:paraId="41CE664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□报优惠价的其他方式：【具体方式】</w:t>
            </w:r>
          </w:p>
        </w:tc>
      </w:tr>
      <w:tr w14:paraId="3F4A75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79" w:hRule="atLeast"/>
        </w:trPr>
        <w:tc>
          <w:tcPr>
            <w:tcW w:w="840" w:type="dxa"/>
            <w:vAlign w:val="center"/>
          </w:tcPr>
          <w:p w14:paraId="63E8A0E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3.3.6</w:t>
            </w:r>
          </w:p>
        </w:tc>
        <w:tc>
          <w:tcPr>
            <w:tcW w:w="2082" w:type="dxa"/>
            <w:vAlign w:val="center"/>
          </w:tcPr>
          <w:p w14:paraId="35D1A39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投标报价具体要求</w:t>
            </w:r>
          </w:p>
        </w:tc>
        <w:tc>
          <w:tcPr>
            <w:tcW w:w="5379" w:type="dxa"/>
            <w:vAlign w:val="center"/>
          </w:tcPr>
          <w:p w14:paraId="4AC335A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1541D51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投标报价书格式和内容详见第六章中“投标一览表”。</w:t>
            </w:r>
          </w:p>
        </w:tc>
      </w:tr>
      <w:tr w14:paraId="356E65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A728F8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3.4.1</w:t>
            </w:r>
          </w:p>
        </w:tc>
        <w:tc>
          <w:tcPr>
            <w:tcW w:w="2082" w:type="dxa"/>
            <w:vAlign w:val="center"/>
          </w:tcPr>
          <w:p w14:paraId="550BCE9E">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投标有效期</w:t>
            </w:r>
          </w:p>
        </w:tc>
        <w:tc>
          <w:tcPr>
            <w:tcW w:w="5379" w:type="dxa"/>
            <w:vAlign w:val="center"/>
          </w:tcPr>
          <w:p w14:paraId="593A0F3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投标有效期：120天。</w:t>
            </w:r>
          </w:p>
        </w:tc>
      </w:tr>
      <w:tr w14:paraId="7D75C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1F446E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3.5.1</w:t>
            </w:r>
          </w:p>
        </w:tc>
        <w:tc>
          <w:tcPr>
            <w:tcW w:w="2082" w:type="dxa"/>
            <w:vAlign w:val="center"/>
          </w:tcPr>
          <w:p w14:paraId="7EA03E75">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投标保证金</w:t>
            </w:r>
          </w:p>
        </w:tc>
        <w:tc>
          <w:tcPr>
            <w:tcW w:w="5379" w:type="dxa"/>
            <w:vAlign w:val="center"/>
          </w:tcPr>
          <w:p w14:paraId="0D6C6468">
            <w:pPr>
              <w:autoSpaceDE w:val="0"/>
              <w:autoSpaceDN w:val="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要求递交投标保证金</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投标保证金金额</w:t>
            </w:r>
            <w:r>
              <w:rPr>
                <w:rFonts w:hint="eastAsia" w:cs="宋体" w:asciiTheme="minorEastAsia" w:hAnsiTheme="minorEastAsia" w:eastAsiaTheme="minorEastAsia"/>
                <w:szCs w:val="21"/>
                <w:highlight w:val="none"/>
                <w:lang w:val="en-US" w:eastAsia="zh-CN"/>
              </w:rPr>
              <w:t>如下</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人民币6800元</w:t>
            </w:r>
          </w:p>
          <w:p w14:paraId="42929A5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□无需递交投标保证金</w:t>
            </w:r>
          </w:p>
        </w:tc>
      </w:tr>
      <w:tr w14:paraId="13AE93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9B8CB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2</w:t>
            </w:r>
          </w:p>
        </w:tc>
        <w:tc>
          <w:tcPr>
            <w:tcW w:w="2082" w:type="dxa"/>
            <w:vAlign w:val="center"/>
          </w:tcPr>
          <w:p w14:paraId="44DA5A7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投标保证金形式</w:t>
            </w:r>
          </w:p>
        </w:tc>
        <w:tc>
          <w:tcPr>
            <w:tcW w:w="5379" w:type="dxa"/>
            <w:vAlign w:val="center"/>
          </w:tcPr>
          <w:p w14:paraId="2AB2285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投标保证金形式包括在中国注册的银行出具的银行保函、银行汇款、支票、汇票以及其他在中国注册的机构依法出具的投标保函、保险等，以银行汇款、支票、汇票等形式提交的投标保证金应当从投标人账户转出</w:t>
            </w:r>
          </w:p>
          <w:p w14:paraId="74925BA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以银行汇款等形式提交投标保证金的，投标保证金缴纳至如下账户：</w:t>
            </w:r>
          </w:p>
          <w:p w14:paraId="2EBA8AF2">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开户银行：中信银行股份有限公司贵阳林城西路支行  </w:t>
            </w:r>
          </w:p>
          <w:p w14:paraId="741261B4">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银行账号：8113201012700144272 </w:t>
            </w:r>
          </w:p>
          <w:p w14:paraId="1912BA3F">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开户名称：中通服供应链股份有限公司贵州分公司</w:t>
            </w:r>
          </w:p>
          <w:p w14:paraId="47EBC59E">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以银行保函、投标保函、保险形式提交投标保证金的，保函、保险中应当写明受益人为[</w:t>
            </w:r>
            <w:r>
              <w:rPr>
                <w:rFonts w:hint="eastAsia" w:cs="宋体" w:asciiTheme="minorEastAsia" w:hAnsiTheme="minorEastAsia" w:eastAsiaTheme="minorEastAsia"/>
                <w:szCs w:val="21"/>
                <w:highlight w:val="none"/>
                <w:lang w:eastAsia="zh-CN"/>
              </w:rPr>
              <w:t>中国电信股份有限公司遵义分公司</w:t>
            </w:r>
            <w:r>
              <w:rPr>
                <w:rFonts w:hint="eastAsia" w:cs="宋体" w:asciiTheme="minorEastAsia" w:hAnsiTheme="minorEastAsia" w:eastAsiaTheme="minorEastAsia"/>
                <w:szCs w:val="21"/>
                <w:highlight w:val="none"/>
              </w:rPr>
              <w:t>]，担保项目为</w:t>
            </w:r>
            <w:r>
              <w:rPr>
                <w:rFonts w:hint="eastAsia" w:cs="宋体" w:asciiTheme="minorEastAsia" w:hAnsiTheme="minorEastAsia" w:eastAsiaTheme="minorEastAsia"/>
                <w:szCs w:val="21"/>
                <w:highlight w:val="none"/>
                <w:u w:val="single"/>
                <w:lang w:eastAsia="zh-CN"/>
              </w:rPr>
              <w:t>2025年中国电信遵义分公司中间件框架物资采购（</w:t>
            </w:r>
            <w:r>
              <w:rPr>
                <w:rFonts w:hint="eastAsia" w:cs="宋体" w:asciiTheme="minorEastAsia" w:hAnsiTheme="minorEastAsia" w:eastAsiaTheme="minorEastAsia"/>
                <w:szCs w:val="21"/>
                <w:highlight w:val="none"/>
                <w:u w:val="single"/>
                <w:lang w:val="en-US" w:eastAsia="zh-CN"/>
              </w:rPr>
              <w:t>标包2）</w:t>
            </w:r>
            <w:r>
              <w:rPr>
                <w:rFonts w:hint="eastAsia" w:cs="宋体" w:asciiTheme="minorEastAsia" w:hAnsiTheme="minorEastAsia" w:eastAsiaTheme="minorEastAsia"/>
                <w:szCs w:val="21"/>
                <w:highlight w:val="none"/>
              </w:rPr>
              <w:t>，担保有效期应覆盖投标有效期。保函、保险原件等应作为投标文件在投标截止时间前提交到：具体地址：</w:t>
            </w:r>
            <w:r>
              <w:rPr>
                <w:rFonts w:hint="eastAsia" w:cs="宋体" w:asciiTheme="minorEastAsia" w:hAnsiTheme="minorEastAsia" w:eastAsiaTheme="minorEastAsia"/>
                <w:szCs w:val="21"/>
                <w:highlight w:val="none"/>
                <w:u w:val="single"/>
                <w:lang w:val="en-US" w:eastAsia="zh-CN"/>
              </w:rPr>
              <w:t>遵义市大兴路249号中国电信遵义分公司采购中心209会议室</w:t>
            </w:r>
            <w:r>
              <w:rPr>
                <w:rFonts w:hint="eastAsia" w:cs="宋体" w:asciiTheme="minorEastAsia" w:hAnsiTheme="minorEastAsia" w:eastAsiaTheme="minorEastAsia"/>
                <w:szCs w:val="21"/>
                <w:highlight w:val="none"/>
                <w:u w:val="single"/>
              </w:rPr>
              <w:t>。</w:t>
            </w:r>
          </w:p>
        </w:tc>
      </w:tr>
      <w:tr w14:paraId="612B69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ACDBC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3.5.4</w:t>
            </w:r>
          </w:p>
        </w:tc>
        <w:tc>
          <w:tcPr>
            <w:tcW w:w="2082" w:type="dxa"/>
            <w:vAlign w:val="center"/>
          </w:tcPr>
          <w:p w14:paraId="2243984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投标保证金不予退还的其他规定</w:t>
            </w:r>
          </w:p>
        </w:tc>
        <w:tc>
          <w:tcPr>
            <w:tcW w:w="5379" w:type="dxa"/>
            <w:vAlign w:val="center"/>
          </w:tcPr>
          <w:p w14:paraId="08A30025">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本条款增加以下规定：</w:t>
            </w:r>
          </w:p>
          <w:p w14:paraId="6F63E1E8">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（1）投标人在招标文件中规定的投标有效期内撤销投标的；</w:t>
            </w:r>
          </w:p>
          <w:p w14:paraId="6BC7A0F3">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（2）中标人无正当理由不与招标人在规定期限内订立合同、在签订合同时向招标人提出附加条件，或者不按照招标文件要求递交履约保证金的；</w:t>
            </w:r>
          </w:p>
          <w:p w14:paraId="13AF0149">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（3）投标人有串通投标、弄虚作假等行为的。</w:t>
            </w:r>
          </w:p>
        </w:tc>
      </w:tr>
      <w:tr w14:paraId="13CFE4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246E33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3.6.1</w:t>
            </w:r>
          </w:p>
        </w:tc>
        <w:tc>
          <w:tcPr>
            <w:tcW w:w="2082" w:type="dxa"/>
            <w:vAlign w:val="center"/>
          </w:tcPr>
          <w:p w14:paraId="7B6FDB6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备选投标方案</w:t>
            </w:r>
          </w:p>
        </w:tc>
        <w:tc>
          <w:tcPr>
            <w:tcW w:w="5379" w:type="dxa"/>
            <w:vAlign w:val="center"/>
          </w:tcPr>
          <w:p w14:paraId="206BEC66">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不允许</w:t>
            </w:r>
          </w:p>
          <w:p w14:paraId="37D62AD0">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允许</w:t>
            </w:r>
          </w:p>
          <w:p w14:paraId="1ED639FF">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[按照项目具体要求进行勾选]</w:t>
            </w:r>
          </w:p>
        </w:tc>
      </w:tr>
      <w:tr w14:paraId="324AE6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432B61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3.7.1</w:t>
            </w:r>
          </w:p>
        </w:tc>
        <w:tc>
          <w:tcPr>
            <w:tcW w:w="2082" w:type="dxa"/>
            <w:vAlign w:val="center"/>
          </w:tcPr>
          <w:p w14:paraId="1B13D2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投标文件份数</w:t>
            </w:r>
          </w:p>
        </w:tc>
        <w:tc>
          <w:tcPr>
            <w:tcW w:w="5379" w:type="dxa"/>
            <w:vAlign w:val="center"/>
          </w:tcPr>
          <w:p w14:paraId="7C172B27">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投标文件形式和份数：经电子采购系统成功上传的加密电子投标文件一份。</w:t>
            </w:r>
          </w:p>
        </w:tc>
      </w:tr>
      <w:tr w14:paraId="38FB27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63" w:hRule="atLeast"/>
        </w:trPr>
        <w:tc>
          <w:tcPr>
            <w:tcW w:w="840" w:type="dxa"/>
            <w:vAlign w:val="center"/>
          </w:tcPr>
          <w:p w14:paraId="3530A26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3.8</w:t>
            </w:r>
          </w:p>
        </w:tc>
        <w:tc>
          <w:tcPr>
            <w:tcW w:w="2082" w:type="dxa"/>
            <w:vAlign w:val="center"/>
          </w:tcPr>
          <w:p w14:paraId="718AB03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电子招标的投标文件上传形式</w:t>
            </w:r>
          </w:p>
        </w:tc>
        <w:tc>
          <w:tcPr>
            <w:tcW w:w="5379" w:type="dxa"/>
            <w:vAlign w:val="center"/>
          </w:tcPr>
          <w:p w14:paraId="59E66D7D">
            <w:pPr>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投标人</w:t>
            </w:r>
            <w:r>
              <w:rPr>
                <w:rFonts w:hint="eastAsia" w:asciiTheme="minorEastAsia" w:hAnsiTheme="minorEastAsia" w:eastAsiaTheme="minorEastAsia"/>
                <w:kern w:val="0"/>
                <w:highlight w:val="none"/>
              </w:rPr>
              <w:t>须</w:t>
            </w:r>
            <w:r>
              <w:rPr>
                <w:rFonts w:hint="eastAsia" w:asciiTheme="minorEastAsia" w:hAnsiTheme="minorEastAsia" w:eastAsiaTheme="minorEastAsia"/>
                <w:highlight w:val="none"/>
              </w:rPr>
              <w:t>进入【</w:t>
            </w:r>
            <w:r>
              <w:rPr>
                <w:rFonts w:hint="eastAsia" w:asciiTheme="minorEastAsia" w:hAnsiTheme="minorEastAsia" w:eastAsiaTheme="minorEastAsia"/>
                <w:szCs w:val="21"/>
                <w:highlight w:val="none"/>
                <w:u w:val="single"/>
              </w:rPr>
              <w:t>中国电信电子采购系统】</w:t>
            </w:r>
            <w:r>
              <w:rPr>
                <w:rFonts w:hint="eastAsia" w:asciiTheme="minorEastAsia" w:hAnsiTheme="minorEastAsia" w:eastAsiaTheme="minorEastAsia"/>
                <w:highlight w:val="none"/>
              </w:rPr>
              <w:t>在投标截止时间前上传加密电子投标文件。投标人可进入电子采购系统查看电子投标文件上传结果，同时可在开标前进行</w:t>
            </w:r>
            <w:r>
              <w:rPr>
                <w:rFonts w:asciiTheme="minorEastAsia" w:hAnsiTheme="minorEastAsia" w:eastAsiaTheme="minorEastAsia"/>
                <w:highlight w:val="none"/>
              </w:rPr>
              <w:t>CA证书</w:t>
            </w:r>
            <w:r>
              <w:rPr>
                <w:rFonts w:hint="eastAsia" w:asciiTheme="minorEastAsia" w:hAnsiTheme="minorEastAsia" w:eastAsiaTheme="minorEastAsia"/>
                <w:highlight w:val="none"/>
              </w:rPr>
              <w:t>匹配验证。</w:t>
            </w:r>
          </w:p>
        </w:tc>
      </w:tr>
      <w:tr w14:paraId="70155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E9016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4.1.1</w:t>
            </w:r>
          </w:p>
        </w:tc>
        <w:tc>
          <w:tcPr>
            <w:tcW w:w="2082" w:type="dxa"/>
            <w:vAlign w:val="center"/>
          </w:tcPr>
          <w:p w14:paraId="51E1BC6E">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投标文件递交截止时间</w:t>
            </w:r>
          </w:p>
        </w:tc>
        <w:tc>
          <w:tcPr>
            <w:tcW w:w="5379" w:type="dxa"/>
            <w:vAlign w:val="center"/>
          </w:tcPr>
          <w:p w14:paraId="1D2B3CE0">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详见第一章“招标公告”，为确保加密电子投标文件顺利上传至中国电信电子采购系统，请预留足够时间。</w:t>
            </w:r>
          </w:p>
        </w:tc>
      </w:tr>
      <w:tr w14:paraId="583CF5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82ACD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4.1.2</w:t>
            </w:r>
          </w:p>
        </w:tc>
        <w:tc>
          <w:tcPr>
            <w:tcW w:w="2082" w:type="dxa"/>
            <w:vAlign w:val="center"/>
          </w:tcPr>
          <w:p w14:paraId="1E3F7893">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投标文件递交地点</w:t>
            </w:r>
          </w:p>
        </w:tc>
        <w:tc>
          <w:tcPr>
            <w:tcW w:w="5379" w:type="dxa"/>
            <w:vAlign w:val="center"/>
          </w:tcPr>
          <w:p w14:paraId="546F47B1">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通过中国电信电子采购系统递交。</w:t>
            </w:r>
          </w:p>
        </w:tc>
      </w:tr>
      <w:tr w14:paraId="239AD1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A4F5E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4.1.3</w:t>
            </w:r>
          </w:p>
        </w:tc>
        <w:tc>
          <w:tcPr>
            <w:tcW w:w="2082" w:type="dxa"/>
            <w:vAlign w:val="center"/>
          </w:tcPr>
          <w:p w14:paraId="6BD1460C">
            <w:pPr>
              <w:rPr>
                <w:rFonts w:asciiTheme="minorEastAsia" w:hAnsiTheme="minorEastAsia" w:eastAsiaTheme="minorEastAsia"/>
                <w:highlight w:val="none"/>
              </w:rPr>
            </w:pPr>
            <w:r>
              <w:rPr>
                <w:rFonts w:hint="eastAsia" w:asciiTheme="minorEastAsia" w:hAnsiTheme="minorEastAsia" w:eastAsiaTheme="minorEastAsia"/>
                <w:highlight w:val="none"/>
              </w:rPr>
              <w:t>投标文件签收凭证</w:t>
            </w:r>
          </w:p>
        </w:tc>
        <w:tc>
          <w:tcPr>
            <w:tcW w:w="5379" w:type="dxa"/>
            <w:vAlign w:val="center"/>
          </w:tcPr>
          <w:p w14:paraId="5304643B">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投标人通过电子采购系统上传加密电子投标文件后，</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反馈投标文件上传结果。</w:t>
            </w:r>
          </w:p>
        </w:tc>
      </w:tr>
      <w:tr w14:paraId="1899DE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B2C212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4.1.4</w:t>
            </w:r>
          </w:p>
        </w:tc>
        <w:tc>
          <w:tcPr>
            <w:tcW w:w="2082" w:type="dxa"/>
            <w:vAlign w:val="center"/>
          </w:tcPr>
          <w:p w14:paraId="2001339F">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投标文件退还</w:t>
            </w:r>
          </w:p>
        </w:tc>
        <w:tc>
          <w:tcPr>
            <w:tcW w:w="5379" w:type="dxa"/>
            <w:vAlign w:val="center"/>
          </w:tcPr>
          <w:p w14:paraId="004D8D0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不退还</w:t>
            </w:r>
          </w:p>
          <w:p w14:paraId="26746EF1">
            <w:pPr>
              <w:autoSpaceDE w:val="0"/>
              <w:autoSpaceDN w:val="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□退还，</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投标文件退还的具体要求</w:t>
            </w:r>
            <w:r>
              <w:rPr>
                <w:rFonts w:hint="eastAsia" w:asciiTheme="minorEastAsia" w:hAnsiTheme="minorEastAsia" w:eastAsiaTheme="minorEastAsia"/>
                <w:szCs w:val="21"/>
                <w:highlight w:val="none"/>
              </w:rPr>
              <w:t>】</w:t>
            </w:r>
          </w:p>
        </w:tc>
      </w:tr>
      <w:tr w14:paraId="50386A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444D60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4.1.6</w:t>
            </w:r>
          </w:p>
        </w:tc>
        <w:tc>
          <w:tcPr>
            <w:tcW w:w="2082" w:type="dxa"/>
            <w:vAlign w:val="center"/>
          </w:tcPr>
          <w:p w14:paraId="7780BA96">
            <w:pPr>
              <w:autoSpaceDE w:val="0"/>
              <w:autoSpaceDN w:val="0"/>
              <w:rPr>
                <w:rFonts w:asciiTheme="minorEastAsia" w:hAnsiTheme="minorEastAsia" w:eastAsiaTheme="minorEastAsia"/>
                <w:highlight w:val="none"/>
              </w:rPr>
            </w:pPr>
            <w:r>
              <w:rPr>
                <w:rFonts w:hint="eastAsia" w:cs="宋体" w:asciiTheme="minorEastAsia" w:hAnsiTheme="minorEastAsia" w:eastAsiaTheme="minorEastAsia"/>
                <w:szCs w:val="21"/>
                <w:highlight w:val="none"/>
              </w:rPr>
              <w:t>电子招标投标文件递交异常的处理方式</w:t>
            </w:r>
          </w:p>
        </w:tc>
        <w:tc>
          <w:tcPr>
            <w:tcW w:w="5379" w:type="dxa"/>
            <w:vAlign w:val="center"/>
          </w:tcPr>
          <w:p w14:paraId="43FAAFA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应当在投标截止时间前完成投标文件的上传，并可以补充、修改或者撤回投标文件。投标截止时间前未完成投标文件上传的，视为撤回投标文件。投标截止时间后送达的投标文件，中国电信电子采购系统应当拒收。</w:t>
            </w:r>
          </w:p>
        </w:tc>
      </w:tr>
      <w:tr w14:paraId="567915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0546BD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4.2.1</w:t>
            </w:r>
          </w:p>
        </w:tc>
        <w:tc>
          <w:tcPr>
            <w:tcW w:w="2082" w:type="dxa"/>
            <w:vAlign w:val="center"/>
          </w:tcPr>
          <w:p w14:paraId="76F2BB02">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已递交的投标文件的修改或者撤回</w:t>
            </w:r>
          </w:p>
        </w:tc>
        <w:tc>
          <w:tcPr>
            <w:tcW w:w="5379" w:type="dxa"/>
            <w:vAlign w:val="center"/>
          </w:tcPr>
          <w:p w14:paraId="41DEA2C1">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投标人可以自行进入</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撤回电子投标文件，</w:t>
            </w:r>
            <w:r>
              <w:rPr>
                <w:rFonts w:hint="eastAsia" w:asciiTheme="minorEastAsia" w:hAnsiTheme="minorEastAsia" w:eastAsiaTheme="minorEastAsia"/>
                <w:highlight w:val="none"/>
              </w:rPr>
              <w:t>电子采购系统</w:t>
            </w:r>
            <w:r>
              <w:rPr>
                <w:rFonts w:hint="eastAsia" w:asciiTheme="minorEastAsia" w:hAnsiTheme="minorEastAsia" w:eastAsiaTheme="minorEastAsia"/>
                <w:szCs w:val="21"/>
                <w:highlight w:val="none"/>
              </w:rPr>
              <w:t>将已上传电子投标文件删除，投标人可重新上传电子投标文件。</w:t>
            </w:r>
          </w:p>
        </w:tc>
      </w:tr>
      <w:tr w14:paraId="0C5D2B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422332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w:t>
            </w:r>
          </w:p>
        </w:tc>
        <w:tc>
          <w:tcPr>
            <w:tcW w:w="2082" w:type="dxa"/>
            <w:vAlign w:val="center"/>
          </w:tcPr>
          <w:p w14:paraId="195BB5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开标时间和地点</w:t>
            </w:r>
          </w:p>
        </w:tc>
        <w:tc>
          <w:tcPr>
            <w:tcW w:w="5379" w:type="dxa"/>
            <w:vAlign w:val="center"/>
          </w:tcPr>
          <w:p w14:paraId="08D6BDB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投标文件递交截止同一时间通过中国电信电子采购系统开标。</w:t>
            </w:r>
          </w:p>
        </w:tc>
      </w:tr>
      <w:tr w14:paraId="60D397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DB2D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5.3</w:t>
            </w:r>
          </w:p>
        </w:tc>
        <w:tc>
          <w:tcPr>
            <w:tcW w:w="2082" w:type="dxa"/>
            <w:vAlign w:val="center"/>
          </w:tcPr>
          <w:p w14:paraId="35AA5AE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开标现场的异议</w:t>
            </w:r>
          </w:p>
        </w:tc>
        <w:tc>
          <w:tcPr>
            <w:tcW w:w="5379" w:type="dxa"/>
            <w:vAlign w:val="center"/>
          </w:tcPr>
          <w:p w14:paraId="5B528F22">
            <w:pPr>
              <w:autoSpaceDE w:val="0"/>
              <w:autoSpaceDN w:val="0"/>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在开标时通过中国电信电子采购系统开标大厅“提出异议”模块提出。</w:t>
            </w:r>
          </w:p>
        </w:tc>
      </w:tr>
      <w:tr w14:paraId="515DEF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E48BA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5.4</w:t>
            </w:r>
          </w:p>
        </w:tc>
        <w:tc>
          <w:tcPr>
            <w:tcW w:w="2082" w:type="dxa"/>
            <w:vAlign w:val="center"/>
          </w:tcPr>
          <w:p w14:paraId="4B29613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电子招标开标的其他要求及异常处理</w:t>
            </w:r>
          </w:p>
        </w:tc>
        <w:tc>
          <w:tcPr>
            <w:tcW w:w="5379" w:type="dxa"/>
            <w:vAlign w:val="center"/>
          </w:tcPr>
          <w:p w14:paraId="27F6DD92">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电子投标文件由</w:t>
            </w:r>
            <w:r>
              <w:rPr>
                <w:rFonts w:hint="eastAsia" w:cs="宋体" w:asciiTheme="minorEastAsia" w:hAnsiTheme="minorEastAsia" w:eastAsiaTheme="minorEastAsia"/>
                <w:szCs w:val="21"/>
                <w:highlight w:val="none"/>
              </w:rPr>
              <w:t>招标人/招标代理机构在递交截止时间后统一解密，投标人无需进行解密操作。因投标人原因造成投标文件未解密的，视为撤销其投标文件；因投标人之外的原因造成投标文件未解密的，视为撤回其投标文件。部分投标人的投标文件未解密的，其他投标人的投标文件的开标可以继续进行。</w:t>
            </w:r>
          </w:p>
        </w:tc>
      </w:tr>
      <w:tr w14:paraId="48E053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266A6E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6.1.1</w:t>
            </w:r>
          </w:p>
        </w:tc>
        <w:tc>
          <w:tcPr>
            <w:tcW w:w="2082" w:type="dxa"/>
            <w:vAlign w:val="center"/>
          </w:tcPr>
          <w:p w14:paraId="275E844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评标委员会组成人数</w:t>
            </w:r>
          </w:p>
        </w:tc>
        <w:tc>
          <w:tcPr>
            <w:tcW w:w="5379" w:type="dxa"/>
            <w:vAlign w:val="center"/>
          </w:tcPr>
          <w:p w14:paraId="66FA904E">
            <w:pPr>
              <w:autoSpaceDE w:val="0"/>
              <w:autoSpaceDN w:val="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人。</w:t>
            </w:r>
          </w:p>
        </w:tc>
      </w:tr>
      <w:tr w14:paraId="4644DE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71A761C">
            <w:pPr>
              <w:autoSpaceDE w:val="0"/>
              <w:autoSpaceDN w:val="0"/>
              <w:jc w:val="center"/>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6.3</w:t>
            </w:r>
            <w:r>
              <w:rPr>
                <w:rFonts w:hint="eastAsia" w:cs="宋体" w:asciiTheme="minorEastAsia" w:hAnsiTheme="minorEastAsia" w:eastAsiaTheme="minorEastAsia"/>
                <w:szCs w:val="21"/>
                <w:highlight w:val="none"/>
                <w:lang w:val="en-US" w:eastAsia="zh-CN"/>
              </w:rPr>
              <w:t>.1</w:t>
            </w:r>
          </w:p>
        </w:tc>
        <w:tc>
          <w:tcPr>
            <w:tcW w:w="2082" w:type="dxa"/>
            <w:vAlign w:val="center"/>
          </w:tcPr>
          <w:p w14:paraId="532F1B8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评标方法</w:t>
            </w:r>
          </w:p>
        </w:tc>
        <w:tc>
          <w:tcPr>
            <w:tcW w:w="5379" w:type="dxa"/>
            <w:vAlign w:val="center"/>
          </w:tcPr>
          <w:p w14:paraId="4ACCAC1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□经评审的最低投标价法</w:t>
            </w:r>
          </w:p>
          <w:p w14:paraId="7F4691E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综合评估法</w:t>
            </w:r>
          </w:p>
          <w:p w14:paraId="6CA9A1FC">
            <w:pPr>
              <w:autoSpaceDE w:val="0"/>
              <w:autoSpaceDN w:val="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□其他：</w:t>
            </w:r>
          </w:p>
        </w:tc>
      </w:tr>
      <w:tr w14:paraId="2E16C1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311CCA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6.4 </w:t>
            </w:r>
          </w:p>
        </w:tc>
        <w:tc>
          <w:tcPr>
            <w:tcW w:w="2082" w:type="dxa"/>
            <w:vAlign w:val="center"/>
          </w:tcPr>
          <w:p w14:paraId="61F071B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中标候选人推荐原则</w:t>
            </w:r>
          </w:p>
        </w:tc>
        <w:tc>
          <w:tcPr>
            <w:tcW w:w="5379" w:type="dxa"/>
            <w:vAlign w:val="center"/>
          </w:tcPr>
          <w:p w14:paraId="22DF31B2">
            <w:pP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1、第1次招标投标人数&lt;3，重新招标；</w:t>
            </w:r>
          </w:p>
          <w:p w14:paraId="2C576083">
            <w:pP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2、如有效投标人数≥3，根据综合评分由高到低推荐第1-2名有效投标人为中标候选人；</w:t>
            </w:r>
          </w:p>
          <w:p w14:paraId="1E14B77F">
            <w:pP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3、如有效投标人数＜3，根据综合评分由高到低推荐所有有效投标人为中标候选人。</w:t>
            </w:r>
          </w:p>
        </w:tc>
      </w:tr>
      <w:tr w14:paraId="4C4B11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84591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7.1.2</w:t>
            </w:r>
          </w:p>
        </w:tc>
        <w:tc>
          <w:tcPr>
            <w:tcW w:w="2082" w:type="dxa"/>
            <w:vAlign w:val="center"/>
          </w:tcPr>
          <w:p w14:paraId="3E4642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依法必须进行招标项目采用邀请招标的中标候选人公示的其他媒体</w:t>
            </w:r>
          </w:p>
        </w:tc>
        <w:tc>
          <w:tcPr>
            <w:tcW w:w="5379" w:type="dxa"/>
            <w:vAlign w:val="center"/>
          </w:tcPr>
          <w:p w14:paraId="5EE1DFD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无</w:t>
            </w:r>
          </w:p>
        </w:tc>
      </w:tr>
      <w:tr w14:paraId="594609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3B5A93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7.1.3</w:t>
            </w:r>
          </w:p>
        </w:tc>
        <w:tc>
          <w:tcPr>
            <w:tcW w:w="2082" w:type="dxa"/>
            <w:vAlign w:val="center"/>
          </w:tcPr>
          <w:p w14:paraId="7A244D02">
            <w:pPr>
              <w:wordWrap w:val="0"/>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中标结果的异议</w:t>
            </w:r>
          </w:p>
        </w:tc>
        <w:tc>
          <w:tcPr>
            <w:tcW w:w="5379" w:type="dxa"/>
            <w:vAlign w:val="center"/>
          </w:tcPr>
          <w:p w14:paraId="38D6B94D">
            <w:pPr>
              <w:wordWrap w:val="0"/>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投标人或者其他利害关系人对评标结果有异议的，应当登录</w:t>
            </w:r>
            <w:r>
              <w:rPr>
                <w:rFonts w:ascii="宋体" w:hAnsi="宋体"/>
                <w:color w:val="000000" w:themeColor="text1"/>
                <w:highlight w:val="none"/>
                <w14:textFill>
                  <w14:solidFill>
                    <w14:schemeClr w14:val="tx1"/>
                  </w14:solidFill>
                </w14:textFill>
              </w:rPr>
              <w:t>中国电信阳光采购网</w:t>
            </w:r>
            <w:r>
              <w:rPr>
                <w:rFonts w:hint="eastAsia" w:ascii="宋体" w:hAnsi="宋体"/>
                <w:color w:val="000000" w:themeColor="text1"/>
                <w:highlight w:val="none"/>
                <w14:textFill>
                  <w14:solidFill>
                    <w14:schemeClr w14:val="tx1"/>
                  </w14:solidFill>
                </w14:textFill>
              </w:rPr>
              <w:t>（https://caigou.chinatelecom.com.cn）后，通过“招投标-采购异议-提出异议”模块提出。招标人将在收到异议之日起3日内作出答复；作出答复前，将暂停招标投标活动。已作出明确答复，且无新的事实证据，就同一事项反复提出异议的，不予受理。</w:t>
            </w:r>
          </w:p>
        </w:tc>
      </w:tr>
      <w:tr w14:paraId="6F8D80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C2293F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7.2.1</w:t>
            </w:r>
          </w:p>
        </w:tc>
        <w:tc>
          <w:tcPr>
            <w:tcW w:w="2082" w:type="dxa"/>
            <w:vAlign w:val="center"/>
          </w:tcPr>
          <w:p w14:paraId="0907B57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中标人确定</w:t>
            </w:r>
          </w:p>
        </w:tc>
        <w:tc>
          <w:tcPr>
            <w:tcW w:w="5379" w:type="dxa"/>
            <w:vAlign w:val="center"/>
          </w:tcPr>
          <w:p w14:paraId="4A1F60A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r>
              <w:rPr>
                <w:rFonts w:hint="eastAsia" w:asciiTheme="minorEastAsia" w:hAnsiTheme="minorEastAsia" w:eastAsiaTheme="minorEastAsia"/>
                <w:highlight w:val="none"/>
              </w:rPr>
              <w:t>评标委员会直接确定中标人</w:t>
            </w:r>
            <w:r>
              <w:rPr>
                <w:rFonts w:hint="eastAsia" w:cs="宋体" w:asciiTheme="minorEastAsia" w:hAnsiTheme="minorEastAsia" w:eastAsiaTheme="minorEastAsia"/>
                <w:szCs w:val="21"/>
                <w:highlight w:val="none"/>
              </w:rPr>
              <w:t>，</w:t>
            </w:r>
            <w:r>
              <w:rPr>
                <w:rFonts w:hint="eastAsia" w:asciiTheme="minorEastAsia" w:hAnsiTheme="minorEastAsia" w:eastAsiaTheme="minorEastAsia"/>
                <w:highlight w:val="none"/>
              </w:rPr>
              <w:t>中标人数量：</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XX</w:t>
            </w:r>
            <w:r>
              <w:rPr>
                <w:rFonts w:hint="eastAsia"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个</w:t>
            </w:r>
          </w:p>
          <w:p w14:paraId="3F02240F">
            <w:pPr>
              <w:autoSpaceDE w:val="0"/>
              <w:autoSpaceDN w:val="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sym w:font="Wingdings" w:char="F0FE"/>
            </w:r>
            <w:r>
              <w:rPr>
                <w:rFonts w:hint="eastAsia" w:cs="宋体" w:asciiTheme="minorEastAsia" w:hAnsiTheme="minorEastAsia" w:eastAsiaTheme="minorEastAsia"/>
                <w:szCs w:val="21"/>
                <w:highlight w:val="none"/>
              </w:rPr>
              <w:t>招标人确定中标人</w:t>
            </w:r>
            <w:r>
              <w:rPr>
                <w:rFonts w:hint="eastAsia" w:cs="宋体" w:asciiTheme="minorEastAsia" w:hAnsiTheme="minorEastAsia" w:eastAsiaTheme="minorEastAsia"/>
                <w:szCs w:val="21"/>
                <w:highlight w:val="none"/>
                <w:lang w:eastAsia="zh-CN"/>
              </w:rPr>
              <w:t>；</w:t>
            </w:r>
          </w:p>
          <w:p w14:paraId="64E25EAB">
            <w:pPr>
              <w:autoSpaceDE w:val="0"/>
              <w:autoSpaceDN w:val="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（1）根据综合评分由高到低排名第1名中标候选人为中标人：</w:t>
            </w:r>
          </w:p>
          <w:p w14:paraId="6755A29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（2）出现中标人放弃中标或被取消中标资格时，招标人可按顺序递补（有其他中标候选人）或按其他中标人中标比例分配（无其他中标候选人）或该份额作废或重新招标。</w:t>
            </w:r>
          </w:p>
        </w:tc>
      </w:tr>
      <w:tr w14:paraId="3E848E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04268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7.2.2</w:t>
            </w:r>
          </w:p>
        </w:tc>
        <w:tc>
          <w:tcPr>
            <w:tcW w:w="2082" w:type="dxa"/>
            <w:vAlign w:val="center"/>
          </w:tcPr>
          <w:p w14:paraId="2D2EAE1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中标原则</w:t>
            </w:r>
          </w:p>
        </w:tc>
        <w:tc>
          <w:tcPr>
            <w:tcW w:w="5379" w:type="dxa"/>
            <w:vAlign w:val="center"/>
          </w:tcPr>
          <w:p w14:paraId="407B92AD">
            <w:pPr>
              <w:autoSpaceDE w:val="0"/>
              <w:autoSpaceDN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（1）根据综合评分由高到低排名第1名中标候选人为中标人：</w:t>
            </w:r>
          </w:p>
          <w:p w14:paraId="41925032">
            <w:pPr>
              <w:autoSpaceDE w:val="0"/>
              <w:autoSpaceDN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（2）出现中标人放弃中标或被取消中标资格时，招标人可按顺序递补（有其他中标候选人）或按其他中标人中标比例分配（无其他中标候选人）或该份额作废或重新招标。</w:t>
            </w:r>
          </w:p>
        </w:tc>
      </w:tr>
      <w:tr w14:paraId="11177A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D80F3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7.2.3</w:t>
            </w:r>
          </w:p>
        </w:tc>
        <w:tc>
          <w:tcPr>
            <w:tcW w:w="2082" w:type="dxa"/>
            <w:vAlign w:val="center"/>
          </w:tcPr>
          <w:p w14:paraId="1BBFC8A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确定中标人的特殊情形</w:t>
            </w:r>
          </w:p>
        </w:tc>
        <w:tc>
          <w:tcPr>
            <w:tcW w:w="5379" w:type="dxa"/>
            <w:vAlign w:val="center"/>
          </w:tcPr>
          <w:p w14:paraId="23C65339">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在签订合同之前，中标人存在放弃中标、因不可抗力不能履行</w:t>
            </w:r>
          </w:p>
          <w:p w14:paraId="07BE0FF0">
            <w:pPr>
              <w:autoSpaceDE w:val="0"/>
              <w:autoSpaceDN w:val="0"/>
              <w:rPr>
                <w:rFonts w:asciiTheme="minorEastAsia" w:hAnsiTheme="minorEastAsia" w:eastAsiaTheme="minorEastAsia"/>
                <w:highlight w:val="none"/>
              </w:rPr>
            </w:pPr>
            <w:r>
              <w:rPr>
                <w:rFonts w:hint="eastAsia" w:asciiTheme="minorEastAsia" w:hAnsiTheme="minorEastAsia" w:eastAsiaTheme="minorEastAsia"/>
                <w:highlight w:val="none"/>
              </w:rPr>
              <w:t>合同、不按照招标文件要求提交履约保证金、被查实存在影响中标结果的违法行为、</w:t>
            </w:r>
            <w:r>
              <w:rPr>
                <w:rFonts w:hint="eastAsia" w:asciiTheme="minorEastAsia" w:hAnsiTheme="minorEastAsia" w:eastAsiaTheme="minorEastAsia"/>
              </w:rPr>
              <w:t>按照</w:t>
            </w:r>
            <w:r>
              <w:rPr>
                <w:rFonts w:hint="eastAsia" w:cs="Arial" w:asciiTheme="minorEastAsia" w:hAnsiTheme="minorEastAsia" w:eastAsiaTheme="minorEastAsia"/>
                <w:szCs w:val="21"/>
              </w:rPr>
              <w:t>中国电信供应商不良行为处理结果及《中国电信供应商不良行为管理规则》的结果执行规则[如涉及联合采购，请同时明确其他联合采购方的不良行为处理结果及相关规则]应</w:t>
            </w:r>
            <w:r>
              <w:rPr>
                <w:rFonts w:hint="eastAsia" w:asciiTheme="minorEastAsia" w:hAnsiTheme="minorEastAsia" w:eastAsiaTheme="minorEastAsia"/>
              </w:rPr>
              <w:t>对投标人及产品品类在本项目中执行禁止采购处理措施</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未通过网络安全审查等情形的，招标人将【按照评标委员会提出的中标候选人名单排序依次确定其他中标候选人为中标人或重新招标】。</w:t>
            </w:r>
          </w:p>
        </w:tc>
      </w:tr>
      <w:tr w14:paraId="348489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865A07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7.2.4</w:t>
            </w:r>
          </w:p>
        </w:tc>
        <w:tc>
          <w:tcPr>
            <w:tcW w:w="2082" w:type="dxa"/>
            <w:vAlign w:val="center"/>
          </w:tcPr>
          <w:p w14:paraId="1B27605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中标人公示</w:t>
            </w:r>
          </w:p>
        </w:tc>
        <w:tc>
          <w:tcPr>
            <w:tcW w:w="5379" w:type="dxa"/>
            <w:vAlign w:val="center"/>
          </w:tcPr>
          <w:p w14:paraId="31E56F68">
            <w:pPr>
              <w:autoSpaceDE w:val="0"/>
              <w:autoSpaceDN w:val="0"/>
              <w:rPr>
                <w:rFonts w:asciiTheme="minorEastAsia" w:hAnsiTheme="minorEastAsia" w:eastAsiaTheme="minorEastAsia"/>
                <w:highlight w:val="none"/>
              </w:rPr>
            </w:pPr>
            <w:r>
              <w:rPr>
                <w:rFonts w:hint="eastAsia" w:asciiTheme="minorEastAsia" w:hAnsiTheme="minorEastAsia" w:eastAsiaTheme="minorEastAsia"/>
                <w:szCs w:val="21"/>
                <w:highlight w:val="none"/>
              </w:rPr>
              <w:t>采用公开招标方式的，招标人可以在“资格预审公告”或者“招标公告”发布媒介公示全部中标人，公示期不少于3日。</w:t>
            </w:r>
          </w:p>
        </w:tc>
      </w:tr>
      <w:tr w14:paraId="2DC6D5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709781F7">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8.1.</w:t>
            </w:r>
            <w:r>
              <w:rPr>
                <w:rFonts w:cs="宋体" w:asciiTheme="minorEastAsia" w:hAnsiTheme="minorEastAsia" w:eastAsiaTheme="minorEastAsia"/>
                <w:szCs w:val="21"/>
                <w:highlight w:val="none"/>
              </w:rPr>
              <w:t>1</w:t>
            </w:r>
          </w:p>
        </w:tc>
        <w:tc>
          <w:tcPr>
            <w:tcW w:w="2082" w:type="dxa"/>
            <w:vAlign w:val="center"/>
          </w:tcPr>
          <w:p w14:paraId="269E8D08">
            <w:pPr>
              <w:autoSpaceDE w:val="0"/>
              <w:autoSpaceDN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履约保证金金额和形式</w:t>
            </w:r>
          </w:p>
        </w:tc>
        <w:tc>
          <w:tcPr>
            <w:tcW w:w="5379" w:type="dxa"/>
            <w:vAlign w:val="center"/>
          </w:tcPr>
          <w:p w14:paraId="1FEBE94D">
            <w:pPr>
              <w:autoSpaceDE w:val="0"/>
              <w:autoSpaceDN w:val="0"/>
              <w:jc w:val="lef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不收取履约保证金。</w:t>
            </w:r>
          </w:p>
        </w:tc>
      </w:tr>
      <w:tr w14:paraId="1DDED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02E5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w:t>
            </w:r>
          </w:p>
        </w:tc>
        <w:tc>
          <w:tcPr>
            <w:tcW w:w="2082" w:type="dxa"/>
            <w:vAlign w:val="center"/>
          </w:tcPr>
          <w:p w14:paraId="247AB76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招标代理服务费金额、交纳方式和时限</w:t>
            </w:r>
          </w:p>
        </w:tc>
        <w:tc>
          <w:tcPr>
            <w:tcW w:w="5379" w:type="dxa"/>
            <w:vAlign w:val="center"/>
          </w:tcPr>
          <w:p w14:paraId="14CDB46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本条款增加如下规定：</w:t>
            </w:r>
          </w:p>
          <w:p w14:paraId="65DAFB2C">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p>
          <w:tbl>
            <w:tblPr>
              <w:tblStyle w:val="85"/>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05215B34">
            <w:pPr>
              <w:autoSpaceDE w:val="0"/>
              <w:autoSpaceDN w:val="0"/>
              <w:rPr>
                <w:rFonts w:hint="eastAsia"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含税预估</w:t>
            </w:r>
            <w:r>
              <w:rPr>
                <w:rFonts w:hint="eastAsia" w:cs="宋体" w:asciiTheme="minorEastAsia" w:hAnsiTheme="minorEastAsia" w:eastAsiaTheme="minorEastAsia"/>
                <w:szCs w:val="21"/>
                <w:highlight w:val="none"/>
              </w:rPr>
              <w:t>金额计取。</w:t>
            </w:r>
          </w:p>
          <w:p w14:paraId="066165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cs="宋体"/>
                <w:szCs w:val="21"/>
                <w:highlight w:val="none"/>
              </w:rPr>
              <w:t>。</w:t>
            </w:r>
          </w:p>
        </w:tc>
      </w:tr>
      <w:tr w14:paraId="77D140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28B38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2082" w:type="dxa"/>
            <w:vAlign w:val="center"/>
          </w:tcPr>
          <w:p w14:paraId="293ECC12">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需要补充的其他内容</w:t>
            </w:r>
          </w:p>
        </w:tc>
        <w:tc>
          <w:tcPr>
            <w:tcW w:w="5379" w:type="dxa"/>
            <w:vAlign w:val="center"/>
          </w:tcPr>
          <w:p w14:paraId="03D5FF9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投标人试图对招标人进行影响，或对评标委员会的评标、比较或中标候选人的决定进行影响，都可能导致其投标被否决。</w:t>
            </w:r>
          </w:p>
        </w:tc>
      </w:tr>
      <w:tr w14:paraId="42534C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3B1F192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11.1</w:t>
            </w:r>
          </w:p>
        </w:tc>
        <w:tc>
          <w:tcPr>
            <w:tcW w:w="2082" w:type="dxa"/>
            <w:vAlign w:val="center"/>
          </w:tcPr>
          <w:p w14:paraId="02CA68C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合同有效期</w:t>
            </w:r>
          </w:p>
        </w:tc>
        <w:tc>
          <w:tcPr>
            <w:tcW w:w="5379" w:type="dxa"/>
            <w:vAlign w:val="center"/>
          </w:tcPr>
          <w:p w14:paraId="08D415D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自合同签订之日起</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个月</w:t>
            </w:r>
          </w:p>
        </w:tc>
      </w:tr>
      <w:tr w14:paraId="5D5021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B68BE38">
            <w:pPr>
              <w:autoSpaceDE w:val="0"/>
              <w:autoSpaceDN w:val="0"/>
              <w:jc w:val="center"/>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11.2</w:t>
            </w:r>
          </w:p>
        </w:tc>
        <w:tc>
          <w:tcPr>
            <w:tcW w:w="2082" w:type="dxa"/>
            <w:vAlign w:val="center"/>
          </w:tcPr>
          <w:p w14:paraId="7394BD7F">
            <w:pPr>
              <w:autoSpaceDE w:val="0"/>
              <w:autoSpaceDN w:val="0"/>
              <w:rPr>
                <w:rFonts w:cs="宋体" w:asciiTheme="minorEastAsia" w:hAnsiTheme="minorEastAsia" w:eastAsiaTheme="minorEastAsia"/>
                <w:color w:val="FF0000"/>
                <w:szCs w:val="21"/>
                <w:highlight w:val="none"/>
              </w:rPr>
            </w:pPr>
            <w:r>
              <w:rPr>
                <w:rFonts w:hint="eastAsia" w:ascii="宋体" w:hAnsi="宋体" w:cs="宋体"/>
                <w:color w:val="000000" w:themeColor="text1"/>
                <w:szCs w:val="21"/>
                <w:highlight w:val="none"/>
                <w14:textFill>
                  <w14:solidFill>
                    <w14:schemeClr w14:val="tx1"/>
                  </w14:solidFill>
                </w14:textFill>
              </w:rPr>
              <w:t>投标人不足3家的处理方式</w:t>
            </w:r>
          </w:p>
        </w:tc>
        <w:tc>
          <w:tcPr>
            <w:tcW w:w="5379" w:type="dxa"/>
            <w:vAlign w:val="center"/>
          </w:tcPr>
          <w:p w14:paraId="69D49C98">
            <w:pPr>
              <w:autoSpaceDE w:val="0"/>
              <w:autoSpaceDN w:val="0"/>
              <w:rPr>
                <w:rFonts w:hint="eastAsia" w:ascii="宋体" w:hAnsi="宋体" w:eastAsia="宋体" w:cs="宋体"/>
                <w:bCs/>
                <w:szCs w:val="21"/>
                <w:highlight w:val="none"/>
                <w:u w:val="single"/>
                <w:lang w:eastAsia="zh-CN"/>
              </w:rPr>
            </w:pPr>
            <w:r>
              <w:rPr>
                <w:rFonts w:hint="eastAsia" w:ascii="宋体" w:hAnsi="宋体" w:cs="宋体"/>
                <w:bCs/>
                <w:szCs w:val="21"/>
                <w:highlight w:val="none"/>
                <w:u w:val="none"/>
              </w:rPr>
              <w:t>第一次招标投标人少于3个，分析失败原因并采取相应措施后，重新招标； 重新招标后投标人少于3个，有效投标人为2个的，评委说明理由后可继续评审；重新招标后投标人少于3个，有效投标人为1个的，评委说明理由后可转为直接采购</w:t>
            </w:r>
            <w:r>
              <w:rPr>
                <w:rFonts w:hint="eastAsia" w:ascii="宋体" w:hAnsi="宋体" w:cs="宋体"/>
                <w:bCs/>
                <w:szCs w:val="21"/>
                <w:highlight w:val="none"/>
                <w:u w:val="none"/>
                <w:lang w:eastAsia="zh-CN"/>
              </w:rPr>
              <w:t>。</w:t>
            </w:r>
          </w:p>
        </w:tc>
      </w:tr>
      <w:tr w14:paraId="663DC2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vAlign w:val="center"/>
          </w:tcPr>
          <w:p w14:paraId="6C68005F">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招标文件否决投标条款汇总</w:t>
            </w:r>
          </w:p>
        </w:tc>
      </w:tr>
      <w:tr w14:paraId="2966AA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53A24D85">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2082" w:type="dxa"/>
            <w:vAlign w:val="center"/>
          </w:tcPr>
          <w:p w14:paraId="073E4E5F">
            <w:pPr>
              <w:autoSpaceDE w:val="0"/>
              <w:autoSpaceDN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5379" w:type="dxa"/>
            <w:vAlign w:val="center"/>
          </w:tcPr>
          <w:p w14:paraId="658A97F7">
            <w:pPr>
              <w:autoSpaceDE w:val="0"/>
              <w:autoSpaceDN w:val="0"/>
              <w:jc w:val="center"/>
              <w:rPr>
                <w:rFonts w:asciiTheme="minorEastAsia" w:hAnsiTheme="minorEastAsia" w:eastAsiaTheme="minorEastAsia"/>
                <w:b/>
                <w:highlight w:val="none"/>
              </w:rPr>
            </w:pPr>
            <w:r>
              <w:rPr>
                <w:rFonts w:hint="eastAsia" w:asciiTheme="minorEastAsia" w:hAnsiTheme="minorEastAsia" w:eastAsiaTheme="minorEastAsia"/>
                <w:b/>
                <w:highlight w:val="none"/>
              </w:rPr>
              <w:t>编写内容</w:t>
            </w:r>
          </w:p>
        </w:tc>
      </w:tr>
      <w:tr w14:paraId="72F704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6E46D817">
            <w:pPr>
              <w:autoSpaceDE w:val="0"/>
              <w:autoSpaceDN w:val="0"/>
              <w:jc w:val="left"/>
              <w:rPr>
                <w:rFonts w:asciiTheme="minorEastAsia" w:hAnsiTheme="minorEastAsia" w:eastAsiaTheme="minorEastAsia"/>
                <w:b/>
                <w:highlight w:val="none"/>
              </w:rPr>
            </w:pPr>
            <w:r>
              <w:rPr>
                <w:rFonts w:hint="eastAsia" w:asciiTheme="minorEastAsia" w:hAnsiTheme="minorEastAsia" w:eastAsiaTheme="minorEastAsia"/>
                <w:b/>
                <w:highlight w:val="none"/>
              </w:rPr>
              <w:t>第一部分：专用部分</w:t>
            </w:r>
          </w:p>
        </w:tc>
      </w:tr>
      <w:tr w14:paraId="11EF8B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6F012910">
            <w:pPr>
              <w:autoSpaceDE w:val="0"/>
              <w:autoSpaceDN w:val="0"/>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第一章招标公告/投标邀请书</w:t>
            </w:r>
          </w:p>
        </w:tc>
        <w:tc>
          <w:tcPr>
            <w:tcW w:w="2082" w:type="dxa"/>
            <w:vAlign w:val="center"/>
          </w:tcPr>
          <w:p w14:paraId="57D45EC2">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1.4最高投标限价</w:t>
            </w:r>
          </w:p>
        </w:tc>
        <w:tc>
          <w:tcPr>
            <w:tcW w:w="5379" w:type="dxa"/>
            <w:vAlign w:val="center"/>
          </w:tcPr>
          <w:p w14:paraId="40B9C01D">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本项目设置最高投标限价，最高投标限价详见第一章招标公告，投标人投标报价高于最高投标限价的，其投标将被否决。</w:t>
            </w:r>
          </w:p>
        </w:tc>
      </w:tr>
      <w:tr w14:paraId="5943A9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4FB1C507">
            <w:pPr>
              <w:autoSpaceDE w:val="0"/>
              <w:autoSpaceDN w:val="0"/>
              <w:jc w:val="center"/>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第二章投标人须知</w:t>
            </w:r>
          </w:p>
        </w:tc>
        <w:tc>
          <w:tcPr>
            <w:tcW w:w="2082" w:type="dxa"/>
            <w:vAlign w:val="center"/>
          </w:tcPr>
          <w:p w14:paraId="3AC8141E">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2.1.4是否以单项报价核定低于成本</w:t>
            </w:r>
          </w:p>
        </w:tc>
        <w:tc>
          <w:tcPr>
            <w:tcW w:w="5379" w:type="dxa"/>
            <w:vAlign w:val="center"/>
          </w:tcPr>
          <w:p w14:paraId="331C7106">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不要求</w:t>
            </w:r>
          </w:p>
          <w:p w14:paraId="19B1C750">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2598B0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5BF047E">
            <w:pPr>
              <w:autoSpaceDE w:val="0"/>
              <w:autoSpaceDN w:val="0"/>
              <w:jc w:val="center"/>
              <w:rPr>
                <w:rFonts w:asciiTheme="minorEastAsia" w:hAnsiTheme="minorEastAsia" w:eastAsiaTheme="minorEastAsia"/>
                <w:szCs w:val="21"/>
                <w:highlight w:val="none"/>
              </w:rPr>
            </w:pPr>
          </w:p>
        </w:tc>
        <w:tc>
          <w:tcPr>
            <w:tcW w:w="2082" w:type="dxa"/>
            <w:vAlign w:val="center"/>
          </w:tcPr>
          <w:p w14:paraId="0A5526D6">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3.4.1 投标有效期投标有效期</w:t>
            </w:r>
          </w:p>
        </w:tc>
        <w:tc>
          <w:tcPr>
            <w:tcW w:w="5379" w:type="dxa"/>
            <w:vAlign w:val="center"/>
          </w:tcPr>
          <w:p w14:paraId="705406ED">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投标有效期：</w:t>
            </w:r>
            <w:r>
              <w:rPr>
                <w:rFonts w:ascii="宋体" w:hAnsi="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天。</w:t>
            </w:r>
            <w:r>
              <w:rPr>
                <w:rFonts w:hint="eastAsia" w:ascii="宋体" w:hAnsi="宋体"/>
                <w:color w:val="000000" w:themeColor="text1"/>
                <w:highlight w:val="none"/>
                <w14:textFill>
                  <w14:solidFill>
                    <w14:schemeClr w14:val="tx1"/>
                  </w14:solidFill>
                </w14:textFill>
              </w:rPr>
              <w:t>投标有效期不满足招标文件要求的投标将被否决。</w:t>
            </w:r>
          </w:p>
        </w:tc>
      </w:tr>
      <w:tr w14:paraId="473157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34A2E88F">
            <w:pPr>
              <w:autoSpaceDE w:val="0"/>
              <w:autoSpaceDN w:val="0"/>
              <w:jc w:val="center"/>
              <w:rPr>
                <w:rFonts w:asciiTheme="minorEastAsia" w:hAnsiTheme="minorEastAsia" w:eastAsiaTheme="minorEastAsia"/>
                <w:szCs w:val="21"/>
                <w:highlight w:val="none"/>
              </w:rPr>
            </w:pPr>
          </w:p>
        </w:tc>
        <w:tc>
          <w:tcPr>
            <w:tcW w:w="2082" w:type="dxa"/>
            <w:vAlign w:val="center"/>
          </w:tcPr>
          <w:p w14:paraId="3BCEDCB1">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3.5投标保证金</w:t>
            </w:r>
          </w:p>
        </w:tc>
        <w:tc>
          <w:tcPr>
            <w:tcW w:w="5379" w:type="dxa"/>
            <w:vAlign w:val="center"/>
          </w:tcPr>
          <w:p w14:paraId="7E61558E">
            <w:pPr>
              <w:autoSpaceDE w:val="0"/>
              <w:autoSpaceDN w:val="0"/>
              <w:rPr>
                <w:rFonts w:hint="eastAsia" w:asciiTheme="minorEastAsia" w:hAnsiTheme="minorEastAsia" w:eastAsiaTheme="minorEastAsia"/>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3.5.1要求递交投标保证金，投标保证金金额</w:t>
            </w:r>
            <w:r>
              <w:rPr>
                <w:rFonts w:hint="eastAsia" w:ascii="宋体" w:hAnsi="宋体" w:cs="宋体"/>
                <w:color w:val="000000" w:themeColor="text1"/>
                <w:szCs w:val="21"/>
                <w:highlight w:val="none"/>
                <w:lang w:val="en-US" w:eastAsia="zh-CN"/>
                <w14:textFill>
                  <w14:solidFill>
                    <w14:schemeClr w14:val="tx1"/>
                  </w14:solidFill>
                </w14:textFill>
              </w:rPr>
              <w:t>如下</w:t>
            </w:r>
            <w:r>
              <w:rPr>
                <w:rFonts w:hint="eastAsia" w:ascii="宋体" w:hAnsi="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szCs w:val="21"/>
                <w:highlight w:val="none"/>
                <w:lang w:val="en-US" w:eastAsia="zh-CN"/>
              </w:rPr>
              <w:t>人民币6800元</w:t>
            </w:r>
          </w:p>
          <w:p w14:paraId="131542C1">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3.5.5未递交投标保证金或者递交的投标保证金有瑕疵的投标将被否决。</w:t>
            </w:r>
          </w:p>
        </w:tc>
      </w:tr>
      <w:tr w14:paraId="65E067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tcBorders>
            <w:vAlign w:val="center"/>
          </w:tcPr>
          <w:p w14:paraId="41A95F47">
            <w:pPr>
              <w:autoSpaceDE w:val="0"/>
              <w:autoSpaceDN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第四章 合同条款</w:t>
            </w:r>
          </w:p>
        </w:tc>
        <w:tc>
          <w:tcPr>
            <w:tcW w:w="2082" w:type="dxa"/>
            <w:vAlign w:val="center"/>
          </w:tcPr>
          <w:p w14:paraId="63B07909">
            <w:pPr>
              <w:snapToGrid w:val="0"/>
              <w:jc w:val="left"/>
              <w:rPr>
                <w:rFonts w:asciiTheme="minorEastAsia" w:hAnsiTheme="minorEastAsia" w:eastAsiaTheme="minorEastAsia"/>
                <w:szCs w:val="21"/>
                <w:highlight w:val="none"/>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5379" w:type="dxa"/>
            <w:vAlign w:val="center"/>
          </w:tcPr>
          <w:p w14:paraId="06692109">
            <w:pPr>
              <w:snapToGrid w:val="0"/>
              <w:jc w:val="left"/>
              <w:rPr>
                <w:rFonts w:asciiTheme="minorEastAsia" w:hAnsiTheme="minorEastAsia" w:eastAsiaTheme="minorEastAsia"/>
                <w:szCs w:val="21"/>
                <w:highlight w:val="none"/>
              </w:rPr>
            </w:pPr>
            <w:r>
              <w:rPr>
                <w:rFonts w:hint="eastAsia" w:ascii="宋体" w:hAnsi="宋体" w:cs="宋体"/>
                <w:szCs w:val="21"/>
              </w:rPr>
              <w:t>商务及合同条款必须全部满足或正偏离，按招标文件第六章“投标文件格式”要求提供商务条款偏离表、合同条款偏离表。</w:t>
            </w:r>
          </w:p>
        </w:tc>
      </w:tr>
      <w:tr w14:paraId="3FA6C4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5" w:hRule="atLeast"/>
        </w:trPr>
        <w:tc>
          <w:tcPr>
            <w:tcW w:w="840" w:type="dxa"/>
            <w:tcBorders>
              <w:top w:val="single" w:color="auto" w:sz="4" w:space="0"/>
            </w:tcBorders>
            <w:vAlign w:val="center"/>
          </w:tcPr>
          <w:p w14:paraId="54CF91DC">
            <w:pPr>
              <w:autoSpaceDE w:val="0"/>
              <w:autoSpaceDN w:val="0"/>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第五章 技术规范书</w:t>
            </w:r>
          </w:p>
        </w:tc>
        <w:tc>
          <w:tcPr>
            <w:tcW w:w="2082" w:type="dxa"/>
            <w:vAlign w:val="center"/>
          </w:tcPr>
          <w:p w14:paraId="5F769070">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技术规范书</w:t>
            </w:r>
          </w:p>
        </w:tc>
        <w:tc>
          <w:tcPr>
            <w:tcW w:w="5379" w:type="dxa"/>
            <w:vAlign w:val="center"/>
          </w:tcPr>
          <w:p w14:paraId="3EA94846">
            <w:pPr>
              <w:autoSpaceDE w:val="0"/>
              <w:autoSpaceDN w:val="0"/>
              <w:rPr>
                <w:rFonts w:asciiTheme="minorEastAsia" w:hAnsiTheme="minorEastAsia" w:eastAsiaTheme="minorEastAsia"/>
                <w:highlight w:val="none"/>
              </w:rPr>
            </w:pPr>
            <w:r>
              <w:rPr>
                <w:rFonts w:hint="eastAsia" w:ascii="宋体" w:hAnsi="宋体" w:cs="宋体"/>
                <w:color w:val="000000" w:themeColor="text1"/>
                <w:szCs w:val="21"/>
                <w:highlight w:val="none"/>
                <w14:textFill>
                  <w14:solidFill>
                    <w14:schemeClr w14:val="tx1"/>
                  </w14:solidFill>
                </w14:textFill>
              </w:rPr>
              <w:t>按招标文件第六章“投标文件格式”要求提供技术规范书偏离表。</w:t>
            </w:r>
          </w:p>
        </w:tc>
      </w:tr>
      <w:tr w14:paraId="2ADF9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3C1B4E75">
            <w:pPr>
              <w:autoSpaceDE w:val="0"/>
              <w:autoSpaceDN w:val="0"/>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其他</w:t>
            </w:r>
          </w:p>
        </w:tc>
        <w:tc>
          <w:tcPr>
            <w:tcW w:w="2082" w:type="dxa"/>
            <w:vAlign w:val="center"/>
          </w:tcPr>
          <w:p w14:paraId="293F819C">
            <w:pPr>
              <w:autoSpaceDE w:val="0"/>
              <w:autoSpaceDN w:val="0"/>
              <w:rPr>
                <w:rFonts w:asciiTheme="minorEastAsia" w:hAnsiTheme="minorEastAsia" w:eastAsiaTheme="minorEastAsia"/>
                <w:szCs w:val="21"/>
                <w:highlight w:val="none"/>
              </w:rPr>
            </w:pPr>
          </w:p>
        </w:tc>
        <w:tc>
          <w:tcPr>
            <w:tcW w:w="5379" w:type="dxa"/>
            <w:vAlign w:val="center"/>
          </w:tcPr>
          <w:p w14:paraId="46349AF6">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无招标文件或相关法律法规规定的无效投标或否决投标项。</w:t>
            </w:r>
          </w:p>
        </w:tc>
      </w:tr>
      <w:tr w14:paraId="241E83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1" w:type="dxa"/>
            <w:gridSpan w:val="3"/>
            <w:tcBorders>
              <w:top w:val="single" w:color="auto" w:sz="4" w:space="0"/>
              <w:bottom w:val="single" w:color="auto" w:sz="4" w:space="0"/>
            </w:tcBorders>
            <w:vAlign w:val="center"/>
          </w:tcPr>
          <w:p w14:paraId="2049220D">
            <w:pPr>
              <w:autoSpaceDE w:val="0"/>
              <w:autoSpaceDN w:val="0"/>
              <w:rPr>
                <w:rFonts w:asciiTheme="minorEastAsia" w:hAnsiTheme="minorEastAsia" w:eastAsiaTheme="minorEastAsia"/>
                <w:szCs w:val="21"/>
                <w:highlight w:val="none"/>
              </w:rPr>
            </w:pPr>
            <w:r>
              <w:rPr>
                <w:rFonts w:hint="eastAsia" w:asciiTheme="minorEastAsia" w:hAnsiTheme="minorEastAsia" w:eastAsiaTheme="minorEastAsia"/>
                <w:b/>
                <w:highlight w:val="none"/>
              </w:rPr>
              <w:t>第二部分：通用部分</w:t>
            </w:r>
          </w:p>
        </w:tc>
      </w:tr>
      <w:tr w14:paraId="400B05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tcBorders>
              <w:top w:val="single" w:color="auto" w:sz="4" w:space="0"/>
              <w:bottom w:val="single" w:color="auto" w:sz="4" w:space="0"/>
            </w:tcBorders>
            <w:vAlign w:val="center"/>
          </w:tcPr>
          <w:p w14:paraId="106616A7">
            <w:pPr>
              <w:autoSpaceDE w:val="0"/>
              <w:autoSpaceDN w:val="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第一章招标公告/投标邀请书</w:t>
            </w:r>
          </w:p>
        </w:tc>
        <w:tc>
          <w:tcPr>
            <w:tcW w:w="2082" w:type="dxa"/>
            <w:vAlign w:val="center"/>
          </w:tcPr>
          <w:p w14:paraId="68765573">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2.投标人资格要求</w:t>
            </w:r>
          </w:p>
        </w:tc>
        <w:tc>
          <w:tcPr>
            <w:tcW w:w="5379" w:type="dxa"/>
            <w:vAlign w:val="center"/>
          </w:tcPr>
          <w:p w14:paraId="123741C6">
            <w:pPr>
              <w:autoSpaceDE w:val="0"/>
              <w:autoSpaceDN w:val="0"/>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投标人须满足第一章招标公告中“2.投标人资格要求”规定的全部条件，任何一条不满足均会导致投标被否决。</w:t>
            </w:r>
          </w:p>
        </w:tc>
      </w:tr>
      <w:tr w14:paraId="262847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42443CCF">
            <w:pPr>
              <w:autoSpaceDE w:val="0"/>
              <w:autoSpaceDN w:val="0"/>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第二章投标人须知</w:t>
            </w:r>
          </w:p>
        </w:tc>
        <w:tc>
          <w:tcPr>
            <w:tcW w:w="2082" w:type="dxa"/>
            <w:vAlign w:val="center"/>
          </w:tcPr>
          <w:p w14:paraId="2F3BB81A">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1.7.2 资格审查</w:t>
            </w:r>
          </w:p>
        </w:tc>
        <w:tc>
          <w:tcPr>
            <w:tcW w:w="5379" w:type="dxa"/>
            <w:vAlign w:val="center"/>
          </w:tcPr>
          <w:p w14:paraId="76C63BA9">
            <w:pPr>
              <w:autoSpaceDE w:val="0"/>
              <w:autoSpaceDN w:val="0"/>
              <w:rPr>
                <w:rFonts w:asciiTheme="minorEastAsia" w:hAnsiTheme="minorEastAsia" w:eastAsiaTheme="minorEastAsia"/>
                <w:highlight w:val="none"/>
              </w:rPr>
            </w:pPr>
            <w:r>
              <w:rPr>
                <w:rFonts w:hint="eastAsia" w:ascii="宋体" w:hAnsi="宋体"/>
                <w:color w:val="000000" w:themeColor="text1"/>
                <w:highlight w:val="none"/>
                <w14:textFill>
                  <w14:solidFill>
                    <w14:schemeClr w14:val="tx1"/>
                  </w14:solidFill>
                </w14:textFill>
              </w:rPr>
              <w:t>资格后审不合格的投标人，评标委员会应当否决其投标。</w:t>
            </w:r>
          </w:p>
        </w:tc>
      </w:tr>
      <w:tr w14:paraId="16A962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DA6989B">
            <w:pPr>
              <w:autoSpaceDE w:val="0"/>
              <w:autoSpaceDN w:val="0"/>
              <w:snapToGrid w:val="0"/>
              <w:jc w:val="center"/>
              <w:rPr>
                <w:rFonts w:cs="宋体" w:asciiTheme="minorEastAsia" w:hAnsiTheme="minorEastAsia" w:eastAsiaTheme="minorEastAsia"/>
                <w:szCs w:val="21"/>
                <w:highlight w:val="none"/>
              </w:rPr>
            </w:pPr>
          </w:p>
        </w:tc>
        <w:tc>
          <w:tcPr>
            <w:tcW w:w="2082" w:type="dxa"/>
            <w:vAlign w:val="center"/>
          </w:tcPr>
          <w:p w14:paraId="45048ED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2.1.3 实质性条款不满足</w:t>
            </w:r>
          </w:p>
        </w:tc>
        <w:tc>
          <w:tcPr>
            <w:tcW w:w="5379" w:type="dxa"/>
            <w:vAlign w:val="center"/>
          </w:tcPr>
          <w:p w14:paraId="2A0074DE">
            <w:pPr>
              <w:autoSpaceDE w:val="0"/>
              <w:autoSpaceDN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（1）招标文件中标识“</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”的条款，均为实质性条款，投标人任何不满足实质性条款的投标均将被否决。</w:t>
            </w:r>
          </w:p>
          <w:p w14:paraId="6D0227C1">
            <w:pPr>
              <w:autoSpaceDE w:val="0"/>
              <w:autoSpaceDN w:val="0"/>
              <w:rPr>
                <w:rFonts w:asciiTheme="minorEastAsia" w:hAnsiTheme="minorEastAsia" w:eastAsiaTheme="minorEastAsia"/>
                <w:highlight w:val="none"/>
              </w:rPr>
            </w:pPr>
            <w:r>
              <w:rPr>
                <w:rFonts w:hint="eastAsia" w:ascii="宋体" w:hAnsi="宋体" w:cs="宋体"/>
                <w:color w:val="000000" w:themeColor="text1"/>
                <w:szCs w:val="21"/>
                <w:highlight w:val="none"/>
                <w14:textFill>
                  <w14:solidFill>
                    <w14:schemeClr w14:val="tx1"/>
                  </w14:solidFill>
                </w14:textFill>
              </w:rPr>
              <w:t>（2）非实质性要求的负偏离要求：技术条款负偏离达到6项将被否决投标。</w:t>
            </w:r>
          </w:p>
        </w:tc>
      </w:tr>
      <w:tr w14:paraId="3A696E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5" w:hRule="atLeast"/>
        </w:trPr>
        <w:tc>
          <w:tcPr>
            <w:tcW w:w="840" w:type="dxa"/>
            <w:vMerge w:val="continue"/>
            <w:vAlign w:val="center"/>
          </w:tcPr>
          <w:p w14:paraId="447CD67C">
            <w:pPr>
              <w:autoSpaceDE w:val="0"/>
              <w:autoSpaceDN w:val="0"/>
              <w:jc w:val="center"/>
              <w:rPr>
                <w:rFonts w:cs="宋体" w:asciiTheme="minorEastAsia" w:hAnsiTheme="minorEastAsia" w:eastAsiaTheme="minorEastAsia"/>
                <w:szCs w:val="21"/>
                <w:highlight w:val="none"/>
              </w:rPr>
            </w:pPr>
          </w:p>
        </w:tc>
        <w:tc>
          <w:tcPr>
            <w:tcW w:w="2082" w:type="dxa"/>
            <w:vAlign w:val="center"/>
          </w:tcPr>
          <w:p w14:paraId="3FBAFA0D">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3.2.2 投标文件编制</w:t>
            </w:r>
          </w:p>
        </w:tc>
        <w:tc>
          <w:tcPr>
            <w:tcW w:w="5379" w:type="dxa"/>
            <w:vAlign w:val="center"/>
          </w:tcPr>
          <w:p w14:paraId="7F9FA75B">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tc>
      </w:tr>
      <w:tr w14:paraId="5A5ED1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329D95C">
            <w:pPr>
              <w:autoSpaceDE w:val="0"/>
              <w:autoSpaceDN w:val="0"/>
              <w:jc w:val="center"/>
              <w:rPr>
                <w:rFonts w:cs="宋体" w:asciiTheme="minorEastAsia" w:hAnsiTheme="minorEastAsia" w:eastAsiaTheme="minorEastAsia"/>
                <w:szCs w:val="21"/>
                <w:highlight w:val="none"/>
              </w:rPr>
            </w:pPr>
          </w:p>
        </w:tc>
        <w:tc>
          <w:tcPr>
            <w:tcW w:w="2082" w:type="dxa"/>
            <w:vAlign w:val="center"/>
          </w:tcPr>
          <w:p w14:paraId="327EE17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需要补充的其他内容</w:t>
            </w:r>
          </w:p>
        </w:tc>
        <w:tc>
          <w:tcPr>
            <w:tcW w:w="5379" w:type="dxa"/>
            <w:vAlign w:val="center"/>
          </w:tcPr>
          <w:p w14:paraId="549BF427">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投标人试图对招标人进行影响，或对评标委员会的评标、比较或中标候选人的决定进行影响，都可能导致其投标被否决。</w:t>
            </w:r>
          </w:p>
        </w:tc>
      </w:tr>
      <w:tr w14:paraId="09FB8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vAlign w:val="center"/>
          </w:tcPr>
          <w:p w14:paraId="1745F6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第三章评标办法</w:t>
            </w:r>
          </w:p>
        </w:tc>
        <w:tc>
          <w:tcPr>
            <w:tcW w:w="2082" w:type="dxa"/>
            <w:vAlign w:val="center"/>
          </w:tcPr>
          <w:p w14:paraId="46115332">
            <w:pPr>
              <w:autoSpaceDE w:val="0"/>
              <w:autoSpaceDN w:val="0"/>
              <w:rPr>
                <w:rFonts w:cs="宋体" w:asciiTheme="minorEastAsia" w:hAnsiTheme="minorEastAsia" w:eastAsiaTheme="minorEastAsia"/>
                <w:szCs w:val="21"/>
                <w:highlight w:val="none"/>
              </w:rPr>
            </w:pPr>
            <w:r>
              <w:rPr>
                <w:rFonts w:hint="eastAsia" w:ascii="宋体" w:hAnsi="宋体" w:cs="宋体"/>
                <w:color w:val="000000" w:themeColor="text1"/>
                <w:szCs w:val="21"/>
                <w:highlight w:val="none"/>
                <w14:textFill>
                  <w14:solidFill>
                    <w14:schemeClr w14:val="tx1"/>
                  </w14:solidFill>
                </w14:textFill>
              </w:rPr>
              <w:t>3.1.1 初步评审</w:t>
            </w:r>
          </w:p>
        </w:tc>
        <w:tc>
          <w:tcPr>
            <w:tcW w:w="5379" w:type="dxa"/>
            <w:vAlign w:val="center"/>
          </w:tcPr>
          <w:p w14:paraId="217167B4">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评标委员会根据第三章第2.1款规定的初步评审标准对投标文件进行初步评审。有一项不符合评审标准的，评标委员会应当否决其投标。</w:t>
            </w:r>
          </w:p>
        </w:tc>
      </w:tr>
      <w:tr w14:paraId="551DBA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24CA3B8">
            <w:pPr>
              <w:autoSpaceDE w:val="0"/>
              <w:autoSpaceDN w:val="0"/>
              <w:jc w:val="center"/>
              <w:rPr>
                <w:rFonts w:cs="宋体" w:asciiTheme="minorEastAsia" w:hAnsiTheme="minorEastAsia" w:eastAsiaTheme="minorEastAsia"/>
                <w:szCs w:val="21"/>
                <w:highlight w:val="none"/>
              </w:rPr>
            </w:pPr>
          </w:p>
        </w:tc>
        <w:tc>
          <w:tcPr>
            <w:tcW w:w="2082" w:type="dxa"/>
            <w:vAlign w:val="center"/>
          </w:tcPr>
          <w:p w14:paraId="11A1E57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3.1.2 初步评审 </w:t>
            </w:r>
          </w:p>
        </w:tc>
        <w:tc>
          <w:tcPr>
            <w:tcW w:w="5379" w:type="dxa"/>
            <w:vAlign w:val="center"/>
          </w:tcPr>
          <w:p w14:paraId="6E329290">
            <w:pPr>
              <w:autoSpaceDE w:val="0"/>
              <w:autoSpaceDN w:val="0"/>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投标人有以下情形之一的，评标委员会应当否决其投标：</w:t>
            </w:r>
          </w:p>
          <w:p w14:paraId="24EF0747">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（1）第二章“投标人须知”第1.8款规定的任何一种情形的；</w:t>
            </w:r>
          </w:p>
          <w:p w14:paraId="1BD5FFE5">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（2）不按照评标委员会要求澄清、说明或者补正的；</w:t>
            </w:r>
          </w:p>
          <w:p w14:paraId="59F85BFE">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（3）投标文件未经投标单位盖章和单位负责人签字；</w:t>
            </w:r>
          </w:p>
          <w:p w14:paraId="4145F253">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（4）允许联合体投标的，投标联合体没有递交共同投标协议；</w:t>
            </w:r>
          </w:p>
          <w:p w14:paraId="425633A6">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（5）投标人不符合国家或者招标文件规定的资格条件；</w:t>
            </w:r>
          </w:p>
          <w:p w14:paraId="2912240A">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（6）同一投标人递交两个以上不同的投标文件或者投标报价，但招标文件要求递交备选投标的除外；</w:t>
            </w:r>
          </w:p>
          <w:p w14:paraId="3ADA9ED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（7）投标报价低于成本或者高于招标文件设定的最高投标限价；</w:t>
            </w:r>
          </w:p>
          <w:p w14:paraId="64A6A9A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（8）投标文件没有对招标文件的实质性要求和条件做出响应；</w:t>
            </w:r>
          </w:p>
          <w:p w14:paraId="62AA9A72">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（9）投标人有串通投标、弄虚作假、行贿等违法行为；</w:t>
            </w:r>
          </w:p>
          <w:p w14:paraId="7538BC46">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（10）投标人以他人名义投标；</w:t>
            </w:r>
          </w:p>
          <w:p w14:paraId="279DD308">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（11）没有按照招标文件要求提供投标担保或者所提供的投标担保有瑕疵；</w:t>
            </w:r>
          </w:p>
          <w:p w14:paraId="3568AEFC">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（12）投标文件载明的招标项目完成期限超过招标文件规定的期限；</w:t>
            </w:r>
          </w:p>
          <w:p w14:paraId="48799394">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（13）明显不符合技术规格、技术标准的要求；</w:t>
            </w:r>
          </w:p>
          <w:p w14:paraId="48418BFF">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（14）投标文件载明的货物包装方式、检验标准和方法等不符合招标文件的要求；</w:t>
            </w:r>
          </w:p>
          <w:p w14:paraId="30838CCB">
            <w:pPr>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（15）投标文件附有招标人不能接受的条件；</w:t>
            </w:r>
          </w:p>
          <w:p w14:paraId="484911CC">
            <w:pPr>
              <w:autoSpaceDE w:val="0"/>
              <w:autoSpaceDN w:val="0"/>
              <w:adjustRightInd w:val="0"/>
              <w:snapToGrid w:val="0"/>
              <w:rPr>
                <w:rFonts w:asciiTheme="minorEastAsia" w:hAnsiTheme="minorEastAsia" w:eastAsiaTheme="minorEastAsia"/>
                <w:highlight w:val="none"/>
              </w:rPr>
            </w:pPr>
            <w:r>
              <w:rPr>
                <w:rFonts w:hint="eastAsia" w:asciiTheme="minorEastAsia" w:hAnsiTheme="minorEastAsia" w:eastAsiaTheme="minorEastAsia"/>
                <w:highlight w:val="none"/>
              </w:rPr>
              <w:t>（16）不符合招标文件中规定的其他实质性要求。</w:t>
            </w:r>
          </w:p>
        </w:tc>
      </w:tr>
      <w:tr w14:paraId="750128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ED9E7EE">
            <w:pPr>
              <w:autoSpaceDE w:val="0"/>
              <w:autoSpaceDN w:val="0"/>
              <w:jc w:val="center"/>
              <w:rPr>
                <w:rFonts w:cs="宋体" w:asciiTheme="minorEastAsia" w:hAnsiTheme="minorEastAsia" w:eastAsiaTheme="minorEastAsia"/>
                <w:szCs w:val="21"/>
                <w:highlight w:val="none"/>
              </w:rPr>
            </w:pPr>
          </w:p>
        </w:tc>
        <w:tc>
          <w:tcPr>
            <w:tcW w:w="2082" w:type="dxa"/>
            <w:vAlign w:val="center"/>
          </w:tcPr>
          <w:p w14:paraId="6729B71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3.1.3 低于成本价</w:t>
            </w:r>
          </w:p>
        </w:tc>
        <w:tc>
          <w:tcPr>
            <w:tcW w:w="5379" w:type="dxa"/>
            <w:vAlign w:val="center"/>
          </w:tcPr>
          <w:p w14:paraId="2982ED10">
            <w:pPr>
              <w:autoSpaceDE w:val="0"/>
              <w:autoSpaceDN w:val="0"/>
              <w:rPr>
                <w:rFonts w:cs="宋体" w:asciiTheme="minorEastAsia" w:hAnsiTheme="minorEastAsia" w:eastAsiaTheme="minorEastAsia"/>
                <w:szCs w:val="21"/>
                <w:highlight w:val="none"/>
              </w:rPr>
            </w:pPr>
            <w:r>
              <w:rPr>
                <w:rFonts w:hint="eastAsia" w:ascii="宋体" w:hAnsi="宋体"/>
                <w:color w:val="000000" w:themeColor="text1"/>
                <w:highlight w:val="none"/>
                <w14:textFill>
                  <w14:solidFill>
                    <w14:schemeClr w14:val="tx1"/>
                  </w14:solidFill>
                </w14:textFill>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tc>
      </w:tr>
      <w:tr w14:paraId="379D35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5638A913">
            <w:pPr>
              <w:autoSpaceDE w:val="0"/>
              <w:autoSpaceDN w:val="0"/>
              <w:jc w:val="center"/>
              <w:rPr>
                <w:rFonts w:cs="宋体" w:asciiTheme="minorEastAsia" w:hAnsiTheme="minorEastAsia" w:eastAsiaTheme="minorEastAsia"/>
                <w:szCs w:val="21"/>
                <w:highlight w:val="none"/>
              </w:rPr>
            </w:pPr>
          </w:p>
        </w:tc>
        <w:tc>
          <w:tcPr>
            <w:tcW w:w="2082" w:type="dxa"/>
            <w:vAlign w:val="center"/>
          </w:tcPr>
          <w:p w14:paraId="3FE4AE3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3.1.4 算术修正</w:t>
            </w:r>
          </w:p>
        </w:tc>
        <w:tc>
          <w:tcPr>
            <w:tcW w:w="5379" w:type="dxa"/>
            <w:vAlign w:val="center"/>
          </w:tcPr>
          <w:p w14:paraId="489865A6">
            <w:pPr>
              <w:autoSpaceDE w:val="0"/>
              <w:autoSpaceDN w:val="0"/>
              <w:rPr>
                <w:color w:val="000000"/>
                <w:sz w:val="20"/>
                <w:szCs w:val="21"/>
              </w:rPr>
            </w:pPr>
            <w:r>
              <w:rPr>
                <w:rFonts w:hint="eastAsia"/>
                <w:color w:val="000000"/>
                <w:sz w:val="20"/>
                <w:szCs w:val="21"/>
              </w:rPr>
              <w:t>投标报价有算术错误的，评标委员会按照以下原则对投标报价进行修正，修正的价格经投标人书面确认后具有约束力。投标人不接受修正价格的，评标委员会应当否决其投标。</w:t>
            </w:r>
          </w:p>
          <w:p w14:paraId="463BEC42">
            <w:pPr>
              <w:autoSpaceDE w:val="0"/>
              <w:autoSpaceDN w:val="0"/>
              <w:jc w:val="both"/>
              <w:rPr>
                <w:color w:val="000000"/>
                <w:sz w:val="20"/>
                <w:szCs w:val="21"/>
              </w:rPr>
            </w:pPr>
            <w:r>
              <w:rPr>
                <w:rFonts w:hint="eastAsia"/>
                <w:color w:val="000000"/>
                <w:sz w:val="20"/>
                <w:szCs w:val="21"/>
              </w:rPr>
              <w:t>（1）投标文件中的大写金额与小写金额不一致的，以大写金额为准；</w:t>
            </w:r>
          </w:p>
          <w:p w14:paraId="668408D5">
            <w:pPr>
              <w:autoSpaceDE w:val="0"/>
              <w:autoSpaceDN w:val="0"/>
              <w:jc w:val="both"/>
              <w:rPr>
                <w:rFonts w:hint="eastAsia"/>
                <w:color w:val="000000"/>
                <w:sz w:val="20"/>
                <w:szCs w:val="21"/>
              </w:rPr>
            </w:pPr>
            <w:r>
              <w:rPr>
                <w:rFonts w:hint="eastAsia"/>
                <w:color w:val="000000"/>
                <w:sz w:val="20"/>
                <w:szCs w:val="21"/>
              </w:rPr>
              <w:t>（2）总价金额与根据单价计算出的结果不一致的，以单价金额为准修正总价，但单价金额小数点有明显错误的除外。</w:t>
            </w:r>
          </w:p>
          <w:p w14:paraId="0855E69F">
            <w:pPr>
              <w:autoSpaceDE w:val="0"/>
              <w:autoSpaceDN w:val="0"/>
              <w:jc w:val="both"/>
              <w:rPr>
                <w:rFonts w:asciiTheme="minorEastAsia" w:hAnsiTheme="minorEastAsia" w:eastAsiaTheme="minorEastAsia"/>
                <w:highlight w:val="none"/>
              </w:rPr>
            </w:pPr>
            <w:r>
              <w:rPr>
                <w:rFonts w:hint="eastAsia"/>
                <w:color w:val="000000"/>
                <w:sz w:val="20"/>
                <w:szCs w:val="21"/>
                <w:lang w:val="en-US" w:eastAsia="zh-CN"/>
              </w:rPr>
              <w:t>（3）</w:t>
            </w:r>
            <w:r>
              <w:rPr>
                <w:rFonts w:hint="eastAsia"/>
                <w:color w:val="000000"/>
                <w:sz w:val="20"/>
                <w:szCs w:val="21"/>
              </w:rPr>
              <w:t>含税金额与根据不含税金额计算出的结果不一致的，以不含税金额为准修正含税金额，但不含税金额有明显错误的除外。</w:t>
            </w:r>
          </w:p>
        </w:tc>
      </w:tr>
    </w:tbl>
    <w:p w14:paraId="1F631028">
      <w:pPr>
        <w:pStyle w:val="81"/>
        <w:tabs>
          <w:tab w:val="left" w:pos="602"/>
        </w:tabs>
        <w:snapToGrid w:val="0"/>
        <w:spacing w:before="120" w:after="120" w:line="440" w:lineRule="exact"/>
        <w:jc w:val="left"/>
        <w:rPr>
          <w:rFonts w:asciiTheme="minorEastAsia" w:hAnsiTheme="minorEastAsia" w:eastAsiaTheme="minorEastAsia"/>
          <w:sz w:val="28"/>
          <w:szCs w:val="28"/>
          <w:highlight w:val="none"/>
        </w:rPr>
        <w:sectPr>
          <w:footerReference r:id="rId9" w:type="first"/>
          <w:footerReference r:id="rId8" w:type="default"/>
          <w:pgSz w:w="11906" w:h="16838"/>
          <w:pgMar w:top="1440" w:right="1800" w:bottom="1440" w:left="1800" w:header="851" w:footer="992" w:gutter="0"/>
          <w:pgNumType w:fmt="decimal"/>
          <w:cols w:space="720" w:num="1"/>
          <w:titlePg/>
          <w:docGrid w:type="lines" w:linePitch="312" w:charSpace="0"/>
        </w:sectPr>
      </w:pPr>
      <w:bookmarkStart w:id="58" w:name="_Toc447188667"/>
      <w:bookmarkStart w:id="59" w:name="_Toc226969278"/>
      <w:bookmarkStart w:id="60" w:name="_Toc227057885"/>
      <w:bookmarkStart w:id="61" w:name="_Toc107822484"/>
      <w:bookmarkStart w:id="62" w:name="_Toc488655831"/>
    </w:p>
    <w:p w14:paraId="4C3C7462">
      <w:pPr>
        <w:pStyle w:val="81"/>
        <w:numPr>
          <w:ilvl w:val="0"/>
          <w:numId w:val="77"/>
        </w:numPr>
        <w:tabs>
          <w:tab w:val="left" w:pos="602"/>
        </w:tabs>
        <w:snapToGrid w:val="0"/>
        <w:spacing w:before="120" w:after="120" w:line="440" w:lineRule="exact"/>
        <w:ind w:left="0" w:firstLine="0"/>
        <w:jc w:val="left"/>
        <w:rPr>
          <w:rFonts w:asciiTheme="minorEastAsia" w:hAnsiTheme="minorEastAsia" w:eastAsiaTheme="minorEastAsia"/>
          <w:sz w:val="28"/>
          <w:szCs w:val="28"/>
          <w:highlight w:val="none"/>
        </w:rPr>
      </w:pPr>
      <w:bookmarkStart w:id="63" w:name="_Toc15725"/>
      <w:bookmarkStart w:id="64" w:name="_Toc14467"/>
      <w:bookmarkStart w:id="65" w:name="_Toc9862"/>
      <w:bookmarkStart w:id="66" w:name="_Toc25548"/>
      <w:bookmarkStart w:id="67" w:name="_Toc38007951"/>
      <w:bookmarkStart w:id="68" w:name="_Toc12313"/>
      <w:bookmarkStart w:id="69" w:name="_Toc5381"/>
      <w:bookmarkStart w:id="70" w:name="_Toc16856"/>
      <w:bookmarkStart w:id="71" w:name="_Toc13714"/>
      <w:bookmarkStart w:id="72" w:name="_Toc30652"/>
      <w:bookmarkStart w:id="73" w:name="_Toc30823"/>
      <w:bookmarkStart w:id="74" w:name="_Toc28117"/>
      <w:bookmarkStart w:id="75" w:name="_Toc447265502"/>
      <w:bookmarkStart w:id="76" w:name="_Toc447265216"/>
      <w:r>
        <w:rPr>
          <w:rFonts w:hint="eastAsia" w:asciiTheme="minorEastAsia" w:hAnsiTheme="minorEastAsia" w:eastAsiaTheme="minorEastAsia"/>
          <w:sz w:val="28"/>
          <w:szCs w:val="28"/>
          <w:highlight w:val="none"/>
        </w:rPr>
        <w:t>总则</w:t>
      </w:r>
      <w:bookmarkEnd w:id="58"/>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6A2188C">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77" w:name="_Toc152042306"/>
      <w:bookmarkStart w:id="78" w:name="_Toc447265503"/>
      <w:bookmarkStart w:id="79" w:name="_Toc12447"/>
      <w:bookmarkStart w:id="80" w:name="_Toc144974498"/>
      <w:bookmarkStart w:id="81" w:name="_Toc447265217"/>
      <w:bookmarkStart w:id="82" w:name="_Toc9068"/>
      <w:bookmarkStart w:id="83" w:name="_Toc7821"/>
      <w:bookmarkStart w:id="84" w:name="_Toc14439"/>
      <w:bookmarkStart w:id="85" w:name="_Toc247085690"/>
      <w:bookmarkStart w:id="86" w:name="_Toc15821"/>
      <w:bookmarkStart w:id="87" w:name="_Toc447188668"/>
      <w:bookmarkStart w:id="88" w:name="_Toc7690"/>
      <w:bookmarkStart w:id="89" w:name="_Toc296602421"/>
      <w:bookmarkStart w:id="90" w:name="_Toc10424"/>
      <w:bookmarkStart w:id="91" w:name="_Toc38007952"/>
      <w:bookmarkStart w:id="92" w:name="_Toc31634"/>
      <w:bookmarkStart w:id="93" w:name="_Toc6214"/>
      <w:bookmarkStart w:id="94" w:name="_Toc839"/>
      <w:bookmarkStart w:id="95" w:name="_Toc152045530"/>
      <w:bookmarkStart w:id="96" w:name="_Toc246996919"/>
      <w:bookmarkStart w:id="97" w:name="_Toc246996176"/>
      <w:bookmarkStart w:id="98" w:name="_Toc179632547"/>
      <w:bookmarkStart w:id="99" w:name="_Toc24855"/>
      <w:r>
        <w:rPr>
          <w:rFonts w:hint="eastAsia" w:asciiTheme="minorEastAsia" w:hAnsiTheme="minorEastAsia" w:eastAsiaTheme="minorEastAsia"/>
          <w:sz w:val="24"/>
          <w:szCs w:val="24"/>
          <w:highlight w:val="none"/>
        </w:rPr>
        <w:t>1.1项目概况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59"/>
    <w:bookmarkEnd w:id="60"/>
    <w:p w14:paraId="57D127DA">
      <w:pPr>
        <w:pStyle w:val="45"/>
        <w:numPr>
          <w:ilvl w:val="2"/>
          <w:numId w:val="77"/>
        </w:numPr>
        <w:tabs>
          <w:tab w:val="left" w:pos="630"/>
        </w:tabs>
        <w:snapToGrid w:val="0"/>
        <w:spacing w:line="440" w:lineRule="exact"/>
        <w:ind w:left="0" w:firstLine="424" w:firstLineChars="202"/>
        <w:rPr>
          <w:rFonts w:ascii="宋体" w:hAnsi="宋体" w:eastAsia="宋体" w:cs="Times New Roman"/>
        </w:rPr>
      </w:pPr>
      <w:r>
        <w:rPr>
          <w:rFonts w:hint="eastAsia" w:asciiTheme="minorEastAsia" w:hAnsiTheme="minorEastAsia" w:eastAsiaTheme="minorEastAsia"/>
          <w:highlight w:val="none"/>
        </w:rPr>
        <w:t>1.</w:t>
      </w:r>
      <w:r>
        <w:rPr>
          <w:rFonts w:asciiTheme="minorEastAsia" w:hAnsiTheme="minorEastAsia" w:eastAsiaTheme="minorEastAsia"/>
          <w:highlight w:val="none"/>
        </w:rPr>
        <w:t>1.1</w:t>
      </w:r>
      <w:r>
        <w:rPr>
          <w:rFonts w:hint="eastAsia" w:asciiTheme="minorEastAsia" w:hAnsiTheme="minorEastAsia" w:eastAsiaTheme="minorEastAsia"/>
          <w:highlight w:val="none"/>
        </w:rPr>
        <w:t>根据《中华人民共和国招标投标法》（以下简称《招标投标法》）、《中华人民共和国招标投标法实施条例》（以下简称《实施条例》）和《通信工程建设项目招标投标管理办法》（以下简称《管理办法》）等有关法律、法规和规章的规定，本招标项目已具备招标条件，</w:t>
      </w:r>
      <w:r>
        <w:rPr>
          <w:rFonts w:hint="eastAsia" w:ascii="宋体" w:hAnsi="宋体" w:eastAsia="宋体" w:cs="Times New Roman"/>
        </w:rPr>
        <w:t>现对本集中项目进行招标。</w:t>
      </w:r>
    </w:p>
    <w:p w14:paraId="0DF2B3A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招标人：招标人单位名称及联系方式见投标人须知前附表。</w:t>
      </w:r>
    </w:p>
    <w:p w14:paraId="5046C5CC">
      <w:pPr>
        <w:widowControl w:val="0"/>
        <w:numPr>
          <w:ilvl w:val="2"/>
          <w:numId w:val="77"/>
        </w:numPr>
        <w:tabs>
          <w:tab w:val="left" w:pos="630"/>
        </w:tabs>
        <w:snapToGrid w:val="0"/>
        <w:spacing w:line="440" w:lineRule="exact"/>
        <w:ind w:left="0" w:firstLine="424" w:firstLineChars="202"/>
        <w:jc w:val="both"/>
        <w:rPr>
          <w:rFonts w:asciiTheme="minorEastAsia" w:hAnsiTheme="minorEastAsia" w:eastAsiaTheme="minorEastAsia"/>
          <w:highlight w:val="none"/>
        </w:rPr>
      </w:pPr>
      <w:r>
        <w:rPr>
          <w:rFonts w:ascii="宋体" w:hAnsi="宋体" w:eastAsia="宋体" w:cs="Times New Roman"/>
          <w:kern w:val="2"/>
          <w:sz w:val="21"/>
          <w:szCs w:val="20"/>
          <w:lang w:val="en-US" w:eastAsia="zh-CN" w:bidi="ar-SA"/>
        </w:rPr>
        <w:t>集中</w:t>
      </w:r>
      <w:r>
        <w:rPr>
          <w:rFonts w:hint="eastAsia" w:ascii="宋体" w:hAnsi="宋体" w:eastAsia="宋体" w:cs="Times New Roman"/>
          <w:kern w:val="2"/>
          <w:sz w:val="21"/>
          <w:szCs w:val="20"/>
          <w:lang w:val="en-US" w:eastAsia="zh-CN" w:bidi="ar-SA"/>
        </w:rPr>
        <w:t>招标项目名称：项目名称及招标编号见投标人须知前附表。</w:t>
      </w:r>
    </w:p>
    <w:p w14:paraId="6BD23244">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00" w:name="_Toc447188669"/>
      <w:bookmarkStart w:id="101" w:name="_Toc226969279"/>
      <w:bookmarkStart w:id="102" w:name="_Toc227057886"/>
      <w:bookmarkStart w:id="103" w:name="_Toc38007953"/>
      <w:bookmarkStart w:id="104" w:name="_Toc20630"/>
      <w:bookmarkStart w:id="105" w:name="_Toc447265504"/>
      <w:bookmarkStart w:id="106" w:name="_Toc1207"/>
      <w:bookmarkStart w:id="107" w:name="_Toc26777"/>
      <w:bookmarkStart w:id="108" w:name="_Toc18134"/>
      <w:bookmarkStart w:id="109" w:name="_Toc24258"/>
      <w:bookmarkStart w:id="110" w:name="_Toc8417"/>
      <w:bookmarkStart w:id="111" w:name="_Toc9481"/>
      <w:bookmarkStart w:id="112" w:name="_Toc216"/>
      <w:bookmarkStart w:id="113" w:name="_Toc1391"/>
      <w:bookmarkStart w:id="114" w:name="_Toc18540"/>
      <w:bookmarkStart w:id="115" w:name="_Toc2708"/>
      <w:bookmarkStart w:id="116" w:name="_Toc447265218"/>
      <w:r>
        <w:rPr>
          <w:rFonts w:asciiTheme="minorEastAsia" w:hAnsiTheme="minorEastAsia" w:eastAsiaTheme="minorEastAsia"/>
          <w:sz w:val="24"/>
          <w:szCs w:val="24"/>
          <w:highlight w:val="none"/>
        </w:rPr>
        <w:t>1.2</w:t>
      </w:r>
      <w:r>
        <w:rPr>
          <w:rFonts w:hint="eastAsia" w:asciiTheme="minorEastAsia" w:hAnsiTheme="minorEastAsia" w:eastAsiaTheme="minorEastAsia"/>
          <w:sz w:val="24"/>
          <w:szCs w:val="24"/>
          <w:highlight w:val="none"/>
        </w:rPr>
        <w:t>资金来源</w:t>
      </w:r>
      <w:bookmarkEnd w:id="100"/>
      <w:bookmarkEnd w:id="101"/>
      <w:bookmarkEnd w:id="102"/>
      <w:r>
        <w:rPr>
          <w:rFonts w:hint="eastAsia" w:asciiTheme="minorEastAsia" w:hAnsiTheme="minorEastAsia" w:eastAsiaTheme="minorEastAsia"/>
          <w:sz w:val="24"/>
          <w:szCs w:val="24"/>
          <w:highlight w:val="none"/>
        </w:rPr>
        <w:t>和落实情况</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58A5D9A">
      <w:pPr>
        <w:pStyle w:val="81"/>
        <w:tabs>
          <w:tab w:val="left" w:pos="588"/>
        </w:tabs>
        <w:snapToGrid w:val="0"/>
        <w:spacing w:before="120" w:after="120" w:line="440" w:lineRule="exact"/>
        <w:jc w:val="left"/>
        <w:rPr>
          <w:rFonts w:hint="eastAsia" w:asciiTheme="minorEastAsia" w:hAnsiTheme="minorEastAsia" w:eastAsiaTheme="minorEastAsia"/>
          <w:b w:val="0"/>
          <w:bCs w:val="0"/>
          <w:sz w:val="24"/>
          <w:szCs w:val="24"/>
          <w:highlight w:val="none"/>
        </w:rPr>
      </w:pPr>
      <w:bookmarkStart w:id="117" w:name="_Toc3689"/>
      <w:bookmarkStart w:id="118" w:name="_Toc3831"/>
      <w:bookmarkStart w:id="119" w:name="_Toc31169"/>
      <w:bookmarkStart w:id="120" w:name="_Toc447265505"/>
      <w:bookmarkStart w:id="121" w:name="_Toc29297"/>
      <w:bookmarkStart w:id="122" w:name="_Toc17426"/>
      <w:bookmarkStart w:id="123" w:name="_Toc21851"/>
      <w:bookmarkStart w:id="124" w:name="_Toc447265219"/>
      <w:bookmarkStart w:id="125" w:name="_Toc20942"/>
      <w:bookmarkStart w:id="126" w:name="_Toc38007954"/>
      <w:bookmarkStart w:id="127" w:name="_Toc9055"/>
      <w:bookmarkStart w:id="128" w:name="_Toc12701"/>
      <w:bookmarkStart w:id="129" w:name="_Toc16645"/>
      <w:bookmarkStart w:id="130" w:name="_Toc15848"/>
      <w:bookmarkStart w:id="131" w:name="_Toc447188670"/>
      <w:r>
        <w:rPr>
          <w:rFonts w:hint="eastAsia" w:asciiTheme="minorEastAsia" w:hAnsiTheme="minorEastAsia" w:eastAsiaTheme="minorEastAsia"/>
          <w:b w:val="0"/>
          <w:bCs w:val="0"/>
          <w:sz w:val="24"/>
          <w:szCs w:val="24"/>
          <w:highlight w:val="none"/>
        </w:rPr>
        <w:t>本集中招标项目资金已落实，资金来源见投标人须知前附表。</w:t>
      </w:r>
      <w:bookmarkEnd w:id="117"/>
    </w:p>
    <w:p w14:paraId="035FAC7F">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32" w:name="_Toc13121"/>
      <w:r>
        <w:rPr>
          <w:rFonts w:hint="eastAsia" w:asciiTheme="minorEastAsia" w:hAnsiTheme="minorEastAsia" w:eastAsiaTheme="minorEastAsia"/>
          <w:sz w:val="24"/>
          <w:szCs w:val="24"/>
          <w:highlight w:val="none"/>
        </w:rPr>
        <w:t>1.3招标范围</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20B6B0B">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本项目招标范围：见投标人须知前附表。</w:t>
      </w:r>
    </w:p>
    <w:bookmarkEnd w:id="61"/>
    <w:bookmarkEnd w:id="62"/>
    <w:p w14:paraId="6C1E9089">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33" w:name="_Toc447265220"/>
      <w:bookmarkStart w:id="134" w:name="_Toc447265506"/>
      <w:bookmarkStart w:id="135" w:name="_Toc447188671"/>
      <w:bookmarkStart w:id="136" w:name="_Toc5505"/>
      <w:bookmarkStart w:id="137" w:name="_Toc32384"/>
      <w:r>
        <w:rPr>
          <w:rFonts w:hint="eastAsia" w:ascii="宋体" w:hAnsi="宋体" w:eastAsia="宋体" w:cs="Times New Roman"/>
          <w:b/>
          <w:bCs/>
          <w:kern w:val="2"/>
          <w:sz w:val="24"/>
          <w:szCs w:val="24"/>
          <w:lang w:val="en-US" w:eastAsia="zh-CN" w:bidi="ar-SA"/>
        </w:rPr>
        <w:t>集中招标类型</w:t>
      </w:r>
      <w:bookmarkEnd w:id="133"/>
      <w:bookmarkEnd w:id="134"/>
      <w:bookmarkEnd w:id="135"/>
      <w:bookmarkEnd w:id="136"/>
      <w:bookmarkEnd w:id="137"/>
    </w:p>
    <w:p w14:paraId="6B9BD17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本项目采用的集中招标类型见投标人须知前附表。</w:t>
      </w:r>
    </w:p>
    <w:p w14:paraId="53BF3F75">
      <w:pPr>
        <w:widowControl w:val="0"/>
        <w:numPr>
          <w:ilvl w:val="0"/>
          <w:numId w:val="0"/>
        </w:numPr>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1.2.2</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标包招标：是指招标人将集中招标项目划分为若干个标包进行招标。标包划分情况见投标人须知前附表。</w:t>
      </w:r>
    </w:p>
    <w:p w14:paraId="6AF25021">
      <w:pPr>
        <w:widowControl w:val="0"/>
        <w:numPr>
          <w:ilvl w:val="0"/>
          <w:numId w:val="0"/>
        </w:numPr>
        <w:tabs>
          <w:tab w:val="left" w:pos="630"/>
        </w:tabs>
        <w:snapToGrid w:val="0"/>
        <w:spacing w:line="440" w:lineRule="exact"/>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1.2.3</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份额招标：是指招标人预估集中招标涉及的所有项目的总体规模，并将其分为若干份额，投标人对整个集中招标项目进行投标，根据评标排名顺序，依次中标相应份额。份额分配情况见投标人须知前附表。</w:t>
      </w:r>
    </w:p>
    <w:p w14:paraId="6CF90004">
      <w:pPr>
        <w:widowControl w:val="0"/>
        <w:numPr>
          <w:ilvl w:val="0"/>
          <w:numId w:val="0"/>
        </w:numPr>
        <w:tabs>
          <w:tab w:val="left" w:pos="630"/>
        </w:tabs>
        <w:snapToGrid w:val="0"/>
        <w:spacing w:line="440" w:lineRule="exact"/>
        <w:ind w:firstLine="424" w:firstLineChars="202"/>
        <w:jc w:val="both"/>
        <w:rPr>
          <w:rFonts w:ascii="宋体" w:hAnsi="宋体" w:eastAsia="宋体" w:cs="Times New Roman"/>
          <w:kern w:val="2"/>
          <w:sz w:val="21"/>
          <w:szCs w:val="20"/>
          <w:lang w:val="en-US" w:eastAsia="zh-CN" w:bidi="ar-SA"/>
        </w:rPr>
      </w:pPr>
      <w:r>
        <w:rPr>
          <w:rFonts w:ascii="宋体" w:hAnsi="宋体" w:eastAsia="宋体" w:cs="Times New Roman"/>
          <w:kern w:val="2"/>
          <w:sz w:val="21"/>
          <w:szCs w:val="20"/>
          <w:lang w:val="en-US" w:eastAsia="zh-CN" w:bidi="ar-SA"/>
        </w:rPr>
        <w:t>1.</w:t>
      </w:r>
      <w:r>
        <w:rPr>
          <w:rFonts w:hint="eastAsia" w:ascii="宋体" w:hAnsi="宋体" w:eastAsia="宋体" w:cs="Times New Roman"/>
          <w:kern w:val="2"/>
          <w:sz w:val="21"/>
          <w:szCs w:val="20"/>
          <w:lang w:val="en-US" w:eastAsia="zh-CN" w:bidi="ar-SA"/>
        </w:rPr>
        <w:t>2</w:t>
      </w:r>
      <w:r>
        <w:rPr>
          <w:rFonts w:ascii="宋体" w:hAnsi="宋体" w:eastAsia="宋体" w:cs="Times New Roman"/>
          <w:kern w:val="2"/>
          <w:sz w:val="21"/>
          <w:szCs w:val="20"/>
          <w:lang w:val="en-US" w:eastAsia="zh-CN" w:bidi="ar-SA"/>
        </w:rPr>
        <w:t>.4</w:t>
      </w:r>
      <w:r>
        <w:rPr>
          <w:rFonts w:ascii="宋体" w:hAnsi="宋体" w:eastAsia="宋体" w:cs="Times New Roman"/>
          <w:kern w:val="2"/>
          <w:sz w:val="21"/>
          <w:szCs w:val="20"/>
          <w:lang w:val="en-US" w:eastAsia="zh-CN" w:bidi="ar-SA"/>
        </w:rPr>
        <w:tab/>
      </w:r>
      <w:r>
        <w:rPr>
          <w:rFonts w:hint="eastAsia" w:ascii="宋体" w:hAnsi="宋体" w:eastAsia="宋体" w:cs="Times New Roman"/>
          <w:kern w:val="2"/>
          <w:sz w:val="21"/>
          <w:szCs w:val="20"/>
          <w:lang w:val="en-US" w:eastAsia="zh-CN" w:bidi="ar-SA"/>
        </w:rPr>
        <w:t>混合招标：是指招标人将集中招标项目划分为若干个标包，并预估每个标包所包含项目的规模，将每个标包分成若干份额，要求投标人分别对每个标包独立投标，每个标包按照份额招标方式操作。标包划分及份额分配情况见投标人须知前附表。</w:t>
      </w:r>
    </w:p>
    <w:p w14:paraId="2782876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38" w:name="_Toc18038"/>
      <w:bookmarkStart w:id="139" w:name="_Toc107822486"/>
      <w:bookmarkStart w:id="140" w:name="_Toc226969281"/>
      <w:bookmarkStart w:id="141" w:name="_Toc447188672"/>
      <w:bookmarkStart w:id="142" w:name="_Toc30680"/>
      <w:bookmarkStart w:id="143" w:name="_Toc447265221"/>
      <w:bookmarkStart w:id="144" w:name="_Toc227057888"/>
      <w:bookmarkStart w:id="145" w:name="_Toc447265507"/>
      <w:r>
        <w:rPr>
          <w:rFonts w:hint="eastAsia" w:ascii="宋体" w:hAnsi="宋体" w:eastAsia="宋体" w:cs="Times New Roman"/>
          <w:b/>
          <w:bCs/>
          <w:kern w:val="2"/>
          <w:sz w:val="24"/>
          <w:szCs w:val="24"/>
          <w:lang w:val="en-US" w:eastAsia="zh-CN" w:bidi="ar-SA"/>
        </w:rPr>
        <w:t>招标方式</w:t>
      </w:r>
      <w:bookmarkEnd w:id="138"/>
      <w:bookmarkEnd w:id="139"/>
      <w:bookmarkEnd w:id="140"/>
      <w:bookmarkEnd w:id="141"/>
      <w:bookmarkEnd w:id="142"/>
      <w:bookmarkEnd w:id="143"/>
      <w:bookmarkEnd w:id="144"/>
      <w:bookmarkEnd w:id="145"/>
    </w:p>
    <w:p w14:paraId="55903355">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.1   招标方式见投标人须知前附表。</w:t>
      </w:r>
    </w:p>
    <w:p w14:paraId="180E2C55">
      <w:pPr>
        <w:widowControl w:val="0"/>
        <w:numPr>
          <w:ilvl w:val="2"/>
          <w:numId w:val="78"/>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公开招标是指招标人以招标公告的方式邀请不特定的法人或者其他组织投标。</w:t>
      </w:r>
    </w:p>
    <w:p w14:paraId="72C7744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邀请招标是指招标人以投标邀请书的方式邀请特定的法人或者其他组织投标。</w:t>
      </w:r>
    </w:p>
    <w:p w14:paraId="68C5630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46" w:name="_Toc828"/>
      <w:bookmarkStart w:id="147" w:name="_Toc9859"/>
      <w:bookmarkStart w:id="148" w:name="_Toc447265508"/>
      <w:bookmarkStart w:id="149" w:name="_Toc447265222"/>
      <w:bookmarkStart w:id="150" w:name="_Toc227057887"/>
      <w:bookmarkStart w:id="151" w:name="_Toc107822485"/>
      <w:bookmarkStart w:id="152" w:name="_Toc447188673"/>
      <w:bookmarkStart w:id="153" w:name="_Toc226969280"/>
      <w:bookmarkStart w:id="154" w:name="_Toc227057889"/>
      <w:bookmarkStart w:id="155" w:name="_Toc226969282"/>
      <w:r>
        <w:rPr>
          <w:rFonts w:hint="eastAsia" w:ascii="宋体" w:hAnsi="宋体" w:eastAsia="宋体" w:cs="Times New Roman"/>
          <w:b/>
          <w:bCs/>
          <w:kern w:val="2"/>
          <w:sz w:val="24"/>
          <w:szCs w:val="24"/>
          <w:lang w:val="en-US" w:eastAsia="zh-CN" w:bidi="ar-SA"/>
        </w:rPr>
        <w:t>招标的组织形式</w:t>
      </w:r>
      <w:bookmarkEnd w:id="146"/>
      <w:bookmarkEnd w:id="147"/>
      <w:bookmarkEnd w:id="148"/>
      <w:bookmarkEnd w:id="149"/>
      <w:bookmarkEnd w:id="150"/>
      <w:bookmarkEnd w:id="151"/>
      <w:bookmarkEnd w:id="152"/>
      <w:bookmarkEnd w:id="153"/>
    </w:p>
    <w:p w14:paraId="7774A7B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本项目由招标人自行组织</w:t>
      </w:r>
      <w:r>
        <w:rPr>
          <w:rFonts w:ascii="宋体" w:hAnsi="宋体" w:eastAsia="宋体" w:cs="宋体"/>
          <w:szCs w:val="21"/>
        </w:rPr>
        <w:t>/委托</w:t>
      </w:r>
      <w:r>
        <w:rPr>
          <w:rFonts w:hint="eastAsia" w:ascii="宋体" w:hAnsi="宋体" w:eastAsia="宋体" w:cs="宋体"/>
          <w:szCs w:val="21"/>
        </w:rPr>
        <w:t>招标代理机构采用代理招标的方式进行，招标的组织形式、招标代理机构名称及联系方式见投标人须知前附表。</w:t>
      </w:r>
    </w:p>
    <w:p w14:paraId="5153A6D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56" w:name="_Toc447265223"/>
      <w:bookmarkStart w:id="157" w:name="_Toc447265509"/>
      <w:bookmarkStart w:id="158" w:name="_Toc8390"/>
      <w:bookmarkStart w:id="159" w:name="_Toc447188674"/>
      <w:bookmarkStart w:id="160" w:name="_Toc17852"/>
      <w:r>
        <w:rPr>
          <w:rFonts w:hint="eastAsia" w:ascii="宋体" w:hAnsi="宋体" w:eastAsia="宋体" w:cs="Times New Roman"/>
          <w:b/>
          <w:bCs/>
          <w:kern w:val="2"/>
          <w:sz w:val="24"/>
          <w:szCs w:val="24"/>
          <w:lang w:val="en-US" w:eastAsia="zh-CN" w:bidi="ar-SA"/>
        </w:rPr>
        <w:t>资格审查</w:t>
      </w:r>
      <w:bookmarkEnd w:id="154"/>
      <w:bookmarkEnd w:id="155"/>
      <w:bookmarkEnd w:id="156"/>
      <w:bookmarkEnd w:id="157"/>
      <w:bookmarkEnd w:id="158"/>
      <w:bookmarkEnd w:id="159"/>
      <w:bookmarkEnd w:id="160"/>
    </w:p>
    <w:p w14:paraId="11358F42">
      <w:pPr>
        <w:adjustRightInd w:val="0"/>
        <w:snapToGrid w:val="0"/>
        <w:spacing w:line="440" w:lineRule="exact"/>
        <w:ind w:firstLine="424" w:firstLineChars="202"/>
        <w:rPr>
          <w:rFonts w:ascii="宋体" w:hAnsi="宋体" w:eastAsia="宋体" w:cs="Times New Roman"/>
          <w:szCs w:val="20"/>
        </w:rPr>
      </w:pPr>
      <w:r>
        <w:rPr>
          <w:rFonts w:hint="eastAsia" w:ascii="宋体" w:hAnsi="宋体" w:eastAsia="宋体" w:cs="Times New Roman"/>
          <w:szCs w:val="20"/>
        </w:rPr>
        <w:t>1.</w:t>
      </w:r>
      <w:r>
        <w:rPr>
          <w:rFonts w:hint="eastAsia" w:ascii="宋体" w:hAnsi="宋体" w:eastAsia="宋体" w:cs="Times New Roman"/>
          <w:szCs w:val="20"/>
          <w:lang w:val="en-US" w:eastAsia="zh-CN"/>
        </w:rPr>
        <w:t>5</w:t>
      </w:r>
      <w:r>
        <w:rPr>
          <w:rFonts w:hint="eastAsia" w:ascii="宋体" w:hAnsi="宋体" w:eastAsia="宋体" w:cs="Times New Roman"/>
          <w:szCs w:val="20"/>
        </w:rPr>
        <w:t>.1</w:t>
      </w:r>
      <w:r>
        <w:rPr>
          <w:rFonts w:ascii="宋体" w:hAnsi="宋体" w:eastAsia="宋体" w:cs="Times New Roman"/>
          <w:szCs w:val="20"/>
        </w:rPr>
        <w:tab/>
      </w:r>
      <w:r>
        <w:rPr>
          <w:rFonts w:hint="eastAsia" w:ascii="宋体" w:hAnsi="宋体" w:eastAsia="宋体" w:cs="Times New Roman"/>
          <w:szCs w:val="20"/>
        </w:rPr>
        <w:t>本集中招标项目资格审查方式见投标人须知前附表。</w:t>
      </w:r>
    </w:p>
    <w:p w14:paraId="4EC58D13">
      <w:pPr>
        <w:widowControl w:val="0"/>
        <w:numPr>
          <w:ilvl w:val="2"/>
          <w:numId w:val="79"/>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资格预审是指在投标前对投标人进行的资格审查。采用资格预审方式的，资格条件已经在招标文件发出前的“资格预审文件”中做出规定。</w:t>
      </w:r>
    </w:p>
    <w:p w14:paraId="0BC1F14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bookmarkStart w:id="161" w:name="_Toc226969283"/>
      <w:r>
        <w:rPr>
          <w:rFonts w:hint="eastAsia" w:ascii="宋体" w:hAnsi="宋体" w:eastAsia="宋体" w:cs="Times New Roman"/>
          <w:kern w:val="2"/>
          <w:sz w:val="21"/>
          <w:szCs w:val="20"/>
          <w:lang w:val="en-US" w:eastAsia="zh-CN" w:bidi="ar-SA"/>
        </w:rPr>
        <w:t>资格后审是指在开标后由评标委员会根据招标文件的规定对投标人进行的资格审查。</w:t>
      </w:r>
      <w:bookmarkEnd w:id="161"/>
      <w:r>
        <w:rPr>
          <w:rFonts w:hint="eastAsia" w:ascii="宋体" w:hAnsi="宋体" w:eastAsia="宋体" w:cs="Times New Roman"/>
          <w:kern w:val="2"/>
          <w:sz w:val="21"/>
          <w:szCs w:val="20"/>
          <w:lang w:val="en-US" w:eastAsia="zh-CN" w:bidi="ar-SA"/>
        </w:rPr>
        <w:t>采用资格后审方式的，投标人应当具备的资格条件见投标人须知前附表。</w:t>
      </w:r>
    </w:p>
    <w:p w14:paraId="2A52602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采用资格后审的，招标人必须在招标文件中详细规定资格审查标准和方法。</w:t>
      </w:r>
    </w:p>
    <w:p w14:paraId="353E86F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资格后审一般包括下列内容：</w:t>
      </w:r>
    </w:p>
    <w:p w14:paraId="3ACC7551">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资格要求；</w:t>
      </w:r>
    </w:p>
    <w:p w14:paraId="50BD781F">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其他业绩要求；</w:t>
      </w:r>
    </w:p>
    <w:p w14:paraId="0FB612FC">
      <w:pPr>
        <w:numPr>
          <w:ilvl w:val="0"/>
          <w:numId w:val="80"/>
        </w:numPr>
        <w:tabs>
          <w:tab w:val="left" w:pos="644"/>
        </w:tabs>
        <w:snapToGrid w:val="0"/>
        <w:spacing w:line="440" w:lineRule="exact"/>
        <w:ind w:left="0" w:firstLine="424" w:firstLineChars="202"/>
        <w:rPr>
          <w:rFonts w:ascii="宋体" w:hAnsi="宋体" w:eastAsia="宋体" w:cs="宋体"/>
          <w:szCs w:val="21"/>
        </w:rPr>
      </w:pPr>
      <w:r>
        <w:rPr>
          <w:rFonts w:hint="eastAsia" w:ascii="宋体" w:hAnsi="宋体" w:eastAsia="宋体" w:cs="宋体"/>
          <w:szCs w:val="21"/>
        </w:rPr>
        <w:t>审查标准和方法。</w:t>
      </w:r>
    </w:p>
    <w:p w14:paraId="5702F9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资格后审不合格的投标人，评标委员会应当否决其投标。</w:t>
      </w:r>
    </w:p>
    <w:p w14:paraId="2820224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62" w:name="_Toc17463"/>
      <w:bookmarkStart w:id="163" w:name="_Toc447188675"/>
      <w:bookmarkStart w:id="164" w:name="_Toc447265510"/>
      <w:bookmarkStart w:id="165" w:name="_Toc447265224"/>
      <w:bookmarkStart w:id="166" w:name="_Toc13412"/>
      <w:r>
        <w:rPr>
          <w:rFonts w:hint="eastAsia" w:ascii="宋体" w:hAnsi="宋体" w:eastAsia="宋体" w:cs="Times New Roman"/>
          <w:b/>
          <w:bCs/>
          <w:kern w:val="2"/>
          <w:sz w:val="24"/>
          <w:szCs w:val="24"/>
          <w:lang w:val="en-US" w:eastAsia="zh-CN" w:bidi="ar-SA"/>
        </w:rPr>
        <w:t>投标人不得存在的情形</w:t>
      </w:r>
      <w:bookmarkEnd w:id="162"/>
      <w:bookmarkEnd w:id="163"/>
      <w:bookmarkEnd w:id="164"/>
      <w:bookmarkEnd w:id="165"/>
      <w:bookmarkEnd w:id="166"/>
    </w:p>
    <w:p w14:paraId="73D0C3F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投标人不得存在下列情形之一：</w:t>
      </w:r>
    </w:p>
    <w:p w14:paraId="1F85E01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（1）为采购人不具有独立法人资格的附属机构（单位）；</w:t>
      </w:r>
    </w:p>
    <w:p w14:paraId="4181865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（2）被依法暂停或取消投标/响应资格的；</w:t>
      </w:r>
    </w:p>
    <w:p w14:paraId="0495D4B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（3）被责令停产停业、暂扣或者吊销许可证、暂扣或者吊销执照； </w:t>
      </w:r>
    </w:p>
    <w:p w14:paraId="7C6D747B">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（4）进入清算程序，或被宣告破产，或其他丧失履约能力的情形； </w:t>
      </w:r>
    </w:p>
    <w:p w14:paraId="680DB18C">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（5）在最近三年内[响应截止时间前36个月]被相关行业主管部门或司法机关认定骗取中标/成交、严重违约、重大工程质量或者安全问题的；</w:t>
      </w:r>
    </w:p>
    <w:p w14:paraId="51134C6A">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（6）在最近五年内[响应截止时间前60个月]被判处单位行贿罪，且行贿行为与采购活动相关的（以“中国裁判文书网”的生效判决为准）；</w:t>
      </w:r>
    </w:p>
    <w:p w14:paraId="7226D77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（7）在最近五年内[响应截止时间前60个月]被判处合同诈骗罪的（以“中国裁判文书网”的生效判决为准）；</w:t>
      </w:r>
    </w:p>
    <w:p w14:paraId="22A4E003">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（8）被最高人民法院在“信用中国”网站（www.creditchina.gov.cn）或各级信用信息共享平台中列入失信被执行人名单，已执行完毕或不再执行的除外；</w:t>
      </w:r>
    </w:p>
    <w:p w14:paraId="5697963A">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（9）为本招标项目提供过设计、编制技术规范和其他文件的咨询服务；</w:t>
      </w:r>
    </w:p>
    <w:p w14:paraId="3CF15C65">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（10）为本工程项目的相关监理人，或者与本工程项目的相关监理人存在隶属关系或者其他利害关系；</w:t>
      </w:r>
    </w:p>
    <w:p w14:paraId="66189A98">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（11）为本招标项目的代建人；</w:t>
      </w:r>
    </w:p>
    <w:p w14:paraId="15C4CAD2">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（12）为本招标项目的采购代理机构；</w:t>
      </w:r>
    </w:p>
    <w:p w14:paraId="66BEFAB7">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（13）与本招标项目的监理人或代建人或采购代理机构同为一个法定代表人；</w:t>
      </w:r>
    </w:p>
    <w:p w14:paraId="32E7659C">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（14）与本招标项目的监理人或代建人或采购代理机构存在控股或参股关系；</w:t>
      </w:r>
    </w:p>
    <w:p w14:paraId="68E1AB67">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（15）被工商行政管理机关在国家企业信用信息公示系统中列入严重违法失信企业名单的；</w:t>
      </w:r>
    </w:p>
    <w:p w14:paraId="62E13DD6">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（16）中国电信在职员工违规担任供应商法定代表人并参与采购活动的；</w:t>
      </w:r>
    </w:p>
    <w:p w14:paraId="1DC464A8">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（17）中国电信集团有限公司/中国电信股份有限公司中层及以上管理人员违反有关领导人员配偶、子女及其配偶经商办企业行为管理规定，其配偶、子女及其配偶经商办企业参与采购活动的；</w:t>
      </w:r>
    </w:p>
    <w:p w14:paraId="6A97BD31">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（18）中国电信领导人员离职或退休后三年内违反《国有企业领导人员廉洁从业若干规定》等相关规定任职、投资入股的私营企业、外资企业和中介机构，参与其原任职单位采购活动的；</w:t>
      </w:r>
    </w:p>
    <w:p w14:paraId="533F8050">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38C46179">
      <w:pPr>
        <w:widowControl w:val="0"/>
        <w:numPr>
          <w:ilvl w:val="0"/>
          <w:numId w:val="0"/>
        </w:numPr>
        <w:tabs>
          <w:tab w:val="left" w:pos="630"/>
        </w:tabs>
        <w:spacing w:line="400" w:lineRule="exact"/>
        <w:ind w:left="0" w:leftChars="0"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（20）法律法规、招标文件限定的其他情形。</w:t>
      </w:r>
    </w:p>
    <w:p w14:paraId="75F19CEC">
      <w:pPr>
        <w:widowControl w:val="0"/>
        <w:numPr>
          <w:ilvl w:val="0"/>
          <w:numId w:val="0"/>
        </w:numPr>
        <w:tabs>
          <w:tab w:val="left" w:pos="630"/>
        </w:tabs>
        <w:spacing w:line="400" w:lineRule="exact"/>
        <w:ind w:left="0" w:leftChars="0"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供应商是代理商的，本条所指的供应商也包括其所代理的制造商；联合体响应的，联合体成员均不得存在上述任一情形。</w:t>
      </w:r>
    </w:p>
    <w:p w14:paraId="511DF9C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单位负责人为同一人或者存在控股、管理关系的不同单位，不得同时参加本项目中同一标包投标或者未划分标包的同一集中招标项目投标。</w:t>
      </w:r>
    </w:p>
    <w:p w14:paraId="060329D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67" w:name="_Toc447188676"/>
      <w:bookmarkStart w:id="168" w:name="_Toc227057890"/>
      <w:bookmarkStart w:id="169" w:name="_Toc226969284"/>
      <w:bookmarkStart w:id="170" w:name="_Toc29730"/>
      <w:bookmarkStart w:id="171" w:name="_Toc9258"/>
      <w:bookmarkStart w:id="172" w:name="_Toc107822487"/>
      <w:bookmarkStart w:id="173" w:name="_Toc447265511"/>
      <w:bookmarkStart w:id="174" w:name="_Toc447265225"/>
      <w:r>
        <w:rPr>
          <w:rFonts w:hint="eastAsia" w:ascii="宋体" w:hAnsi="宋体" w:eastAsia="宋体" w:cs="Times New Roman"/>
          <w:b/>
          <w:bCs/>
          <w:kern w:val="2"/>
          <w:sz w:val="24"/>
          <w:szCs w:val="24"/>
          <w:lang w:val="en-US" w:eastAsia="zh-CN" w:bidi="ar-SA"/>
        </w:rPr>
        <w:t>合格的货物和服务</w:t>
      </w:r>
      <w:bookmarkEnd w:id="167"/>
      <w:bookmarkEnd w:id="168"/>
      <w:bookmarkEnd w:id="169"/>
      <w:bookmarkEnd w:id="170"/>
      <w:bookmarkEnd w:id="171"/>
      <w:bookmarkEnd w:id="172"/>
      <w:bookmarkEnd w:id="173"/>
      <w:bookmarkEnd w:id="174"/>
    </w:p>
    <w:p w14:paraId="426A11C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投标人提供的所有货物及其有关服务的原产地，均应当来自中国或者是与中国有正常贸易往来的国家或者地区。招标人的支付也仅限于这些货物和服务。</w:t>
      </w:r>
    </w:p>
    <w:p w14:paraId="7A39AB6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本招标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1170942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投标人提供的所有货物及其有关服务应当符合国家规定的资格条件。</w:t>
      </w:r>
    </w:p>
    <w:p w14:paraId="26EFCBC6">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75" w:name="_Toc10840"/>
      <w:bookmarkStart w:id="176" w:name="_Toc447265226"/>
      <w:bookmarkStart w:id="177" w:name="_Toc227057891"/>
      <w:bookmarkStart w:id="178" w:name="_Toc447188677"/>
      <w:bookmarkStart w:id="179" w:name="_Toc107822488"/>
      <w:bookmarkStart w:id="180" w:name="_Toc32650"/>
      <w:bookmarkStart w:id="181" w:name="_Toc447265512"/>
      <w:bookmarkStart w:id="182" w:name="_Toc226969285"/>
      <w:r>
        <w:rPr>
          <w:rFonts w:hint="eastAsia" w:ascii="宋体" w:hAnsi="宋体" w:eastAsia="宋体" w:cs="Times New Roman"/>
          <w:b/>
          <w:bCs/>
          <w:kern w:val="2"/>
          <w:sz w:val="24"/>
          <w:szCs w:val="24"/>
          <w:lang w:val="en-US" w:eastAsia="zh-CN" w:bidi="ar-SA"/>
        </w:rPr>
        <w:t>投标费用</w:t>
      </w:r>
      <w:bookmarkEnd w:id="175"/>
      <w:bookmarkEnd w:id="176"/>
      <w:bookmarkEnd w:id="177"/>
      <w:bookmarkEnd w:id="178"/>
      <w:bookmarkEnd w:id="179"/>
      <w:bookmarkEnd w:id="180"/>
      <w:bookmarkEnd w:id="181"/>
      <w:bookmarkEnd w:id="182"/>
    </w:p>
    <w:p w14:paraId="5869223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不论结果如何，投标人自行承担所有准备和参与投标有关的费用。</w:t>
      </w:r>
      <w:bookmarkStart w:id="183" w:name="_Toc107822489"/>
      <w:bookmarkStart w:id="184" w:name="_Toc226969286"/>
      <w:bookmarkStart w:id="185" w:name="_Toc227057892"/>
    </w:p>
    <w:p w14:paraId="5452E6D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186" w:name="_Toc14271"/>
      <w:bookmarkStart w:id="187" w:name="_Toc4991"/>
      <w:bookmarkStart w:id="188" w:name="_Toc447265227"/>
      <w:bookmarkStart w:id="189" w:name="_Toc447265513"/>
      <w:r>
        <w:rPr>
          <w:rFonts w:hint="eastAsia" w:ascii="宋体" w:hAnsi="宋体" w:eastAsia="宋体" w:cs="Times New Roman"/>
          <w:b/>
          <w:bCs/>
          <w:kern w:val="2"/>
          <w:sz w:val="24"/>
          <w:szCs w:val="24"/>
          <w:lang w:val="en-US" w:eastAsia="zh-CN" w:bidi="ar-SA"/>
        </w:rPr>
        <w:t>保密</w:t>
      </w:r>
      <w:bookmarkEnd w:id="186"/>
      <w:bookmarkEnd w:id="187"/>
      <w:bookmarkEnd w:id="188"/>
      <w:bookmarkEnd w:id="189"/>
    </w:p>
    <w:p w14:paraId="0B6F4CF5">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参与招标投标活动的各方应当对招标文件和投标文件中的商业和技术等秘密保密，违者应当对由此造成的后果承担法律责任。</w:t>
      </w:r>
    </w:p>
    <w:p w14:paraId="47E80DF9">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190" w:name="_Toc447188678"/>
      <w:bookmarkStart w:id="191" w:name="_Toc13010"/>
      <w:bookmarkStart w:id="192" w:name="_Toc144974510"/>
      <w:bookmarkStart w:id="193" w:name="_Toc447265228"/>
      <w:bookmarkStart w:id="194" w:name="_Toc14752"/>
      <w:bookmarkStart w:id="195" w:name="_Toc247085701"/>
      <w:bookmarkStart w:id="196" w:name="_Toc152042318"/>
      <w:bookmarkStart w:id="197" w:name="_Toc447265514"/>
      <w:bookmarkStart w:id="198" w:name="_Toc179632560"/>
      <w:bookmarkStart w:id="199" w:name="_Toc152045542"/>
      <w:bookmarkStart w:id="200" w:name="_Toc246996187"/>
      <w:bookmarkStart w:id="201" w:name="_Toc296602432"/>
      <w:bookmarkStart w:id="202" w:name="_Toc246996930"/>
      <w:r>
        <w:rPr>
          <w:rFonts w:hint="eastAsia" w:ascii="宋体" w:hAnsi="宋体" w:eastAsia="宋体" w:cs="Times New Roman"/>
          <w:b/>
          <w:bCs/>
          <w:kern w:val="2"/>
          <w:sz w:val="28"/>
          <w:szCs w:val="28"/>
          <w:lang w:val="en-US" w:eastAsia="zh-CN" w:bidi="ar-SA"/>
        </w:rPr>
        <w:t>招标文件</w:t>
      </w:r>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宋体" w:hAnsi="宋体" w:eastAsia="宋体" w:cs="Times New Roman"/>
          <w:b/>
          <w:bCs/>
          <w:kern w:val="2"/>
          <w:sz w:val="28"/>
          <w:szCs w:val="28"/>
          <w:lang w:val="en-US" w:eastAsia="zh-CN" w:bidi="ar-SA"/>
        </w:rPr>
        <w:t xml:space="preserve"> </w:t>
      </w:r>
    </w:p>
    <w:p w14:paraId="2C6CE16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03" w:name="_Toc447188679"/>
      <w:bookmarkStart w:id="204" w:name="_Toc447265515"/>
      <w:bookmarkStart w:id="205" w:name="_Toc6898"/>
      <w:bookmarkStart w:id="206" w:name="_Toc447265229"/>
      <w:bookmarkStart w:id="207" w:name="_Toc18221"/>
      <w:r>
        <w:rPr>
          <w:rFonts w:hint="eastAsia" w:ascii="宋体" w:hAnsi="宋体" w:eastAsia="宋体" w:cs="Times New Roman"/>
          <w:b/>
          <w:bCs/>
          <w:kern w:val="2"/>
          <w:sz w:val="24"/>
          <w:szCs w:val="24"/>
          <w:lang w:val="en-US" w:eastAsia="zh-CN" w:bidi="ar-SA"/>
        </w:rPr>
        <w:t>招标文件</w:t>
      </w:r>
      <w:bookmarkEnd w:id="183"/>
      <w:r>
        <w:rPr>
          <w:rFonts w:hint="eastAsia" w:ascii="宋体" w:hAnsi="宋体" w:eastAsia="宋体" w:cs="Times New Roman"/>
          <w:b/>
          <w:bCs/>
          <w:kern w:val="2"/>
          <w:sz w:val="24"/>
          <w:szCs w:val="24"/>
          <w:lang w:val="en-US" w:eastAsia="zh-CN" w:bidi="ar-SA"/>
        </w:rPr>
        <w:t>的组成</w:t>
      </w:r>
      <w:bookmarkEnd w:id="184"/>
      <w:bookmarkEnd w:id="185"/>
      <w:bookmarkEnd w:id="203"/>
      <w:bookmarkEnd w:id="204"/>
      <w:bookmarkEnd w:id="205"/>
      <w:bookmarkEnd w:id="206"/>
      <w:bookmarkEnd w:id="207"/>
    </w:p>
    <w:p w14:paraId="6810CF8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招标文件一般由以下部分组成：</w:t>
      </w:r>
    </w:p>
    <w:p w14:paraId="67F5C847">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第一章</w:t>
      </w:r>
      <w:r>
        <w:rPr>
          <w:rFonts w:ascii="宋体" w:hAnsi="宋体" w:eastAsia="宋体" w:cs="宋体"/>
          <w:szCs w:val="21"/>
        </w:rPr>
        <w:t xml:space="preserve"> </w:t>
      </w:r>
      <w:r>
        <w:rPr>
          <w:rFonts w:hint="eastAsia" w:ascii="宋体" w:hAnsi="宋体" w:eastAsia="宋体" w:cs="宋体"/>
          <w:szCs w:val="21"/>
        </w:rPr>
        <w:t>招标公告</w:t>
      </w:r>
      <w:r>
        <w:rPr>
          <w:rFonts w:ascii="宋体" w:hAnsi="宋体" w:eastAsia="宋体" w:cs="宋体"/>
          <w:szCs w:val="21"/>
        </w:rPr>
        <w:t>/投标邀请书</w:t>
      </w:r>
    </w:p>
    <w:p w14:paraId="5B11370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第二章</w:t>
      </w:r>
      <w:r>
        <w:rPr>
          <w:rFonts w:ascii="宋体" w:hAnsi="宋体" w:eastAsia="宋体" w:cs="宋体"/>
          <w:szCs w:val="21"/>
        </w:rPr>
        <w:t xml:space="preserve"> </w:t>
      </w:r>
      <w:r>
        <w:rPr>
          <w:rFonts w:hint="eastAsia" w:ascii="宋体" w:hAnsi="宋体" w:eastAsia="宋体" w:cs="宋体"/>
          <w:szCs w:val="21"/>
        </w:rPr>
        <w:t>投标人须知</w:t>
      </w:r>
    </w:p>
    <w:p w14:paraId="3E786B85">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第三章</w:t>
      </w:r>
      <w:r>
        <w:rPr>
          <w:rFonts w:ascii="宋体" w:hAnsi="宋体" w:eastAsia="宋体" w:cs="宋体"/>
          <w:szCs w:val="21"/>
        </w:rPr>
        <w:t xml:space="preserve"> </w:t>
      </w:r>
      <w:r>
        <w:rPr>
          <w:rFonts w:hint="eastAsia" w:ascii="宋体" w:hAnsi="宋体" w:eastAsia="宋体" w:cs="宋体"/>
          <w:szCs w:val="21"/>
        </w:rPr>
        <w:t>评标办法</w:t>
      </w:r>
    </w:p>
    <w:p w14:paraId="2CC1A9B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第四章</w:t>
      </w:r>
      <w:r>
        <w:rPr>
          <w:rFonts w:ascii="宋体" w:hAnsi="宋体" w:eastAsia="宋体" w:cs="宋体"/>
          <w:szCs w:val="21"/>
        </w:rPr>
        <w:t xml:space="preserve"> </w:t>
      </w:r>
      <w:r>
        <w:rPr>
          <w:rFonts w:hint="eastAsia" w:ascii="宋体" w:hAnsi="宋体" w:eastAsia="宋体" w:cs="宋体"/>
          <w:szCs w:val="21"/>
        </w:rPr>
        <w:t>合同条款</w:t>
      </w:r>
    </w:p>
    <w:p w14:paraId="1C9836CF">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第五章 技术标准和要求（包括</w:t>
      </w:r>
      <w:r>
        <w:rPr>
          <w:rFonts w:ascii="宋体" w:hAnsi="宋体" w:eastAsia="宋体" w:cs="宋体"/>
          <w:szCs w:val="21"/>
        </w:rPr>
        <w:t>网络与信息安全有关要求</w:t>
      </w:r>
      <w:r>
        <w:rPr>
          <w:rFonts w:hint="eastAsia" w:ascii="宋体" w:hAnsi="宋体" w:eastAsia="宋体" w:cs="宋体"/>
          <w:szCs w:val="21"/>
        </w:rPr>
        <w:t>）</w:t>
      </w:r>
    </w:p>
    <w:p w14:paraId="167B6391">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第六章</w:t>
      </w:r>
      <w:r>
        <w:rPr>
          <w:rFonts w:ascii="宋体" w:hAnsi="宋体" w:eastAsia="宋体" w:cs="宋体"/>
          <w:szCs w:val="21"/>
        </w:rPr>
        <w:t xml:space="preserve"> </w:t>
      </w:r>
      <w:r>
        <w:rPr>
          <w:rFonts w:hint="eastAsia" w:ascii="宋体" w:hAnsi="宋体" w:eastAsia="宋体" w:cs="宋体"/>
          <w:szCs w:val="21"/>
        </w:rPr>
        <w:t>投标文件格式</w:t>
      </w:r>
    </w:p>
    <w:p w14:paraId="16A76647">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第七章 其他</w:t>
      </w:r>
    </w:p>
    <w:p w14:paraId="2F0B78E7">
      <w:pPr>
        <w:adjustRightInd w:val="0"/>
        <w:snapToGrid w:val="0"/>
        <w:spacing w:line="440" w:lineRule="exact"/>
        <w:ind w:firstLine="424" w:firstLineChars="202"/>
        <w:rPr>
          <w:rFonts w:ascii="宋体" w:hAnsi="宋体" w:eastAsia="宋体" w:cs="宋体"/>
          <w:szCs w:val="21"/>
        </w:rPr>
      </w:pPr>
      <w:r>
        <w:rPr>
          <w:rFonts w:ascii="宋体" w:hAnsi="宋体" w:eastAsia="宋体" w:cs="宋体"/>
          <w:szCs w:val="21"/>
        </w:rPr>
        <w:t>招标人另有规定的</w:t>
      </w:r>
      <w:r>
        <w:rPr>
          <w:rFonts w:hint="eastAsia" w:ascii="宋体" w:hAnsi="宋体" w:eastAsia="宋体" w:cs="宋体"/>
          <w:szCs w:val="21"/>
        </w:rPr>
        <w:t>，</w:t>
      </w:r>
      <w:r>
        <w:rPr>
          <w:rFonts w:ascii="宋体" w:hAnsi="宋体" w:eastAsia="宋体" w:cs="宋体"/>
          <w:szCs w:val="21"/>
        </w:rPr>
        <w:t>见投标人须知前附表</w:t>
      </w:r>
    </w:p>
    <w:p w14:paraId="6629F7D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文件对同一内容的表述应当一致。第一章“招标公告”或者“投标邀请书”与招标文件在同一内容的表述上有矛盾或者冲突时，以第一章“招标公告”或者“投标邀请书”为准；投标人须知前附表与投标人须知正文在同一内容的表述上有矛盾或者冲突时，以投标人须知前附表为准。</w:t>
      </w:r>
    </w:p>
    <w:p w14:paraId="7316606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在招标文件中以显著的方式标明实质性要求、条件以及不满足实质性要求和条件的投标将被否决的提示；对于非实质性要求和条件，规定允许偏差的最大范围、最高项数和调整偏差的方法。显著标识方式和具体要求见投标人须知前附表。</w:t>
      </w:r>
    </w:p>
    <w:p w14:paraId="3C7D331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招标人可以要求以某一单项报价核定是否低于成本，具体要求见投标人须知前附表。</w:t>
      </w:r>
    </w:p>
    <w:p w14:paraId="2A1D29D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08" w:name="_Toc447265516"/>
      <w:bookmarkStart w:id="209" w:name="_Toc18743"/>
      <w:bookmarkStart w:id="210" w:name="_Toc28841"/>
      <w:bookmarkStart w:id="211" w:name="_Toc447188680"/>
      <w:bookmarkStart w:id="212" w:name="_Toc447265230"/>
      <w:bookmarkStart w:id="213" w:name="_Toc107822490"/>
      <w:bookmarkStart w:id="214" w:name="_Toc227057893"/>
      <w:bookmarkStart w:id="215" w:name="_Toc226969287"/>
      <w:r>
        <w:rPr>
          <w:rFonts w:hint="eastAsia" w:ascii="宋体" w:hAnsi="宋体" w:eastAsia="宋体" w:cs="Times New Roman"/>
          <w:b/>
          <w:bCs/>
          <w:kern w:val="2"/>
          <w:sz w:val="24"/>
          <w:szCs w:val="24"/>
          <w:lang w:val="en-US" w:eastAsia="zh-CN" w:bidi="ar-SA"/>
        </w:rPr>
        <w:t>踏勘现场</w:t>
      </w:r>
      <w:bookmarkEnd w:id="208"/>
      <w:bookmarkEnd w:id="209"/>
      <w:bookmarkEnd w:id="210"/>
      <w:bookmarkEnd w:id="211"/>
      <w:bookmarkEnd w:id="212"/>
    </w:p>
    <w:p w14:paraId="3BDB9B1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 xml:space="preserve">投标人须知前附表规定组织踏勘现场的，招标人按照投标人须知前附表规定的时间、地点组织投标人踏勘项目现场。 </w:t>
      </w:r>
    </w:p>
    <w:p w14:paraId="72DA78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潜在投标人踏勘现场发生的费用自理。</w:t>
      </w:r>
    </w:p>
    <w:p w14:paraId="4243615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除招标人的原因外，投标人自行负责在踏勘现场中所发生的人员伤亡和财产损失。</w:t>
      </w:r>
    </w:p>
    <w:p w14:paraId="2DF98A9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招标人在踏勘现场中介绍的项目现场和相关的周边环境情况，供潜在投标人在编制投标文件时参考，招标人不对潜在投标人据此作出的判断和决策负责。</w:t>
      </w:r>
    </w:p>
    <w:p w14:paraId="594689B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16" w:name="_Toc447188681"/>
      <w:bookmarkStart w:id="217" w:name="_Toc447265517"/>
      <w:bookmarkStart w:id="218" w:name="_Toc447265231"/>
      <w:bookmarkStart w:id="219" w:name="_Toc8108"/>
      <w:bookmarkStart w:id="220" w:name="_Toc6845"/>
      <w:r>
        <w:rPr>
          <w:rFonts w:hint="eastAsia" w:ascii="宋体" w:hAnsi="宋体" w:eastAsia="宋体" w:cs="Times New Roman"/>
          <w:b/>
          <w:bCs/>
          <w:kern w:val="2"/>
          <w:sz w:val="24"/>
          <w:szCs w:val="24"/>
          <w:lang w:val="en-US" w:eastAsia="zh-CN" w:bidi="ar-SA"/>
        </w:rPr>
        <w:t>投标预备会</w:t>
      </w:r>
      <w:bookmarkEnd w:id="216"/>
      <w:bookmarkEnd w:id="217"/>
      <w:bookmarkEnd w:id="218"/>
      <w:bookmarkEnd w:id="219"/>
      <w:bookmarkEnd w:id="220"/>
    </w:p>
    <w:p w14:paraId="021EEB0F">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投标人须知前附表规定召开投标预备会的，招标人按照投标人须知前附表规定的时间和地点召开投标预备会，澄清潜在投标人提出的问题。</w:t>
      </w:r>
    </w:p>
    <w:p w14:paraId="772C584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21" w:name="_Toc447265518"/>
      <w:bookmarkStart w:id="222" w:name="_Toc447265232"/>
      <w:bookmarkStart w:id="223" w:name="_Toc30957"/>
      <w:bookmarkStart w:id="224" w:name="_Toc4631"/>
      <w:bookmarkStart w:id="225" w:name="_Toc447188682"/>
      <w:r>
        <w:rPr>
          <w:rFonts w:hint="eastAsia" w:ascii="宋体" w:hAnsi="宋体" w:eastAsia="宋体" w:cs="Times New Roman"/>
          <w:b/>
          <w:bCs/>
          <w:kern w:val="2"/>
          <w:sz w:val="24"/>
          <w:szCs w:val="24"/>
          <w:lang w:val="en-US" w:eastAsia="zh-CN" w:bidi="ar-SA"/>
        </w:rPr>
        <w:t>招标文件的澄清</w:t>
      </w:r>
      <w:bookmarkEnd w:id="213"/>
      <w:bookmarkEnd w:id="214"/>
      <w:bookmarkEnd w:id="215"/>
      <w:r>
        <w:rPr>
          <w:rFonts w:hint="eastAsia" w:ascii="宋体" w:hAnsi="宋体" w:eastAsia="宋体" w:cs="Times New Roman"/>
          <w:b/>
          <w:bCs/>
          <w:kern w:val="2"/>
          <w:sz w:val="24"/>
          <w:szCs w:val="24"/>
          <w:lang w:val="en-US" w:eastAsia="zh-CN" w:bidi="ar-SA"/>
        </w:rPr>
        <w:t>和修改</w:t>
      </w:r>
      <w:bookmarkEnd w:id="221"/>
      <w:bookmarkEnd w:id="222"/>
      <w:bookmarkEnd w:id="223"/>
      <w:bookmarkEnd w:id="224"/>
      <w:bookmarkEnd w:id="225"/>
    </w:p>
    <w:p w14:paraId="7B4417C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投标人对招标文件有疑问的，应当按照投标人须知前附表规定的时间和方式，要求招标人对招标文件进行澄清。</w:t>
      </w:r>
    </w:p>
    <w:p w14:paraId="7E5118A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招标人应当按照投标人须知前附表规定的时间和方式，将澄清或者修改内容发给所有购买招标文件的投标人，但不指明问题的来源。</w:t>
      </w:r>
    </w:p>
    <w:p w14:paraId="082C16D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如澄清或者修改的内容可能影响投标文件编制的，应当在递交投标文件截止时间至少15日前发出，不足15日的，招标人应当相应顺延投标截止时间。</w:t>
      </w:r>
    </w:p>
    <w:p w14:paraId="1E74EAE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投标人收到澄清或者修改后，应当按照投标人须知前附表规定的时间和方式通知招标人，确认已收到该澄清或者修改。</w:t>
      </w:r>
    </w:p>
    <w:p w14:paraId="0665887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所有关于招标文件的澄清和修改均作为招标文件的补充部分。当招标文件、招标文件的澄清或者修改等在同一内容的表述上不一致时，以最后发出的书面文件为准。</w:t>
      </w:r>
    </w:p>
    <w:p w14:paraId="003165E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226" w:name="_Toc5626"/>
      <w:bookmarkStart w:id="227" w:name="_Toc144974514"/>
      <w:bookmarkStart w:id="228" w:name="_Toc246996934"/>
      <w:bookmarkStart w:id="229" w:name="_Toc152042322"/>
      <w:bookmarkStart w:id="230" w:name="_Toc20408"/>
      <w:bookmarkStart w:id="231" w:name="_Toc447265233"/>
      <w:bookmarkStart w:id="232" w:name="_Toc179632564"/>
      <w:bookmarkStart w:id="233" w:name="_Toc296602436"/>
      <w:bookmarkStart w:id="234" w:name="_Toc246996191"/>
      <w:bookmarkStart w:id="235" w:name="_Toc447188683"/>
      <w:bookmarkStart w:id="236" w:name="_Toc152045546"/>
      <w:bookmarkStart w:id="237" w:name="_Toc447265519"/>
      <w:bookmarkStart w:id="238" w:name="_Toc247085705"/>
      <w:bookmarkStart w:id="239" w:name="_Toc227057895"/>
      <w:bookmarkStart w:id="240" w:name="_Toc226969289"/>
      <w:bookmarkStart w:id="241" w:name="_Toc107822492"/>
      <w:r>
        <w:rPr>
          <w:rFonts w:hint="eastAsia" w:ascii="宋体" w:hAnsi="宋体" w:eastAsia="宋体" w:cs="Times New Roman"/>
          <w:b/>
          <w:bCs/>
          <w:kern w:val="2"/>
          <w:sz w:val="28"/>
          <w:szCs w:val="28"/>
          <w:lang w:val="en-US" w:eastAsia="zh-CN" w:bidi="ar-SA"/>
        </w:rPr>
        <w:t>投标文件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021ED72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42" w:name="_Toc107822493"/>
      <w:bookmarkStart w:id="243" w:name="_Toc227057896"/>
      <w:bookmarkStart w:id="244" w:name="_Toc226969290"/>
      <w:bookmarkStart w:id="245" w:name="_Toc447265520"/>
      <w:bookmarkStart w:id="246" w:name="_Toc447188684"/>
      <w:bookmarkStart w:id="247" w:name="_Toc447265234"/>
      <w:bookmarkStart w:id="248" w:name="_Toc18515"/>
      <w:bookmarkStart w:id="249" w:name="_Toc24190"/>
      <w:r>
        <w:rPr>
          <w:rFonts w:hint="eastAsia" w:ascii="宋体" w:hAnsi="宋体" w:eastAsia="宋体" w:cs="Times New Roman"/>
          <w:b/>
          <w:bCs/>
          <w:kern w:val="2"/>
          <w:sz w:val="24"/>
          <w:szCs w:val="24"/>
          <w:lang w:val="en-US" w:eastAsia="zh-CN" w:bidi="ar-SA"/>
        </w:rPr>
        <w:t>投标文件的</w:t>
      </w:r>
      <w:bookmarkEnd w:id="242"/>
      <w:bookmarkEnd w:id="243"/>
      <w:bookmarkEnd w:id="244"/>
      <w:r>
        <w:rPr>
          <w:rFonts w:hint="eastAsia" w:ascii="宋体" w:hAnsi="宋体" w:eastAsia="宋体" w:cs="Times New Roman"/>
          <w:b/>
          <w:bCs/>
          <w:kern w:val="2"/>
          <w:sz w:val="24"/>
          <w:szCs w:val="24"/>
          <w:lang w:val="en-US" w:eastAsia="zh-CN" w:bidi="ar-SA"/>
        </w:rPr>
        <w:t>组成</w:t>
      </w:r>
      <w:bookmarkEnd w:id="245"/>
      <w:bookmarkEnd w:id="246"/>
      <w:bookmarkEnd w:id="247"/>
      <w:bookmarkEnd w:id="248"/>
      <w:bookmarkEnd w:id="249"/>
    </w:p>
    <w:p w14:paraId="743118FC">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投标人应当按照投标人须知前附表的要求制作并递交投标文件。投标文件组成见投标人须知前附表。</w:t>
      </w:r>
    </w:p>
    <w:p w14:paraId="1A9862A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50" w:name="_Toc447265235"/>
      <w:bookmarkStart w:id="251" w:name="_Toc447265521"/>
      <w:bookmarkStart w:id="252" w:name="_Toc799"/>
      <w:bookmarkStart w:id="253" w:name="_Toc447188685"/>
      <w:bookmarkStart w:id="254" w:name="_Toc18683"/>
      <w:r>
        <w:rPr>
          <w:rFonts w:hint="eastAsia" w:ascii="宋体" w:hAnsi="宋体" w:eastAsia="宋体" w:cs="Times New Roman"/>
          <w:b/>
          <w:bCs/>
          <w:kern w:val="2"/>
          <w:sz w:val="24"/>
          <w:szCs w:val="24"/>
          <w:lang w:val="en-US" w:eastAsia="zh-CN" w:bidi="ar-SA"/>
        </w:rPr>
        <w:t>投标文件的</w:t>
      </w:r>
      <w:bookmarkEnd w:id="239"/>
      <w:bookmarkEnd w:id="240"/>
      <w:bookmarkEnd w:id="241"/>
      <w:r>
        <w:rPr>
          <w:rFonts w:hint="eastAsia" w:ascii="宋体" w:hAnsi="宋体" w:eastAsia="宋体" w:cs="Times New Roman"/>
          <w:b/>
          <w:bCs/>
          <w:kern w:val="2"/>
          <w:sz w:val="24"/>
          <w:szCs w:val="24"/>
          <w:lang w:val="en-US" w:eastAsia="zh-CN" w:bidi="ar-SA"/>
        </w:rPr>
        <w:t>编制</w:t>
      </w:r>
      <w:bookmarkEnd w:id="250"/>
      <w:bookmarkEnd w:id="251"/>
      <w:bookmarkEnd w:id="252"/>
      <w:bookmarkEnd w:id="253"/>
      <w:bookmarkEnd w:id="254"/>
    </w:p>
    <w:p w14:paraId="630CDEC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投标人应当按照招标文件的要求编制投标文件，投标文件应当对招标文件提出的实质性要求和条件作出响应。</w:t>
      </w:r>
    </w:p>
    <w:p w14:paraId="7FCC6BA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认真阅读招标文件中所有的事项、格式、条款和技术规范等。投标人没有按照招标文件要求递交全部资料或者投标人没有对招标文件在各方面都作出实质性响应是投标人的风险，并可能导致其投标被否决。投标文件应答和编写的具体要求见投标人须知前附表。</w:t>
      </w:r>
    </w:p>
    <w:p w14:paraId="604A2E25">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投标人递交的投标文件以及投标人与招标人就有关投标的所有往来函电均应当使用中文。投标人递交的证明文件和文献可以使用另一种语言，但相应内容应当译成中文，在解释投标文件时以中文译本为准。</w:t>
      </w:r>
    </w:p>
    <w:p w14:paraId="18D92AD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应当使用不褪色的材料书写或者打印，并加盖单位公章或者由投标人的法定代表人或者其委托代理人签字。委托代理人签字的，投标文件应当附法定代表人签署的授权委托书。投标文件应当尽量避免涂改、行间插字或者删除。如果出现上述情况，改动之处应当加盖单位公章或者由投标人的法定代表人或者其委托代理人签字确认。盖章或者签字另有要求的，见投标人须知前附表。</w:t>
      </w:r>
    </w:p>
    <w:p w14:paraId="5E4E4FED">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55" w:name="_Toc447188686"/>
      <w:bookmarkStart w:id="256" w:name="_Toc107822495"/>
      <w:bookmarkStart w:id="257" w:name="_Toc227057898"/>
      <w:bookmarkStart w:id="258" w:name="_Toc447265522"/>
      <w:bookmarkStart w:id="259" w:name="_Toc226969292"/>
      <w:bookmarkStart w:id="260" w:name="_Toc9052"/>
      <w:bookmarkStart w:id="261" w:name="_Toc447265236"/>
      <w:bookmarkStart w:id="262" w:name="_Toc27278"/>
      <w:r>
        <w:rPr>
          <w:rFonts w:hint="eastAsia" w:ascii="宋体" w:hAnsi="宋体" w:eastAsia="宋体" w:cs="Times New Roman"/>
          <w:b/>
          <w:bCs/>
          <w:kern w:val="2"/>
          <w:sz w:val="24"/>
          <w:szCs w:val="24"/>
          <w:lang w:val="en-US" w:eastAsia="zh-CN" w:bidi="ar-SA"/>
        </w:rPr>
        <w:t>投标报价</w:t>
      </w:r>
      <w:bookmarkEnd w:id="255"/>
      <w:bookmarkEnd w:id="256"/>
      <w:bookmarkEnd w:id="257"/>
      <w:bookmarkEnd w:id="258"/>
      <w:bookmarkEnd w:id="259"/>
      <w:bookmarkEnd w:id="260"/>
      <w:bookmarkEnd w:id="261"/>
      <w:bookmarkEnd w:id="262"/>
    </w:p>
    <w:p w14:paraId="7D5D29A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投标人应当根据招标文件要求进行报价，投标人应当报出符合招标文件要求的拟提供投标货物的单价（如适用）和总价。</w:t>
      </w:r>
    </w:p>
    <w:p w14:paraId="7A142E2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投标货币：人民币。</w:t>
      </w:r>
    </w:p>
    <w:p w14:paraId="733C893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招标人设有最高投标限价的，投标人的投标报价不得超过最高投标限价，否则其投标将被否决。最高投标限价或者其计算方法见投标人须知前附表。</w:t>
      </w:r>
    </w:p>
    <w:p w14:paraId="7469734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招标人不接受投标人的任何低于成本报价的不正当竞争方式。</w:t>
      </w:r>
    </w:p>
    <w:p w14:paraId="0C78325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只有在招标文件要求或者允许报优惠价时，投标人才可以报出。投标人优惠报价的数额，开标时也必须当众宣读。关于优惠条件的规定见投标人须知前附表。</w:t>
      </w:r>
    </w:p>
    <w:p w14:paraId="7A306C2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投标报价的具体要求见投标人须知前附表。</w:t>
      </w:r>
    </w:p>
    <w:p w14:paraId="2EB1FC9F">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63" w:name="_Toc226969296"/>
      <w:bookmarkStart w:id="264" w:name="_Toc21723"/>
      <w:bookmarkStart w:id="265" w:name="_Toc447265523"/>
      <w:bookmarkStart w:id="266" w:name="_Toc447265237"/>
      <w:bookmarkStart w:id="267" w:name="_Toc447188687"/>
      <w:bookmarkStart w:id="268" w:name="_Toc7098"/>
      <w:bookmarkStart w:id="269" w:name="_Toc107822500"/>
      <w:bookmarkStart w:id="270" w:name="_Toc227057902"/>
      <w:bookmarkStart w:id="271" w:name="_Toc227057901"/>
      <w:bookmarkStart w:id="272" w:name="_Toc226969295"/>
      <w:bookmarkStart w:id="273" w:name="_Toc107822499"/>
      <w:r>
        <w:rPr>
          <w:rFonts w:hint="eastAsia" w:ascii="宋体" w:hAnsi="宋体" w:eastAsia="宋体" w:cs="Times New Roman"/>
          <w:b/>
          <w:bCs/>
          <w:kern w:val="2"/>
          <w:sz w:val="24"/>
          <w:szCs w:val="24"/>
          <w:lang w:val="en-US" w:eastAsia="zh-CN" w:bidi="ar-SA"/>
        </w:rPr>
        <w:t>投标有效期</w:t>
      </w:r>
      <w:bookmarkEnd w:id="263"/>
      <w:bookmarkEnd w:id="264"/>
      <w:bookmarkEnd w:id="265"/>
      <w:bookmarkEnd w:id="266"/>
      <w:bookmarkEnd w:id="267"/>
      <w:bookmarkEnd w:id="268"/>
      <w:bookmarkEnd w:id="269"/>
      <w:bookmarkEnd w:id="270"/>
    </w:p>
    <w:p w14:paraId="7D351B5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投标有效期从递交投标文件截止之日起计算。投标有效期的具体时间见投标人须知前附表。在此期间，投标人不得要求撤销或者修改其投标文件。投标有效期不满足招标文件要求的投标将被否决。</w:t>
      </w:r>
    </w:p>
    <w:p w14:paraId="79664ED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投标人有权收回其投标保证金。</w:t>
      </w:r>
    </w:p>
    <w:p w14:paraId="64EC5D1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74" w:name="_Toc23426"/>
      <w:bookmarkStart w:id="275" w:name="_Toc15718"/>
      <w:bookmarkStart w:id="276" w:name="_Toc447188688"/>
      <w:bookmarkStart w:id="277" w:name="_Toc447265524"/>
      <w:bookmarkStart w:id="278" w:name="_Toc447265238"/>
      <w:r>
        <w:rPr>
          <w:rFonts w:hint="eastAsia" w:ascii="宋体" w:hAnsi="宋体" w:eastAsia="宋体" w:cs="Times New Roman"/>
          <w:b/>
          <w:bCs/>
          <w:kern w:val="2"/>
          <w:sz w:val="24"/>
          <w:szCs w:val="24"/>
          <w:lang w:val="en-US" w:eastAsia="zh-CN" w:bidi="ar-SA"/>
        </w:rPr>
        <w:t>投标保证金</w:t>
      </w:r>
      <w:bookmarkEnd w:id="271"/>
      <w:bookmarkEnd w:id="272"/>
      <w:bookmarkEnd w:id="273"/>
      <w:bookmarkEnd w:id="274"/>
      <w:bookmarkEnd w:id="275"/>
      <w:bookmarkEnd w:id="276"/>
      <w:bookmarkEnd w:id="277"/>
      <w:bookmarkEnd w:id="278"/>
    </w:p>
    <w:p w14:paraId="5ABCD98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招标人要求投标人递交投标保证金的，投标人必须在递交投标文件的同时，按照投标人须知前附表的规定递交投标保证金。投标保证金一般不超过项目估算价的2%，但最高不得超过</w:t>
      </w:r>
      <w:r>
        <w:rPr>
          <w:rFonts w:ascii="宋体" w:hAnsi="宋体" w:eastAsia="宋体" w:cs="Times New Roman"/>
          <w:kern w:val="2"/>
          <w:sz w:val="21"/>
          <w:szCs w:val="20"/>
          <w:lang w:val="en-US" w:eastAsia="zh-CN" w:bidi="ar-SA"/>
        </w:rPr>
        <w:t>80</w:t>
      </w:r>
      <w:r>
        <w:rPr>
          <w:rFonts w:hint="eastAsia" w:ascii="宋体" w:hAnsi="宋体" w:eastAsia="宋体" w:cs="Times New Roman"/>
          <w:kern w:val="2"/>
          <w:sz w:val="21"/>
          <w:szCs w:val="20"/>
          <w:lang w:val="en-US" w:eastAsia="zh-CN" w:bidi="ar-SA"/>
        </w:rPr>
        <w:t>万元人民币，本集中招标项目的投标保证金金额见投标人须知前附表。</w:t>
      </w:r>
    </w:p>
    <w:p w14:paraId="19F11E0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可以规定投标保证金是以现金、支票、银行汇票、在中国注册的银行出具的银行保函等方式递交，依法必须进行招标的项目的境内投标人，以现金或者支票形式递交的投标保证金应当从其基本账户转出。投标保证金有效期应当与投标有效期一致。投标保证金的形式见投标人须知前附表。</w:t>
      </w:r>
    </w:p>
    <w:p w14:paraId="5218D4A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招标人最迟应当在书面合同签订后5日内向中标人和未中标的投标人退还投标保证金及银行同期存款利息。</w:t>
      </w:r>
    </w:p>
    <w:p w14:paraId="1DA388D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发生下列情形之一时，投标保证金可不予退还：</w:t>
      </w:r>
    </w:p>
    <w:p w14:paraId="25C4E54A">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投标人在招标文件中规定的投标有效期内</w:t>
      </w:r>
      <w:r>
        <w:rPr>
          <w:rFonts w:hint="eastAsia" w:ascii="宋体" w:hAnsi="宋体" w:eastAsia="宋体" w:cs="Times New Roman"/>
          <w:kern w:val="2"/>
          <w:sz w:val="21"/>
          <w:szCs w:val="24"/>
          <w:lang w:val="en-US" w:eastAsia="zh-CN" w:bidi="ar-SA"/>
        </w:rPr>
        <w:t>撤销投标的；</w:t>
      </w:r>
    </w:p>
    <w:p w14:paraId="0D9D0B2C">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中标人无正当理由不与招标人在规定期限内订立合同、在签订合同时向招标人提出附加条件，或者不按照招标文件要求递交履约保证金的；</w:t>
      </w:r>
    </w:p>
    <w:p w14:paraId="5CC24ECE">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投标人有串通投标、弄虚作假等行为的；</w:t>
      </w:r>
    </w:p>
    <w:p w14:paraId="25561B0A">
      <w:pPr>
        <w:widowControl w:val="0"/>
        <w:numPr>
          <w:ilvl w:val="0"/>
          <w:numId w:val="81"/>
        </w:numPr>
        <w:tabs>
          <w:tab w:val="left" w:pos="1134"/>
        </w:tabs>
        <w:spacing w:line="400" w:lineRule="exact"/>
        <w:ind w:left="0" w:firstLine="424" w:firstLineChars="202"/>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其他规定</w:t>
      </w:r>
      <w:r>
        <w:rPr>
          <w:rFonts w:hint="eastAsia" w:ascii="宋体" w:hAnsi="宋体" w:eastAsia="宋体" w:cs="Times New Roman"/>
          <w:kern w:val="2"/>
          <w:sz w:val="21"/>
          <w:szCs w:val="24"/>
          <w:lang w:val="en-US" w:eastAsia="zh-CN" w:bidi="ar-SA"/>
        </w:rPr>
        <w:t>见投标人须知前附表</w:t>
      </w:r>
      <w:r>
        <w:rPr>
          <w:rFonts w:ascii="宋体" w:hAnsi="宋体" w:eastAsia="宋体" w:cs="Times New Roman"/>
          <w:kern w:val="2"/>
          <w:sz w:val="21"/>
          <w:szCs w:val="24"/>
          <w:lang w:val="en-US" w:eastAsia="zh-CN" w:bidi="ar-SA"/>
        </w:rPr>
        <w:t>。</w:t>
      </w:r>
    </w:p>
    <w:p w14:paraId="73581F2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未递交投标保证金或者递交的投标保证金有瑕疵的投标将被否决。</w:t>
      </w:r>
    </w:p>
    <w:p w14:paraId="16B10BA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79" w:name="_Toc17718"/>
      <w:bookmarkStart w:id="280" w:name="_Toc447265525"/>
      <w:bookmarkStart w:id="281" w:name="_Toc447265239"/>
      <w:bookmarkStart w:id="282" w:name="_Toc4063"/>
      <w:bookmarkStart w:id="283" w:name="_Toc227057903"/>
      <w:bookmarkStart w:id="284" w:name="_Toc226969297"/>
      <w:bookmarkStart w:id="285" w:name="_Toc447188689"/>
      <w:bookmarkStart w:id="286" w:name="_Toc107822501"/>
      <w:r>
        <w:rPr>
          <w:rFonts w:hint="eastAsia" w:ascii="宋体" w:hAnsi="宋体" w:eastAsia="宋体" w:cs="Times New Roman"/>
          <w:b/>
          <w:bCs/>
          <w:kern w:val="2"/>
          <w:sz w:val="24"/>
          <w:szCs w:val="24"/>
          <w:lang w:val="en-US" w:eastAsia="zh-CN" w:bidi="ar-SA"/>
        </w:rPr>
        <w:t>备选投标方案</w:t>
      </w:r>
      <w:bookmarkEnd w:id="279"/>
      <w:bookmarkEnd w:id="280"/>
      <w:bookmarkEnd w:id="281"/>
      <w:bookmarkEnd w:id="282"/>
      <w:bookmarkEnd w:id="283"/>
      <w:bookmarkEnd w:id="284"/>
      <w:bookmarkEnd w:id="285"/>
    </w:p>
    <w:p w14:paraId="21195E9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除投标人须知前附表另有规定外，投标人不得递交备选投标方案。</w:t>
      </w:r>
    </w:p>
    <w:p w14:paraId="654E748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若招标人在招标文件中邀请投标人递交备选方案，则投标人除按照招标文件规定的基本方案编制和递交投标文件外，可以附加递交备选投标方案。</w:t>
      </w:r>
    </w:p>
    <w:p w14:paraId="0DDA8A8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备选投标方案应当说明其对基本方案的改进意见和带来的效益，并附必要的图纸、设计计算、技术要求及其他有关资料，在封面上应当注明“备选投标方案”字样。</w:t>
      </w:r>
    </w:p>
    <w:p w14:paraId="1400810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允许投标人递交备选投标方案的，只有符合招标文件要求且评标价最低或者综合评分最高而被推荐为中标候选人的投标人所递交的备选投标方案，可予以考虑。评标委员会认为其备选投标方案优于其按照招标文件要求编制的投标方案的，招标人可以接受该备选投标方案。</w:t>
      </w:r>
    </w:p>
    <w:p w14:paraId="7262E7A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87" w:name="_Toc226969298"/>
      <w:bookmarkStart w:id="288" w:name="_Toc227057904"/>
      <w:bookmarkStart w:id="289" w:name="_Toc447265240"/>
      <w:bookmarkStart w:id="290" w:name="_Toc447265526"/>
      <w:bookmarkStart w:id="291" w:name="_Toc25637"/>
      <w:bookmarkStart w:id="292" w:name="_Toc10899"/>
      <w:bookmarkStart w:id="293" w:name="_Toc447188690"/>
      <w:r>
        <w:rPr>
          <w:rFonts w:hint="eastAsia" w:ascii="宋体" w:hAnsi="宋体" w:eastAsia="宋体" w:cs="Times New Roman"/>
          <w:b/>
          <w:bCs/>
          <w:kern w:val="2"/>
          <w:sz w:val="24"/>
          <w:szCs w:val="24"/>
          <w:lang w:val="en-US" w:eastAsia="zh-CN" w:bidi="ar-SA"/>
        </w:rPr>
        <w:t>投标文件的式样</w:t>
      </w:r>
      <w:bookmarkEnd w:id="286"/>
      <w:bookmarkEnd w:id="287"/>
      <w:bookmarkEnd w:id="288"/>
      <w:r>
        <w:rPr>
          <w:rFonts w:hint="eastAsia" w:ascii="宋体" w:hAnsi="宋体" w:eastAsia="宋体" w:cs="Times New Roman"/>
          <w:b/>
          <w:bCs/>
          <w:kern w:val="2"/>
          <w:sz w:val="24"/>
          <w:szCs w:val="24"/>
          <w:lang w:val="en-US" w:eastAsia="zh-CN" w:bidi="ar-SA"/>
        </w:rPr>
        <w:t>、密封和标记（递交纸质文件适用）</w:t>
      </w:r>
      <w:bookmarkEnd w:id="289"/>
      <w:bookmarkEnd w:id="290"/>
      <w:bookmarkEnd w:id="291"/>
      <w:bookmarkEnd w:id="292"/>
      <w:bookmarkEnd w:id="293"/>
    </w:p>
    <w:p w14:paraId="575D99A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应当编制一份投标文件“正本”和投标人须知前附表所述份数的“副本”和“电子版”，副本为正本复印件。投标文件正本和副本如有不一致之处，以正本为准；纸质版文件与电子版文件不一致时，以纸质版文件为准。</w:t>
      </w:r>
    </w:p>
    <w:p w14:paraId="3CDD820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每份投标文件的正本、副本及电子版应当分别装订，并于封面上明确标明“正本”“副本”和“电子版”字样。</w:t>
      </w:r>
    </w:p>
    <w:p w14:paraId="18D2FE6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投标文件应当按照招标文件规定密封包装，并于封装封面上明确标明“正本”“副本”和“电子版”字样。密封的所有黏接缝隙必须加盖单位公章或者由投标人的法定代表人或者其委托代理人签字。</w:t>
      </w:r>
    </w:p>
    <w:p w14:paraId="71764214">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外层包封应当写明招标人的名称和地址、项目名称、招标编号、并注明开标时间以前不得开封。还应当写明投标人的名称与地址、邮政编码，以便投标出现逾期送达时能原封退回。</w:t>
      </w:r>
    </w:p>
    <w:p w14:paraId="60D1EDDA">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递交投标文件时，招标人应当对符合招标文件规定密封和标记的投标文件进行签收。</w:t>
      </w:r>
    </w:p>
    <w:p w14:paraId="709EB64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招标人对于投标文件密封、标记另有要求的，见投标人须知前附表。</w:t>
      </w:r>
    </w:p>
    <w:p w14:paraId="13C4E70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294" w:name="_Toc439838338"/>
      <w:bookmarkStart w:id="295" w:name="_Toc11686"/>
      <w:bookmarkStart w:id="296" w:name="_Toc447188691"/>
      <w:bookmarkStart w:id="297" w:name="_Toc16586"/>
      <w:bookmarkStart w:id="298" w:name="_Toc447265527"/>
      <w:bookmarkStart w:id="299" w:name="_Toc447265241"/>
      <w:r>
        <w:rPr>
          <w:rFonts w:hint="eastAsia" w:ascii="宋体" w:hAnsi="宋体" w:eastAsia="宋体" w:cs="Times New Roman"/>
          <w:b/>
          <w:bCs/>
          <w:kern w:val="2"/>
          <w:sz w:val="24"/>
          <w:szCs w:val="24"/>
          <w:lang w:val="en-US" w:eastAsia="zh-CN" w:bidi="ar-SA"/>
        </w:rPr>
        <w:t>电子招标的投标文件上传形式</w:t>
      </w:r>
      <w:bookmarkEnd w:id="294"/>
      <w:bookmarkEnd w:id="295"/>
      <w:bookmarkEnd w:id="296"/>
      <w:bookmarkEnd w:id="297"/>
      <w:bookmarkEnd w:id="298"/>
      <w:bookmarkEnd w:id="299"/>
    </w:p>
    <w:p w14:paraId="03E04BA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投标文件应当按照投标人须知前附表要求的形式上传。</w:t>
      </w:r>
    </w:p>
    <w:p w14:paraId="4EC39B37">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00" w:name="_Toc28397"/>
      <w:bookmarkStart w:id="301" w:name="_Toc184635074"/>
      <w:bookmarkStart w:id="302" w:name="_Toc447265242"/>
      <w:bookmarkStart w:id="303" w:name="_Toc13600"/>
      <w:bookmarkStart w:id="304" w:name="_Toc447265528"/>
      <w:bookmarkStart w:id="305" w:name="_Toc107822503"/>
      <w:bookmarkStart w:id="306" w:name="_Toc488655848"/>
      <w:bookmarkStart w:id="307" w:name="_Toc226969300"/>
      <w:bookmarkStart w:id="308" w:name="_Toc227057906"/>
      <w:r>
        <w:rPr>
          <w:rFonts w:hint="eastAsia" w:ascii="宋体" w:hAnsi="宋体" w:eastAsia="宋体" w:cs="Times New Roman"/>
          <w:b/>
          <w:bCs/>
          <w:kern w:val="2"/>
          <w:sz w:val="28"/>
          <w:szCs w:val="28"/>
          <w:lang w:val="en-US" w:eastAsia="zh-CN" w:bidi="ar-SA"/>
        </w:rPr>
        <w:t>投标</w:t>
      </w:r>
      <w:bookmarkEnd w:id="300"/>
      <w:bookmarkEnd w:id="301"/>
      <w:bookmarkEnd w:id="302"/>
      <w:bookmarkEnd w:id="303"/>
      <w:bookmarkEnd w:id="304"/>
    </w:p>
    <w:p w14:paraId="41265A6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09" w:name="_Toc447188692"/>
      <w:bookmarkStart w:id="310" w:name="_Toc24487"/>
      <w:bookmarkStart w:id="311" w:name="_Toc13662"/>
      <w:bookmarkStart w:id="312" w:name="_Toc447265243"/>
      <w:bookmarkStart w:id="313" w:name="_Toc447265529"/>
      <w:r>
        <w:rPr>
          <w:rFonts w:hint="eastAsia" w:ascii="宋体" w:hAnsi="宋体" w:eastAsia="宋体" w:cs="Times New Roman"/>
          <w:b/>
          <w:bCs/>
          <w:kern w:val="2"/>
          <w:sz w:val="24"/>
          <w:szCs w:val="24"/>
          <w:lang w:val="en-US" w:eastAsia="zh-CN" w:bidi="ar-SA"/>
        </w:rPr>
        <w:t>投标</w:t>
      </w:r>
      <w:bookmarkEnd w:id="305"/>
      <w:bookmarkEnd w:id="306"/>
      <w:r>
        <w:rPr>
          <w:rFonts w:hint="eastAsia" w:ascii="宋体" w:hAnsi="宋体" w:eastAsia="宋体" w:cs="Times New Roman"/>
          <w:b/>
          <w:bCs/>
          <w:kern w:val="2"/>
          <w:sz w:val="24"/>
          <w:szCs w:val="24"/>
          <w:lang w:val="en-US" w:eastAsia="zh-CN" w:bidi="ar-SA"/>
        </w:rPr>
        <w:t>文件的递交</w:t>
      </w:r>
      <w:bookmarkEnd w:id="307"/>
      <w:bookmarkEnd w:id="308"/>
      <w:bookmarkEnd w:id="309"/>
      <w:bookmarkEnd w:id="310"/>
      <w:bookmarkEnd w:id="311"/>
      <w:bookmarkEnd w:id="312"/>
      <w:bookmarkEnd w:id="313"/>
    </w:p>
    <w:p w14:paraId="77662D6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bookmarkStart w:id="314" w:name="_Toc488655849"/>
      <w:bookmarkStart w:id="315" w:name="_Toc107822504"/>
      <w:r>
        <w:rPr>
          <w:rFonts w:hint="eastAsia" w:ascii="宋体" w:hAnsi="宋体" w:eastAsia="宋体" w:cs="Times New Roman"/>
          <w:kern w:val="2"/>
          <w:sz w:val="21"/>
          <w:szCs w:val="20"/>
          <w:lang w:val="en-US" w:eastAsia="zh-CN" w:bidi="ar-SA"/>
        </w:rPr>
        <w:t>投标文件递交截止时间：见投标人须知前附表。</w:t>
      </w:r>
    </w:p>
    <w:p w14:paraId="25E9A7E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投标文件递交地点：见投标人须知前附表。</w:t>
      </w:r>
    </w:p>
    <w:p w14:paraId="0FDB4C1F">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招标人收到投标文件后，向投标人出具签收凭证。</w:t>
      </w:r>
    </w:p>
    <w:p w14:paraId="6B03F6C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除投标人须知前附表另有规定外，投标人所递交的投标文件不予退还。</w:t>
      </w:r>
    </w:p>
    <w:p w14:paraId="121E64D8">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出现下列情形之一时，招标人/招标代理机构不予接收投标文件：</w:t>
      </w:r>
    </w:p>
    <w:p w14:paraId="330F6964">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逾期送达或者未送达指定地点的；</w:t>
      </w:r>
    </w:p>
    <w:p w14:paraId="714B00A2">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未按照招标文件要求密封的；</w:t>
      </w:r>
    </w:p>
    <w:p w14:paraId="656448DA">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未通过资格预审的申请人递交的；</w:t>
      </w:r>
    </w:p>
    <w:p w14:paraId="534BB2BA">
      <w:pPr>
        <w:widowControl w:val="0"/>
        <w:numPr>
          <w:ilvl w:val="0"/>
          <w:numId w:val="82"/>
        </w:numPr>
        <w:tabs>
          <w:tab w:val="left" w:pos="630"/>
        </w:tabs>
        <w:spacing w:line="400" w:lineRule="exact"/>
        <w:ind w:left="0" w:firstLine="1134" w:firstLineChars="54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未按照第一章“招标公告”或者投标邀请书要求获得本项目招标文件的。</w:t>
      </w:r>
    </w:p>
    <w:p w14:paraId="1A147A1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招标人采用电子招标投标方式的，投标文件递交异常的处理方式见投标人须知前附表。</w:t>
      </w:r>
    </w:p>
    <w:bookmarkEnd w:id="314"/>
    <w:bookmarkEnd w:id="315"/>
    <w:p w14:paraId="1E9D7DA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16" w:name="_Toc226969301"/>
      <w:bookmarkStart w:id="317" w:name="_Toc107822505"/>
      <w:bookmarkStart w:id="318" w:name="_Toc488655850"/>
      <w:bookmarkStart w:id="319" w:name="_Toc227057907"/>
      <w:bookmarkStart w:id="320" w:name="_Toc447265244"/>
      <w:bookmarkStart w:id="321" w:name="_Toc447188693"/>
      <w:bookmarkStart w:id="322" w:name="_Toc447265530"/>
      <w:bookmarkStart w:id="323" w:name="_Toc1531"/>
      <w:bookmarkStart w:id="324" w:name="_Toc22100"/>
      <w:r>
        <w:rPr>
          <w:rFonts w:hint="eastAsia" w:ascii="宋体" w:hAnsi="宋体" w:eastAsia="宋体" w:cs="Times New Roman"/>
          <w:b/>
          <w:bCs/>
          <w:kern w:val="2"/>
          <w:sz w:val="24"/>
          <w:szCs w:val="24"/>
          <w:lang w:val="en-US" w:eastAsia="zh-CN" w:bidi="ar-SA"/>
        </w:rPr>
        <w:t>投标文件的修改、撤回</w:t>
      </w:r>
      <w:bookmarkEnd w:id="316"/>
      <w:bookmarkEnd w:id="317"/>
      <w:bookmarkEnd w:id="318"/>
      <w:bookmarkEnd w:id="319"/>
      <w:r>
        <w:rPr>
          <w:rFonts w:hint="eastAsia" w:ascii="宋体" w:hAnsi="宋体" w:eastAsia="宋体" w:cs="Times New Roman"/>
          <w:b/>
          <w:bCs/>
          <w:kern w:val="2"/>
          <w:sz w:val="24"/>
          <w:szCs w:val="24"/>
          <w:lang w:val="en-US" w:eastAsia="zh-CN" w:bidi="ar-SA"/>
        </w:rPr>
        <w:t>和撤销</w:t>
      </w:r>
      <w:bookmarkEnd w:id="320"/>
      <w:bookmarkEnd w:id="321"/>
      <w:bookmarkEnd w:id="322"/>
      <w:bookmarkEnd w:id="323"/>
      <w:bookmarkEnd w:id="324"/>
    </w:p>
    <w:p w14:paraId="1AE9743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在规定的投标截止时间前，投标人可以修改或者撤回已递交的投标文件。</w:t>
      </w:r>
    </w:p>
    <w:p w14:paraId="091B2218">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投标人修改后的投标文件，应当在规定的投标截止时间前按照招标文件的规定编制、密封、标记、递交。</w:t>
      </w:r>
    </w:p>
    <w:p w14:paraId="70F79F3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投标人撤回已递交的投标文件，应当书面通知招标人。招标人已收取投标保证金的，应当自收到投标人书面撤回通知之日起5日内退还。</w:t>
      </w:r>
    </w:p>
    <w:p w14:paraId="66A449D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投标人在规定的投标截止时间后，不得在投标有效期内撤销其投标。否则招标人有权不退还其投标保证金。</w:t>
      </w:r>
    </w:p>
    <w:p w14:paraId="47B27C60">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25" w:name="_Toc447265531"/>
      <w:bookmarkStart w:id="326" w:name="_Toc447188694"/>
      <w:bookmarkStart w:id="327" w:name="_Toc9965"/>
      <w:bookmarkStart w:id="328" w:name="_Toc152045559"/>
      <w:bookmarkStart w:id="329" w:name="_Toc247085717"/>
      <w:bookmarkStart w:id="330" w:name="_Toc447265245"/>
      <w:bookmarkStart w:id="331" w:name="_Toc152042335"/>
      <w:bookmarkStart w:id="332" w:name="_Toc246996946"/>
      <w:bookmarkStart w:id="333" w:name="_Toc144974527"/>
      <w:bookmarkStart w:id="334" w:name="_Toc179632577"/>
      <w:bookmarkStart w:id="335" w:name="_Toc246996203"/>
      <w:bookmarkStart w:id="336" w:name="_Toc8719"/>
      <w:bookmarkStart w:id="337" w:name="_Toc296602447"/>
      <w:bookmarkStart w:id="338" w:name="_Toc227057908"/>
      <w:bookmarkStart w:id="339" w:name="_Toc488655852"/>
      <w:bookmarkStart w:id="340" w:name="_Toc226969302"/>
      <w:bookmarkStart w:id="341" w:name="_Toc107822506"/>
      <w:r>
        <w:rPr>
          <w:rFonts w:hint="eastAsia" w:ascii="宋体" w:hAnsi="宋体" w:eastAsia="宋体" w:cs="Times New Roman"/>
          <w:b/>
          <w:bCs/>
          <w:kern w:val="2"/>
          <w:sz w:val="28"/>
          <w:szCs w:val="28"/>
          <w:lang w:val="en-US" w:eastAsia="zh-CN" w:bidi="ar-SA"/>
        </w:rPr>
        <w:t>开标</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55A4798">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42" w:name="_Toc447265532"/>
      <w:bookmarkStart w:id="343" w:name="_Toc447265246"/>
      <w:bookmarkStart w:id="344" w:name="_Toc14327"/>
      <w:bookmarkStart w:id="345" w:name="_Toc20475"/>
      <w:bookmarkStart w:id="346" w:name="_Toc447188695"/>
      <w:r>
        <w:rPr>
          <w:rFonts w:hint="eastAsia" w:ascii="宋体" w:hAnsi="宋体" w:eastAsia="宋体" w:cs="Times New Roman"/>
          <w:b/>
          <w:bCs/>
          <w:kern w:val="2"/>
          <w:sz w:val="24"/>
          <w:szCs w:val="24"/>
          <w:lang w:val="en-US" w:eastAsia="zh-CN" w:bidi="ar-SA"/>
        </w:rPr>
        <w:t>开标</w:t>
      </w:r>
      <w:bookmarkEnd w:id="338"/>
      <w:bookmarkEnd w:id="339"/>
      <w:bookmarkEnd w:id="340"/>
      <w:bookmarkEnd w:id="341"/>
      <w:r>
        <w:rPr>
          <w:rFonts w:hint="eastAsia" w:ascii="宋体" w:hAnsi="宋体" w:eastAsia="宋体" w:cs="Times New Roman"/>
          <w:b/>
          <w:bCs/>
          <w:kern w:val="2"/>
          <w:sz w:val="24"/>
          <w:szCs w:val="24"/>
          <w:lang w:val="en-US" w:eastAsia="zh-CN" w:bidi="ar-SA"/>
        </w:rPr>
        <w:t>时间和地点</w:t>
      </w:r>
      <w:bookmarkEnd w:id="342"/>
      <w:bookmarkEnd w:id="343"/>
      <w:bookmarkEnd w:id="344"/>
      <w:bookmarkEnd w:id="345"/>
      <w:bookmarkEnd w:id="346"/>
    </w:p>
    <w:p w14:paraId="13794818">
      <w:pPr>
        <w:widowControl w:val="0"/>
        <w:numPr>
          <w:ilvl w:val="0"/>
          <w:numId w:val="0"/>
        </w:numPr>
        <w:tabs>
          <w:tab w:val="left" w:pos="630"/>
        </w:tabs>
        <w:snapToGrid w:val="0"/>
        <w:spacing w:line="440" w:lineRule="exact"/>
        <w:ind w:firstLine="420" w:firstLineChars="200"/>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招标人将按照投标人须知前附表规定的时间和地点公开开标，参加开标的投标人代表应当签名报到，以证明其出席开标。开标时间和投标截止时间应当为同一时间。</w:t>
      </w:r>
    </w:p>
    <w:p w14:paraId="2ECF8B33">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47" w:name="_Toc6672"/>
      <w:bookmarkStart w:id="348" w:name="_Toc447188696"/>
      <w:bookmarkStart w:id="349" w:name="_Toc15392"/>
      <w:bookmarkStart w:id="350" w:name="_Toc447265533"/>
      <w:bookmarkStart w:id="351" w:name="_Toc447265247"/>
      <w:r>
        <w:rPr>
          <w:rFonts w:hint="eastAsia" w:ascii="宋体" w:hAnsi="宋体" w:eastAsia="宋体" w:cs="Times New Roman"/>
          <w:b/>
          <w:bCs/>
          <w:kern w:val="2"/>
          <w:sz w:val="24"/>
          <w:szCs w:val="24"/>
          <w:lang w:val="en-US" w:eastAsia="zh-CN" w:bidi="ar-SA"/>
        </w:rPr>
        <w:t>开标程序</w:t>
      </w:r>
      <w:bookmarkEnd w:id="347"/>
      <w:bookmarkEnd w:id="348"/>
      <w:bookmarkEnd w:id="349"/>
      <w:bookmarkEnd w:id="350"/>
      <w:bookmarkEnd w:id="351"/>
    </w:p>
    <w:p w14:paraId="6B1BEC2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开标会议由招标人或者其委托的招标代理机构组织并主持，邀请所有的投标人或者其代表出席。投标人代表或者招标人委托的公证机构对投标文件密封性进行检查。</w:t>
      </w:r>
    </w:p>
    <w:p w14:paraId="293EAE9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ascii="宋体" w:hAnsi="宋体" w:eastAsia="宋体" w:cs="Times New Roman"/>
          <w:kern w:val="2"/>
          <w:sz w:val="21"/>
          <w:szCs w:val="20"/>
          <w:lang w:val="en-US" w:eastAsia="zh-CN" w:bidi="ar-SA"/>
        </w:rPr>
        <w:t>招标人在投标文件递交截止时间前收到的所有投标文件在开标时都应当当众予以拆封</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宣读</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但</w:t>
      </w:r>
      <w:r>
        <w:rPr>
          <w:rFonts w:hint="eastAsia" w:ascii="宋体" w:hAnsi="宋体" w:eastAsia="宋体" w:cs="Times New Roman"/>
          <w:kern w:val="2"/>
          <w:sz w:val="21"/>
          <w:szCs w:val="20"/>
          <w:lang w:val="en-US" w:eastAsia="zh-CN" w:bidi="ar-SA"/>
        </w:rPr>
        <w:t>按照招标文件规定递交合格的书面撤回通知的投标文件不予开封。</w:t>
      </w:r>
    </w:p>
    <w:p w14:paraId="64BBBED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应当当众宣布参加本项目招标的投标人个数以及投标文件的密封情况，并宣读收到的所有未撤回的投标文件的“投标一览表”中的内容，“投标一览表”一般包括：投标人名称、投标总报价、交货期、投标保证金以及招标文件中规定的其他内容。</w:t>
      </w:r>
    </w:p>
    <w:p w14:paraId="11948FCE">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开标内容填写在“开标记录表”中，由唱标人、记录人、投标人代表、监督人签字确认，存档备查。</w:t>
      </w:r>
    </w:p>
    <w:p w14:paraId="0B5D7B93">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52" w:name="_Toc447265248"/>
      <w:bookmarkStart w:id="353" w:name="_Toc28995"/>
      <w:bookmarkStart w:id="354" w:name="_Toc447188697"/>
      <w:bookmarkStart w:id="355" w:name="_Toc2677"/>
      <w:bookmarkStart w:id="356" w:name="_Toc447265534"/>
      <w:r>
        <w:rPr>
          <w:rFonts w:hint="eastAsia" w:ascii="宋体" w:hAnsi="宋体" w:eastAsia="宋体" w:cs="Times New Roman"/>
          <w:b/>
          <w:bCs/>
          <w:kern w:val="2"/>
          <w:sz w:val="24"/>
          <w:szCs w:val="24"/>
          <w:lang w:val="en-US" w:eastAsia="zh-CN" w:bidi="ar-SA"/>
        </w:rPr>
        <w:t>异议</w:t>
      </w:r>
      <w:bookmarkEnd w:id="352"/>
      <w:bookmarkEnd w:id="353"/>
      <w:bookmarkEnd w:id="354"/>
      <w:bookmarkEnd w:id="355"/>
      <w:bookmarkEnd w:id="356"/>
    </w:p>
    <w:p w14:paraId="1C5A708D">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投标人对开标有异议的，应当在开标现场提出，招标人应当当场作出答复，并制作记录。</w:t>
      </w:r>
    </w:p>
    <w:p w14:paraId="549C82E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投标人认为存在低于成本价投标情形的，可以在开标现场提出异议，并在评标完成前向招标人递交书面材料，招标人应当及时将书面材料转交给评标委员会。</w:t>
      </w:r>
    </w:p>
    <w:p w14:paraId="13569BC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57" w:name="_Toc447188698"/>
      <w:bookmarkStart w:id="358" w:name="_Toc447265535"/>
      <w:bookmarkStart w:id="359" w:name="_Toc447265249"/>
      <w:bookmarkStart w:id="360" w:name="_Toc31684"/>
      <w:bookmarkStart w:id="361" w:name="_Toc18874"/>
      <w:r>
        <w:rPr>
          <w:rFonts w:hint="eastAsia" w:ascii="宋体" w:hAnsi="宋体" w:eastAsia="宋体" w:cs="Times New Roman"/>
          <w:b/>
          <w:bCs/>
          <w:kern w:val="2"/>
          <w:sz w:val="24"/>
          <w:szCs w:val="24"/>
          <w:lang w:val="en-US" w:eastAsia="zh-CN" w:bidi="ar-SA"/>
        </w:rPr>
        <w:t>电子招标开标的其他要求</w:t>
      </w:r>
      <w:bookmarkEnd w:id="357"/>
      <w:bookmarkEnd w:id="358"/>
      <w:bookmarkEnd w:id="359"/>
      <w:r>
        <w:rPr>
          <w:rFonts w:hint="eastAsia" w:ascii="宋体" w:hAnsi="宋体" w:eastAsia="宋体" w:cs="Times New Roman"/>
          <w:b/>
          <w:bCs/>
          <w:kern w:val="2"/>
          <w:sz w:val="24"/>
          <w:szCs w:val="24"/>
          <w:lang w:val="en-US" w:eastAsia="zh-CN" w:bidi="ar-SA"/>
        </w:rPr>
        <w:t>及异常处理</w:t>
      </w:r>
      <w:bookmarkEnd w:id="360"/>
      <w:bookmarkEnd w:id="361"/>
    </w:p>
    <w:p w14:paraId="7CA3F70A">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招标人采用电子招标投标方式的，开标的其他要求及异常处理方式见投标人须知前附表。</w:t>
      </w:r>
    </w:p>
    <w:p w14:paraId="3949263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62" w:name="_Toc23198"/>
      <w:bookmarkStart w:id="363" w:name="_Toc7442"/>
      <w:r>
        <w:rPr>
          <w:rFonts w:hint="eastAsia" w:ascii="宋体" w:hAnsi="宋体" w:eastAsia="宋体" w:cs="Times New Roman"/>
          <w:b/>
          <w:bCs/>
          <w:kern w:val="2"/>
          <w:sz w:val="24"/>
          <w:szCs w:val="24"/>
          <w:lang w:val="en-US" w:eastAsia="zh-CN" w:bidi="ar-SA"/>
        </w:rPr>
        <w:t>不得开标</w:t>
      </w:r>
      <w:bookmarkEnd w:id="362"/>
      <w:bookmarkEnd w:id="363"/>
    </w:p>
    <w:p w14:paraId="464C78F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Times New Roman"/>
        </w:rPr>
        <w:t>投标人数量少于3个或者投标人须知前附表规定的人数的，招标人不得开标，应当重新招标。</w:t>
      </w:r>
    </w:p>
    <w:p w14:paraId="7EC9FCF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364" w:name="_Toc144974530"/>
      <w:bookmarkStart w:id="365" w:name="_Toc152045562"/>
      <w:bookmarkStart w:id="366" w:name="_Toc447265250"/>
      <w:bookmarkStart w:id="367" w:name="_Toc179632580"/>
      <w:bookmarkStart w:id="368" w:name="_Toc246996206"/>
      <w:bookmarkStart w:id="369" w:name="_Toc246996949"/>
      <w:bookmarkStart w:id="370" w:name="_Toc296602451"/>
      <w:bookmarkStart w:id="371" w:name="_Toc247085720"/>
      <w:bookmarkStart w:id="372" w:name="_Toc32710"/>
      <w:bookmarkStart w:id="373" w:name="_Toc447265536"/>
      <w:bookmarkStart w:id="374" w:name="_Toc447188699"/>
      <w:bookmarkStart w:id="375" w:name="_Toc30446"/>
      <w:bookmarkStart w:id="376" w:name="_Toc152042338"/>
      <w:bookmarkStart w:id="377" w:name="_Toc227057909"/>
      <w:bookmarkStart w:id="378" w:name="_Toc107822507"/>
      <w:bookmarkStart w:id="379" w:name="_Toc226969303"/>
      <w:r>
        <w:rPr>
          <w:rFonts w:hint="eastAsia" w:ascii="宋体" w:hAnsi="宋体" w:eastAsia="宋体" w:cs="Times New Roman"/>
          <w:b/>
          <w:bCs/>
          <w:kern w:val="2"/>
          <w:sz w:val="28"/>
          <w:szCs w:val="28"/>
          <w:lang w:val="en-US" w:eastAsia="zh-CN" w:bidi="ar-SA"/>
        </w:rPr>
        <w:t>评标</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25FA6A0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80" w:name="_Toc447265251"/>
      <w:bookmarkStart w:id="381" w:name="_Toc20707"/>
      <w:bookmarkStart w:id="382" w:name="_Toc447188700"/>
      <w:bookmarkStart w:id="383" w:name="_Toc7067"/>
      <w:bookmarkStart w:id="384" w:name="_Toc447265537"/>
      <w:r>
        <w:rPr>
          <w:rFonts w:hint="eastAsia" w:ascii="宋体" w:hAnsi="宋体" w:eastAsia="宋体" w:cs="Times New Roman"/>
          <w:b/>
          <w:bCs/>
          <w:kern w:val="2"/>
          <w:sz w:val="24"/>
          <w:szCs w:val="24"/>
          <w:lang w:val="en-US" w:eastAsia="zh-CN" w:bidi="ar-SA"/>
        </w:rPr>
        <w:t>评标委员会</w:t>
      </w:r>
      <w:bookmarkEnd w:id="377"/>
      <w:bookmarkEnd w:id="378"/>
      <w:bookmarkEnd w:id="379"/>
      <w:bookmarkEnd w:id="380"/>
      <w:bookmarkEnd w:id="381"/>
      <w:bookmarkEnd w:id="382"/>
      <w:bookmarkEnd w:id="383"/>
      <w:bookmarkEnd w:id="384"/>
    </w:p>
    <w:p w14:paraId="12C2170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由依法组建的评标委员会负责，具体人数见投标人须知前附表。依法必须进行招标的通信工程建设项目，评标委员会的专家应当从通信工程建设项目评标专家库内相关专业的专家名单中采取随机抽取方式确定。</w:t>
      </w:r>
    </w:p>
    <w:p w14:paraId="3AF995B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评标期间，任何单位和个人不得非法干预或者影响评标的过程和结果。</w:t>
      </w:r>
    </w:p>
    <w:p w14:paraId="13F1A69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评标委员会成员名单在中标结果确定前保密。</w:t>
      </w:r>
    </w:p>
    <w:p w14:paraId="388F995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85" w:name="_Toc447265252"/>
      <w:bookmarkStart w:id="386" w:name="_Toc913"/>
      <w:bookmarkStart w:id="387" w:name="_Toc5161"/>
      <w:bookmarkStart w:id="388" w:name="_Toc152045564"/>
      <w:bookmarkStart w:id="389" w:name="_Toc246996951"/>
      <w:bookmarkStart w:id="390" w:name="_Toc179632582"/>
      <w:bookmarkStart w:id="391" w:name="_Toc447265538"/>
      <w:bookmarkStart w:id="392" w:name="_Toc144974532"/>
      <w:bookmarkStart w:id="393" w:name="_Toc296602453"/>
      <w:bookmarkStart w:id="394" w:name="_Toc152042340"/>
      <w:bookmarkStart w:id="395" w:name="_Toc247085722"/>
      <w:bookmarkStart w:id="396" w:name="_Toc246996208"/>
      <w:r>
        <w:rPr>
          <w:rFonts w:hint="eastAsia" w:ascii="宋体" w:hAnsi="宋体" w:eastAsia="宋体" w:cs="Times New Roman"/>
          <w:b/>
          <w:bCs/>
          <w:kern w:val="2"/>
          <w:sz w:val="24"/>
          <w:szCs w:val="24"/>
          <w:lang w:val="en-US" w:eastAsia="zh-CN" w:bidi="ar-SA"/>
        </w:rPr>
        <w:t>评标原则</w:t>
      </w:r>
      <w:bookmarkEnd w:id="385"/>
      <w:bookmarkEnd w:id="386"/>
      <w:bookmarkEnd w:id="387"/>
      <w:bookmarkEnd w:id="388"/>
      <w:bookmarkEnd w:id="389"/>
      <w:bookmarkEnd w:id="390"/>
      <w:bookmarkEnd w:id="391"/>
      <w:bookmarkEnd w:id="392"/>
      <w:bookmarkEnd w:id="393"/>
      <w:bookmarkEnd w:id="394"/>
      <w:bookmarkEnd w:id="395"/>
      <w:bookmarkEnd w:id="396"/>
    </w:p>
    <w:p w14:paraId="77F951F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评标活动 遵循公平、公正、科学和择优的原则。</w:t>
      </w:r>
    </w:p>
    <w:p w14:paraId="32CABB5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评标委员会按照第三章“评标办法”规定的方法、评审因素、标准和程序对投标文件进行评审。第三章“评标办法”没有规定的方法、评审因素和标准，不得作为评标依据。</w:t>
      </w:r>
    </w:p>
    <w:p w14:paraId="2681B21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397" w:name="_Toc1126"/>
      <w:bookmarkStart w:id="398" w:name="_Toc15471"/>
      <w:bookmarkStart w:id="399" w:name="_Toc447265539"/>
      <w:bookmarkStart w:id="400" w:name="_Toc447188701"/>
      <w:bookmarkStart w:id="401" w:name="_Toc447265253"/>
      <w:r>
        <w:rPr>
          <w:rFonts w:hint="eastAsia" w:ascii="宋体" w:hAnsi="宋体" w:eastAsia="宋体" w:cs="Times New Roman"/>
          <w:b/>
          <w:bCs/>
          <w:kern w:val="2"/>
          <w:sz w:val="24"/>
          <w:szCs w:val="24"/>
          <w:lang w:val="en-US" w:eastAsia="zh-CN" w:bidi="ar-SA"/>
        </w:rPr>
        <w:t>评标方法</w:t>
      </w:r>
      <w:bookmarkEnd w:id="397"/>
      <w:bookmarkEnd w:id="398"/>
      <w:bookmarkEnd w:id="399"/>
      <w:bookmarkEnd w:id="400"/>
      <w:bookmarkEnd w:id="401"/>
    </w:p>
    <w:p w14:paraId="589968F4">
      <w:pPr>
        <w:adjustRightInd w:val="0"/>
        <w:snapToGrid w:val="0"/>
        <w:spacing w:line="440" w:lineRule="exact"/>
        <w:ind w:firstLine="424" w:firstLineChars="202"/>
        <w:rPr>
          <w:rFonts w:ascii="宋体" w:hAnsi="宋体" w:eastAsia="宋体" w:cs="宋体"/>
          <w:szCs w:val="21"/>
        </w:rPr>
      </w:pPr>
      <w:r>
        <w:rPr>
          <w:rFonts w:hint="eastAsia" w:ascii="宋体" w:hAnsi="宋体" w:eastAsia="宋体" w:cs="宋体"/>
          <w:szCs w:val="21"/>
        </w:rPr>
        <w:t>6.3.1</w:t>
      </w:r>
      <w:r>
        <w:rPr>
          <w:rFonts w:hint="eastAsia" w:ascii="宋体" w:hAnsi="宋体" w:eastAsia="宋体" w:cs="宋体"/>
          <w:szCs w:val="21"/>
        </w:rPr>
        <w:tab/>
      </w:r>
      <w:r>
        <w:rPr>
          <w:rFonts w:hint="eastAsia" w:ascii="宋体" w:hAnsi="宋体" w:eastAsia="宋体" w:cs="宋体"/>
          <w:szCs w:val="21"/>
        </w:rPr>
        <w:t>招标文件中详细载明下述评标方法之一作为本项目评标所采用的评标方法。评标方法见投标人须知前附表。</w:t>
      </w:r>
    </w:p>
    <w:p w14:paraId="105C419E">
      <w:pPr>
        <w:widowControl w:val="0"/>
        <w:numPr>
          <w:ilvl w:val="2"/>
          <w:numId w:val="83"/>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采用经评审的最低投标价法的，能够满足招标文件的实质性要求，并且经评审的最低投标价的投标，应当推荐为中标候选人，但是价格低于成本的除外。</w:t>
      </w:r>
    </w:p>
    <w:p w14:paraId="3E4E103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采用综合评估法的，最大限度地满足招标文件中规定的各项综合评价标准的投标，应当推荐为中标候选人，量化的标准和权重应当在招标文件中明确规定。</w:t>
      </w:r>
    </w:p>
    <w:p w14:paraId="53D18C5C">
      <w:pPr>
        <w:widowControl w:val="0"/>
        <w:numPr>
          <w:ilvl w:val="2"/>
          <w:numId w:val="77"/>
        </w:numPr>
        <w:tabs>
          <w:tab w:val="left" w:pos="588"/>
          <w:tab w:val="left" w:pos="630"/>
        </w:tabs>
        <w:snapToGrid w:val="0"/>
        <w:spacing w:before="120" w:after="120" w:line="440" w:lineRule="exact"/>
        <w:ind w:left="0" w:firstLine="424" w:firstLineChars="202"/>
        <w:jc w:val="left"/>
        <w:rPr>
          <w:rFonts w:ascii="宋体" w:hAnsi="宋体" w:eastAsia="宋体" w:cs="Times New Roman"/>
          <w:kern w:val="2"/>
          <w:sz w:val="24"/>
          <w:szCs w:val="24"/>
          <w:lang w:val="en-US" w:eastAsia="zh-CN" w:bidi="ar-SA"/>
        </w:rPr>
      </w:pPr>
      <w:r>
        <w:rPr>
          <w:rFonts w:ascii="宋体" w:hAnsi="宋体" w:eastAsia="宋体" w:cs="Times New Roman"/>
          <w:kern w:val="2"/>
          <w:sz w:val="21"/>
          <w:szCs w:val="20"/>
          <w:lang w:val="en-US" w:eastAsia="zh-CN" w:bidi="ar-SA"/>
        </w:rPr>
        <w:t>法律</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法规允许的其他评标方法</w:t>
      </w:r>
      <w:r>
        <w:rPr>
          <w:rFonts w:hint="eastAsia" w:ascii="宋体" w:hAnsi="宋体" w:eastAsia="宋体" w:cs="Times New Roman"/>
          <w:kern w:val="2"/>
          <w:sz w:val="21"/>
          <w:szCs w:val="20"/>
          <w:lang w:val="en-US" w:eastAsia="zh-CN" w:bidi="ar-SA"/>
        </w:rPr>
        <w:t>。</w:t>
      </w:r>
      <w:bookmarkStart w:id="402" w:name="_Toc447265254"/>
      <w:bookmarkStart w:id="403" w:name="_Toc447265540"/>
      <w:bookmarkStart w:id="404" w:name="_Toc447188702"/>
      <w:bookmarkStart w:id="405" w:name="_Toc179632584"/>
      <w:bookmarkStart w:id="406" w:name="_Toc144974534"/>
      <w:bookmarkStart w:id="407" w:name="_Toc246996953"/>
      <w:bookmarkStart w:id="408" w:name="_Toc152045566"/>
      <w:bookmarkStart w:id="409" w:name="_Toc247085724"/>
      <w:bookmarkStart w:id="410" w:name="_Toc246996210"/>
      <w:bookmarkStart w:id="411" w:name="_Toc296602455"/>
      <w:bookmarkStart w:id="412" w:name="_Toc152042342"/>
      <w:bookmarkStart w:id="413" w:name="_Toc488655860"/>
      <w:bookmarkStart w:id="414" w:name="_Toc107822516"/>
      <w:bookmarkStart w:id="415" w:name="_Toc227057915"/>
      <w:bookmarkStart w:id="416" w:name="_Toc226969309"/>
    </w:p>
    <w:p w14:paraId="290298F7">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17" w:name="_Toc22141"/>
      <w:bookmarkStart w:id="418" w:name="_Toc31934"/>
      <w:r>
        <w:rPr>
          <w:rFonts w:hint="eastAsia" w:ascii="宋体" w:hAnsi="宋体" w:eastAsia="宋体" w:cs="Times New Roman"/>
          <w:b/>
          <w:bCs/>
          <w:kern w:val="2"/>
          <w:sz w:val="24"/>
          <w:szCs w:val="24"/>
          <w:lang w:val="en-US" w:eastAsia="zh-CN" w:bidi="ar-SA"/>
        </w:rPr>
        <w:t>中标候选人推荐原则</w:t>
      </w:r>
      <w:bookmarkEnd w:id="417"/>
      <w:bookmarkEnd w:id="418"/>
    </w:p>
    <w:p w14:paraId="63B2F2A7">
      <w:pPr>
        <w:adjustRightInd w:val="0"/>
        <w:snapToGrid w:val="0"/>
        <w:spacing w:line="440" w:lineRule="exact"/>
        <w:ind w:firstLine="420" w:firstLineChars="200"/>
        <w:rPr>
          <w:rFonts w:ascii="宋体" w:hAnsi="宋体" w:eastAsia="宋体" w:cs="宋体"/>
          <w:szCs w:val="21"/>
        </w:rPr>
      </w:pPr>
      <w:r>
        <w:rPr>
          <w:rFonts w:ascii="宋体" w:hAnsi="宋体" w:eastAsia="宋体" w:cs="宋体"/>
          <w:szCs w:val="21"/>
        </w:rPr>
        <w:t>评标委员会应当根据</w:t>
      </w:r>
      <w:r>
        <w:rPr>
          <w:rFonts w:hint="eastAsia" w:ascii="宋体" w:hAnsi="宋体" w:eastAsia="宋体" w:cs="宋体"/>
          <w:szCs w:val="21"/>
        </w:rPr>
        <w:t>《招标投标法》、《实施条例》和《管理办法》的有关规定推荐中标候选人，具体推荐原则见投标人须知前附表。</w:t>
      </w:r>
    </w:p>
    <w:p w14:paraId="6313CFF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19" w:name="_Toc922"/>
      <w:bookmarkStart w:id="420" w:name="_Toc17639"/>
      <w:r>
        <w:rPr>
          <w:rFonts w:hint="eastAsia" w:ascii="宋体" w:hAnsi="宋体" w:eastAsia="宋体" w:cs="Times New Roman"/>
          <w:b/>
          <w:bCs/>
          <w:kern w:val="2"/>
          <w:sz w:val="24"/>
          <w:szCs w:val="24"/>
          <w:lang w:val="en-US" w:eastAsia="zh-CN" w:bidi="ar-SA"/>
        </w:rPr>
        <w:t>评标报告</w:t>
      </w:r>
      <w:bookmarkEnd w:id="402"/>
      <w:bookmarkEnd w:id="403"/>
      <w:bookmarkEnd w:id="404"/>
      <w:bookmarkEnd w:id="419"/>
      <w:bookmarkEnd w:id="420"/>
    </w:p>
    <w:p w14:paraId="0A1E8576">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评标完成后，评标委员会应当根据《招标投标法》、《实施条例》和《管理办法》的有关规定及时向招标人提交评标报告和中标候选人名单。</w:t>
      </w:r>
    </w:p>
    <w:bookmarkEnd w:id="405"/>
    <w:bookmarkEnd w:id="406"/>
    <w:bookmarkEnd w:id="407"/>
    <w:bookmarkEnd w:id="408"/>
    <w:bookmarkEnd w:id="409"/>
    <w:bookmarkEnd w:id="410"/>
    <w:bookmarkEnd w:id="411"/>
    <w:bookmarkEnd w:id="412"/>
    <w:p w14:paraId="4FF2B8F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21" w:name="_Toc25676"/>
      <w:bookmarkStart w:id="422" w:name="_Toc32288"/>
      <w:bookmarkStart w:id="423" w:name="_Toc447265255"/>
      <w:bookmarkStart w:id="424" w:name="_Toc447265541"/>
      <w:bookmarkStart w:id="425" w:name="_Toc447188703"/>
      <w:r>
        <w:rPr>
          <w:rFonts w:hint="eastAsia" w:ascii="宋体" w:hAnsi="宋体" w:eastAsia="宋体" w:cs="Times New Roman"/>
          <w:b/>
          <w:bCs/>
          <w:kern w:val="2"/>
          <w:sz w:val="28"/>
          <w:szCs w:val="28"/>
          <w:lang w:val="en-US" w:eastAsia="zh-CN" w:bidi="ar-SA"/>
        </w:rPr>
        <w:t>中标</w:t>
      </w:r>
      <w:bookmarkEnd w:id="421"/>
      <w:bookmarkEnd w:id="422"/>
      <w:bookmarkEnd w:id="423"/>
      <w:bookmarkEnd w:id="424"/>
      <w:bookmarkEnd w:id="425"/>
    </w:p>
    <w:p w14:paraId="2DAE9EF1">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26" w:name="_Toc447265542"/>
      <w:bookmarkStart w:id="427" w:name="_Toc15391"/>
      <w:bookmarkStart w:id="428" w:name="_Toc28139"/>
      <w:bookmarkStart w:id="429" w:name="_Toc447188704"/>
      <w:bookmarkStart w:id="430" w:name="_Toc447265256"/>
      <w:r>
        <w:rPr>
          <w:rFonts w:hint="eastAsia" w:ascii="宋体" w:hAnsi="宋体" w:eastAsia="宋体" w:cs="Times New Roman"/>
          <w:b/>
          <w:bCs/>
          <w:kern w:val="2"/>
          <w:sz w:val="24"/>
          <w:szCs w:val="24"/>
          <w:lang w:val="en-US" w:eastAsia="zh-CN" w:bidi="ar-SA"/>
        </w:rPr>
        <w:t>中标候选人公示</w:t>
      </w:r>
      <w:bookmarkEnd w:id="426"/>
      <w:bookmarkEnd w:id="427"/>
      <w:bookmarkEnd w:id="428"/>
      <w:bookmarkEnd w:id="429"/>
      <w:bookmarkEnd w:id="430"/>
    </w:p>
    <w:p w14:paraId="1F145AC5">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依法必须进行招标的通信工程建设项目，采用公开招标方式的，招标人在收到评标报告之日起3日内在“资格预审公告”或者“招标公告”发布媒介公示全部中标候选人，公示期不少于3日。</w:t>
      </w:r>
    </w:p>
    <w:p w14:paraId="6AEAFB86">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依法必须进行招标的通信工程建设项目，采用邀请招标方式的，招标人在收到评标报告之日起3日内在通信工程建设项目招标投标管理信息平台公示全部中标候选人，公示期不少于3日。其他公示媒介见投标人须知前附表。</w:t>
      </w:r>
    </w:p>
    <w:p w14:paraId="53C03A37">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投标人或者其他利害关系人对依法必须进行招标项目的评标结果有异议的，应当在中标候选人公示期间提出。</w:t>
      </w:r>
    </w:p>
    <w:bookmarkEnd w:id="413"/>
    <w:bookmarkEnd w:id="414"/>
    <w:bookmarkEnd w:id="415"/>
    <w:bookmarkEnd w:id="416"/>
    <w:p w14:paraId="1086379C">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31" w:name="_Toc447265543"/>
      <w:bookmarkStart w:id="432" w:name="_Toc447265257"/>
      <w:bookmarkStart w:id="433" w:name="_Toc6754"/>
      <w:bookmarkStart w:id="434" w:name="_Toc28882"/>
      <w:bookmarkStart w:id="435" w:name="_Toc447188705"/>
      <w:r>
        <w:rPr>
          <w:rFonts w:hint="eastAsia" w:ascii="宋体" w:hAnsi="宋体" w:eastAsia="宋体" w:cs="Times New Roman"/>
          <w:b/>
          <w:bCs/>
          <w:kern w:val="2"/>
          <w:sz w:val="24"/>
          <w:szCs w:val="24"/>
          <w:lang w:val="en-US" w:eastAsia="zh-CN" w:bidi="ar-SA"/>
        </w:rPr>
        <w:t>确定中标人</w:t>
      </w:r>
      <w:bookmarkEnd w:id="431"/>
      <w:bookmarkEnd w:id="432"/>
      <w:bookmarkEnd w:id="433"/>
      <w:bookmarkEnd w:id="434"/>
      <w:bookmarkEnd w:id="435"/>
    </w:p>
    <w:p w14:paraId="0810172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除投标人须知前附表规定评标委员会直接确定中标人外，招标人依据评标委员会推荐的中标候选人确定中标人，中标人数量见投标人须知前附表。</w:t>
      </w:r>
    </w:p>
    <w:p w14:paraId="6C5588A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招标人根据评标委员会推荐的中标候选人名单排序依次确定中标人，具体中标原则见投标人须知前附表。</w:t>
      </w:r>
    </w:p>
    <w:p w14:paraId="2867C20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签订合同之前，中标人放弃中标或者不能履行合同的，招标人可以按照评标委员会提出的中标候选人名单排序依次确定其他中标候选人为中标人，也可以对中标人的中标份额进行调整，具体调整规则见投标人须知前附表。</w:t>
      </w:r>
    </w:p>
    <w:p w14:paraId="2F8ABD0A">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36" w:name="_Toc144974536"/>
      <w:bookmarkStart w:id="437" w:name="_Toc447265258"/>
      <w:bookmarkStart w:id="438" w:name="_Toc5032"/>
      <w:bookmarkStart w:id="439" w:name="_Toc447265544"/>
      <w:bookmarkStart w:id="440" w:name="_Toc17320"/>
      <w:bookmarkStart w:id="441" w:name="_Toc179632586"/>
      <w:bookmarkStart w:id="442" w:name="_Toc246996212"/>
      <w:bookmarkStart w:id="443" w:name="_Toc152042344"/>
      <w:bookmarkStart w:id="444" w:name="_Toc246996955"/>
      <w:bookmarkStart w:id="445" w:name="_Toc247085726"/>
      <w:bookmarkStart w:id="446" w:name="_Toc296602458"/>
      <w:bookmarkStart w:id="447" w:name="_Toc152045568"/>
      <w:bookmarkStart w:id="448" w:name="OLE_LINK7"/>
      <w:bookmarkStart w:id="449" w:name="OLE_LINK6"/>
      <w:r>
        <w:rPr>
          <w:rFonts w:hint="eastAsia" w:ascii="宋体" w:hAnsi="宋体" w:eastAsia="宋体" w:cs="Times New Roman"/>
          <w:b/>
          <w:bCs/>
          <w:kern w:val="2"/>
          <w:sz w:val="24"/>
          <w:szCs w:val="24"/>
          <w:lang w:val="en-US" w:eastAsia="zh-CN" w:bidi="ar-SA"/>
        </w:rPr>
        <w:t>中标通知</w:t>
      </w:r>
      <w:bookmarkEnd w:id="436"/>
      <w:bookmarkEnd w:id="437"/>
      <w:bookmarkEnd w:id="438"/>
      <w:bookmarkEnd w:id="439"/>
      <w:bookmarkEnd w:id="440"/>
      <w:bookmarkEnd w:id="441"/>
      <w:bookmarkEnd w:id="442"/>
      <w:bookmarkEnd w:id="443"/>
      <w:bookmarkEnd w:id="444"/>
      <w:bookmarkEnd w:id="445"/>
      <w:bookmarkEnd w:id="446"/>
      <w:bookmarkEnd w:id="447"/>
    </w:p>
    <w:p w14:paraId="7882FB33">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在中标通知书发出前，中标候选人的经营、财务状况发生较大变化或者存在违法行为，可能影响其履约能力的，投标人应当主动告知招标人。</w:t>
      </w:r>
      <w:bookmarkEnd w:id="448"/>
      <w:bookmarkEnd w:id="449"/>
      <w:r>
        <w:rPr>
          <w:rFonts w:hint="eastAsia" w:ascii="宋体" w:hAnsi="宋体" w:eastAsia="宋体" w:cs="Times New Roman"/>
          <w:kern w:val="2"/>
          <w:sz w:val="21"/>
          <w:szCs w:val="20"/>
          <w:lang w:val="en-US" w:eastAsia="zh-CN" w:bidi="ar-SA"/>
        </w:rPr>
        <w:t>招标人认为可能影响其履约能力的，应当在发出中标通知书前由原评标委员会按照招标文件规定的标准和方法审查确认。</w:t>
      </w:r>
    </w:p>
    <w:p w14:paraId="53EBDA2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中标人确定后，招标人应当自行或者委托招标代理机构向中标人发出中标通知书，同时通知未中标人。</w:t>
      </w:r>
    </w:p>
    <w:p w14:paraId="1A1DB390">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中标通知书是招标投标档案和合同的组成部分。</w:t>
      </w:r>
    </w:p>
    <w:p w14:paraId="007E4C2C">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中标通知书对招标人和中标人具有法律约束力。中标通知书发出后，招标人改变中标结果或者中标人放弃中标的，应当承担法律责任。</w:t>
      </w:r>
    </w:p>
    <w:p w14:paraId="083CD196">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50" w:name="_Toc447265259"/>
      <w:bookmarkStart w:id="451" w:name="_Toc447265545"/>
      <w:bookmarkStart w:id="452" w:name="_Toc5443"/>
      <w:bookmarkStart w:id="453" w:name="_Toc18437"/>
      <w:bookmarkStart w:id="454" w:name="_Toc296602459"/>
      <w:bookmarkStart w:id="455" w:name="_Toc144974537"/>
      <w:bookmarkStart w:id="456" w:name="_Toc246996956"/>
      <w:bookmarkStart w:id="457" w:name="_Toc152042345"/>
      <w:bookmarkStart w:id="458" w:name="_Toc179632587"/>
      <w:bookmarkStart w:id="459" w:name="_Toc247085727"/>
      <w:bookmarkStart w:id="460" w:name="_Toc246996213"/>
      <w:bookmarkStart w:id="461" w:name="_Toc152045569"/>
      <w:bookmarkStart w:id="462" w:name="_Toc227057916"/>
      <w:bookmarkStart w:id="463" w:name="_Toc107822517"/>
      <w:bookmarkStart w:id="464" w:name="_Toc226969310"/>
      <w:r>
        <w:rPr>
          <w:rFonts w:hint="eastAsia" w:ascii="宋体" w:hAnsi="宋体" w:eastAsia="宋体" w:cs="Times New Roman"/>
          <w:b/>
          <w:bCs/>
          <w:kern w:val="2"/>
          <w:sz w:val="28"/>
          <w:szCs w:val="28"/>
          <w:lang w:val="en-US" w:eastAsia="zh-CN" w:bidi="ar-SA"/>
        </w:rPr>
        <w:t>合同签订</w:t>
      </w:r>
      <w:bookmarkEnd w:id="450"/>
      <w:bookmarkEnd w:id="451"/>
      <w:bookmarkEnd w:id="452"/>
      <w:bookmarkEnd w:id="453"/>
    </w:p>
    <w:p w14:paraId="2041114E">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65" w:name="_Toc447265260"/>
      <w:bookmarkStart w:id="466" w:name="_Toc447265546"/>
      <w:bookmarkStart w:id="467" w:name="_Toc19420"/>
      <w:bookmarkStart w:id="468" w:name="_Toc5441"/>
      <w:r>
        <w:rPr>
          <w:rFonts w:hint="eastAsia" w:ascii="宋体" w:hAnsi="宋体" w:eastAsia="宋体" w:cs="Times New Roman"/>
          <w:b/>
          <w:bCs/>
          <w:kern w:val="2"/>
          <w:sz w:val="24"/>
          <w:szCs w:val="24"/>
          <w:lang w:val="en-US" w:eastAsia="zh-CN" w:bidi="ar-SA"/>
        </w:rPr>
        <w:t>履约</w:t>
      </w:r>
      <w:bookmarkEnd w:id="454"/>
      <w:bookmarkEnd w:id="455"/>
      <w:bookmarkEnd w:id="456"/>
      <w:bookmarkEnd w:id="457"/>
      <w:bookmarkEnd w:id="458"/>
      <w:bookmarkEnd w:id="459"/>
      <w:bookmarkEnd w:id="460"/>
      <w:bookmarkEnd w:id="461"/>
      <w:r>
        <w:rPr>
          <w:rFonts w:hint="eastAsia" w:ascii="宋体" w:hAnsi="宋体" w:eastAsia="宋体" w:cs="Times New Roman"/>
          <w:b/>
          <w:bCs/>
          <w:kern w:val="2"/>
          <w:sz w:val="24"/>
          <w:szCs w:val="24"/>
          <w:lang w:val="en-US" w:eastAsia="zh-CN" w:bidi="ar-SA"/>
        </w:rPr>
        <w:t>保证金</w:t>
      </w:r>
      <w:bookmarkEnd w:id="465"/>
      <w:bookmarkEnd w:id="466"/>
      <w:bookmarkEnd w:id="467"/>
      <w:bookmarkEnd w:id="468"/>
    </w:p>
    <w:p w14:paraId="7B41A9F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在签订合同前，中标人应当按照投标人须知前附表中规定的履约保证金的金额和形式向招标人递交履约保证金。</w:t>
      </w:r>
    </w:p>
    <w:p w14:paraId="2121B1D9">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中标人不能按照招标文件要求递交履约担保的，视为放弃中标，其投标保证金不予退还，给招标人造成的损失超过投标保证金数额的，中标人还应当对超过部分予以赔偿。</w:t>
      </w:r>
    </w:p>
    <w:p w14:paraId="24B0968B">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69" w:name="_Toc27592"/>
      <w:bookmarkStart w:id="470" w:name="_Toc447265547"/>
      <w:bookmarkStart w:id="471" w:name="_Toc447265261"/>
      <w:bookmarkStart w:id="472" w:name="_Toc10951"/>
      <w:r>
        <w:rPr>
          <w:rFonts w:hint="eastAsia" w:ascii="宋体" w:hAnsi="宋体" w:eastAsia="宋体" w:cs="Times New Roman"/>
          <w:b/>
          <w:bCs/>
          <w:kern w:val="2"/>
          <w:sz w:val="24"/>
          <w:szCs w:val="24"/>
          <w:lang w:val="en-US" w:eastAsia="zh-CN" w:bidi="ar-SA"/>
        </w:rPr>
        <w:t>合同签订</w:t>
      </w:r>
      <w:bookmarkEnd w:id="469"/>
      <w:bookmarkEnd w:id="470"/>
      <w:bookmarkEnd w:id="471"/>
      <w:bookmarkEnd w:id="472"/>
    </w:p>
    <w:bookmarkEnd w:id="462"/>
    <w:bookmarkEnd w:id="463"/>
    <w:bookmarkEnd w:id="464"/>
    <w:p w14:paraId="258C1BA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招标人和中标人应当自中标通知书发出之日起30日内，根据招标文件和中标人的投标文件订立书面合同。招标人和中标人不得订立背离合同实质性内容的其他协议。</w:t>
      </w:r>
    </w:p>
    <w:p w14:paraId="0B0CADC2">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中标人无正当理由拒签合同的，招标人取消其中标资格，其投标保证金不予退还；给招标人造成的损失超过投标保证金数额的，中标人还应当对超过部分予以赔偿。</w:t>
      </w:r>
    </w:p>
    <w:p w14:paraId="00729CC9">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73" w:name="_Toc447188707"/>
      <w:bookmarkStart w:id="474" w:name="_Toc226969312"/>
      <w:bookmarkStart w:id="475" w:name="_Toc447265549"/>
      <w:bookmarkStart w:id="476" w:name="_Toc227057918"/>
      <w:bookmarkStart w:id="477" w:name="_Toc10003"/>
      <w:bookmarkStart w:id="478" w:name="_Toc488655867"/>
      <w:bookmarkStart w:id="479" w:name="_Toc1522"/>
      <w:bookmarkStart w:id="480" w:name="_Toc107822519"/>
      <w:bookmarkStart w:id="481" w:name="_Toc447265263"/>
      <w:r>
        <w:rPr>
          <w:rFonts w:hint="eastAsia" w:ascii="宋体" w:hAnsi="宋体" w:eastAsia="宋体" w:cs="Times New Roman"/>
          <w:b/>
          <w:bCs/>
          <w:kern w:val="2"/>
          <w:sz w:val="28"/>
          <w:szCs w:val="28"/>
          <w:lang w:val="en-US" w:eastAsia="zh-CN" w:bidi="ar-SA"/>
        </w:rPr>
        <w:t>招标代理服务费</w:t>
      </w:r>
      <w:bookmarkEnd w:id="473"/>
      <w:bookmarkEnd w:id="474"/>
      <w:bookmarkEnd w:id="475"/>
      <w:bookmarkEnd w:id="476"/>
      <w:bookmarkEnd w:id="477"/>
      <w:bookmarkEnd w:id="478"/>
      <w:bookmarkEnd w:id="479"/>
      <w:bookmarkEnd w:id="480"/>
      <w:bookmarkEnd w:id="481"/>
    </w:p>
    <w:p w14:paraId="47F56C10">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中标人应当按照招标文件规定交纳招标代理服务费，招标人和招标代理机构另有约定的从其约定。招标代理服务费的金额、交纳方式和时限见投标人须知前附表。</w:t>
      </w:r>
    </w:p>
    <w:p w14:paraId="2D3F7FA0">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482" w:name="_Toc447188708"/>
      <w:bookmarkStart w:id="483" w:name="_Toc447265550"/>
      <w:bookmarkStart w:id="484" w:name="_Toc447265264"/>
      <w:bookmarkStart w:id="485" w:name="_Toc5354"/>
      <w:bookmarkStart w:id="486" w:name="_Toc296602461"/>
      <w:bookmarkStart w:id="487" w:name="_Toc25877"/>
      <w:r>
        <w:rPr>
          <w:rFonts w:hint="eastAsia" w:ascii="宋体" w:hAnsi="宋体" w:eastAsia="宋体" w:cs="Times New Roman"/>
          <w:b/>
          <w:bCs/>
          <w:kern w:val="2"/>
          <w:sz w:val="28"/>
          <w:szCs w:val="28"/>
          <w:lang w:val="en-US" w:eastAsia="zh-CN" w:bidi="ar-SA"/>
        </w:rPr>
        <w:t>纪律和监督</w:t>
      </w:r>
      <w:bookmarkEnd w:id="482"/>
      <w:bookmarkEnd w:id="483"/>
      <w:bookmarkEnd w:id="484"/>
      <w:bookmarkEnd w:id="485"/>
      <w:bookmarkEnd w:id="486"/>
      <w:bookmarkEnd w:id="487"/>
    </w:p>
    <w:p w14:paraId="780FEBF2">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488" w:name="_Toc447265551"/>
      <w:bookmarkStart w:id="489" w:name="_Toc179632593"/>
      <w:bookmarkStart w:id="490" w:name="_Toc447265265"/>
      <w:bookmarkStart w:id="491" w:name="_Toc246996962"/>
      <w:bookmarkStart w:id="492" w:name="_Toc144974543"/>
      <w:bookmarkStart w:id="493" w:name="_Toc152042351"/>
      <w:bookmarkStart w:id="494" w:name="_Toc296602462"/>
      <w:bookmarkStart w:id="495" w:name="_Toc23493"/>
      <w:bookmarkStart w:id="496" w:name="_Toc296590983"/>
      <w:bookmarkStart w:id="497" w:name="_Toc246996219"/>
      <w:bookmarkStart w:id="498" w:name="_Toc247085733"/>
      <w:bookmarkStart w:id="499" w:name="_Toc152045575"/>
      <w:bookmarkStart w:id="500" w:name="_Toc27535"/>
      <w:r>
        <w:rPr>
          <w:rFonts w:hint="eastAsia" w:ascii="宋体" w:hAnsi="宋体" w:eastAsia="宋体" w:cs="Times New Roman"/>
          <w:b/>
          <w:bCs/>
          <w:kern w:val="2"/>
          <w:sz w:val="24"/>
          <w:szCs w:val="24"/>
          <w:lang w:val="en-US" w:eastAsia="zh-CN" w:bidi="ar-SA"/>
        </w:rPr>
        <w:t>对招标人的纪律要求</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15DBA66B">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招标人不得泄露招标投标活动中应当保密的情况和资料，不得与投标人串通损害国家利益、社会公共利益或者他人合法权益。</w:t>
      </w:r>
    </w:p>
    <w:p w14:paraId="268C01F5">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01" w:name="_Toc152042352"/>
      <w:bookmarkStart w:id="502" w:name="_Toc179632594"/>
      <w:bookmarkStart w:id="503" w:name="_Toc447265266"/>
      <w:bookmarkStart w:id="504" w:name="_Toc296602463"/>
      <w:bookmarkStart w:id="505" w:name="_Toc144974544"/>
      <w:bookmarkStart w:id="506" w:name="_Toc246996220"/>
      <w:bookmarkStart w:id="507" w:name="_Toc18727"/>
      <w:bookmarkStart w:id="508" w:name="_Toc25951"/>
      <w:bookmarkStart w:id="509" w:name="_Toc447265552"/>
      <w:bookmarkStart w:id="510" w:name="_Toc247085734"/>
      <w:bookmarkStart w:id="511" w:name="_Toc152045576"/>
      <w:bookmarkStart w:id="512" w:name="_Toc246996963"/>
      <w:r>
        <w:rPr>
          <w:rFonts w:hint="eastAsia" w:ascii="宋体" w:hAnsi="宋体" w:eastAsia="宋体" w:cs="Times New Roman"/>
          <w:b/>
          <w:bCs/>
          <w:kern w:val="2"/>
          <w:sz w:val="24"/>
          <w:szCs w:val="24"/>
          <w:lang w:val="en-US" w:eastAsia="zh-CN" w:bidi="ar-SA"/>
        </w:rPr>
        <w:t>对投标人的纪律要求</w:t>
      </w:r>
      <w:bookmarkEnd w:id="501"/>
      <w:bookmarkEnd w:id="502"/>
      <w:bookmarkEnd w:id="503"/>
      <w:bookmarkEnd w:id="504"/>
      <w:bookmarkEnd w:id="505"/>
      <w:bookmarkEnd w:id="506"/>
      <w:bookmarkEnd w:id="507"/>
      <w:bookmarkEnd w:id="508"/>
      <w:bookmarkEnd w:id="509"/>
      <w:bookmarkEnd w:id="510"/>
      <w:bookmarkEnd w:id="511"/>
      <w:bookmarkEnd w:id="512"/>
    </w:p>
    <w:p w14:paraId="6433D87D">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050E00">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13" w:name="_Toc246996964"/>
      <w:bookmarkStart w:id="514" w:name="_Toc179632595"/>
      <w:bookmarkStart w:id="515" w:name="_Toc246996221"/>
      <w:bookmarkStart w:id="516" w:name="_Toc1845"/>
      <w:bookmarkStart w:id="517" w:name="_Toc152042353"/>
      <w:bookmarkStart w:id="518" w:name="_Toc296602464"/>
      <w:bookmarkStart w:id="519" w:name="_Toc247085735"/>
      <w:bookmarkStart w:id="520" w:name="_Toc152045577"/>
      <w:bookmarkStart w:id="521" w:name="_Toc447265553"/>
      <w:bookmarkStart w:id="522" w:name="_Toc16134"/>
      <w:bookmarkStart w:id="523" w:name="_Toc447265267"/>
      <w:bookmarkStart w:id="524" w:name="_Toc144974545"/>
      <w:r>
        <w:rPr>
          <w:rFonts w:hint="eastAsia" w:ascii="宋体" w:hAnsi="宋体" w:eastAsia="宋体" w:cs="Times New Roman"/>
          <w:b/>
          <w:bCs/>
          <w:kern w:val="2"/>
          <w:sz w:val="24"/>
          <w:szCs w:val="24"/>
          <w:lang w:val="en-US" w:eastAsia="zh-CN" w:bidi="ar-SA"/>
        </w:rPr>
        <w:t>对评标委员会成员的纪律要求</w:t>
      </w:r>
      <w:bookmarkEnd w:id="513"/>
      <w:bookmarkEnd w:id="514"/>
      <w:bookmarkEnd w:id="515"/>
      <w:bookmarkEnd w:id="516"/>
      <w:bookmarkEnd w:id="517"/>
      <w:bookmarkEnd w:id="518"/>
      <w:bookmarkEnd w:id="519"/>
      <w:bookmarkEnd w:id="520"/>
      <w:bookmarkEnd w:id="521"/>
      <w:bookmarkEnd w:id="522"/>
      <w:bookmarkEnd w:id="523"/>
      <w:bookmarkEnd w:id="524"/>
    </w:p>
    <w:p w14:paraId="40F6E0A1">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145707">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25" w:name="_Toc152042354"/>
      <w:bookmarkStart w:id="526" w:name="_Toc447265268"/>
      <w:bookmarkStart w:id="527" w:name="_Toc246996222"/>
      <w:bookmarkStart w:id="528" w:name="_Toc179632596"/>
      <w:bookmarkStart w:id="529" w:name="_Toc152045578"/>
      <w:bookmarkStart w:id="530" w:name="_Toc5685"/>
      <w:bookmarkStart w:id="531" w:name="_Toc247085736"/>
      <w:bookmarkStart w:id="532" w:name="_Toc296602465"/>
      <w:bookmarkStart w:id="533" w:name="_Toc246996965"/>
      <w:bookmarkStart w:id="534" w:name="_Toc20578"/>
      <w:bookmarkStart w:id="535" w:name="_Toc447265554"/>
      <w:bookmarkStart w:id="536" w:name="_Toc144974546"/>
      <w:r>
        <w:rPr>
          <w:rFonts w:hint="eastAsia" w:ascii="宋体" w:hAnsi="宋体" w:eastAsia="宋体" w:cs="Times New Roman"/>
          <w:b/>
          <w:bCs/>
          <w:kern w:val="2"/>
          <w:sz w:val="24"/>
          <w:szCs w:val="24"/>
          <w:lang w:val="en-US" w:eastAsia="zh-CN" w:bidi="ar-SA"/>
        </w:rPr>
        <w:t>对与评标活动有关的工作人员的纪律要求</w:t>
      </w:r>
      <w:bookmarkEnd w:id="525"/>
      <w:bookmarkEnd w:id="526"/>
      <w:bookmarkEnd w:id="527"/>
      <w:bookmarkEnd w:id="528"/>
      <w:bookmarkEnd w:id="529"/>
      <w:bookmarkEnd w:id="530"/>
      <w:bookmarkEnd w:id="531"/>
      <w:bookmarkEnd w:id="532"/>
      <w:bookmarkEnd w:id="533"/>
      <w:bookmarkEnd w:id="534"/>
      <w:bookmarkEnd w:id="535"/>
    </w:p>
    <w:p w14:paraId="595B9FE0">
      <w:pPr>
        <w:adjustRightInd w:val="0"/>
        <w:snapToGrid w:val="0"/>
        <w:spacing w:line="440" w:lineRule="exact"/>
        <w:ind w:firstLine="420" w:firstLineChars="200"/>
        <w:rPr>
          <w:rFonts w:ascii="宋体" w:hAnsi="宋体" w:eastAsia="宋体" w:cs="宋体"/>
          <w:szCs w:val="21"/>
        </w:rPr>
      </w:pPr>
      <w:bookmarkStart w:id="537" w:name="_Toc152042355"/>
      <w:r>
        <w:rPr>
          <w:rFonts w:hint="eastAsia" w:ascii="宋体" w:hAnsi="宋体" w:eastAsia="宋体" w:cs="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537"/>
    </w:p>
    <w:p w14:paraId="2B1149A4">
      <w:pPr>
        <w:widowControl w:val="0"/>
        <w:numPr>
          <w:ilvl w:val="1"/>
          <w:numId w:val="77"/>
        </w:numPr>
        <w:tabs>
          <w:tab w:val="left" w:pos="588"/>
        </w:tabs>
        <w:snapToGrid w:val="0"/>
        <w:spacing w:before="120" w:after="120" w:line="440" w:lineRule="exact"/>
        <w:ind w:left="850" w:hanging="425"/>
        <w:jc w:val="left"/>
        <w:outlineLvl w:val="2"/>
        <w:rPr>
          <w:rFonts w:ascii="宋体" w:hAnsi="宋体" w:eastAsia="宋体" w:cs="Times New Roman"/>
          <w:b/>
          <w:bCs/>
          <w:kern w:val="2"/>
          <w:sz w:val="24"/>
          <w:szCs w:val="24"/>
          <w:lang w:val="en-US" w:eastAsia="zh-CN" w:bidi="ar-SA"/>
        </w:rPr>
      </w:pPr>
      <w:bookmarkStart w:id="538" w:name="_Toc296602466"/>
      <w:bookmarkStart w:id="539" w:name="_Toc247085737"/>
      <w:bookmarkStart w:id="540" w:name="_Toc152045579"/>
      <w:bookmarkStart w:id="541" w:name="_Toc246996223"/>
      <w:bookmarkStart w:id="542" w:name="_Toc447265269"/>
      <w:bookmarkStart w:id="543" w:name="_Toc31814"/>
      <w:bookmarkStart w:id="544" w:name="_Toc447265555"/>
      <w:bookmarkStart w:id="545" w:name="_Toc152042356"/>
      <w:bookmarkStart w:id="546" w:name="_Toc179632597"/>
      <w:bookmarkStart w:id="547" w:name="_Toc246996966"/>
      <w:r>
        <w:rPr>
          <w:rFonts w:hint="eastAsia" w:ascii="宋体" w:hAnsi="宋体" w:eastAsia="宋体" w:cs="Times New Roman"/>
          <w:b/>
          <w:bCs/>
          <w:kern w:val="2"/>
          <w:sz w:val="24"/>
          <w:szCs w:val="24"/>
          <w:lang w:val="en-US" w:eastAsia="zh-CN" w:bidi="ar-SA"/>
        </w:rPr>
        <w:t>投诉</w:t>
      </w:r>
      <w:bookmarkEnd w:id="536"/>
      <w:bookmarkEnd w:id="538"/>
      <w:bookmarkEnd w:id="539"/>
      <w:bookmarkEnd w:id="540"/>
      <w:bookmarkEnd w:id="541"/>
      <w:bookmarkEnd w:id="542"/>
      <w:bookmarkEnd w:id="543"/>
      <w:bookmarkEnd w:id="544"/>
      <w:bookmarkEnd w:id="545"/>
      <w:bookmarkEnd w:id="546"/>
      <w:bookmarkEnd w:id="547"/>
    </w:p>
    <w:p w14:paraId="5142D651">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投标人或者其他利害关系人认为招标投标活动不符合法律、法规规定的，可以自知道或者应当知道之日起10日内向有关行政监督部门投诉。投诉应当有明确的请求和必要的证明材料。</w:t>
      </w:r>
    </w:p>
    <w:p w14:paraId="0C24D50B">
      <w:pPr>
        <w:widowControl w:val="0"/>
        <w:numPr>
          <w:ilvl w:val="2"/>
          <w:numId w:val="77"/>
        </w:numPr>
        <w:tabs>
          <w:tab w:val="left" w:pos="630"/>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就招标文件内容、开标、中标候选人公示投诉的，应当先向招标人提出异议，异议答复期间不计算在前款规定的期限内。</w:t>
      </w:r>
    </w:p>
    <w:p w14:paraId="7C0DC4E2">
      <w:pPr>
        <w:widowControl w:val="0"/>
        <w:numPr>
          <w:ilvl w:val="0"/>
          <w:numId w:val="77"/>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548" w:name="_Toc447265556"/>
      <w:bookmarkStart w:id="549" w:name="_Toc247085738"/>
      <w:bookmarkStart w:id="550" w:name="_Toc16920"/>
      <w:bookmarkStart w:id="551" w:name="_Toc447265270"/>
      <w:bookmarkStart w:id="552" w:name="_Toc152045580"/>
      <w:bookmarkStart w:id="553" w:name="_Toc246996967"/>
      <w:bookmarkStart w:id="554" w:name="_Toc26589"/>
      <w:bookmarkStart w:id="555" w:name="_Toc296602467"/>
      <w:bookmarkStart w:id="556" w:name="_Toc152042357"/>
      <w:bookmarkStart w:id="557" w:name="_Toc447188709"/>
      <w:bookmarkStart w:id="558" w:name="_Toc179632598"/>
      <w:bookmarkStart w:id="559" w:name="_Toc246996224"/>
      <w:bookmarkStart w:id="560" w:name="_Toc144974547"/>
      <w:r>
        <w:rPr>
          <w:rFonts w:hint="eastAsia" w:ascii="宋体" w:hAnsi="宋体" w:eastAsia="宋体" w:cs="Times New Roman"/>
          <w:b/>
          <w:bCs/>
          <w:kern w:val="2"/>
          <w:sz w:val="28"/>
          <w:szCs w:val="28"/>
          <w:lang w:val="en-US" w:eastAsia="zh-CN" w:bidi="ar-SA"/>
        </w:rPr>
        <w:t>需要补充的其他内容</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374713A7">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需要补充的其他内容：见投标人须知前附表。</w:t>
      </w:r>
    </w:p>
    <w:p w14:paraId="2C7A82D3">
      <w:pPr>
        <w:widowControl/>
        <w:jc w:val="left"/>
        <w:rPr>
          <w:rFonts w:cs="宋体" w:asciiTheme="minorEastAsia" w:hAnsiTheme="minorEastAsia" w:eastAsiaTheme="minorEastAsia"/>
          <w:bCs/>
          <w:kern w:val="44"/>
          <w:sz w:val="32"/>
          <w:szCs w:val="32"/>
          <w:highlight w:val="none"/>
        </w:rPr>
      </w:pPr>
      <w:r>
        <w:rPr>
          <w:rFonts w:cs="宋体" w:asciiTheme="minorEastAsia" w:hAnsiTheme="minorEastAsia" w:eastAsiaTheme="minorEastAsia"/>
          <w:sz w:val="32"/>
          <w:szCs w:val="32"/>
          <w:highlight w:val="none"/>
        </w:rPr>
        <w:br w:type="page"/>
      </w:r>
    </w:p>
    <w:p w14:paraId="24F83B18">
      <w:pPr>
        <w:pStyle w:val="100"/>
        <w:spacing w:before="240" w:after="120"/>
        <w:rPr>
          <w:rFonts w:hint="default" w:cs="宋体" w:asciiTheme="minorEastAsia" w:hAnsiTheme="minorEastAsia" w:eastAsiaTheme="minorEastAsia"/>
          <w:b/>
          <w:bCs w:val="0"/>
          <w:kern w:val="0"/>
          <w:sz w:val="28"/>
          <w:szCs w:val="28"/>
          <w:highlight w:val="none"/>
          <w:lang w:val="en-US" w:eastAsia="zh-CN"/>
        </w:rPr>
      </w:pPr>
      <w:bookmarkStart w:id="561" w:name="_Toc20605"/>
      <w:bookmarkStart w:id="562" w:name="_Toc25893"/>
      <w:bookmarkStart w:id="563" w:name="_Toc4314"/>
      <w:bookmarkStart w:id="564" w:name="_Toc15524"/>
      <w:bookmarkStart w:id="565" w:name="_Toc21094"/>
      <w:bookmarkStart w:id="566" w:name="_Toc18385"/>
      <w:bookmarkStart w:id="567" w:name="_Toc447265273"/>
      <w:bookmarkStart w:id="568" w:name="_Toc27076"/>
      <w:bookmarkStart w:id="569" w:name="_Toc5357"/>
      <w:bookmarkStart w:id="570" w:name="_Toc447265559"/>
      <w:bookmarkStart w:id="571" w:name="_Toc32535"/>
      <w:bookmarkStart w:id="572" w:name="_Toc20468"/>
      <w:bookmarkStart w:id="573" w:name="_Toc38008018"/>
      <w:bookmarkStart w:id="574" w:name="_Toc9735"/>
      <w:r>
        <w:rPr>
          <w:rFonts w:hint="eastAsia" w:cs="宋体" w:asciiTheme="minorEastAsia" w:hAnsiTheme="minorEastAsia" w:eastAsiaTheme="minorEastAsia"/>
          <w:b/>
          <w:bCs w:val="0"/>
          <w:kern w:val="0"/>
          <w:sz w:val="28"/>
          <w:szCs w:val="28"/>
          <w:highlight w:val="none"/>
        </w:rPr>
        <w:t>第三章 评标办法（综合评估法）</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0F69C6A">
      <w:pPr>
        <w:pStyle w:val="4"/>
        <w:snapToGrid w:val="0"/>
        <w:spacing w:before="240" w:after="120" w:line="240" w:lineRule="auto"/>
        <w:jc w:val="center"/>
        <w:rPr>
          <w:rFonts w:cs="宋体" w:asciiTheme="minorEastAsia" w:hAnsiTheme="minorEastAsia" w:eastAsiaTheme="minorEastAsia"/>
          <w:b w:val="0"/>
          <w:bCs w:val="0"/>
          <w:sz w:val="24"/>
          <w:szCs w:val="24"/>
          <w:highlight w:val="none"/>
        </w:rPr>
      </w:pPr>
      <w:bookmarkStart w:id="575" w:name="_Toc15987"/>
      <w:bookmarkStart w:id="576" w:name="_Toc447265560"/>
      <w:bookmarkStart w:id="577" w:name="_Toc26641"/>
      <w:bookmarkStart w:id="578" w:name="_Toc447265274"/>
      <w:bookmarkStart w:id="579" w:name="_Toc38008019"/>
      <w:bookmarkStart w:id="580" w:name="_Toc24891"/>
      <w:bookmarkStart w:id="581" w:name="_Toc7871"/>
      <w:bookmarkStart w:id="582" w:name="_Toc12301"/>
      <w:bookmarkStart w:id="583" w:name="_Toc450489344"/>
      <w:bookmarkStart w:id="584" w:name="_Toc12588"/>
      <w:bookmarkStart w:id="585" w:name="_Toc20004"/>
      <w:bookmarkStart w:id="586" w:name="_Toc29202"/>
      <w:bookmarkStart w:id="587" w:name="_Toc4846"/>
      <w:bookmarkStart w:id="588" w:name="_Toc7769"/>
      <w:bookmarkStart w:id="589" w:name="_Toc21403"/>
      <w:bookmarkStart w:id="590" w:name="_Toc447265562"/>
      <w:bookmarkStart w:id="591" w:name="_Toc226969316"/>
      <w:bookmarkStart w:id="592" w:name="_Toc227057922"/>
      <w:bookmarkStart w:id="593" w:name="_Toc107822520"/>
      <w:bookmarkStart w:id="594" w:name="_Toc447265276"/>
      <w:r>
        <w:rPr>
          <w:rFonts w:hint="eastAsia" w:cs="宋体" w:asciiTheme="minorEastAsia" w:hAnsiTheme="minorEastAsia" w:eastAsiaTheme="minorEastAsia"/>
          <w:b w:val="0"/>
          <w:bCs w:val="0"/>
          <w:sz w:val="24"/>
          <w:szCs w:val="24"/>
          <w:highlight w:val="none"/>
        </w:rPr>
        <w:t>评标办法前附表</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7512042">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本项目采用综合评估法，总分共100分，其中商务</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分，服务</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分，技术</w:t>
      </w:r>
      <w:r>
        <w:rPr>
          <w:rFonts w:hint="eastAsia" w:cs="宋体" w:asciiTheme="minorEastAsia" w:hAnsiTheme="minorEastAsia" w:eastAsiaTheme="minorEastAsia"/>
          <w:szCs w:val="21"/>
          <w:highlight w:val="none"/>
          <w:lang w:val="en-US" w:eastAsia="zh-CN"/>
        </w:rPr>
        <w:t>50</w:t>
      </w:r>
      <w:r>
        <w:rPr>
          <w:rFonts w:hint="eastAsia" w:cs="宋体" w:asciiTheme="minorEastAsia" w:hAnsiTheme="minorEastAsia" w:eastAsiaTheme="minorEastAsia"/>
          <w:szCs w:val="21"/>
          <w:highlight w:val="none"/>
        </w:rPr>
        <w:t>分，价格</w:t>
      </w:r>
      <w:r>
        <w:rPr>
          <w:rFonts w:hint="eastAsia" w:cs="宋体" w:asciiTheme="minorEastAsia" w:hAnsiTheme="minorEastAsia" w:eastAsiaTheme="minorEastAsia"/>
          <w:szCs w:val="21"/>
          <w:highlight w:val="none"/>
          <w:lang w:val="en-US" w:eastAsia="zh-CN"/>
        </w:rPr>
        <w:t>40</w:t>
      </w:r>
      <w:r>
        <w:rPr>
          <w:rFonts w:hint="eastAsia" w:cs="宋体" w:asciiTheme="minorEastAsia" w:hAnsiTheme="minorEastAsia" w:eastAsiaTheme="minorEastAsia"/>
          <w:szCs w:val="21"/>
          <w:highlight w:val="none"/>
        </w:rPr>
        <w:t>分。评标时，评标委员会按照招标文件规定的量化因素和权重比值打分，</w:t>
      </w:r>
      <w:r>
        <w:rPr>
          <w:rFonts w:hint="eastAsia" w:cs="宋体" w:asciiTheme="minorEastAsia" w:hAnsiTheme="minorEastAsia" w:eastAsiaTheme="minorEastAsia"/>
          <w:kern w:val="0"/>
          <w:szCs w:val="21"/>
        </w:rPr>
        <w:t>按照</w:t>
      </w:r>
      <w:r>
        <w:rPr>
          <w:rFonts w:hint="eastAsia" w:cs="宋体" w:asciiTheme="minorEastAsia" w:hAnsiTheme="minorEastAsia" w:eastAsiaTheme="minorEastAsia"/>
          <w:color w:val="000000" w:themeColor="text1"/>
          <w:szCs w:val="21"/>
          <w14:textFill>
            <w14:solidFill>
              <w14:schemeClr w14:val="tx1"/>
            </w14:solidFill>
          </w14:textFill>
        </w:rPr>
        <w:t>中国电信供应商不良行为处理结果及《中国电信供应商不良行为管理规则》的结果执行规则[如涉及联合采购，请同时明确其他联合采购方的不良行为处理结果及相关规则]</w:t>
      </w:r>
      <w:r>
        <w:rPr>
          <w:rFonts w:hint="eastAsia" w:cs="宋体" w:asciiTheme="minorEastAsia" w:hAnsiTheme="minorEastAsia" w:eastAsiaTheme="minorEastAsia"/>
          <w:kern w:val="0"/>
          <w:szCs w:val="21"/>
        </w:rPr>
        <w:t>，应对投标人的本次投标执行限制采购处理措施的</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评标委员会应按照该管理处理结果及规则扣减相应分值</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szCs w:val="21"/>
          <w:highlight w:val="none"/>
        </w:rPr>
        <w:t>评标委员会全体成员对该投标人打分的算术平均值为该投标人的最终得分。</w:t>
      </w:r>
    </w:p>
    <w:tbl>
      <w:tblPr>
        <w:tblStyle w:val="85"/>
        <w:tblW w:w="9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1120"/>
        <w:gridCol w:w="1735"/>
        <w:gridCol w:w="784"/>
        <w:gridCol w:w="3346"/>
      </w:tblGrid>
      <w:tr w14:paraId="2661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2127" w:type="dxa"/>
            <w:gridSpan w:val="2"/>
            <w:vAlign w:val="center"/>
          </w:tcPr>
          <w:p w14:paraId="34AE74CD">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条款号</w:t>
            </w:r>
          </w:p>
        </w:tc>
        <w:tc>
          <w:tcPr>
            <w:tcW w:w="1120" w:type="dxa"/>
            <w:vAlign w:val="center"/>
          </w:tcPr>
          <w:p w14:paraId="0564645C">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评审内容</w:t>
            </w:r>
          </w:p>
        </w:tc>
        <w:tc>
          <w:tcPr>
            <w:tcW w:w="1735" w:type="dxa"/>
            <w:vAlign w:val="center"/>
          </w:tcPr>
          <w:p w14:paraId="1A56B3DE">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评审因素</w:t>
            </w:r>
          </w:p>
        </w:tc>
        <w:tc>
          <w:tcPr>
            <w:tcW w:w="4130" w:type="dxa"/>
            <w:gridSpan w:val="2"/>
            <w:vAlign w:val="center"/>
          </w:tcPr>
          <w:p w14:paraId="1FCA96BC">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评审标准</w:t>
            </w:r>
          </w:p>
        </w:tc>
      </w:tr>
      <w:tr w14:paraId="4B24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vAlign w:val="center"/>
          </w:tcPr>
          <w:p w14:paraId="0B4F293F">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2.1</w:t>
            </w:r>
          </w:p>
        </w:tc>
        <w:tc>
          <w:tcPr>
            <w:tcW w:w="1276" w:type="dxa"/>
            <w:vMerge w:val="restart"/>
            <w:vAlign w:val="center"/>
          </w:tcPr>
          <w:p w14:paraId="7B80AAD9">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初步评审标准</w:t>
            </w:r>
          </w:p>
        </w:tc>
        <w:tc>
          <w:tcPr>
            <w:tcW w:w="1120" w:type="dxa"/>
            <w:vMerge w:val="restart"/>
            <w:vAlign w:val="center"/>
          </w:tcPr>
          <w:p w14:paraId="31D62D40">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形式评审</w:t>
            </w:r>
          </w:p>
        </w:tc>
        <w:tc>
          <w:tcPr>
            <w:tcW w:w="1735" w:type="dxa"/>
            <w:vAlign w:val="center"/>
          </w:tcPr>
          <w:p w14:paraId="17CEF851">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投标人名称</w:t>
            </w:r>
          </w:p>
        </w:tc>
        <w:tc>
          <w:tcPr>
            <w:tcW w:w="4130" w:type="dxa"/>
            <w:gridSpan w:val="2"/>
            <w:vAlign w:val="center"/>
          </w:tcPr>
          <w:p w14:paraId="3E49746E">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与营业执照一致</w:t>
            </w:r>
          </w:p>
        </w:tc>
      </w:tr>
      <w:tr w14:paraId="55AC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554741CD">
            <w:pPr>
              <w:snapToGrid w:val="0"/>
              <w:jc w:val="center"/>
              <w:rPr>
                <w:rFonts w:cs="宋体" w:asciiTheme="minorEastAsia" w:hAnsiTheme="minorEastAsia" w:eastAsiaTheme="minorEastAsia"/>
                <w:szCs w:val="21"/>
                <w:highlight w:val="none"/>
              </w:rPr>
            </w:pPr>
          </w:p>
        </w:tc>
        <w:tc>
          <w:tcPr>
            <w:tcW w:w="1276" w:type="dxa"/>
            <w:vMerge w:val="continue"/>
          </w:tcPr>
          <w:p w14:paraId="5415829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5D53A1F9">
            <w:pPr>
              <w:snapToGrid w:val="0"/>
              <w:jc w:val="left"/>
              <w:rPr>
                <w:rFonts w:cs="宋体" w:asciiTheme="minorEastAsia" w:hAnsiTheme="minorEastAsia" w:eastAsiaTheme="minorEastAsia"/>
                <w:szCs w:val="21"/>
                <w:highlight w:val="none"/>
              </w:rPr>
            </w:pPr>
          </w:p>
        </w:tc>
        <w:tc>
          <w:tcPr>
            <w:tcW w:w="1735" w:type="dxa"/>
            <w:vAlign w:val="center"/>
          </w:tcPr>
          <w:p w14:paraId="088D54BD">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投标函</w:t>
            </w:r>
          </w:p>
        </w:tc>
        <w:tc>
          <w:tcPr>
            <w:tcW w:w="4130" w:type="dxa"/>
            <w:gridSpan w:val="2"/>
            <w:vAlign w:val="center"/>
          </w:tcPr>
          <w:p w14:paraId="3BF1E40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符合第二章“投标人须知”和第六章“投标文件格式”规定</w:t>
            </w:r>
          </w:p>
        </w:tc>
      </w:tr>
      <w:tr w14:paraId="6833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44924B67">
            <w:pPr>
              <w:snapToGrid w:val="0"/>
              <w:jc w:val="center"/>
              <w:rPr>
                <w:rFonts w:cs="宋体" w:asciiTheme="minorEastAsia" w:hAnsiTheme="minorEastAsia" w:eastAsiaTheme="minorEastAsia"/>
                <w:szCs w:val="21"/>
                <w:highlight w:val="none"/>
              </w:rPr>
            </w:pPr>
          </w:p>
        </w:tc>
        <w:tc>
          <w:tcPr>
            <w:tcW w:w="1276" w:type="dxa"/>
            <w:vMerge w:val="continue"/>
          </w:tcPr>
          <w:p w14:paraId="333CD0EF">
            <w:pPr>
              <w:snapToGrid w:val="0"/>
              <w:jc w:val="center"/>
              <w:rPr>
                <w:rFonts w:cs="宋体" w:asciiTheme="minorEastAsia" w:hAnsiTheme="minorEastAsia" w:eastAsiaTheme="minorEastAsia"/>
                <w:szCs w:val="21"/>
                <w:highlight w:val="none"/>
              </w:rPr>
            </w:pPr>
          </w:p>
        </w:tc>
        <w:tc>
          <w:tcPr>
            <w:tcW w:w="1120" w:type="dxa"/>
            <w:vMerge w:val="continue"/>
            <w:vAlign w:val="center"/>
          </w:tcPr>
          <w:p w14:paraId="3ED5DFE5">
            <w:pPr>
              <w:snapToGrid w:val="0"/>
              <w:jc w:val="left"/>
              <w:rPr>
                <w:rFonts w:cs="宋体" w:asciiTheme="minorEastAsia" w:hAnsiTheme="minorEastAsia" w:eastAsiaTheme="minorEastAsia"/>
                <w:szCs w:val="21"/>
                <w:highlight w:val="none"/>
              </w:rPr>
            </w:pPr>
          </w:p>
        </w:tc>
        <w:tc>
          <w:tcPr>
            <w:tcW w:w="1735" w:type="dxa"/>
            <w:vAlign w:val="center"/>
          </w:tcPr>
          <w:p w14:paraId="07DD57F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营业执照和资质证书</w:t>
            </w:r>
          </w:p>
        </w:tc>
        <w:tc>
          <w:tcPr>
            <w:tcW w:w="4130" w:type="dxa"/>
            <w:gridSpan w:val="2"/>
            <w:vAlign w:val="center"/>
          </w:tcPr>
          <w:p w14:paraId="7F30362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提供最新有效证明文件</w:t>
            </w:r>
          </w:p>
        </w:tc>
      </w:tr>
      <w:tr w14:paraId="6E0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51" w:type="dxa"/>
            <w:vMerge w:val="continue"/>
            <w:vAlign w:val="center"/>
          </w:tcPr>
          <w:p w14:paraId="73E86F56">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64CE3D7D">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52A4A52">
            <w:pPr>
              <w:snapToGrid w:val="0"/>
              <w:jc w:val="left"/>
              <w:rPr>
                <w:rFonts w:cs="宋体" w:asciiTheme="minorEastAsia" w:hAnsiTheme="minorEastAsia" w:eastAsiaTheme="minorEastAsia"/>
                <w:szCs w:val="21"/>
                <w:highlight w:val="none"/>
              </w:rPr>
            </w:pPr>
          </w:p>
        </w:tc>
        <w:tc>
          <w:tcPr>
            <w:tcW w:w="1735" w:type="dxa"/>
            <w:vAlign w:val="center"/>
          </w:tcPr>
          <w:p w14:paraId="1842CEF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投标文件签字盖章</w:t>
            </w:r>
          </w:p>
        </w:tc>
        <w:tc>
          <w:tcPr>
            <w:tcW w:w="4130" w:type="dxa"/>
            <w:gridSpan w:val="2"/>
            <w:vAlign w:val="center"/>
          </w:tcPr>
          <w:p w14:paraId="371E1C0D">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符合第二章“投标须知前附表”第</w:t>
            </w:r>
            <w:r>
              <w:rPr>
                <w:rFonts w:cs="宋体" w:asciiTheme="minorEastAsia" w:hAnsiTheme="minorEastAsia" w:eastAsiaTheme="minorEastAsia"/>
                <w:kern w:val="0"/>
                <w:szCs w:val="21"/>
                <w:highlight w:val="none"/>
              </w:rPr>
              <w:t>3.2.5项的要求</w:t>
            </w:r>
          </w:p>
        </w:tc>
      </w:tr>
      <w:tr w14:paraId="2D3B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628BECBE">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93562DB">
            <w:pPr>
              <w:snapToGrid w:val="0"/>
              <w:jc w:val="center"/>
              <w:rPr>
                <w:rFonts w:cs="宋体" w:asciiTheme="minorEastAsia" w:hAnsiTheme="minorEastAsia" w:eastAsiaTheme="minorEastAsia"/>
                <w:szCs w:val="21"/>
                <w:highlight w:val="none"/>
              </w:rPr>
            </w:pPr>
          </w:p>
        </w:tc>
        <w:tc>
          <w:tcPr>
            <w:tcW w:w="1120" w:type="dxa"/>
            <w:vMerge w:val="continue"/>
            <w:vAlign w:val="center"/>
          </w:tcPr>
          <w:p w14:paraId="2A3ABA58">
            <w:pPr>
              <w:snapToGrid w:val="0"/>
              <w:jc w:val="left"/>
              <w:rPr>
                <w:rFonts w:cs="宋体" w:asciiTheme="minorEastAsia" w:hAnsiTheme="minorEastAsia" w:eastAsiaTheme="minorEastAsia"/>
                <w:szCs w:val="21"/>
                <w:highlight w:val="none"/>
              </w:rPr>
            </w:pPr>
          </w:p>
        </w:tc>
        <w:tc>
          <w:tcPr>
            <w:tcW w:w="1735" w:type="dxa"/>
            <w:vAlign w:val="center"/>
          </w:tcPr>
          <w:p w14:paraId="77D21AE8">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法定代表人/负责人授权书</w:t>
            </w:r>
          </w:p>
        </w:tc>
        <w:tc>
          <w:tcPr>
            <w:tcW w:w="4130" w:type="dxa"/>
            <w:gridSpan w:val="2"/>
            <w:vAlign w:val="center"/>
          </w:tcPr>
          <w:p w14:paraId="2BEB681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符合第二章“投标人须知前附表”规定和第六章“投标文件格式”规定</w:t>
            </w:r>
          </w:p>
        </w:tc>
      </w:tr>
      <w:tr w14:paraId="71A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2579C824">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3C6BC5B">
            <w:pPr>
              <w:snapToGrid w:val="0"/>
              <w:jc w:val="center"/>
              <w:rPr>
                <w:rFonts w:cs="宋体" w:asciiTheme="minorEastAsia" w:hAnsiTheme="minorEastAsia" w:eastAsiaTheme="minorEastAsia"/>
                <w:szCs w:val="21"/>
                <w:highlight w:val="none"/>
              </w:rPr>
            </w:pPr>
          </w:p>
        </w:tc>
        <w:tc>
          <w:tcPr>
            <w:tcW w:w="1120" w:type="dxa"/>
            <w:vMerge w:val="continue"/>
            <w:vAlign w:val="center"/>
          </w:tcPr>
          <w:p w14:paraId="773BA51E">
            <w:pPr>
              <w:snapToGrid w:val="0"/>
              <w:jc w:val="left"/>
              <w:rPr>
                <w:rFonts w:cs="宋体" w:asciiTheme="minorEastAsia" w:hAnsiTheme="minorEastAsia" w:eastAsiaTheme="minorEastAsia"/>
                <w:szCs w:val="21"/>
                <w:highlight w:val="none"/>
              </w:rPr>
            </w:pPr>
          </w:p>
        </w:tc>
        <w:tc>
          <w:tcPr>
            <w:tcW w:w="1735" w:type="dxa"/>
            <w:vAlign w:val="center"/>
          </w:tcPr>
          <w:p w14:paraId="6A6F567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投标文件格式</w:t>
            </w:r>
          </w:p>
        </w:tc>
        <w:tc>
          <w:tcPr>
            <w:tcW w:w="4130" w:type="dxa"/>
            <w:gridSpan w:val="2"/>
            <w:vAlign w:val="center"/>
          </w:tcPr>
          <w:p w14:paraId="7939BA0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符合第二章“投标人须知前附表”规定和第六章“投标文件格式”规定</w:t>
            </w:r>
          </w:p>
        </w:tc>
      </w:tr>
      <w:tr w14:paraId="5013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79FF33B8">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1F764621">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2820C49">
            <w:pPr>
              <w:snapToGrid w:val="0"/>
              <w:jc w:val="left"/>
              <w:rPr>
                <w:rFonts w:cs="宋体" w:asciiTheme="minorEastAsia" w:hAnsiTheme="minorEastAsia" w:eastAsiaTheme="minorEastAsia"/>
                <w:szCs w:val="21"/>
                <w:highlight w:val="none"/>
              </w:rPr>
            </w:pPr>
          </w:p>
        </w:tc>
        <w:tc>
          <w:tcPr>
            <w:tcW w:w="1735" w:type="dxa"/>
            <w:vAlign w:val="center"/>
          </w:tcPr>
          <w:p w14:paraId="583DCB7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投标保证金</w:t>
            </w:r>
          </w:p>
        </w:tc>
        <w:tc>
          <w:tcPr>
            <w:tcW w:w="4130" w:type="dxa"/>
            <w:gridSpan w:val="2"/>
            <w:vAlign w:val="center"/>
          </w:tcPr>
          <w:p w14:paraId="75839DD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符合第二章“投标人须知前附表”关于投标保证金的规定</w:t>
            </w:r>
          </w:p>
        </w:tc>
      </w:tr>
      <w:tr w14:paraId="2857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59ABB696">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06A95ADB">
            <w:pPr>
              <w:snapToGrid w:val="0"/>
              <w:jc w:val="center"/>
              <w:rPr>
                <w:rFonts w:cs="宋体" w:asciiTheme="minorEastAsia" w:hAnsiTheme="minorEastAsia" w:eastAsiaTheme="minorEastAsia"/>
                <w:szCs w:val="21"/>
                <w:highlight w:val="none"/>
              </w:rPr>
            </w:pPr>
          </w:p>
        </w:tc>
        <w:tc>
          <w:tcPr>
            <w:tcW w:w="1120" w:type="dxa"/>
            <w:vMerge w:val="restart"/>
            <w:vAlign w:val="center"/>
          </w:tcPr>
          <w:p w14:paraId="504A5A6A">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资格评审</w:t>
            </w:r>
          </w:p>
        </w:tc>
        <w:tc>
          <w:tcPr>
            <w:tcW w:w="1735" w:type="dxa"/>
            <w:vAlign w:val="center"/>
          </w:tcPr>
          <w:p w14:paraId="188FB3C1">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资格条件</w:t>
            </w:r>
          </w:p>
        </w:tc>
        <w:tc>
          <w:tcPr>
            <w:tcW w:w="4130" w:type="dxa"/>
            <w:gridSpan w:val="2"/>
            <w:vAlign w:val="center"/>
          </w:tcPr>
          <w:p w14:paraId="672F65FC">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（1）投标人应为中华人民共和国境内法律上和财务上独立的法人或依法登记注册的其他组织，合法运作并独立于招标人和招标代理机构。</w:t>
            </w:r>
          </w:p>
          <w:p w14:paraId="4C6B5325">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（2）单位负责人为同一人或者存在控股、管理关系的不同单位，不得参加同一标包投标或者未划分标包的同一招标项目投标。</w:t>
            </w:r>
          </w:p>
          <w:p w14:paraId="33DC22A0">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（3）须承诺为本项目开具增值税专用发票。（提供承诺）</w:t>
            </w:r>
          </w:p>
          <w:p w14:paraId="633455A6">
            <w:pPr>
              <w:snapToGrid w:val="0"/>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（4）本项目不接受联合体投标。</w:t>
            </w:r>
          </w:p>
          <w:p w14:paraId="0C47289B">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（5）本项目接受代理商投标。代理商投标的须提供制造商针对本项目采购的</w:t>
            </w:r>
            <w:r>
              <w:rPr>
                <w:rFonts w:hint="eastAsia" w:cs="宋体" w:asciiTheme="minorEastAsia" w:hAnsiTheme="minorEastAsia" w:eastAsiaTheme="minorEastAsia"/>
                <w:szCs w:val="21"/>
                <w:highlight w:val="none"/>
                <w:lang w:val="en-US" w:eastAsia="zh-CN"/>
              </w:rPr>
              <w:t>中间件</w:t>
            </w:r>
            <w:r>
              <w:rPr>
                <w:rFonts w:hint="eastAsia" w:cs="宋体" w:asciiTheme="minorEastAsia" w:hAnsiTheme="minorEastAsia" w:eastAsiaTheme="minorEastAsia"/>
                <w:szCs w:val="21"/>
                <w:highlight w:val="none"/>
              </w:rPr>
              <w:t>出具</w:t>
            </w:r>
            <w:r>
              <w:rPr>
                <w:rFonts w:hint="eastAsia" w:cs="宋体" w:asciiTheme="minorEastAsia" w:hAnsiTheme="minorEastAsia" w:eastAsiaTheme="minorEastAsia"/>
                <w:szCs w:val="21"/>
                <w:highlight w:val="none"/>
                <w:lang w:val="en-US" w:eastAsia="zh-CN"/>
              </w:rPr>
              <w:t>的</w:t>
            </w:r>
            <w:r>
              <w:rPr>
                <w:rFonts w:hint="eastAsia" w:cs="宋体" w:asciiTheme="minorEastAsia" w:hAnsiTheme="minorEastAsia" w:eastAsiaTheme="minorEastAsia"/>
                <w:szCs w:val="21"/>
                <w:highlight w:val="none"/>
              </w:rPr>
              <w:t>授权函，制造商与其代理商不得同时参与本项目的投标 。</w:t>
            </w:r>
          </w:p>
        </w:tc>
      </w:tr>
      <w:tr w14:paraId="6F9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06AF5C3D">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53676F31">
            <w:pPr>
              <w:snapToGrid w:val="0"/>
              <w:jc w:val="center"/>
              <w:rPr>
                <w:rFonts w:cs="宋体" w:asciiTheme="minorEastAsia" w:hAnsiTheme="minorEastAsia" w:eastAsiaTheme="minorEastAsia"/>
                <w:szCs w:val="21"/>
                <w:highlight w:val="none"/>
              </w:rPr>
            </w:pPr>
          </w:p>
        </w:tc>
        <w:tc>
          <w:tcPr>
            <w:tcW w:w="1120" w:type="dxa"/>
            <w:vMerge w:val="continue"/>
            <w:vAlign w:val="center"/>
          </w:tcPr>
          <w:p w14:paraId="20E8C34E">
            <w:pPr>
              <w:snapToGrid w:val="0"/>
              <w:jc w:val="left"/>
              <w:rPr>
                <w:rFonts w:cs="宋体" w:asciiTheme="minorEastAsia" w:hAnsiTheme="minorEastAsia" w:eastAsiaTheme="minorEastAsia"/>
                <w:kern w:val="0"/>
                <w:szCs w:val="21"/>
                <w:highlight w:val="none"/>
              </w:rPr>
            </w:pPr>
          </w:p>
        </w:tc>
        <w:tc>
          <w:tcPr>
            <w:tcW w:w="1735" w:type="dxa"/>
            <w:vAlign w:val="center"/>
          </w:tcPr>
          <w:p w14:paraId="69E049F6">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不得存在的情形</w:t>
            </w:r>
          </w:p>
        </w:tc>
        <w:tc>
          <w:tcPr>
            <w:tcW w:w="4130" w:type="dxa"/>
            <w:gridSpan w:val="2"/>
            <w:vAlign w:val="center"/>
          </w:tcPr>
          <w:p w14:paraId="3762B45E">
            <w:pPr>
              <w:snapToGrid w:val="0"/>
              <w:jc w:val="left"/>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详见第二章投标人须知1.8条款规定，投标人应提供不得存在的情形承诺函。</w:t>
            </w:r>
          </w:p>
        </w:tc>
      </w:tr>
      <w:tr w14:paraId="6802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3C0D1787">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7B410660">
            <w:pPr>
              <w:snapToGrid w:val="0"/>
              <w:jc w:val="center"/>
              <w:rPr>
                <w:rFonts w:cs="宋体" w:asciiTheme="minorEastAsia" w:hAnsiTheme="minorEastAsia" w:eastAsiaTheme="minorEastAsia"/>
                <w:szCs w:val="21"/>
                <w:highlight w:val="none"/>
              </w:rPr>
            </w:pPr>
          </w:p>
        </w:tc>
        <w:tc>
          <w:tcPr>
            <w:tcW w:w="1120" w:type="dxa"/>
            <w:vMerge w:val="restart"/>
            <w:vAlign w:val="center"/>
          </w:tcPr>
          <w:p w14:paraId="349A753C">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响应性评审</w:t>
            </w:r>
          </w:p>
        </w:tc>
        <w:tc>
          <w:tcPr>
            <w:tcW w:w="1735" w:type="dxa"/>
            <w:vAlign w:val="center"/>
          </w:tcPr>
          <w:p w14:paraId="78D6F518">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投标有效期</w:t>
            </w:r>
          </w:p>
        </w:tc>
        <w:tc>
          <w:tcPr>
            <w:tcW w:w="4130" w:type="dxa"/>
            <w:gridSpan w:val="2"/>
            <w:vAlign w:val="center"/>
          </w:tcPr>
          <w:p w14:paraId="7D48AA3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符合第二章“投标人须知前附表”关于投标有效期的规定</w:t>
            </w:r>
          </w:p>
        </w:tc>
      </w:tr>
      <w:tr w14:paraId="2038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0A19A5D5">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437FC63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1483BF67">
            <w:pPr>
              <w:snapToGrid w:val="0"/>
              <w:jc w:val="left"/>
              <w:rPr>
                <w:rFonts w:cs="宋体" w:asciiTheme="minorEastAsia" w:hAnsiTheme="minorEastAsia" w:eastAsiaTheme="minorEastAsia"/>
                <w:szCs w:val="21"/>
                <w:highlight w:val="none"/>
              </w:rPr>
            </w:pPr>
          </w:p>
        </w:tc>
        <w:tc>
          <w:tcPr>
            <w:tcW w:w="1735" w:type="dxa"/>
            <w:vAlign w:val="center"/>
          </w:tcPr>
          <w:p w14:paraId="692A577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实质性响应</w:t>
            </w:r>
          </w:p>
        </w:tc>
        <w:tc>
          <w:tcPr>
            <w:tcW w:w="4130" w:type="dxa"/>
            <w:gridSpan w:val="2"/>
            <w:vAlign w:val="center"/>
          </w:tcPr>
          <w:p w14:paraId="1B5FAB72">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满足全部实质性指标规定</w:t>
            </w:r>
          </w:p>
        </w:tc>
      </w:tr>
      <w:tr w14:paraId="03AB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55B61744">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5849AE3">
            <w:pPr>
              <w:snapToGrid w:val="0"/>
              <w:jc w:val="center"/>
              <w:rPr>
                <w:rFonts w:cs="宋体" w:asciiTheme="minorEastAsia" w:hAnsiTheme="minorEastAsia" w:eastAsiaTheme="minorEastAsia"/>
                <w:szCs w:val="21"/>
                <w:highlight w:val="none"/>
              </w:rPr>
            </w:pPr>
          </w:p>
        </w:tc>
        <w:tc>
          <w:tcPr>
            <w:tcW w:w="1120" w:type="dxa"/>
            <w:vMerge w:val="continue"/>
            <w:vAlign w:val="center"/>
          </w:tcPr>
          <w:p w14:paraId="12795B20">
            <w:pPr>
              <w:snapToGrid w:val="0"/>
              <w:jc w:val="left"/>
              <w:rPr>
                <w:rFonts w:cs="宋体" w:asciiTheme="minorEastAsia" w:hAnsiTheme="minorEastAsia" w:eastAsiaTheme="minorEastAsia"/>
                <w:szCs w:val="21"/>
                <w:highlight w:val="none"/>
              </w:rPr>
            </w:pPr>
          </w:p>
        </w:tc>
        <w:tc>
          <w:tcPr>
            <w:tcW w:w="1735" w:type="dxa"/>
            <w:vAlign w:val="center"/>
          </w:tcPr>
          <w:p w14:paraId="7563F08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商务报价</w:t>
            </w:r>
          </w:p>
        </w:tc>
        <w:tc>
          <w:tcPr>
            <w:tcW w:w="4130" w:type="dxa"/>
            <w:gridSpan w:val="2"/>
            <w:vAlign w:val="center"/>
          </w:tcPr>
          <w:p w14:paraId="2B725000">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符合第二章“投标人须知前附表”关于投标报价的规定</w:t>
            </w:r>
          </w:p>
        </w:tc>
      </w:tr>
      <w:tr w14:paraId="4714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66A72D99">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6562FBA2">
            <w:pPr>
              <w:snapToGrid w:val="0"/>
              <w:jc w:val="center"/>
              <w:rPr>
                <w:rFonts w:cs="宋体" w:asciiTheme="minorEastAsia" w:hAnsiTheme="minorEastAsia" w:eastAsiaTheme="minorEastAsia"/>
                <w:szCs w:val="21"/>
                <w:highlight w:val="none"/>
              </w:rPr>
            </w:pPr>
          </w:p>
        </w:tc>
        <w:tc>
          <w:tcPr>
            <w:tcW w:w="1120" w:type="dxa"/>
            <w:vMerge w:val="continue"/>
            <w:vAlign w:val="center"/>
          </w:tcPr>
          <w:p w14:paraId="680E1D1D">
            <w:pPr>
              <w:snapToGrid w:val="0"/>
              <w:jc w:val="left"/>
              <w:rPr>
                <w:rFonts w:cs="宋体" w:asciiTheme="minorEastAsia" w:hAnsiTheme="minorEastAsia" w:eastAsiaTheme="minorEastAsia"/>
                <w:szCs w:val="21"/>
                <w:highlight w:val="none"/>
              </w:rPr>
            </w:pPr>
          </w:p>
        </w:tc>
        <w:tc>
          <w:tcPr>
            <w:tcW w:w="1735" w:type="dxa"/>
            <w:vAlign w:val="center"/>
          </w:tcPr>
          <w:p w14:paraId="177F97E5">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廉洁投标承诺书</w:t>
            </w:r>
          </w:p>
        </w:tc>
        <w:tc>
          <w:tcPr>
            <w:tcW w:w="4130" w:type="dxa"/>
            <w:gridSpan w:val="2"/>
            <w:vAlign w:val="center"/>
          </w:tcPr>
          <w:p w14:paraId="28843BA5">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按招标文件第六章“投标文件格式”提供廉洁投标承诺书</w:t>
            </w:r>
          </w:p>
        </w:tc>
      </w:tr>
      <w:tr w14:paraId="2E75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069BE61F">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08EC6124">
            <w:pPr>
              <w:snapToGrid w:val="0"/>
              <w:jc w:val="center"/>
              <w:rPr>
                <w:rFonts w:cs="宋体" w:asciiTheme="minorEastAsia" w:hAnsiTheme="minorEastAsia" w:eastAsiaTheme="minorEastAsia"/>
                <w:szCs w:val="21"/>
                <w:highlight w:val="none"/>
              </w:rPr>
            </w:pPr>
          </w:p>
        </w:tc>
        <w:tc>
          <w:tcPr>
            <w:tcW w:w="1120" w:type="dxa"/>
            <w:vMerge w:val="continue"/>
            <w:vAlign w:val="center"/>
          </w:tcPr>
          <w:p w14:paraId="40BEC8EE">
            <w:pPr>
              <w:snapToGrid w:val="0"/>
              <w:jc w:val="left"/>
              <w:rPr>
                <w:rFonts w:cs="宋体" w:asciiTheme="minorEastAsia" w:hAnsiTheme="minorEastAsia" w:eastAsiaTheme="minorEastAsia"/>
                <w:szCs w:val="21"/>
                <w:highlight w:val="none"/>
              </w:rPr>
            </w:pPr>
          </w:p>
        </w:tc>
        <w:tc>
          <w:tcPr>
            <w:tcW w:w="1735" w:type="dxa"/>
            <w:vAlign w:val="center"/>
          </w:tcPr>
          <w:p w14:paraId="61FA6AF8">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4130" w:type="dxa"/>
            <w:gridSpan w:val="2"/>
            <w:vAlign w:val="center"/>
          </w:tcPr>
          <w:p w14:paraId="1263CAF2">
            <w:pPr>
              <w:snapToGrid w:val="0"/>
              <w:jc w:val="left"/>
              <w:rPr>
                <w:rFonts w:cs="宋体" w:asciiTheme="minorEastAsia" w:hAnsiTheme="minorEastAsia" w:eastAsiaTheme="minorEastAsia"/>
                <w:kern w:val="0"/>
                <w:szCs w:val="21"/>
                <w:highlight w:val="none"/>
              </w:rPr>
            </w:pPr>
            <w:r>
              <w:rPr>
                <w:rFonts w:hint="eastAsia" w:ascii="宋体" w:hAnsi="宋体" w:cs="宋体"/>
                <w:szCs w:val="21"/>
              </w:rPr>
              <w:t>商务及合同条款必须全部满足或正偏离，按招标文件第六章“投标文件格式”要求提供商务条款偏离表、合同条款偏离表。</w:t>
            </w:r>
          </w:p>
        </w:tc>
      </w:tr>
      <w:tr w14:paraId="3441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4988CDAA">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297FC55E">
            <w:pPr>
              <w:snapToGrid w:val="0"/>
              <w:jc w:val="center"/>
              <w:rPr>
                <w:rFonts w:cs="宋体" w:asciiTheme="minorEastAsia" w:hAnsiTheme="minorEastAsia" w:eastAsiaTheme="minorEastAsia"/>
                <w:szCs w:val="21"/>
                <w:highlight w:val="none"/>
              </w:rPr>
            </w:pPr>
          </w:p>
        </w:tc>
        <w:tc>
          <w:tcPr>
            <w:tcW w:w="1120" w:type="dxa"/>
            <w:vMerge w:val="continue"/>
            <w:vAlign w:val="center"/>
          </w:tcPr>
          <w:p w14:paraId="0B0D94A7">
            <w:pPr>
              <w:snapToGrid w:val="0"/>
              <w:jc w:val="left"/>
              <w:rPr>
                <w:rFonts w:cs="宋体" w:asciiTheme="minorEastAsia" w:hAnsiTheme="minorEastAsia" w:eastAsiaTheme="minorEastAsia"/>
                <w:kern w:val="0"/>
                <w:szCs w:val="21"/>
                <w:highlight w:val="none"/>
              </w:rPr>
            </w:pPr>
          </w:p>
        </w:tc>
        <w:tc>
          <w:tcPr>
            <w:tcW w:w="1735" w:type="dxa"/>
            <w:vAlign w:val="center"/>
          </w:tcPr>
          <w:p w14:paraId="6456F7E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技术条款</w:t>
            </w:r>
          </w:p>
        </w:tc>
        <w:tc>
          <w:tcPr>
            <w:tcW w:w="4130" w:type="dxa"/>
            <w:gridSpan w:val="2"/>
            <w:vAlign w:val="center"/>
          </w:tcPr>
          <w:p w14:paraId="548EB8E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按招标文件第六章“投标文件格式”要求提供技术条款偏离表</w:t>
            </w:r>
          </w:p>
        </w:tc>
      </w:tr>
      <w:tr w14:paraId="518D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260CEF62">
            <w:pPr>
              <w:snapToGrid w:val="0"/>
              <w:ind w:firstLine="420" w:firstLineChars="200"/>
              <w:jc w:val="center"/>
              <w:rPr>
                <w:rFonts w:cs="宋体" w:asciiTheme="minorEastAsia" w:hAnsiTheme="minorEastAsia" w:eastAsiaTheme="minorEastAsia"/>
                <w:szCs w:val="21"/>
                <w:highlight w:val="none"/>
              </w:rPr>
            </w:pPr>
          </w:p>
        </w:tc>
        <w:tc>
          <w:tcPr>
            <w:tcW w:w="1276" w:type="dxa"/>
            <w:vMerge w:val="continue"/>
          </w:tcPr>
          <w:p w14:paraId="36602208">
            <w:pPr>
              <w:snapToGrid w:val="0"/>
              <w:jc w:val="center"/>
              <w:rPr>
                <w:rFonts w:cs="宋体" w:asciiTheme="minorEastAsia" w:hAnsiTheme="minorEastAsia" w:eastAsiaTheme="minorEastAsia"/>
                <w:szCs w:val="21"/>
                <w:highlight w:val="none"/>
              </w:rPr>
            </w:pPr>
          </w:p>
        </w:tc>
        <w:tc>
          <w:tcPr>
            <w:tcW w:w="1120" w:type="dxa"/>
            <w:vMerge w:val="continue"/>
            <w:vAlign w:val="center"/>
          </w:tcPr>
          <w:p w14:paraId="767FA92E">
            <w:pPr>
              <w:snapToGrid w:val="0"/>
              <w:jc w:val="left"/>
              <w:rPr>
                <w:rFonts w:cs="宋体" w:asciiTheme="minorEastAsia" w:hAnsiTheme="minorEastAsia" w:eastAsiaTheme="minorEastAsia"/>
                <w:szCs w:val="21"/>
                <w:highlight w:val="none"/>
              </w:rPr>
            </w:pPr>
          </w:p>
        </w:tc>
        <w:tc>
          <w:tcPr>
            <w:tcW w:w="1735" w:type="dxa"/>
            <w:vAlign w:val="center"/>
          </w:tcPr>
          <w:p w14:paraId="2B81FDD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其它要求</w:t>
            </w:r>
          </w:p>
        </w:tc>
        <w:tc>
          <w:tcPr>
            <w:tcW w:w="4130" w:type="dxa"/>
            <w:gridSpan w:val="2"/>
            <w:vAlign w:val="center"/>
          </w:tcPr>
          <w:p w14:paraId="56DCB2A1">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无招标文件或相关法律法规规定的无效投标或否决投标项。</w:t>
            </w:r>
          </w:p>
        </w:tc>
      </w:tr>
      <w:tr w14:paraId="30FD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vAlign w:val="center"/>
          </w:tcPr>
          <w:p w14:paraId="3D42804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w:t>
            </w:r>
          </w:p>
        </w:tc>
        <w:tc>
          <w:tcPr>
            <w:tcW w:w="1276" w:type="dxa"/>
            <w:vMerge w:val="restart"/>
            <w:vAlign w:val="center"/>
          </w:tcPr>
          <w:p w14:paraId="2026981E">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详细评审标准</w:t>
            </w:r>
          </w:p>
        </w:tc>
        <w:tc>
          <w:tcPr>
            <w:tcW w:w="1120" w:type="dxa"/>
            <w:vAlign w:val="center"/>
          </w:tcPr>
          <w:p w14:paraId="2442B4B5">
            <w:pPr>
              <w:snapToGrid w:val="0"/>
              <w:jc w:val="left"/>
              <w:rPr>
                <w:rFonts w:cs="宋体"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商务</w:t>
            </w:r>
          </w:p>
        </w:tc>
        <w:tc>
          <w:tcPr>
            <w:tcW w:w="1735" w:type="dxa"/>
            <w:vAlign w:val="center"/>
          </w:tcPr>
          <w:p w14:paraId="4FB0177C">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商务</w:t>
            </w:r>
          </w:p>
        </w:tc>
        <w:tc>
          <w:tcPr>
            <w:tcW w:w="784" w:type="dxa"/>
            <w:vAlign w:val="center"/>
          </w:tcPr>
          <w:p w14:paraId="4D2581B4">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分</w:t>
            </w:r>
          </w:p>
        </w:tc>
        <w:tc>
          <w:tcPr>
            <w:tcW w:w="3346" w:type="dxa"/>
            <w:vAlign w:val="center"/>
          </w:tcPr>
          <w:p w14:paraId="6C522C1A">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20E5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1CF5FA75">
            <w:pPr>
              <w:snapToGrid w:val="0"/>
              <w:jc w:val="center"/>
              <w:rPr>
                <w:rFonts w:cs="宋体" w:asciiTheme="minorEastAsia" w:hAnsiTheme="minorEastAsia" w:eastAsiaTheme="minorEastAsia"/>
                <w:kern w:val="0"/>
                <w:szCs w:val="21"/>
                <w:highlight w:val="none"/>
              </w:rPr>
            </w:pPr>
          </w:p>
        </w:tc>
        <w:tc>
          <w:tcPr>
            <w:tcW w:w="1276" w:type="dxa"/>
            <w:vMerge w:val="continue"/>
          </w:tcPr>
          <w:p w14:paraId="471CEEE6">
            <w:pPr>
              <w:snapToGrid w:val="0"/>
              <w:jc w:val="center"/>
              <w:rPr>
                <w:rFonts w:cs="宋体" w:asciiTheme="minorEastAsia" w:hAnsiTheme="minorEastAsia" w:eastAsiaTheme="minorEastAsia"/>
                <w:kern w:val="0"/>
                <w:szCs w:val="21"/>
                <w:highlight w:val="none"/>
              </w:rPr>
            </w:pPr>
          </w:p>
        </w:tc>
        <w:tc>
          <w:tcPr>
            <w:tcW w:w="1120" w:type="dxa"/>
            <w:vAlign w:val="center"/>
          </w:tcPr>
          <w:p w14:paraId="5C337905">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服务</w:t>
            </w:r>
          </w:p>
        </w:tc>
        <w:tc>
          <w:tcPr>
            <w:tcW w:w="1735" w:type="dxa"/>
            <w:vAlign w:val="center"/>
          </w:tcPr>
          <w:p w14:paraId="6D76E6F0">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服务</w:t>
            </w:r>
          </w:p>
        </w:tc>
        <w:tc>
          <w:tcPr>
            <w:tcW w:w="784" w:type="dxa"/>
            <w:vAlign w:val="center"/>
          </w:tcPr>
          <w:p w14:paraId="63487870">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rPr>
              <w:t>分</w:t>
            </w:r>
          </w:p>
        </w:tc>
        <w:tc>
          <w:tcPr>
            <w:tcW w:w="3346" w:type="dxa"/>
            <w:vAlign w:val="center"/>
          </w:tcPr>
          <w:p w14:paraId="1F3FEE83">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54D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770BE9E6">
            <w:pPr>
              <w:snapToGrid w:val="0"/>
              <w:jc w:val="center"/>
              <w:rPr>
                <w:rFonts w:cs="宋体" w:asciiTheme="minorEastAsia" w:hAnsiTheme="minorEastAsia" w:eastAsiaTheme="minorEastAsia"/>
                <w:kern w:val="0"/>
                <w:szCs w:val="21"/>
                <w:highlight w:val="none"/>
              </w:rPr>
            </w:pPr>
          </w:p>
        </w:tc>
        <w:tc>
          <w:tcPr>
            <w:tcW w:w="1276" w:type="dxa"/>
            <w:vMerge w:val="continue"/>
          </w:tcPr>
          <w:p w14:paraId="4A51C881">
            <w:pPr>
              <w:snapToGrid w:val="0"/>
              <w:jc w:val="center"/>
              <w:rPr>
                <w:rFonts w:cs="宋体" w:asciiTheme="minorEastAsia" w:hAnsiTheme="minorEastAsia" w:eastAsiaTheme="minorEastAsia"/>
                <w:kern w:val="0"/>
                <w:szCs w:val="21"/>
                <w:highlight w:val="none"/>
              </w:rPr>
            </w:pPr>
          </w:p>
        </w:tc>
        <w:tc>
          <w:tcPr>
            <w:tcW w:w="1120" w:type="dxa"/>
            <w:vAlign w:val="center"/>
          </w:tcPr>
          <w:p w14:paraId="70C3AA5E">
            <w:pPr>
              <w:snapToGrid w:val="0"/>
              <w:jc w:val="left"/>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技术</w:t>
            </w:r>
          </w:p>
        </w:tc>
        <w:tc>
          <w:tcPr>
            <w:tcW w:w="1735" w:type="dxa"/>
            <w:vAlign w:val="center"/>
          </w:tcPr>
          <w:p w14:paraId="75A4F532">
            <w:pPr>
              <w:snapToGrid w:val="0"/>
              <w:jc w:val="center"/>
              <w:rPr>
                <w:rFonts w:cs="宋体" w:asciiTheme="minorEastAsia" w:hAnsiTheme="minorEastAsia" w:eastAsia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技术</w:t>
            </w:r>
          </w:p>
        </w:tc>
        <w:tc>
          <w:tcPr>
            <w:tcW w:w="784" w:type="dxa"/>
            <w:vAlign w:val="center"/>
          </w:tcPr>
          <w:p w14:paraId="42ABE65B">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50</w:t>
            </w:r>
            <w:r>
              <w:rPr>
                <w:rFonts w:hint="eastAsia" w:cs="宋体" w:asciiTheme="minorEastAsia" w:hAnsiTheme="minorEastAsia" w:eastAsiaTheme="minorEastAsia"/>
                <w:kern w:val="0"/>
                <w:szCs w:val="21"/>
                <w:highlight w:val="none"/>
              </w:rPr>
              <w:t>分</w:t>
            </w:r>
          </w:p>
        </w:tc>
        <w:tc>
          <w:tcPr>
            <w:tcW w:w="3346" w:type="dxa"/>
            <w:vAlign w:val="center"/>
          </w:tcPr>
          <w:p w14:paraId="05940B45">
            <w:pPr>
              <w:snapToGrid w:val="0"/>
              <w:jc w:val="center"/>
              <w:rPr>
                <w:rFonts w:cs="宋体" w:asciiTheme="minorEastAsia" w:hAnsiTheme="minorEastAsia" w:eastAsiaTheme="minorEastAsia"/>
                <w:kern w:val="0"/>
                <w:szCs w:val="21"/>
                <w:highlight w:val="none"/>
              </w:rPr>
            </w:pPr>
            <w:r>
              <w:rPr>
                <w:rFonts w:hint="eastAsia" w:ascii="宋体" w:hAnsi="宋体" w:cs="宋体"/>
                <w:szCs w:val="21"/>
                <w:highlight w:val="none"/>
              </w:rPr>
              <w:t>详细评审标准表附后</w:t>
            </w:r>
          </w:p>
        </w:tc>
      </w:tr>
      <w:tr w14:paraId="017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3CF5DF3C">
            <w:pPr>
              <w:snapToGrid w:val="0"/>
              <w:jc w:val="center"/>
              <w:rPr>
                <w:rFonts w:cs="宋体" w:asciiTheme="minorEastAsia" w:hAnsiTheme="minorEastAsia" w:eastAsiaTheme="minorEastAsia"/>
                <w:kern w:val="0"/>
                <w:szCs w:val="21"/>
                <w:highlight w:val="none"/>
              </w:rPr>
            </w:pPr>
          </w:p>
        </w:tc>
        <w:tc>
          <w:tcPr>
            <w:tcW w:w="1276" w:type="dxa"/>
            <w:vMerge w:val="continue"/>
          </w:tcPr>
          <w:p w14:paraId="144F253F">
            <w:pPr>
              <w:snapToGrid w:val="0"/>
              <w:jc w:val="center"/>
              <w:rPr>
                <w:rFonts w:cs="宋体" w:asciiTheme="minorEastAsia" w:hAnsiTheme="minorEastAsia" w:eastAsiaTheme="minorEastAsia"/>
                <w:kern w:val="0"/>
                <w:szCs w:val="21"/>
                <w:highlight w:val="none"/>
              </w:rPr>
            </w:pPr>
          </w:p>
        </w:tc>
        <w:tc>
          <w:tcPr>
            <w:tcW w:w="1120" w:type="dxa"/>
            <w:vAlign w:val="center"/>
          </w:tcPr>
          <w:p w14:paraId="7239D024">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w:t>
            </w:r>
          </w:p>
        </w:tc>
        <w:tc>
          <w:tcPr>
            <w:tcW w:w="1735" w:type="dxa"/>
            <w:vAlign w:val="center"/>
          </w:tcPr>
          <w:p w14:paraId="575597CD">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w:t>
            </w:r>
          </w:p>
        </w:tc>
        <w:tc>
          <w:tcPr>
            <w:tcW w:w="784" w:type="dxa"/>
            <w:vAlign w:val="center"/>
          </w:tcPr>
          <w:p w14:paraId="2819A188">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40</w:t>
            </w:r>
            <w:r>
              <w:rPr>
                <w:rFonts w:hint="eastAsia" w:cs="宋体" w:asciiTheme="minorEastAsia" w:hAnsiTheme="minorEastAsia" w:eastAsiaTheme="minorEastAsia"/>
                <w:kern w:val="0"/>
                <w:szCs w:val="21"/>
                <w:highlight w:val="none"/>
              </w:rPr>
              <w:t>分</w:t>
            </w:r>
          </w:p>
        </w:tc>
        <w:tc>
          <w:tcPr>
            <w:tcW w:w="3346" w:type="dxa"/>
            <w:vAlign w:val="center"/>
          </w:tcPr>
          <w:p w14:paraId="7EEDFCA8">
            <w:pPr>
              <w:snapToGrid w:val="0"/>
              <w:jc w:val="left"/>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eastAsiaTheme="minorEastAsia"/>
                <w:kern w:val="0"/>
                <w:szCs w:val="21"/>
                <w:highlight w:val="none"/>
              </w:rPr>
              <w:t>评分方法</w:t>
            </w:r>
            <w:r>
              <w:rPr>
                <w:rFonts w:hint="eastAsia" w:cs="宋体" w:asciiTheme="minorEastAsia" w:hAnsiTheme="minorEastAsia" w:eastAsiaTheme="minorEastAsia"/>
                <w:kern w:val="0"/>
                <w:szCs w:val="21"/>
                <w:highlight w:val="none"/>
                <w:lang w:eastAsia="zh-CN"/>
              </w:rPr>
              <w:t>：价格评审以不含税总价</w:t>
            </w:r>
            <w:r>
              <w:rPr>
                <w:rFonts w:hint="eastAsia" w:cs="宋体" w:asciiTheme="minorEastAsia" w:hAnsiTheme="minorEastAsia" w:eastAsiaTheme="minorEastAsia"/>
                <w:kern w:val="0"/>
                <w:szCs w:val="21"/>
                <w:highlight w:val="none"/>
                <w:lang w:val="en-US" w:eastAsia="zh-CN"/>
              </w:rPr>
              <w:t>报价合计</w:t>
            </w:r>
            <w:r>
              <w:rPr>
                <w:rFonts w:hint="eastAsia" w:cs="宋体" w:asciiTheme="minorEastAsia" w:hAnsiTheme="minorEastAsia" w:eastAsiaTheme="minorEastAsia"/>
                <w:kern w:val="0"/>
                <w:szCs w:val="21"/>
                <w:highlight w:val="none"/>
                <w:lang w:eastAsia="zh-CN"/>
              </w:rPr>
              <w:t>进行评审。</w:t>
            </w:r>
          </w:p>
          <w:p w14:paraId="62501CA7">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本项目采用基准价系数调整法进行价格评分：</w:t>
            </w:r>
          </w:p>
          <w:p w14:paraId="2BA6D7F0">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基准价：在所有有效报价中，以去掉（有效响应人数量÷6后向下取整）个最高价和最低价后其余报价的算术平均值作为基准价，各响应人报价价格得分以偏离基准价的多少计算，最高得40分，最低得0分。Q值为0.8。</w:t>
            </w:r>
          </w:p>
          <w:p w14:paraId="797C01CA">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采用线性方式计算，小数点后保留两位，第三位四舍五入。</w:t>
            </w:r>
          </w:p>
          <w:p w14:paraId="542B7594">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价格得分：</w:t>
            </w:r>
          </w:p>
          <w:p w14:paraId="1ECFD08B">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偏离度＝（各投标人报价－基准价）/基准价</w:t>
            </w:r>
          </w:p>
          <w:p w14:paraId="298848B0">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最终得分：</w:t>
            </w:r>
          </w:p>
          <w:p w14:paraId="0F72B9B2">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负偏离得分＝40*0.8+|0.3×偏离度/1%|</w:t>
            </w:r>
          </w:p>
          <w:p w14:paraId="1D4783E1">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正偏离得分＝40*0.8-|0.3×偏离度/1%|</w:t>
            </w:r>
          </w:p>
          <w:p w14:paraId="4017B089">
            <w:pPr>
              <w:snapToGrid w:val="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高于基准价为正偏离，低于基准价为负偏离</w:t>
            </w:r>
          </w:p>
          <w:p w14:paraId="1A1818A2">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价格评审依据：若出现增值税税率不一致的情形，价格评审以</w:t>
            </w:r>
            <w:r>
              <w:rPr>
                <w:rFonts w:hint="eastAsia" w:cs="宋体" w:asciiTheme="minorEastAsia" w:hAnsiTheme="minorEastAsia" w:eastAsiaTheme="minorEastAsia"/>
                <w:kern w:val="0"/>
                <w:szCs w:val="21"/>
                <w:highlight w:val="none"/>
                <w:lang w:val="en-US" w:eastAsia="zh-CN"/>
              </w:rPr>
              <w:t>不含税价</w:t>
            </w:r>
            <w:r>
              <w:rPr>
                <w:rFonts w:hint="eastAsia" w:cs="宋体" w:asciiTheme="minorEastAsia" w:hAnsiTheme="minorEastAsia" w:eastAsiaTheme="minorEastAsia"/>
                <w:kern w:val="0"/>
                <w:szCs w:val="21"/>
                <w:highlight w:val="none"/>
              </w:rPr>
              <w:t>作为评审依据。</w:t>
            </w:r>
          </w:p>
          <w:p w14:paraId="0645597F">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是否以单项报价核定低于成本：</w:t>
            </w:r>
            <w:r>
              <w:rPr>
                <w:rFonts w:hint="eastAsia" w:cs="宋体" w:asciiTheme="minorEastAsia" w:hAnsiTheme="minorEastAsia" w:eastAsiaTheme="minorEastAsia"/>
                <w:kern w:val="0"/>
                <w:szCs w:val="21"/>
                <w:highlight w:val="none"/>
                <w:lang w:val="en-US" w:eastAsia="zh-CN"/>
              </w:rPr>
              <w:t>要求，具体要求如下：评标委员会发现投标人的单项报价明显低于其他投标报价，认为投标报价可能低于成本的，将书面要求该投标人做出书面说明并提供相关证明材料。投标人不能合理说明或者不能提供相应证明材料的，由评标委员会认定该投标人以低于成本报价竞标，评标委员会将否决其投标。</w:t>
            </w:r>
          </w:p>
        </w:tc>
      </w:tr>
      <w:tr w14:paraId="35A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vAlign w:val="center"/>
          </w:tcPr>
          <w:p w14:paraId="312CFADF">
            <w:pPr>
              <w:snapToGrid w:val="0"/>
              <w:jc w:val="center"/>
              <w:rPr>
                <w:rFonts w:cs="宋体" w:asciiTheme="minorEastAsia" w:hAnsiTheme="minorEastAsia" w:eastAsiaTheme="minorEastAsia"/>
                <w:kern w:val="0"/>
                <w:szCs w:val="21"/>
                <w:highlight w:val="none"/>
              </w:rPr>
            </w:pPr>
          </w:p>
        </w:tc>
        <w:tc>
          <w:tcPr>
            <w:tcW w:w="1276" w:type="dxa"/>
            <w:vMerge w:val="continue"/>
          </w:tcPr>
          <w:p w14:paraId="4F2DAA8B">
            <w:pPr>
              <w:snapToGrid w:val="0"/>
              <w:jc w:val="center"/>
              <w:rPr>
                <w:rFonts w:cs="宋体" w:asciiTheme="minorEastAsia" w:hAnsiTheme="minorEastAsia" w:eastAsiaTheme="minorEastAsia"/>
                <w:kern w:val="0"/>
                <w:szCs w:val="21"/>
                <w:highlight w:val="none"/>
              </w:rPr>
            </w:pPr>
          </w:p>
        </w:tc>
        <w:tc>
          <w:tcPr>
            <w:tcW w:w="1120" w:type="dxa"/>
            <w:vAlign w:val="center"/>
          </w:tcPr>
          <w:p w14:paraId="3FF76D13">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投标人不良行为</w:t>
            </w:r>
          </w:p>
        </w:tc>
        <w:tc>
          <w:tcPr>
            <w:tcW w:w="1735" w:type="dxa"/>
            <w:vAlign w:val="center"/>
          </w:tcPr>
          <w:p w14:paraId="727480CB">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《中国电信供应商不良行为管理规则》及处理结果执行</w:t>
            </w:r>
          </w:p>
        </w:tc>
        <w:tc>
          <w:tcPr>
            <w:tcW w:w="784" w:type="dxa"/>
            <w:vAlign w:val="center"/>
          </w:tcPr>
          <w:p w14:paraId="04E5C7A9">
            <w:pPr>
              <w:snapToGrid w:val="0"/>
              <w:jc w:val="center"/>
              <w:rPr>
                <w:rFonts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w:t>
            </w:r>
          </w:p>
        </w:tc>
        <w:tc>
          <w:tcPr>
            <w:tcW w:w="3346" w:type="dxa"/>
            <w:vAlign w:val="center"/>
          </w:tcPr>
          <w:p w14:paraId="4CB45ED6">
            <w:pPr>
              <w:snapToGrid w:val="0"/>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按照中国电信供应商不良行为处理结果及《中国电信供应商不良行为管理规则》的结果执行规则[如涉及联合采购，请同时明确其他联合采购方的不良行为处理结果及相关规则]，应对投标人的本次投标执行限制采购处理措施的</w:t>
            </w:r>
            <w:r>
              <w:rPr>
                <w:rFonts w:cs="宋体"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kern w:val="0"/>
                <w:szCs w:val="21"/>
                <w14:textFill>
                  <w14:solidFill>
                    <w14:schemeClr w14:val="tx1"/>
                  </w14:solidFill>
                </w14:textFill>
              </w:rPr>
              <w:t>评标委员会应按照</w:t>
            </w:r>
            <w:r>
              <w:rPr>
                <w:rFonts w:cs="宋体" w:asciiTheme="minorEastAsia" w:hAnsiTheme="minorEastAsia" w:eastAsiaTheme="minorEastAsia"/>
                <w:color w:val="000000" w:themeColor="text1"/>
                <w:kern w:val="0"/>
                <w:szCs w:val="21"/>
                <w14:textFill>
                  <w14:solidFill>
                    <w14:schemeClr w14:val="tx1"/>
                  </w14:solidFill>
                </w14:textFill>
              </w:rPr>
              <w:t>处理结果</w:t>
            </w:r>
            <w:r>
              <w:rPr>
                <w:rFonts w:hint="eastAsia" w:cs="宋体" w:asciiTheme="minorEastAsia" w:hAnsiTheme="minorEastAsia" w:eastAsiaTheme="minorEastAsia"/>
                <w:color w:val="000000" w:themeColor="text1"/>
                <w:kern w:val="0"/>
                <w:szCs w:val="21"/>
                <w14:textFill>
                  <w14:solidFill>
                    <w14:schemeClr w14:val="tx1"/>
                  </w14:solidFill>
                </w14:textFill>
              </w:rPr>
              <w:t>及规则扣减相应分值</w:t>
            </w:r>
            <w:r>
              <w:rPr>
                <w:rFonts w:hint="eastAsia" w:asciiTheme="minorEastAsia" w:hAnsiTheme="minorEastAsia" w:eastAsiaTheme="minorEastAsia"/>
                <w:color w:val="000000" w:themeColor="text1"/>
                <w:szCs w:val="21"/>
                <w14:textFill>
                  <w14:solidFill>
                    <w14:schemeClr w14:val="tx1"/>
                  </w14:solidFill>
                </w14:textFill>
              </w:rPr>
              <w:t>。</w:t>
            </w:r>
          </w:p>
          <w:p w14:paraId="7E1A5A1F">
            <w:pPr>
              <w:snapToGrid w:val="0"/>
              <w:jc w:val="left"/>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同一标包或未划分标包的同一招标项目涉及多个产品评估品类的，投标</w:t>
            </w:r>
            <w:r>
              <w:rPr>
                <w:rFonts w:ascii="宋体" w:hAnsi="宋体"/>
                <w:color w:val="000000" w:themeColor="text1"/>
                <w:szCs w:val="21"/>
                <w:highlight w:val="none"/>
                <w14:textFill>
                  <w14:solidFill>
                    <w14:schemeClr w14:val="tx1"/>
                  </w14:solidFill>
                </w14:textFill>
              </w:rPr>
              <w:t>人及其</w:t>
            </w:r>
            <w:r>
              <w:rPr>
                <w:rFonts w:hint="eastAsia" w:ascii="宋体" w:hAnsi="宋体"/>
                <w:color w:val="000000" w:themeColor="text1"/>
                <w:szCs w:val="21"/>
                <w:highlight w:val="none"/>
                <w14:textFill>
                  <w14:solidFill>
                    <w14:schemeClr w14:val="tx1"/>
                  </w14:solidFill>
                </w14:textFill>
              </w:rPr>
              <w:t>任一产品品类</w:t>
            </w:r>
            <w:r>
              <w:rPr>
                <w:rFonts w:hint="eastAsia" w:ascii="宋体" w:hAnsi="宋体" w:cs="宋体"/>
                <w:color w:val="000000" w:themeColor="text1"/>
                <w:kern w:val="0"/>
                <w:szCs w:val="21"/>
                <w:highlight w:val="none"/>
                <w14:textFill>
                  <w14:solidFill>
                    <w14:schemeClr w14:val="tx1"/>
                  </w14:solidFill>
                </w14:textFill>
              </w:rPr>
              <w:t>涉及相关限制采购处理</w:t>
            </w:r>
            <w:r>
              <w:rPr>
                <w:rFonts w:ascii="宋体" w:hAnsi="宋体" w:cs="宋体"/>
                <w:color w:val="000000" w:themeColor="text1"/>
                <w:kern w:val="0"/>
                <w:szCs w:val="21"/>
                <w:highlight w:val="none"/>
                <w14:textFill>
                  <w14:solidFill>
                    <w14:schemeClr w14:val="tx1"/>
                  </w14:solidFill>
                </w14:textFill>
              </w:rPr>
              <w:t>结果的</w:t>
            </w:r>
            <w:r>
              <w:rPr>
                <w:rFonts w:hint="eastAsia" w:ascii="宋体" w:hAnsi="宋体" w:cs="宋体"/>
                <w:color w:val="000000" w:themeColor="text1"/>
                <w:kern w:val="0"/>
                <w:szCs w:val="21"/>
                <w:highlight w:val="none"/>
                <w14:textFill>
                  <w14:solidFill>
                    <w14:schemeClr w14:val="tx1"/>
                  </w14:solidFill>
                </w14:textFill>
              </w:rPr>
              <w:t>，该标包或招标项目均应适用相关的限制</w:t>
            </w:r>
            <w:r>
              <w:rPr>
                <w:rFonts w:ascii="宋体" w:hAnsi="宋体" w:cs="宋体"/>
                <w:color w:val="000000" w:themeColor="text1"/>
                <w:kern w:val="0"/>
                <w:szCs w:val="21"/>
                <w:highlight w:val="none"/>
                <w14:textFill>
                  <w14:solidFill>
                    <w14:schemeClr w14:val="tx1"/>
                  </w14:solidFill>
                </w14:textFill>
              </w:rPr>
              <w:t>采购处理措施</w:t>
            </w:r>
            <w:r>
              <w:rPr>
                <w:rFonts w:hint="eastAsia" w:ascii="宋体" w:hAnsi="宋体" w:cs="宋体"/>
                <w:color w:val="000000" w:themeColor="text1"/>
                <w:kern w:val="0"/>
                <w:szCs w:val="21"/>
                <w:highlight w:val="none"/>
                <w14:textFill>
                  <w14:solidFill>
                    <w14:schemeClr w14:val="tx1"/>
                  </w14:solidFill>
                </w14:textFill>
              </w:rPr>
              <w:t>。</w:t>
            </w:r>
          </w:p>
        </w:tc>
      </w:tr>
      <w:tr w14:paraId="578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485B027">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3.2．2</w:t>
            </w:r>
          </w:p>
        </w:tc>
        <w:tc>
          <w:tcPr>
            <w:tcW w:w="1276" w:type="dxa"/>
            <w:vAlign w:val="center"/>
          </w:tcPr>
          <w:p w14:paraId="6573A39A">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评分计算原则</w:t>
            </w:r>
          </w:p>
        </w:tc>
        <w:tc>
          <w:tcPr>
            <w:tcW w:w="6985" w:type="dxa"/>
            <w:gridSpan w:val="4"/>
            <w:vAlign w:val="center"/>
          </w:tcPr>
          <w:p w14:paraId="56820EB9">
            <w:pPr>
              <w:snapToGrid w:val="0"/>
              <w:rPr>
                <w:rFonts w:cs="宋体" w:asciiTheme="minorEastAsia" w:hAnsiTheme="minorEastAsia" w:eastAsiaTheme="minorEastAsia"/>
                <w:kern w:val="0"/>
                <w:szCs w:val="21"/>
                <w:highlight w:val="none"/>
              </w:rPr>
            </w:pPr>
            <w:r>
              <w:rPr>
                <w:rFonts w:hint="eastAsia" w:ascii="宋体" w:hAnsi="宋体"/>
                <w:color w:val="000000" w:themeColor="text1"/>
                <w:szCs w:val="21"/>
                <w:highlight w:val="none"/>
                <w14:textFill>
                  <w14:solidFill>
                    <w14:schemeClr w14:val="tx1"/>
                  </w14:solidFill>
                </w14:textFill>
              </w:rPr>
              <w:t>按四舍五入保留2位小数。</w:t>
            </w:r>
          </w:p>
        </w:tc>
      </w:tr>
      <w:tr w14:paraId="474E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98D1C8F">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3.4.1</w:t>
            </w:r>
          </w:p>
        </w:tc>
        <w:tc>
          <w:tcPr>
            <w:tcW w:w="1276" w:type="dxa"/>
            <w:vAlign w:val="center"/>
          </w:tcPr>
          <w:p w14:paraId="1F666F04">
            <w:pPr>
              <w:snapToGrid w:val="0"/>
              <w:jc w:val="left"/>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综合评分相同的处理原则</w:t>
            </w:r>
          </w:p>
        </w:tc>
        <w:tc>
          <w:tcPr>
            <w:tcW w:w="6985" w:type="dxa"/>
            <w:gridSpan w:val="4"/>
            <w:vAlign w:val="center"/>
          </w:tcPr>
          <w:p w14:paraId="59BF1F6F">
            <w:pPr>
              <w:pStyle w:val="101"/>
              <w:snapToGrid w:val="0"/>
              <w:ind w:left="14"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综合得分相同的，价格得分高者排名优先；价格得分相同的，技术得分高者排名优先；技术得分相同的，商务得分高者排名优先；商务得分相同的，业绩累计</w:t>
            </w:r>
            <w:r>
              <w:rPr>
                <w:rFonts w:hint="eastAsia" w:cs="宋体" w:asciiTheme="minorEastAsia" w:hAnsiTheme="minorEastAsia" w:eastAsiaTheme="minorEastAsia"/>
                <w:szCs w:val="21"/>
                <w:highlight w:val="none"/>
                <w:lang w:val="en-US" w:eastAsia="zh-CN"/>
              </w:rPr>
              <w:t>含税金额</w:t>
            </w:r>
            <w:r>
              <w:rPr>
                <w:rFonts w:hint="eastAsia" w:cs="宋体" w:asciiTheme="minorEastAsia" w:hAnsiTheme="minorEastAsia" w:eastAsiaTheme="minorEastAsia"/>
                <w:szCs w:val="21"/>
                <w:highlight w:val="none"/>
              </w:rPr>
              <w:t>高者排名优先。</w:t>
            </w:r>
          </w:p>
        </w:tc>
      </w:tr>
      <w:tr w14:paraId="127F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69AB316">
            <w:pPr>
              <w:snapToGrid w:val="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3.4.2</w:t>
            </w:r>
          </w:p>
        </w:tc>
        <w:tc>
          <w:tcPr>
            <w:tcW w:w="1276" w:type="dxa"/>
            <w:vAlign w:val="center"/>
          </w:tcPr>
          <w:p w14:paraId="54666F9B">
            <w:pPr>
              <w:snapToGrid w:val="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中标候选人推荐原则</w:t>
            </w:r>
          </w:p>
        </w:tc>
        <w:tc>
          <w:tcPr>
            <w:tcW w:w="6985" w:type="dxa"/>
            <w:gridSpan w:val="4"/>
            <w:vAlign w:val="center"/>
          </w:tcPr>
          <w:p w14:paraId="7E0A7DC9">
            <w:pPr>
              <w:pStyle w:val="101"/>
              <w:snapToGrid w:val="0"/>
              <w:ind w:left="14"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详见第二章投标人须知6.4条款。</w:t>
            </w:r>
          </w:p>
        </w:tc>
      </w:tr>
    </w:tbl>
    <w:p w14:paraId="4C997BEA">
      <w:pPr>
        <w:widowControl/>
        <w:jc w:val="left"/>
        <w:rPr>
          <w:rFonts w:ascii="宋体" w:hAnsi="宋体" w:cs="宋体"/>
          <w:b/>
          <w:bCs/>
          <w:color w:val="000000" w:themeColor="text1"/>
          <w:szCs w:val="21"/>
          <w:highlight w:val="none"/>
          <w14:textFill>
            <w14:solidFill>
              <w14:schemeClr w14:val="tx1"/>
            </w14:solidFill>
          </w14:textFill>
        </w:rPr>
      </w:pPr>
    </w:p>
    <w:p w14:paraId="6041CFBB">
      <w:pPr>
        <w:widowControl/>
        <w:jc w:val="left"/>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商务</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9" w:type="pct"/>
        <w:tblInd w:w="0" w:type="dxa"/>
        <w:tblLayout w:type="autofit"/>
        <w:tblCellMar>
          <w:top w:w="0" w:type="dxa"/>
          <w:left w:w="108" w:type="dxa"/>
          <w:bottom w:w="0" w:type="dxa"/>
          <w:right w:w="108" w:type="dxa"/>
        </w:tblCellMar>
      </w:tblPr>
      <w:tblGrid>
        <w:gridCol w:w="799"/>
        <w:gridCol w:w="1418"/>
        <w:gridCol w:w="5471"/>
        <w:gridCol w:w="1480"/>
      </w:tblGrid>
      <w:tr w14:paraId="5636F067">
        <w:tblPrEx>
          <w:tblCellMar>
            <w:top w:w="0" w:type="dxa"/>
            <w:left w:w="108" w:type="dxa"/>
            <w:bottom w:w="0" w:type="dxa"/>
            <w:right w:w="108" w:type="dxa"/>
          </w:tblCellMar>
        </w:tblPrEx>
        <w:trPr>
          <w:trHeight w:val="43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7060709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24D9C9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5F53B6C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807" w:type="pct"/>
            <w:tcBorders>
              <w:top w:val="single" w:color="auto" w:sz="4" w:space="0"/>
              <w:left w:val="nil"/>
              <w:bottom w:val="single" w:color="auto" w:sz="4" w:space="0"/>
              <w:right w:val="single" w:color="auto" w:sz="4" w:space="0"/>
            </w:tcBorders>
            <w:shd w:val="clear" w:color="auto" w:fill="auto"/>
            <w:vAlign w:val="center"/>
          </w:tcPr>
          <w:p w14:paraId="469E4F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3B4E1A71">
        <w:tblPrEx>
          <w:tblCellMar>
            <w:top w:w="0" w:type="dxa"/>
            <w:left w:w="108" w:type="dxa"/>
            <w:bottom w:w="0" w:type="dxa"/>
            <w:right w:w="108" w:type="dxa"/>
          </w:tblCellMar>
        </w:tblPrEx>
        <w:trPr>
          <w:trHeight w:val="32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324896DF">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366940D">
            <w:pPr>
              <w:widowControl/>
              <w:jc w:val="center"/>
              <w:rPr>
                <w:kern w:val="0"/>
                <w:sz w:val="20"/>
                <w:szCs w:val="20"/>
                <w:highlight w:val="none"/>
              </w:rPr>
            </w:pPr>
            <w:r>
              <w:rPr>
                <w:rFonts w:hint="eastAsia"/>
                <w:sz w:val="20"/>
                <w:szCs w:val="20"/>
                <w:highlight w:val="none"/>
              </w:rPr>
              <w:t>案例与业绩</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433EA06A">
            <w:pPr>
              <w:keepNext w:val="0"/>
              <w:keepLines w:val="0"/>
              <w:widowControl/>
              <w:suppressLineNumbers w:val="0"/>
              <w:jc w:val="both"/>
              <w:textAlignment w:val="center"/>
              <w:rPr>
                <w:rFonts w:hint="eastAsia"/>
                <w:b/>
                <w:bCs/>
              </w:rPr>
            </w:pPr>
            <w:r>
              <w:rPr>
                <w:rFonts w:hint="eastAsia"/>
                <w:b/>
                <w:bCs/>
              </w:rPr>
              <w:t>案例和业绩评分（</w:t>
            </w:r>
            <w:r>
              <w:rPr>
                <w:rFonts w:hint="eastAsia"/>
                <w:b/>
                <w:bCs/>
                <w:lang w:val="en-US" w:eastAsia="zh-CN"/>
              </w:rPr>
              <w:t>4</w:t>
            </w:r>
            <w:r>
              <w:rPr>
                <w:rFonts w:hint="eastAsia"/>
                <w:b/>
                <w:bCs/>
              </w:rPr>
              <w:t>分）：</w:t>
            </w:r>
          </w:p>
          <w:p w14:paraId="2F03D65A">
            <w:pPr>
              <w:keepNext w:val="0"/>
              <w:keepLines w:val="0"/>
              <w:widowControl/>
              <w:suppressLineNumbers w:val="0"/>
              <w:jc w:val="both"/>
              <w:textAlignment w:val="center"/>
              <w:rPr>
                <w:rFonts w:hint="eastAsia" w:ascii="Times New Roman" w:hAnsi="Times New Roman" w:eastAsia="宋体" w:cs="Times New Roman"/>
                <w:b w:val="0"/>
                <w:bCs w:val="0"/>
              </w:rPr>
            </w:pPr>
            <w:r>
              <w:rPr>
                <w:rFonts w:hint="eastAsia" w:ascii="Times New Roman" w:hAnsi="Times New Roman" w:eastAsia="宋体" w:cs="Times New Roman"/>
                <w:b w:val="0"/>
                <w:bCs w:val="0"/>
              </w:rPr>
              <w:t>根据投标人2021年1月1日至今完成的类似项目（</w:t>
            </w:r>
            <w:r>
              <w:rPr>
                <w:rFonts w:hint="eastAsia" w:cs="Times New Roman"/>
                <w:b w:val="0"/>
                <w:bCs w:val="0"/>
                <w:lang w:val="en-US" w:eastAsia="zh-CN"/>
              </w:rPr>
              <w:t>中间件</w:t>
            </w:r>
            <w:r>
              <w:rPr>
                <w:rFonts w:hint="eastAsia" w:ascii="Times New Roman" w:hAnsi="Times New Roman" w:eastAsia="宋体" w:cs="Times New Roman"/>
                <w:b w:val="0"/>
                <w:bCs w:val="0"/>
              </w:rPr>
              <w:t>授权类）业绩累计含税金额进行评分。70万以下不得分，70万（含）得1分，在70万基础上每增加20万加1分，最多加3分，本项满分4分；未提供或其他情况不得分。</w:t>
            </w:r>
          </w:p>
          <w:p w14:paraId="1068929A">
            <w:pPr>
              <w:keepNext w:val="0"/>
              <w:keepLines w:val="0"/>
              <w:widowControl/>
              <w:suppressLineNumbers w:val="0"/>
              <w:jc w:val="both"/>
              <w:textAlignment w:val="center"/>
              <w:rPr>
                <w:sz w:val="20"/>
                <w:szCs w:val="20"/>
                <w:highlight w:val="none"/>
              </w:rPr>
            </w:pPr>
            <w:r>
              <w:rPr>
                <w:rFonts w:hint="eastAsia" w:ascii="Times New Roman" w:hAnsi="Times New Roman" w:eastAsia="宋体" w:cs="Times New Roman"/>
                <w:b w:val="0"/>
                <w:bCs w:val="0"/>
              </w:rPr>
              <w:t xml:space="preserve">注：投标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807" w:type="pct"/>
            <w:tcBorders>
              <w:top w:val="single" w:color="auto" w:sz="4" w:space="0"/>
              <w:left w:val="nil"/>
              <w:bottom w:val="single" w:color="auto" w:sz="4" w:space="0"/>
              <w:right w:val="single" w:color="auto" w:sz="4" w:space="0"/>
            </w:tcBorders>
            <w:shd w:val="clear" w:color="auto" w:fill="auto"/>
            <w:vAlign w:val="center"/>
          </w:tcPr>
          <w:p w14:paraId="12AF0913">
            <w:pPr>
              <w:keepNext w:val="0"/>
              <w:keepLines w:val="0"/>
              <w:widowControl/>
              <w:suppressLineNumbers w:val="0"/>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4</w:t>
            </w:r>
          </w:p>
        </w:tc>
      </w:tr>
      <w:tr w14:paraId="73EFF407">
        <w:tblPrEx>
          <w:tblCellMar>
            <w:top w:w="0" w:type="dxa"/>
            <w:left w:w="108" w:type="dxa"/>
            <w:bottom w:w="0" w:type="dxa"/>
            <w:right w:w="108" w:type="dxa"/>
          </w:tblCellMar>
        </w:tblPrEx>
        <w:trPr>
          <w:trHeight w:val="74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69A0F6DC">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0EED31AD">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技术条款满足度</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6A0B81FE">
            <w:pPr>
              <w:keepNext w:val="0"/>
              <w:keepLines w:val="0"/>
              <w:widowControl/>
              <w:suppressLineNumbers w:val="0"/>
              <w:jc w:val="both"/>
              <w:textAlignment w:val="center"/>
              <w:rPr>
                <w:sz w:val="20"/>
                <w:szCs w:val="20"/>
                <w:highlight w:val="none"/>
              </w:rPr>
            </w:pPr>
            <w:r>
              <w:rPr>
                <w:rFonts w:hint="eastAsia" w:ascii="宋体" w:hAnsi="宋体" w:eastAsia="宋体" w:cs="宋体"/>
                <w:b/>
                <w:bCs/>
                <w:i w:val="0"/>
                <w:iCs w:val="0"/>
                <w:color w:val="000000"/>
                <w:kern w:val="0"/>
                <w:sz w:val="20"/>
                <w:szCs w:val="20"/>
                <w:u w:val="none"/>
                <w:lang w:val="en-US" w:eastAsia="zh-CN" w:bidi="ar"/>
              </w:rPr>
              <w:t>非实质性条款的偏离情况评分（0.5分）：</w:t>
            </w:r>
            <w:r>
              <w:rPr>
                <w:rFonts w:hint="eastAsia" w:ascii="宋体" w:hAnsi="宋体" w:eastAsia="宋体" w:cs="宋体"/>
                <w:b w:val="0"/>
                <w:bCs w:val="0"/>
                <w:i w:val="0"/>
                <w:iCs w:val="0"/>
                <w:color w:val="000000"/>
                <w:kern w:val="0"/>
                <w:sz w:val="20"/>
                <w:szCs w:val="20"/>
                <w:u w:val="none"/>
                <w:lang w:val="en-US" w:eastAsia="zh-CN" w:bidi="ar"/>
              </w:rPr>
              <w:t>招标文件中未标注“★”的技术条款负偏离达到6项将被否决投标，低于6项的负偏离每项扣0.1分，扣完0.5分为止。</w:t>
            </w:r>
          </w:p>
        </w:tc>
        <w:tc>
          <w:tcPr>
            <w:tcW w:w="807" w:type="pct"/>
            <w:tcBorders>
              <w:top w:val="single" w:color="auto" w:sz="4" w:space="0"/>
              <w:left w:val="nil"/>
              <w:bottom w:val="single" w:color="auto" w:sz="4" w:space="0"/>
              <w:right w:val="single" w:color="auto" w:sz="4" w:space="0"/>
            </w:tcBorders>
            <w:shd w:val="clear" w:color="auto" w:fill="auto"/>
            <w:vAlign w:val="center"/>
          </w:tcPr>
          <w:p w14:paraId="4FE99F9F">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0.5</w:t>
            </w:r>
          </w:p>
        </w:tc>
      </w:tr>
      <w:tr w14:paraId="513EA25E">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32D46764">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773" w:type="pct"/>
            <w:tcBorders>
              <w:top w:val="nil"/>
              <w:left w:val="single" w:color="auto" w:sz="4" w:space="0"/>
              <w:bottom w:val="single" w:color="auto" w:sz="4" w:space="0"/>
              <w:right w:val="single" w:color="auto" w:sz="4" w:space="0"/>
            </w:tcBorders>
            <w:shd w:val="clear" w:color="000000" w:fill="auto"/>
            <w:vAlign w:val="center"/>
          </w:tcPr>
          <w:p w14:paraId="1315176F">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投标文件应答和制作情况</w:t>
            </w:r>
          </w:p>
        </w:tc>
        <w:tc>
          <w:tcPr>
            <w:tcW w:w="2982" w:type="pct"/>
            <w:tcBorders>
              <w:top w:val="nil"/>
              <w:left w:val="nil"/>
              <w:bottom w:val="single" w:color="auto" w:sz="4" w:space="0"/>
              <w:right w:val="single" w:color="auto" w:sz="4" w:space="0"/>
            </w:tcBorders>
            <w:shd w:val="clear" w:color="000000" w:fill="auto"/>
            <w:vAlign w:val="center"/>
          </w:tcPr>
          <w:p w14:paraId="00FCC45B">
            <w:pPr>
              <w:keepNext w:val="0"/>
              <w:keepLines w:val="0"/>
              <w:widowControl/>
              <w:suppressLineNumbers w:val="0"/>
              <w:jc w:val="left"/>
              <w:textAlignment w:val="center"/>
              <w:rPr>
                <w:sz w:val="20"/>
                <w:szCs w:val="20"/>
                <w:highlight w:val="none"/>
              </w:rPr>
            </w:pPr>
            <w:r>
              <w:rPr>
                <w:rFonts w:hint="eastAsia" w:ascii="宋体" w:hAnsi="宋体" w:eastAsia="宋体" w:cs="宋体"/>
                <w:b/>
                <w:bCs/>
                <w:i w:val="0"/>
                <w:iCs w:val="0"/>
                <w:color w:val="000000"/>
                <w:kern w:val="0"/>
                <w:sz w:val="20"/>
                <w:szCs w:val="20"/>
                <w:u w:val="none"/>
                <w:lang w:val="en-US" w:eastAsia="zh-CN" w:bidi="ar"/>
              </w:rPr>
              <w:t>投标文件制作情况评分（</w:t>
            </w:r>
            <w:r>
              <w:rPr>
                <w:rFonts w:hint="eastAsia" w:ascii="宋体" w:hAnsi="宋体" w:cs="宋体"/>
                <w:b/>
                <w:bCs/>
                <w:i w:val="0"/>
                <w:iCs w:val="0"/>
                <w:color w:val="000000"/>
                <w:kern w:val="0"/>
                <w:sz w:val="20"/>
                <w:szCs w:val="20"/>
                <w:u w:val="none"/>
                <w:lang w:val="en-US" w:eastAsia="zh-CN" w:bidi="ar"/>
              </w:rPr>
              <w:t>0.5</w:t>
            </w:r>
            <w:r>
              <w:rPr>
                <w:rFonts w:hint="eastAsia" w:ascii="宋体" w:hAnsi="宋体" w:eastAsia="宋体" w:cs="宋体"/>
                <w:b/>
                <w:bCs/>
                <w:i w:val="0"/>
                <w:iCs w:val="0"/>
                <w:color w:val="000000"/>
                <w:kern w:val="0"/>
                <w:sz w:val="20"/>
                <w:szCs w:val="20"/>
                <w:u w:val="none"/>
                <w:lang w:val="en-US" w:eastAsia="zh-CN" w:bidi="ar"/>
              </w:rPr>
              <w:t>分）：</w:t>
            </w:r>
            <w:r>
              <w:rPr>
                <w:rFonts w:hint="eastAsia" w:ascii="宋体" w:hAnsi="宋体" w:eastAsia="宋体" w:cs="宋体"/>
                <w:i w:val="0"/>
                <w:iCs w:val="0"/>
                <w:color w:val="000000"/>
                <w:kern w:val="0"/>
                <w:sz w:val="20"/>
                <w:szCs w:val="20"/>
                <w:u w:val="none"/>
                <w:lang w:val="en-US" w:eastAsia="zh-CN" w:bidi="ar"/>
              </w:rPr>
              <w:t>对投标文件的制作质量（字迹、目录和页码、文件编排合理性、内容的充实程度等方面）进行比较。文字及证件复印件清晰、内容完整而充实、文件编排合理、目录清晰、有正文和页码，图纸表格等有编号。完全满足得满分，一项不满足扣0.1分，扣完为止。</w:t>
            </w:r>
          </w:p>
        </w:tc>
        <w:tc>
          <w:tcPr>
            <w:tcW w:w="807" w:type="pct"/>
            <w:tcBorders>
              <w:top w:val="nil"/>
              <w:left w:val="nil"/>
              <w:bottom w:val="single" w:color="auto" w:sz="4" w:space="0"/>
              <w:right w:val="single" w:color="auto" w:sz="4" w:space="0"/>
            </w:tcBorders>
            <w:shd w:val="clear" w:color="auto" w:fill="auto"/>
            <w:vAlign w:val="center"/>
          </w:tcPr>
          <w:p w14:paraId="6B88AC7D">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0.5</w:t>
            </w:r>
          </w:p>
        </w:tc>
      </w:tr>
      <w:tr w14:paraId="0DF550A7">
        <w:tblPrEx>
          <w:tblCellMar>
            <w:top w:w="0" w:type="dxa"/>
            <w:left w:w="108" w:type="dxa"/>
            <w:bottom w:w="0" w:type="dxa"/>
            <w:right w:w="108" w:type="dxa"/>
          </w:tblCellMar>
        </w:tblPrEx>
        <w:trPr>
          <w:trHeight w:val="429" w:hRule="atLeast"/>
        </w:trPr>
        <w:tc>
          <w:tcPr>
            <w:tcW w:w="4192" w:type="pct"/>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6BDBB15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shd w:val="clear"/>
                <w14:textFill>
                  <w14:solidFill>
                    <w14:schemeClr w14:val="tx1"/>
                  </w14:solidFill>
                </w14:textFill>
              </w:rPr>
              <w:t>合计</w:t>
            </w:r>
          </w:p>
        </w:tc>
        <w:tc>
          <w:tcPr>
            <w:tcW w:w="807" w:type="pct"/>
            <w:tcBorders>
              <w:top w:val="single" w:color="auto" w:sz="4" w:space="0"/>
              <w:left w:val="nil"/>
              <w:bottom w:val="single" w:color="auto" w:sz="4" w:space="0"/>
              <w:right w:val="single" w:color="auto" w:sz="4" w:space="0"/>
            </w:tcBorders>
            <w:shd w:val="clear" w:color="auto" w:fill="auto"/>
            <w:vAlign w:val="center"/>
          </w:tcPr>
          <w:p w14:paraId="7C1D35D7">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r>
    </w:tbl>
    <w:p w14:paraId="643C52E6">
      <w:pPr>
        <w:widowControl/>
        <w:jc w:val="left"/>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2.服务</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9" w:type="pct"/>
        <w:tblInd w:w="0" w:type="dxa"/>
        <w:tblLayout w:type="autofit"/>
        <w:tblCellMar>
          <w:top w:w="0" w:type="dxa"/>
          <w:left w:w="108" w:type="dxa"/>
          <w:bottom w:w="0" w:type="dxa"/>
          <w:right w:w="108" w:type="dxa"/>
        </w:tblCellMar>
      </w:tblPr>
      <w:tblGrid>
        <w:gridCol w:w="799"/>
        <w:gridCol w:w="1418"/>
        <w:gridCol w:w="5471"/>
        <w:gridCol w:w="1480"/>
      </w:tblGrid>
      <w:tr w14:paraId="3AE7F2B3">
        <w:tblPrEx>
          <w:tblCellMar>
            <w:top w:w="0" w:type="dxa"/>
            <w:left w:w="108" w:type="dxa"/>
            <w:bottom w:w="0" w:type="dxa"/>
            <w:right w:w="108" w:type="dxa"/>
          </w:tblCellMar>
        </w:tblPrEx>
        <w:trPr>
          <w:trHeight w:val="407"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69B77B7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6DD9A82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0C55825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807" w:type="pct"/>
            <w:tcBorders>
              <w:top w:val="single" w:color="auto" w:sz="4" w:space="0"/>
              <w:left w:val="nil"/>
              <w:bottom w:val="single" w:color="auto" w:sz="4" w:space="0"/>
              <w:right w:val="single" w:color="auto" w:sz="4" w:space="0"/>
            </w:tcBorders>
            <w:shd w:val="clear" w:color="auto" w:fill="auto"/>
            <w:vAlign w:val="center"/>
          </w:tcPr>
          <w:p w14:paraId="564D56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22D510ED">
        <w:tblPrEx>
          <w:tblCellMar>
            <w:top w:w="0" w:type="dxa"/>
            <w:left w:w="108" w:type="dxa"/>
            <w:bottom w:w="0" w:type="dxa"/>
            <w:right w:w="108" w:type="dxa"/>
          </w:tblCellMar>
        </w:tblPrEx>
        <w:trPr>
          <w:trHeight w:val="32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0E80A486">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53420346">
            <w:pPr>
              <w:widowControl/>
              <w:jc w:val="center"/>
              <w:rPr>
                <w:kern w:val="0"/>
                <w:sz w:val="20"/>
                <w:szCs w:val="20"/>
                <w:highlight w:val="none"/>
              </w:rPr>
            </w:pPr>
            <w:r>
              <w:rPr>
                <w:rFonts w:hint="eastAsia"/>
                <w:sz w:val="20"/>
                <w:szCs w:val="20"/>
                <w:highlight w:val="none"/>
              </w:rPr>
              <w:t>服务团队覆盖、服务人员数量、原厂服务能力</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322B174C">
            <w:pPr>
              <w:keepNext w:val="0"/>
              <w:keepLines w:val="0"/>
              <w:widowControl/>
              <w:suppressLineNumbers w:val="0"/>
              <w:jc w:val="both"/>
              <w:textAlignment w:val="center"/>
              <w:rPr>
                <w:rFonts w:hint="eastAsia"/>
                <w:b/>
                <w:bCs/>
              </w:rPr>
            </w:pPr>
            <w:r>
              <w:rPr>
                <w:rFonts w:hint="eastAsia"/>
                <w:b/>
                <w:bCs/>
              </w:rPr>
              <w:t>服务支撑人员评分（</w:t>
            </w:r>
            <w:r>
              <w:rPr>
                <w:rFonts w:hint="eastAsia"/>
                <w:b/>
                <w:bCs/>
                <w:lang w:val="en-US" w:eastAsia="zh-CN"/>
              </w:rPr>
              <w:t>2</w:t>
            </w:r>
            <w:r>
              <w:rPr>
                <w:rFonts w:hint="eastAsia"/>
                <w:b/>
                <w:bCs/>
              </w:rPr>
              <w:t>分）：</w:t>
            </w:r>
          </w:p>
          <w:p w14:paraId="30DE8A2C">
            <w:pPr>
              <w:keepNext w:val="0"/>
              <w:keepLines w:val="0"/>
              <w:widowControl/>
              <w:suppressLineNumbers w:val="0"/>
              <w:jc w:val="both"/>
              <w:textAlignment w:val="center"/>
              <w:rPr>
                <w:rFonts w:hint="eastAsia"/>
                <w:b w:val="0"/>
                <w:bCs w:val="0"/>
              </w:rPr>
            </w:pPr>
            <w:r>
              <w:rPr>
                <w:rFonts w:hint="eastAsia"/>
                <w:b w:val="0"/>
                <w:bCs w:val="0"/>
              </w:rPr>
              <w:t>（1）针对本项目，</w:t>
            </w:r>
            <w:r>
              <w:rPr>
                <w:rFonts w:hint="eastAsia"/>
                <w:b w:val="0"/>
                <w:bCs w:val="0"/>
                <w:lang w:val="en-US" w:eastAsia="zh-CN"/>
              </w:rPr>
              <w:t>投标</w:t>
            </w:r>
            <w:r>
              <w:rPr>
                <w:rFonts w:hint="eastAsia"/>
                <w:b w:val="0"/>
                <w:bCs w:val="0"/>
              </w:rPr>
              <w:t>人拟提供售后服务支撑人员为2人（不含项目负责人和团队成员）得0.5分；</w:t>
            </w:r>
          </w:p>
          <w:p w14:paraId="54CB3BA5">
            <w:pPr>
              <w:keepNext w:val="0"/>
              <w:keepLines w:val="0"/>
              <w:widowControl/>
              <w:suppressLineNumbers w:val="0"/>
              <w:jc w:val="both"/>
              <w:textAlignment w:val="center"/>
              <w:rPr>
                <w:rFonts w:hint="eastAsia"/>
                <w:b w:val="0"/>
                <w:bCs w:val="0"/>
              </w:rPr>
            </w:pPr>
            <w:r>
              <w:rPr>
                <w:rFonts w:hint="eastAsia"/>
                <w:b w:val="0"/>
                <w:bCs w:val="0"/>
              </w:rPr>
              <w:t>（2）配备1名项目负责人（不含服务支撑人员和团队成员），具备系统架构设计师或信息系统项目管理师或系统规划与管理师得1分，不满足或未提供不得分；</w:t>
            </w:r>
          </w:p>
          <w:p w14:paraId="2AD4A5B0">
            <w:pPr>
              <w:keepNext w:val="0"/>
              <w:keepLines w:val="0"/>
              <w:widowControl/>
              <w:suppressLineNumbers w:val="0"/>
              <w:jc w:val="both"/>
              <w:textAlignment w:val="center"/>
              <w:rPr>
                <w:rFonts w:hint="eastAsia"/>
                <w:b w:val="0"/>
                <w:bCs w:val="0"/>
              </w:rPr>
            </w:pPr>
            <w:r>
              <w:rPr>
                <w:rFonts w:hint="eastAsia"/>
                <w:b w:val="0"/>
                <w:bCs w:val="0"/>
              </w:rPr>
              <w:t>（3）配备1名团队成员（不含服务支撑人员和项目负责人），具备软件设计师或软件评测师或软件过程能力评估师或信息系统管理工程师得0.5分，不满足或未提供不得分；</w:t>
            </w:r>
          </w:p>
          <w:p w14:paraId="636E910A">
            <w:pPr>
              <w:keepNext w:val="0"/>
              <w:keepLines w:val="0"/>
              <w:widowControl/>
              <w:suppressLineNumbers w:val="0"/>
              <w:jc w:val="both"/>
              <w:textAlignment w:val="center"/>
              <w:rPr>
                <w:sz w:val="20"/>
                <w:szCs w:val="20"/>
                <w:highlight w:val="none"/>
              </w:rPr>
            </w:pPr>
            <w:r>
              <w:rPr>
                <w:rFonts w:hint="eastAsia"/>
                <w:b w:val="0"/>
                <w:bCs w:val="0"/>
              </w:rPr>
              <w:t>注：（须提供人员名单、身份证正反面扫描件或复印件及</w:t>
            </w:r>
            <w:r>
              <w:rPr>
                <w:rFonts w:hint="eastAsia"/>
                <w:b w:val="0"/>
                <w:bCs w:val="0"/>
                <w:lang w:val="en-US" w:eastAsia="zh-CN"/>
              </w:rPr>
              <w:t>投标</w:t>
            </w:r>
            <w:r>
              <w:rPr>
                <w:rFonts w:hint="eastAsia"/>
                <w:b w:val="0"/>
                <w:bCs w:val="0"/>
              </w:rPr>
              <w:t>单位为其缴纳的2025年1月1日至今任意连续3个月社保缴纳证明材料及与其签订的劳动合同扫描件证明材料，否则不得分）。</w:t>
            </w:r>
          </w:p>
        </w:tc>
        <w:tc>
          <w:tcPr>
            <w:tcW w:w="807" w:type="pct"/>
            <w:tcBorders>
              <w:top w:val="single" w:color="auto" w:sz="4" w:space="0"/>
              <w:left w:val="nil"/>
              <w:bottom w:val="single" w:color="auto" w:sz="4" w:space="0"/>
              <w:right w:val="single" w:color="auto" w:sz="4" w:space="0"/>
            </w:tcBorders>
            <w:shd w:val="clear" w:color="auto" w:fill="auto"/>
            <w:vAlign w:val="center"/>
          </w:tcPr>
          <w:p w14:paraId="0CB6883B">
            <w:pPr>
              <w:keepNext w:val="0"/>
              <w:keepLines w:val="0"/>
              <w:widowControl/>
              <w:suppressLineNumbers w:val="0"/>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2</w:t>
            </w:r>
          </w:p>
        </w:tc>
      </w:tr>
      <w:tr w14:paraId="08A14BE0">
        <w:tblPrEx>
          <w:tblCellMar>
            <w:top w:w="0" w:type="dxa"/>
            <w:left w:w="108" w:type="dxa"/>
            <w:bottom w:w="0" w:type="dxa"/>
            <w:right w:w="108" w:type="dxa"/>
          </w:tblCellMar>
        </w:tblPrEx>
        <w:trPr>
          <w:trHeight w:val="740" w:hRule="atLeast"/>
        </w:trPr>
        <w:tc>
          <w:tcPr>
            <w:tcW w:w="436" w:type="pct"/>
            <w:tcBorders>
              <w:top w:val="single" w:color="auto" w:sz="4" w:space="0"/>
              <w:left w:val="single" w:color="auto" w:sz="4" w:space="0"/>
              <w:bottom w:val="single" w:color="auto" w:sz="4" w:space="0"/>
              <w:right w:val="single" w:color="auto" w:sz="4" w:space="0"/>
            </w:tcBorders>
            <w:shd w:val="clear" w:color="000000" w:fill="auto"/>
            <w:vAlign w:val="center"/>
          </w:tcPr>
          <w:p w14:paraId="72D9430A">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773" w:type="pct"/>
            <w:tcBorders>
              <w:top w:val="single" w:color="auto" w:sz="4" w:space="0"/>
              <w:left w:val="single" w:color="auto" w:sz="4" w:space="0"/>
              <w:bottom w:val="single" w:color="auto" w:sz="4" w:space="0"/>
              <w:right w:val="single" w:color="auto" w:sz="4" w:space="0"/>
            </w:tcBorders>
            <w:shd w:val="clear" w:color="000000" w:fill="auto"/>
            <w:vAlign w:val="center"/>
          </w:tcPr>
          <w:p w14:paraId="2607D70F">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服务与支持</w:t>
            </w:r>
          </w:p>
        </w:tc>
        <w:tc>
          <w:tcPr>
            <w:tcW w:w="2982" w:type="pct"/>
            <w:tcBorders>
              <w:top w:val="single" w:color="auto" w:sz="4" w:space="0"/>
              <w:left w:val="nil"/>
              <w:bottom w:val="single" w:color="auto" w:sz="4" w:space="0"/>
              <w:right w:val="single" w:color="auto" w:sz="4" w:space="0"/>
            </w:tcBorders>
            <w:shd w:val="clear" w:color="000000" w:fill="auto"/>
            <w:vAlign w:val="center"/>
          </w:tcPr>
          <w:p w14:paraId="70BE204A">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服务与支持评分（1分）：</w:t>
            </w:r>
          </w:p>
          <w:p w14:paraId="7EA85708">
            <w:pPr>
              <w:keepNext w:val="0"/>
              <w:keepLines w:val="0"/>
              <w:widowControl/>
              <w:suppressLineNumbers w:val="0"/>
              <w:jc w:val="both"/>
              <w:textAlignment w:val="center"/>
              <w:rPr>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承诺在发生故障的情况下，乙方承诺发生故障维修到达现场时间≤2小时的得1分，不承诺或者承诺不满足不得分。（承诺格式自拟）</w:t>
            </w:r>
          </w:p>
        </w:tc>
        <w:tc>
          <w:tcPr>
            <w:tcW w:w="807" w:type="pct"/>
            <w:tcBorders>
              <w:top w:val="single" w:color="auto" w:sz="4" w:space="0"/>
              <w:left w:val="nil"/>
              <w:bottom w:val="single" w:color="auto" w:sz="4" w:space="0"/>
              <w:right w:val="single" w:color="auto" w:sz="4" w:space="0"/>
            </w:tcBorders>
            <w:shd w:val="clear" w:color="auto" w:fill="auto"/>
            <w:vAlign w:val="center"/>
          </w:tcPr>
          <w:p w14:paraId="0499C665">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r>
      <w:tr w14:paraId="1E396C1E">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2B5B7DD6">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773" w:type="pct"/>
            <w:tcBorders>
              <w:top w:val="nil"/>
              <w:left w:val="single" w:color="auto" w:sz="4" w:space="0"/>
              <w:bottom w:val="single" w:color="auto" w:sz="4" w:space="0"/>
              <w:right w:val="single" w:color="auto" w:sz="4" w:space="0"/>
            </w:tcBorders>
            <w:shd w:val="clear" w:color="000000" w:fill="auto"/>
            <w:vAlign w:val="center"/>
          </w:tcPr>
          <w:p w14:paraId="51ACA55E">
            <w:pPr>
              <w:widowControl/>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sz w:val="20"/>
                <w:szCs w:val="20"/>
                <w:highlight w:val="none"/>
              </w:rPr>
              <w:t>交付满足度</w:t>
            </w:r>
          </w:p>
        </w:tc>
        <w:tc>
          <w:tcPr>
            <w:tcW w:w="2982" w:type="pct"/>
            <w:tcBorders>
              <w:top w:val="nil"/>
              <w:left w:val="nil"/>
              <w:bottom w:val="single" w:color="auto" w:sz="4" w:space="0"/>
              <w:right w:val="single" w:color="auto" w:sz="4" w:space="0"/>
            </w:tcBorders>
            <w:shd w:val="clear" w:color="000000" w:fill="auto"/>
            <w:vAlign w:val="center"/>
          </w:tcPr>
          <w:p w14:paraId="4A366BE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进度要求评分（</w:t>
            </w:r>
            <w:r>
              <w:rPr>
                <w:rFonts w:hint="eastAsia" w:ascii="宋体" w:hAnsi="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分）：</w:t>
            </w:r>
          </w:p>
          <w:p w14:paraId="56CCB410">
            <w:pPr>
              <w:keepNext w:val="0"/>
              <w:keepLines w:val="0"/>
              <w:widowControl/>
              <w:suppressLineNumbers w:val="0"/>
              <w:jc w:val="left"/>
              <w:textAlignment w:val="center"/>
              <w:rPr>
                <w:sz w:val="20"/>
                <w:szCs w:val="20"/>
                <w:highlight w:val="none"/>
              </w:rPr>
            </w:pP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人承诺接到甲方订单后30个工作日内完成软件的部署交付的不得分，</w:t>
            </w:r>
            <w:r>
              <w:rPr>
                <w:rFonts w:hint="eastAsia" w:ascii="宋体" w:hAnsi="宋体" w:cs="宋体"/>
                <w:b w:val="0"/>
                <w:bCs w:val="0"/>
                <w:i w:val="0"/>
                <w:iCs w:val="0"/>
                <w:color w:val="000000"/>
                <w:kern w:val="0"/>
                <w:sz w:val="20"/>
                <w:szCs w:val="20"/>
                <w:u w:val="none"/>
                <w:lang w:val="en-US" w:eastAsia="zh-CN" w:bidi="ar"/>
              </w:rPr>
              <w:t>在此基础上</w:t>
            </w:r>
            <w:r>
              <w:rPr>
                <w:rFonts w:hint="eastAsia" w:ascii="宋体" w:hAnsi="宋体" w:eastAsia="宋体" w:cs="宋体"/>
                <w:b w:val="0"/>
                <w:bCs w:val="0"/>
                <w:i w:val="0"/>
                <w:iCs w:val="0"/>
                <w:color w:val="000000"/>
                <w:kern w:val="0"/>
                <w:sz w:val="20"/>
                <w:szCs w:val="20"/>
                <w:u w:val="none"/>
                <w:lang w:val="en-US" w:eastAsia="zh-CN" w:bidi="ar"/>
              </w:rPr>
              <w:t>每提前5</w:t>
            </w:r>
            <w:r>
              <w:rPr>
                <w:rFonts w:hint="eastAsia" w:ascii="宋体" w:hAnsi="宋体" w:cs="宋体"/>
                <w:b w:val="0"/>
                <w:bCs w:val="0"/>
                <w:i w:val="0"/>
                <w:iCs w:val="0"/>
                <w:color w:val="000000"/>
                <w:kern w:val="0"/>
                <w:sz w:val="20"/>
                <w:szCs w:val="20"/>
                <w:u w:val="none"/>
                <w:lang w:val="en-US" w:eastAsia="zh-CN" w:bidi="ar"/>
              </w:rPr>
              <w:t>个工作日</w:t>
            </w:r>
            <w:r>
              <w:rPr>
                <w:rFonts w:hint="eastAsia" w:ascii="宋体" w:hAnsi="宋体" w:eastAsia="宋体" w:cs="宋体"/>
                <w:b w:val="0"/>
                <w:bCs w:val="0"/>
                <w:i w:val="0"/>
                <w:iCs w:val="0"/>
                <w:color w:val="000000"/>
                <w:kern w:val="0"/>
                <w:sz w:val="20"/>
                <w:szCs w:val="20"/>
                <w:u w:val="none"/>
                <w:lang w:val="en-US" w:eastAsia="zh-CN" w:bidi="ar"/>
              </w:rPr>
              <w:t>加0.5分，最多得1分。（承诺格式自拟）</w:t>
            </w:r>
          </w:p>
        </w:tc>
        <w:tc>
          <w:tcPr>
            <w:tcW w:w="807" w:type="pct"/>
            <w:tcBorders>
              <w:top w:val="nil"/>
              <w:left w:val="nil"/>
              <w:bottom w:val="single" w:color="auto" w:sz="4" w:space="0"/>
              <w:right w:val="single" w:color="auto" w:sz="4" w:space="0"/>
            </w:tcBorders>
            <w:shd w:val="clear" w:color="auto" w:fill="auto"/>
            <w:vAlign w:val="center"/>
          </w:tcPr>
          <w:p w14:paraId="23F65BE9">
            <w:pPr>
              <w:keepNext w:val="0"/>
              <w:keepLines w:val="0"/>
              <w:widowControl/>
              <w:suppressLineNumbers w:val="0"/>
              <w:jc w:val="center"/>
              <w:textAlignment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r>
      <w:tr w14:paraId="29A4E18B">
        <w:tblPrEx>
          <w:tblCellMar>
            <w:top w:w="0" w:type="dxa"/>
            <w:left w:w="108" w:type="dxa"/>
            <w:bottom w:w="0" w:type="dxa"/>
            <w:right w:w="108" w:type="dxa"/>
          </w:tblCellMar>
        </w:tblPrEx>
        <w:trPr>
          <w:trHeight w:val="1380" w:hRule="atLeast"/>
        </w:trPr>
        <w:tc>
          <w:tcPr>
            <w:tcW w:w="436" w:type="pct"/>
            <w:tcBorders>
              <w:top w:val="nil"/>
              <w:left w:val="single" w:color="auto" w:sz="4" w:space="0"/>
              <w:bottom w:val="single" w:color="auto" w:sz="4" w:space="0"/>
              <w:right w:val="single" w:color="auto" w:sz="4" w:space="0"/>
            </w:tcBorders>
            <w:shd w:val="clear" w:color="000000" w:fill="auto"/>
            <w:vAlign w:val="center"/>
          </w:tcPr>
          <w:p w14:paraId="0FA47793">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773" w:type="pct"/>
            <w:tcBorders>
              <w:top w:val="nil"/>
              <w:left w:val="single" w:color="auto" w:sz="4" w:space="0"/>
              <w:bottom w:val="single" w:color="auto" w:sz="4" w:space="0"/>
              <w:right w:val="single" w:color="auto" w:sz="4" w:space="0"/>
            </w:tcBorders>
            <w:shd w:val="clear" w:color="000000" w:fill="auto"/>
            <w:vAlign w:val="center"/>
          </w:tcPr>
          <w:p w14:paraId="315601DB">
            <w:pPr>
              <w:widowControl/>
              <w:jc w:val="center"/>
              <w:textAlignment w:val="center"/>
              <w:rPr>
                <w:rFonts w:hint="eastAsia"/>
                <w:sz w:val="20"/>
                <w:szCs w:val="20"/>
                <w:highlight w:val="none"/>
              </w:rPr>
            </w:pPr>
            <w:r>
              <w:rPr>
                <w:rFonts w:hint="eastAsia"/>
                <w:sz w:val="20"/>
                <w:szCs w:val="20"/>
                <w:highlight w:val="none"/>
              </w:rPr>
              <w:t>供应链数字化供需协同</w:t>
            </w:r>
          </w:p>
        </w:tc>
        <w:tc>
          <w:tcPr>
            <w:tcW w:w="2982" w:type="pct"/>
            <w:tcBorders>
              <w:top w:val="nil"/>
              <w:left w:val="nil"/>
              <w:bottom w:val="single" w:color="auto" w:sz="4" w:space="0"/>
              <w:right w:val="single" w:color="auto" w:sz="4" w:space="0"/>
            </w:tcBorders>
            <w:shd w:val="clear" w:color="000000" w:fill="auto"/>
            <w:vAlign w:val="center"/>
          </w:tcPr>
          <w:p w14:paraId="7D60787B">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供应链数字化配合评分（1分）：</w:t>
            </w:r>
          </w:p>
          <w:p w14:paraId="5D07E39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为推进供应链数字化转型，对</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人提交的供应链数字化配合说明进行评分，说明主要包括电子印章应用等情况，说明模板见</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文件格式。首次承诺、已承诺未签订合同、已开通电子印章功能并在合同或订单签署中运用的得1分；说明内容不全、已承诺并已签订采购合同但未应用电子印章功能的不得分。</w:t>
            </w:r>
          </w:p>
          <w:p w14:paraId="7AF2417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注：合同及订单电子印章功能三年使用费1100元</w:t>
            </w:r>
          </w:p>
        </w:tc>
        <w:tc>
          <w:tcPr>
            <w:tcW w:w="807" w:type="pct"/>
            <w:tcBorders>
              <w:top w:val="nil"/>
              <w:left w:val="nil"/>
              <w:bottom w:val="single" w:color="auto" w:sz="4" w:space="0"/>
              <w:right w:val="single" w:color="auto" w:sz="4" w:space="0"/>
            </w:tcBorders>
            <w:shd w:val="clear" w:color="auto" w:fill="auto"/>
            <w:vAlign w:val="center"/>
          </w:tcPr>
          <w:p w14:paraId="4025DA4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r w14:paraId="78AEDCDF">
        <w:tblPrEx>
          <w:tblCellMar>
            <w:top w:w="0" w:type="dxa"/>
            <w:left w:w="108" w:type="dxa"/>
            <w:bottom w:w="0" w:type="dxa"/>
            <w:right w:w="108" w:type="dxa"/>
          </w:tblCellMar>
        </w:tblPrEx>
        <w:trPr>
          <w:trHeight w:val="429" w:hRule="atLeast"/>
        </w:trPr>
        <w:tc>
          <w:tcPr>
            <w:tcW w:w="4192" w:type="pct"/>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511EC229">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shd w:val="clear"/>
                <w14:textFill>
                  <w14:solidFill>
                    <w14:schemeClr w14:val="tx1"/>
                  </w14:solidFill>
                </w14:textFill>
              </w:rPr>
              <w:t>合计</w:t>
            </w:r>
          </w:p>
        </w:tc>
        <w:tc>
          <w:tcPr>
            <w:tcW w:w="807" w:type="pct"/>
            <w:tcBorders>
              <w:top w:val="single" w:color="auto" w:sz="4" w:space="0"/>
              <w:left w:val="nil"/>
              <w:bottom w:val="single" w:color="auto" w:sz="4" w:space="0"/>
              <w:right w:val="single" w:color="auto" w:sz="4" w:space="0"/>
            </w:tcBorders>
            <w:shd w:val="clear" w:color="auto" w:fill="auto"/>
            <w:vAlign w:val="center"/>
          </w:tcPr>
          <w:p w14:paraId="7BB72D0B">
            <w:pPr>
              <w:widowControl/>
              <w:shd w:val="clear"/>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r>
    </w:tbl>
    <w:p w14:paraId="0D063D54">
      <w:pPr>
        <w:widowControl/>
        <w:shd w:val="clear"/>
        <w:jc w:val="left"/>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技术</w:t>
      </w:r>
      <w:r>
        <w:rPr>
          <w:rFonts w:ascii="宋体" w:hAnsi="宋体" w:cs="宋体"/>
          <w:b/>
          <w:bCs/>
          <w:color w:val="000000" w:themeColor="text1"/>
          <w:szCs w:val="21"/>
          <w:highlight w:val="none"/>
          <w14:textFill>
            <w14:solidFill>
              <w14:schemeClr w14:val="tx1"/>
            </w14:solidFill>
          </w14:textFill>
        </w:rPr>
        <w:t>详细评审标准表</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50</w:t>
      </w:r>
      <w:r>
        <w:rPr>
          <w:rFonts w:hint="eastAsia" w:ascii="宋体" w:hAnsi="宋体" w:cs="宋体"/>
          <w:b/>
          <w:bCs/>
          <w:color w:val="000000" w:themeColor="text1"/>
          <w:szCs w:val="21"/>
          <w:highlight w:val="none"/>
          <w14:textFill>
            <w14:solidFill>
              <w14:schemeClr w14:val="tx1"/>
            </w14:solidFill>
          </w14:textFill>
        </w:rPr>
        <w:t>分）</w:t>
      </w:r>
    </w:p>
    <w:tbl>
      <w:tblPr>
        <w:tblStyle w:val="85"/>
        <w:tblW w:w="5370" w:type="pct"/>
        <w:tblInd w:w="0" w:type="dxa"/>
        <w:tblLayout w:type="fixed"/>
        <w:tblCellMar>
          <w:top w:w="0" w:type="dxa"/>
          <w:left w:w="108" w:type="dxa"/>
          <w:bottom w:w="0" w:type="dxa"/>
          <w:right w:w="108" w:type="dxa"/>
        </w:tblCellMar>
      </w:tblPr>
      <w:tblGrid>
        <w:gridCol w:w="700"/>
        <w:gridCol w:w="1406"/>
        <w:gridCol w:w="5779"/>
        <w:gridCol w:w="1268"/>
      </w:tblGrid>
      <w:tr w14:paraId="515FEF72">
        <w:tblPrEx>
          <w:tblCellMar>
            <w:top w:w="0" w:type="dxa"/>
            <w:left w:w="108" w:type="dxa"/>
            <w:bottom w:w="0" w:type="dxa"/>
            <w:right w:w="108" w:type="dxa"/>
          </w:tblCellMar>
        </w:tblPrEx>
        <w:trPr>
          <w:trHeight w:val="465" w:hRule="atLeast"/>
        </w:trPr>
        <w:tc>
          <w:tcPr>
            <w:tcW w:w="382" w:type="pct"/>
            <w:tcBorders>
              <w:top w:val="single" w:color="auto" w:sz="4" w:space="0"/>
              <w:left w:val="single" w:color="auto" w:sz="4" w:space="0"/>
              <w:bottom w:val="single" w:color="auto" w:sz="4" w:space="0"/>
              <w:right w:val="single" w:color="auto" w:sz="4" w:space="0"/>
            </w:tcBorders>
            <w:shd w:val="clear" w:color="000000" w:fill="auto"/>
            <w:vAlign w:val="center"/>
          </w:tcPr>
          <w:p w14:paraId="1722889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65C80810">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c>
          <w:tcPr>
            <w:tcW w:w="3156" w:type="pct"/>
            <w:tcBorders>
              <w:top w:val="single" w:color="auto" w:sz="4" w:space="0"/>
              <w:left w:val="nil"/>
              <w:bottom w:val="single" w:color="auto" w:sz="4" w:space="0"/>
              <w:right w:val="single" w:color="auto" w:sz="4" w:space="0"/>
            </w:tcBorders>
            <w:shd w:val="clear" w:color="000000" w:fill="auto"/>
            <w:vAlign w:val="center"/>
          </w:tcPr>
          <w:p w14:paraId="40E8B10F">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详细评分规则</w:t>
            </w:r>
          </w:p>
        </w:tc>
        <w:tc>
          <w:tcPr>
            <w:tcW w:w="692" w:type="pct"/>
            <w:tcBorders>
              <w:top w:val="single" w:color="auto" w:sz="4" w:space="0"/>
              <w:left w:val="nil"/>
              <w:bottom w:val="single" w:color="auto" w:sz="4" w:space="0"/>
              <w:right w:val="single" w:color="auto" w:sz="4" w:space="0"/>
            </w:tcBorders>
            <w:shd w:val="clear" w:color="auto" w:fill="auto"/>
            <w:vAlign w:val="center"/>
          </w:tcPr>
          <w:p w14:paraId="7CC6A448">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权重比值</w:t>
            </w:r>
          </w:p>
        </w:tc>
      </w:tr>
      <w:tr w14:paraId="439F89D6">
        <w:tblPrEx>
          <w:tblCellMar>
            <w:top w:w="0" w:type="dxa"/>
            <w:left w:w="108" w:type="dxa"/>
            <w:bottom w:w="0" w:type="dxa"/>
            <w:right w:w="108" w:type="dxa"/>
          </w:tblCellMar>
        </w:tblPrEx>
        <w:trPr>
          <w:trHeight w:val="280" w:hRule="atLeast"/>
        </w:trPr>
        <w:tc>
          <w:tcPr>
            <w:tcW w:w="382" w:type="pct"/>
            <w:tcBorders>
              <w:top w:val="nil"/>
              <w:left w:val="single" w:color="auto" w:sz="4" w:space="0"/>
              <w:bottom w:val="single" w:color="auto" w:sz="4" w:space="0"/>
              <w:right w:val="single" w:color="auto" w:sz="4" w:space="0"/>
            </w:tcBorders>
            <w:shd w:val="clear" w:color="auto" w:fill="auto"/>
            <w:vAlign w:val="center"/>
          </w:tcPr>
          <w:p w14:paraId="0C7A2B57">
            <w:pPr>
              <w:widowControl/>
              <w:shd w:val="clea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68" w:type="pct"/>
            <w:tcBorders>
              <w:top w:val="nil"/>
              <w:left w:val="single" w:color="auto" w:sz="4" w:space="0"/>
              <w:bottom w:val="single" w:color="auto" w:sz="4" w:space="0"/>
              <w:right w:val="single" w:color="auto" w:sz="4" w:space="0"/>
            </w:tcBorders>
            <w:shd w:val="clear" w:color="auto" w:fill="auto"/>
            <w:vAlign w:val="center"/>
          </w:tcPr>
          <w:p w14:paraId="3AFFEC71">
            <w:pPr>
              <w:widowControl/>
              <w:shd w:val="clear"/>
              <w:jc w:val="center"/>
              <w:rPr>
                <w:kern w:val="0"/>
                <w:sz w:val="20"/>
                <w:szCs w:val="20"/>
                <w:highlight w:val="none"/>
              </w:rPr>
            </w:pPr>
            <w:r>
              <w:rPr>
                <w:rFonts w:hint="eastAsia"/>
                <w:sz w:val="20"/>
                <w:szCs w:val="20"/>
                <w:highlight w:val="none"/>
              </w:rPr>
              <w:t>软件产品功能和性能</w:t>
            </w:r>
          </w:p>
          <w:p w14:paraId="6F598376">
            <w:pPr>
              <w:widowControl/>
              <w:shd w:val="clear"/>
              <w:jc w:val="center"/>
              <w:rPr>
                <w:kern w:val="0"/>
                <w:sz w:val="20"/>
                <w:szCs w:val="20"/>
                <w:highlight w:val="none"/>
              </w:rPr>
            </w:pPr>
          </w:p>
        </w:tc>
        <w:tc>
          <w:tcPr>
            <w:tcW w:w="3156" w:type="pct"/>
            <w:tcBorders>
              <w:top w:val="nil"/>
              <w:left w:val="nil"/>
              <w:bottom w:val="single" w:color="auto" w:sz="4" w:space="0"/>
              <w:right w:val="nil"/>
            </w:tcBorders>
            <w:shd w:val="clear" w:color="auto" w:fill="auto"/>
            <w:vAlign w:val="center"/>
          </w:tcPr>
          <w:p w14:paraId="75BE62B1">
            <w:pPr>
              <w:keepNext w:val="0"/>
              <w:keepLines w:val="0"/>
              <w:widowControl/>
              <w:suppressLineNumbers w:val="0"/>
              <w:shd w:val="clear"/>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软件产品功能和性能分（</w:t>
            </w:r>
            <w:r>
              <w:rPr>
                <w:rFonts w:hint="eastAsia" w:ascii="宋体" w:hAnsi="宋体" w:cs="宋体"/>
                <w:b/>
                <w:bCs/>
                <w:i w:val="0"/>
                <w:iCs w:val="0"/>
                <w:color w:val="000000"/>
                <w:kern w:val="0"/>
                <w:sz w:val="20"/>
                <w:szCs w:val="20"/>
                <w:u w:val="none"/>
                <w:lang w:val="en-US" w:eastAsia="zh-CN" w:bidi="ar"/>
              </w:rPr>
              <w:t>14</w:t>
            </w:r>
            <w:r>
              <w:rPr>
                <w:rFonts w:hint="eastAsia" w:ascii="宋体" w:hAnsi="宋体" w:eastAsia="宋体" w:cs="宋体"/>
                <w:b/>
                <w:bCs/>
                <w:i w:val="0"/>
                <w:iCs w:val="0"/>
                <w:color w:val="000000"/>
                <w:kern w:val="0"/>
                <w:sz w:val="20"/>
                <w:szCs w:val="20"/>
                <w:u w:val="none"/>
                <w:lang w:val="en-US" w:eastAsia="zh-CN" w:bidi="ar"/>
              </w:rPr>
              <w:t xml:space="preserve">分）： </w:t>
            </w:r>
          </w:p>
          <w:p w14:paraId="07CCE95F">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(1)应用服务器软件企业版能为上层应用提供Web服务容器、EJB容器、应用部署、应用热更新、组件集群、数据连接服务、支持应用生命周期监听、可视化的补丁管理、商用密码以及管理监控等，满足</w:t>
            </w:r>
            <w:r>
              <w:rPr>
                <w:rFonts w:hint="eastAsia" w:ascii="宋体" w:hAnsi="宋体" w:cs="宋体"/>
                <w:b w:val="0"/>
                <w:bCs w:val="0"/>
                <w:i w:val="0"/>
                <w:iCs w:val="0"/>
                <w:color w:val="000000"/>
                <w:kern w:val="0"/>
                <w:sz w:val="20"/>
                <w:szCs w:val="20"/>
                <w:u w:val="none"/>
                <w:lang w:val="en-US" w:eastAsia="zh-CN" w:bidi="ar"/>
              </w:rPr>
              <w:t>以上</w:t>
            </w:r>
            <w:r>
              <w:rPr>
                <w:rFonts w:hint="eastAsia" w:ascii="宋体" w:hAnsi="宋体" w:eastAsia="宋体" w:cs="宋体"/>
                <w:b w:val="0"/>
                <w:bCs w:val="0"/>
                <w:i w:val="0"/>
                <w:iCs w:val="0"/>
                <w:color w:val="000000"/>
                <w:kern w:val="0"/>
                <w:sz w:val="20"/>
                <w:szCs w:val="20"/>
                <w:u w:val="none"/>
                <w:lang w:val="en-US" w:eastAsia="zh-CN" w:bidi="ar"/>
              </w:rPr>
              <w:t>基本功能不得分，在此基础上每增加一种功能加2分，本项</w:t>
            </w:r>
            <w:r>
              <w:rPr>
                <w:rFonts w:hint="eastAsia" w:ascii="宋体" w:hAnsi="宋体" w:cs="宋体"/>
                <w:b w:val="0"/>
                <w:bCs w:val="0"/>
                <w:i w:val="0"/>
                <w:iCs w:val="0"/>
                <w:color w:val="000000"/>
                <w:kern w:val="0"/>
                <w:sz w:val="20"/>
                <w:szCs w:val="20"/>
                <w:u w:val="none"/>
                <w:lang w:val="en-US" w:eastAsia="zh-CN" w:bidi="ar"/>
              </w:rPr>
              <w:t>满分</w:t>
            </w:r>
            <w:r>
              <w:rPr>
                <w:rFonts w:hint="eastAsia" w:ascii="宋体" w:hAnsi="宋体" w:eastAsia="宋体" w:cs="宋体"/>
                <w:b w:val="0"/>
                <w:bCs w:val="0"/>
                <w:i w:val="0"/>
                <w:iCs w:val="0"/>
                <w:color w:val="000000"/>
                <w:kern w:val="0"/>
                <w:sz w:val="20"/>
                <w:szCs w:val="20"/>
                <w:u w:val="none"/>
                <w:lang w:val="en-US" w:eastAsia="zh-CN" w:bidi="ar"/>
              </w:rPr>
              <w:t>2分。须</w:t>
            </w:r>
            <w:r>
              <w:rPr>
                <w:rFonts w:hint="eastAsia" w:ascii="宋体" w:hAnsi="宋体" w:cs="宋体"/>
                <w:b w:val="0"/>
                <w:bCs w:val="0"/>
                <w:i w:val="0"/>
                <w:iCs w:val="0"/>
                <w:color w:val="000000"/>
                <w:kern w:val="0"/>
                <w:sz w:val="20"/>
                <w:szCs w:val="20"/>
                <w:u w:val="none"/>
                <w:lang w:val="en-US" w:eastAsia="zh-CN" w:bidi="ar"/>
              </w:rPr>
              <w:t>提供</w:t>
            </w:r>
            <w:r>
              <w:rPr>
                <w:rFonts w:hint="eastAsia" w:ascii="宋体" w:hAnsi="宋体" w:eastAsia="宋体" w:cs="宋体"/>
                <w:b w:val="0"/>
                <w:bCs w:val="0"/>
                <w:i w:val="0"/>
                <w:iCs w:val="0"/>
                <w:color w:val="000000"/>
                <w:kern w:val="0"/>
                <w:sz w:val="20"/>
                <w:szCs w:val="20"/>
                <w:u w:val="none"/>
                <w:lang w:val="en-US" w:eastAsia="zh-CN" w:bidi="ar"/>
              </w:rPr>
              <w:t>功能截图证明并加盖公章，不提供证明材料的或证明材料不能证明满足功能要求的，该项不得分。</w:t>
            </w:r>
          </w:p>
          <w:p w14:paraId="09B28CB6">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应用服务器软件企业版中间件产品提供良好的事务管理支持能力，可以显示正在执行的事务列表与事务状态及事务耗时，并可选择取消一个运行中的事务。满足以上基本要求不得分，在此基础上每优于基本要求一项加2分，本项满分2分。须提供</w:t>
            </w:r>
            <w:r>
              <w:rPr>
                <w:rFonts w:hint="eastAsia" w:ascii="宋体" w:hAnsi="宋体" w:cs="宋体"/>
                <w:b w:val="0"/>
                <w:bCs w:val="0"/>
                <w:color w:val="auto"/>
                <w:sz w:val="21"/>
                <w:szCs w:val="21"/>
                <w:lang w:val="en-US" w:eastAsia="zh-CN"/>
              </w:rPr>
              <w:t>需</w:t>
            </w:r>
            <w:r>
              <w:rPr>
                <w:rFonts w:hint="eastAsia" w:ascii="宋体" w:hAnsi="宋体" w:eastAsia="宋体" w:cs="宋体"/>
                <w:b w:val="0"/>
                <w:bCs w:val="0"/>
                <w:color w:val="auto"/>
                <w:sz w:val="21"/>
                <w:szCs w:val="21"/>
              </w:rPr>
              <w:t>提供产品截图</w:t>
            </w:r>
            <w:r>
              <w:rPr>
                <w:rFonts w:hint="eastAsia" w:ascii="宋体" w:hAnsi="宋体" w:eastAsia="宋体" w:cs="宋体"/>
                <w:b w:val="0"/>
                <w:bCs w:val="0"/>
                <w:color w:val="auto"/>
                <w:sz w:val="21"/>
                <w:szCs w:val="21"/>
                <w:lang w:val="en-US" w:eastAsia="zh-CN"/>
              </w:rPr>
              <w:t>及</w:t>
            </w:r>
            <w:r>
              <w:rPr>
                <w:rFonts w:hint="eastAsia" w:ascii="宋体" w:hAnsi="宋体" w:eastAsia="宋体" w:cs="宋体"/>
                <w:b w:val="0"/>
                <w:bCs w:val="0"/>
                <w:i w:val="0"/>
                <w:iCs w:val="0"/>
                <w:color w:val="000000"/>
                <w:kern w:val="0"/>
                <w:sz w:val="20"/>
                <w:szCs w:val="20"/>
                <w:u w:val="none"/>
                <w:lang w:val="en-US" w:eastAsia="zh-CN" w:bidi="ar"/>
              </w:rPr>
              <w:t>具有CMA或CNAS标识的检测机构出具有效期内的测试报告，不提供或提供的检测报告不能证明满足功能要求的，该项不得分。</w:t>
            </w:r>
          </w:p>
          <w:p w14:paraId="148FFBA5">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（3）应用服务器软件企业版在国产环境下满足至少</w:t>
            </w:r>
            <w:r>
              <w:rPr>
                <w:rFonts w:hint="eastAsia" w:ascii="宋体" w:hAnsi="宋体" w:cs="宋体"/>
                <w:b w:val="0"/>
                <w:bCs w:val="0"/>
                <w:i w:val="0"/>
                <w:iCs w:val="0"/>
                <w:color w:val="000000"/>
                <w:kern w:val="0"/>
                <w:sz w:val="20"/>
                <w:szCs w:val="20"/>
                <w:u w:val="none"/>
                <w:lang w:val="en-US" w:eastAsia="zh-CN" w:bidi="ar"/>
              </w:rPr>
              <w:t>9</w:t>
            </w:r>
            <w:r>
              <w:rPr>
                <w:rFonts w:hint="eastAsia" w:ascii="宋体" w:hAnsi="宋体" w:eastAsia="宋体" w:cs="宋体"/>
                <w:b w:val="0"/>
                <w:bCs w:val="0"/>
                <w:i w:val="0"/>
                <w:iCs w:val="0"/>
                <w:color w:val="000000"/>
                <w:kern w:val="0"/>
                <w:sz w:val="20"/>
                <w:szCs w:val="20"/>
                <w:u w:val="none"/>
                <w:lang w:val="en-US" w:eastAsia="zh-CN" w:bidi="ar"/>
              </w:rPr>
              <w:t>0万在线用户访问能力，并且长时间运行稳定,要求系统持续进行加压负载测试达到</w:t>
            </w:r>
            <w:r>
              <w:rPr>
                <w:rFonts w:hint="eastAsia" w:ascii="宋体" w:hAnsi="宋体" w:cs="宋体"/>
                <w:b w:val="0"/>
                <w:bCs w:val="0"/>
                <w:i w:val="0"/>
                <w:iCs w:val="0"/>
                <w:color w:val="000000"/>
                <w:kern w:val="0"/>
                <w:sz w:val="20"/>
                <w:szCs w:val="20"/>
                <w:u w:val="none"/>
                <w:lang w:val="en-US" w:eastAsia="zh-CN" w:bidi="ar"/>
              </w:rPr>
              <w:t>9</w:t>
            </w:r>
            <w:r>
              <w:rPr>
                <w:rFonts w:hint="eastAsia" w:ascii="宋体" w:hAnsi="宋体" w:eastAsia="宋体" w:cs="宋体"/>
                <w:b w:val="0"/>
                <w:bCs w:val="0"/>
                <w:i w:val="0"/>
                <w:iCs w:val="0"/>
                <w:color w:val="000000"/>
                <w:kern w:val="0"/>
                <w:sz w:val="20"/>
                <w:szCs w:val="20"/>
                <w:u w:val="none"/>
                <w:lang w:val="en-US" w:eastAsia="zh-CN" w:bidi="ar"/>
              </w:rPr>
              <w:t>0万个以上并发连接数，服务节点吞吐量不低于2</w:t>
            </w:r>
            <w:r>
              <w:rPr>
                <w:rFonts w:hint="eastAsia" w:ascii="宋体" w:hAnsi="宋体" w:cs="宋体"/>
                <w:b w:val="0"/>
                <w:bCs w:val="0"/>
                <w:i w:val="0"/>
                <w:iCs w:val="0"/>
                <w:color w:val="000000"/>
                <w:kern w:val="0"/>
                <w:sz w:val="20"/>
                <w:szCs w:val="20"/>
                <w:u w:val="none"/>
                <w:lang w:val="en-US" w:eastAsia="zh-CN" w:bidi="ar"/>
              </w:rPr>
              <w:t>0</w:t>
            </w:r>
            <w:r>
              <w:rPr>
                <w:rFonts w:hint="eastAsia" w:ascii="宋体" w:hAnsi="宋体" w:eastAsia="宋体" w:cs="宋体"/>
                <w:b w:val="0"/>
                <w:bCs w:val="0"/>
                <w:i w:val="0"/>
                <w:iCs w:val="0"/>
                <w:color w:val="000000"/>
                <w:kern w:val="0"/>
                <w:sz w:val="20"/>
                <w:szCs w:val="20"/>
                <w:u w:val="none"/>
                <w:lang w:val="en-US" w:eastAsia="zh-CN" w:bidi="ar"/>
              </w:rPr>
              <w:t>TPS/S，平均响应时间不高于1</w:t>
            </w:r>
            <w:r>
              <w:rPr>
                <w:rFonts w:hint="eastAsia" w:ascii="宋体" w:hAnsi="宋体" w:cs="宋体"/>
                <w:b w:val="0"/>
                <w:bCs w:val="0"/>
                <w:i w:val="0"/>
                <w:iCs w:val="0"/>
                <w:color w:val="000000"/>
                <w:kern w:val="0"/>
                <w:sz w:val="20"/>
                <w:szCs w:val="20"/>
                <w:u w:val="none"/>
                <w:lang w:val="en-US" w:eastAsia="zh-CN" w:bidi="ar"/>
              </w:rPr>
              <w:t>6</w:t>
            </w:r>
            <w:r>
              <w:rPr>
                <w:rFonts w:hint="eastAsia" w:ascii="宋体" w:hAnsi="宋体" w:eastAsia="宋体" w:cs="宋体"/>
                <w:b w:val="0"/>
                <w:bCs w:val="0"/>
                <w:i w:val="0"/>
                <w:iCs w:val="0"/>
                <w:color w:val="000000"/>
                <w:kern w:val="0"/>
                <w:sz w:val="20"/>
                <w:szCs w:val="20"/>
                <w:u w:val="none"/>
                <w:lang w:val="en-US" w:eastAsia="zh-CN" w:bidi="ar"/>
              </w:rPr>
              <w:t xml:space="preserve">ms，事务通过率 </w:t>
            </w:r>
            <w:r>
              <w:rPr>
                <w:rFonts w:hint="eastAsia" w:ascii="宋体" w:hAnsi="宋体" w:cs="宋体"/>
                <w:b w:val="0"/>
                <w:bCs w:val="0"/>
                <w:i w:val="0"/>
                <w:iCs w:val="0"/>
                <w:color w:val="000000"/>
                <w:kern w:val="0"/>
                <w:sz w:val="20"/>
                <w:szCs w:val="20"/>
                <w:u w:val="none"/>
                <w:lang w:val="en-US" w:eastAsia="zh-CN" w:bidi="ar"/>
              </w:rPr>
              <w:t>98</w:t>
            </w:r>
            <w:r>
              <w:rPr>
                <w:rFonts w:hint="eastAsia" w:ascii="宋体" w:hAnsi="宋体" w:eastAsia="宋体" w:cs="宋体"/>
                <w:b w:val="0"/>
                <w:bCs w:val="0"/>
                <w:i w:val="0"/>
                <w:iCs w:val="0"/>
                <w:color w:val="000000"/>
                <w:kern w:val="0"/>
                <w:sz w:val="20"/>
                <w:szCs w:val="20"/>
                <w:u w:val="none"/>
                <w:lang w:val="en-US" w:eastAsia="zh-CN" w:bidi="ar"/>
              </w:rPr>
              <w:t>%，满足</w:t>
            </w:r>
            <w:r>
              <w:rPr>
                <w:rFonts w:hint="eastAsia" w:ascii="宋体" w:hAnsi="宋体" w:cs="宋体"/>
                <w:b w:val="0"/>
                <w:bCs w:val="0"/>
                <w:i w:val="0"/>
                <w:iCs w:val="0"/>
                <w:color w:val="000000"/>
                <w:kern w:val="0"/>
                <w:sz w:val="20"/>
                <w:szCs w:val="20"/>
                <w:u w:val="none"/>
                <w:lang w:val="en-US" w:eastAsia="zh-CN" w:bidi="ar"/>
              </w:rPr>
              <w:t>以上</w:t>
            </w:r>
            <w:r>
              <w:rPr>
                <w:rFonts w:hint="eastAsia" w:ascii="宋体" w:hAnsi="宋体" w:eastAsia="宋体" w:cs="宋体"/>
                <w:b w:val="0"/>
                <w:bCs w:val="0"/>
                <w:i w:val="0"/>
                <w:iCs w:val="0"/>
                <w:color w:val="000000"/>
                <w:kern w:val="0"/>
                <w:sz w:val="20"/>
                <w:szCs w:val="20"/>
                <w:u w:val="none"/>
                <w:lang w:val="en-US" w:eastAsia="zh-CN" w:bidi="ar"/>
              </w:rPr>
              <w:t>基本要求不得分，在此基础上每优于基本要求</w:t>
            </w:r>
            <w:r>
              <w:rPr>
                <w:rFonts w:hint="eastAsia" w:ascii="宋体" w:hAnsi="宋体" w:cs="宋体"/>
                <w:b w:val="0"/>
                <w:bCs w:val="0"/>
                <w:i w:val="0"/>
                <w:iCs w:val="0"/>
                <w:color w:val="000000"/>
                <w:kern w:val="0"/>
                <w:sz w:val="20"/>
                <w:szCs w:val="20"/>
                <w:u w:val="none"/>
                <w:lang w:val="en-US" w:eastAsia="zh-CN" w:bidi="ar"/>
              </w:rPr>
              <w:t>一项</w:t>
            </w:r>
            <w:r>
              <w:rPr>
                <w:rFonts w:hint="eastAsia" w:ascii="宋体" w:hAnsi="宋体" w:eastAsia="宋体" w:cs="宋体"/>
                <w:b w:val="0"/>
                <w:bCs w:val="0"/>
                <w:i w:val="0"/>
                <w:iCs w:val="0"/>
                <w:color w:val="000000"/>
                <w:kern w:val="0"/>
                <w:sz w:val="20"/>
                <w:szCs w:val="20"/>
                <w:u w:val="none"/>
                <w:lang w:val="en-US" w:eastAsia="zh-CN" w:bidi="ar"/>
              </w:rPr>
              <w:t>加2分，本项</w:t>
            </w:r>
            <w:r>
              <w:rPr>
                <w:rFonts w:hint="eastAsia" w:ascii="宋体" w:hAnsi="宋体" w:cs="宋体"/>
                <w:b w:val="0"/>
                <w:bCs w:val="0"/>
                <w:i w:val="0"/>
                <w:iCs w:val="0"/>
                <w:color w:val="000000"/>
                <w:kern w:val="0"/>
                <w:sz w:val="20"/>
                <w:szCs w:val="20"/>
                <w:u w:val="none"/>
                <w:lang w:val="en-US" w:eastAsia="zh-CN" w:bidi="ar"/>
              </w:rPr>
              <w:t>满分</w:t>
            </w:r>
            <w:r>
              <w:rPr>
                <w:rFonts w:hint="eastAsia" w:ascii="宋体" w:hAnsi="宋体" w:eastAsia="宋体" w:cs="宋体"/>
                <w:b w:val="0"/>
                <w:bCs w:val="0"/>
                <w:i w:val="0"/>
                <w:iCs w:val="0"/>
                <w:color w:val="000000"/>
                <w:kern w:val="0"/>
                <w:sz w:val="20"/>
                <w:szCs w:val="20"/>
                <w:u w:val="none"/>
                <w:lang w:val="en-US" w:eastAsia="zh-CN" w:bidi="ar"/>
              </w:rPr>
              <w:t>2分。须</w:t>
            </w:r>
            <w:r>
              <w:rPr>
                <w:rFonts w:hint="eastAsia" w:ascii="宋体" w:hAnsi="宋体" w:cs="宋体"/>
                <w:b w:val="0"/>
                <w:bCs w:val="0"/>
                <w:i w:val="0"/>
                <w:iCs w:val="0"/>
                <w:color w:val="000000"/>
                <w:kern w:val="0"/>
                <w:sz w:val="20"/>
                <w:szCs w:val="20"/>
                <w:u w:val="none"/>
                <w:lang w:val="en-US" w:eastAsia="zh-CN" w:bidi="ar"/>
              </w:rPr>
              <w:t>提供</w:t>
            </w:r>
            <w:r>
              <w:rPr>
                <w:rFonts w:hint="eastAsia" w:ascii="宋体" w:hAnsi="宋体" w:eastAsia="宋体" w:cs="宋体"/>
                <w:b w:val="0"/>
                <w:bCs w:val="0"/>
                <w:i w:val="0"/>
                <w:iCs w:val="0"/>
                <w:color w:val="000000"/>
                <w:kern w:val="0"/>
                <w:sz w:val="20"/>
                <w:szCs w:val="20"/>
                <w:u w:val="none"/>
                <w:lang w:val="en-US" w:eastAsia="zh-CN" w:bidi="ar"/>
              </w:rPr>
              <w:t>功能截图证明并加盖公章，不提供证明材料的或证明材料不能证明满足功能要求的，该项不得分。</w:t>
            </w:r>
          </w:p>
          <w:p w14:paraId="310AD6A9">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（4）负载均衡软件支持修改上游返回的body内容，支持字符串匹配或正则表达式进行内容替换。满足</w:t>
            </w:r>
            <w:r>
              <w:rPr>
                <w:rFonts w:hint="eastAsia" w:ascii="宋体" w:hAnsi="宋体" w:cs="宋体"/>
                <w:b w:val="0"/>
                <w:bCs w:val="0"/>
                <w:i w:val="0"/>
                <w:iCs w:val="0"/>
                <w:color w:val="000000"/>
                <w:kern w:val="0"/>
                <w:sz w:val="20"/>
                <w:szCs w:val="20"/>
                <w:u w:val="none"/>
                <w:lang w:val="en-US" w:eastAsia="zh-CN" w:bidi="ar"/>
              </w:rPr>
              <w:t>以上</w:t>
            </w:r>
            <w:r>
              <w:rPr>
                <w:rFonts w:hint="eastAsia" w:ascii="宋体" w:hAnsi="宋体" w:eastAsia="宋体" w:cs="宋体"/>
                <w:b w:val="0"/>
                <w:bCs w:val="0"/>
                <w:i w:val="0"/>
                <w:iCs w:val="0"/>
                <w:color w:val="000000"/>
                <w:kern w:val="0"/>
                <w:sz w:val="20"/>
                <w:szCs w:val="20"/>
                <w:u w:val="none"/>
                <w:lang w:val="en-US" w:eastAsia="zh-CN" w:bidi="ar"/>
              </w:rPr>
              <w:t>基本要求不得分，在此基础上每优于基本功能一项加2分，本项满分2分。须提供具有CMA或CNAS标识的检测机构出具的</w:t>
            </w:r>
            <w:r>
              <w:rPr>
                <w:rFonts w:hint="eastAsia" w:ascii="宋体" w:hAnsi="宋体" w:cs="宋体"/>
                <w:b w:val="0"/>
                <w:bCs w:val="0"/>
                <w:i w:val="0"/>
                <w:iCs w:val="0"/>
                <w:color w:val="000000"/>
                <w:kern w:val="0"/>
                <w:sz w:val="20"/>
                <w:szCs w:val="20"/>
                <w:u w:val="none"/>
                <w:lang w:val="en-US" w:eastAsia="zh-CN" w:bidi="ar"/>
              </w:rPr>
              <w:t>有效期内的</w:t>
            </w:r>
            <w:r>
              <w:rPr>
                <w:rFonts w:hint="eastAsia" w:ascii="宋体" w:hAnsi="宋体" w:eastAsia="宋体" w:cs="宋体"/>
                <w:b w:val="0"/>
                <w:bCs w:val="0"/>
                <w:i w:val="0"/>
                <w:iCs w:val="0"/>
                <w:color w:val="000000"/>
                <w:kern w:val="0"/>
                <w:sz w:val="20"/>
                <w:szCs w:val="20"/>
                <w:u w:val="none"/>
                <w:lang w:val="en-US" w:eastAsia="zh-CN" w:bidi="ar"/>
              </w:rPr>
              <w:t>测试报告（材料至少包含报告首页、签字页、测试环境、测试结果等信息），不提供或提供的检测报告不能证明满足功能要求的，该项不得分。</w:t>
            </w:r>
          </w:p>
          <w:p w14:paraId="631052A2">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（5）负载均衡软件支持流量控制，包括限制请求数量、限制请求速率与限制请求连接数。满足</w:t>
            </w:r>
            <w:r>
              <w:rPr>
                <w:rFonts w:hint="eastAsia" w:ascii="宋体" w:hAnsi="宋体" w:cs="宋体"/>
                <w:b w:val="0"/>
                <w:bCs w:val="0"/>
                <w:i w:val="0"/>
                <w:iCs w:val="0"/>
                <w:color w:val="000000"/>
                <w:kern w:val="0"/>
                <w:sz w:val="20"/>
                <w:szCs w:val="20"/>
                <w:u w:val="none"/>
                <w:lang w:val="en-US" w:eastAsia="zh-CN" w:bidi="ar"/>
              </w:rPr>
              <w:t>以上</w:t>
            </w:r>
            <w:r>
              <w:rPr>
                <w:rFonts w:hint="eastAsia" w:ascii="宋体" w:hAnsi="宋体" w:eastAsia="宋体" w:cs="宋体"/>
                <w:b w:val="0"/>
                <w:bCs w:val="0"/>
                <w:i w:val="0"/>
                <w:iCs w:val="0"/>
                <w:color w:val="000000"/>
                <w:kern w:val="0"/>
                <w:sz w:val="20"/>
                <w:szCs w:val="20"/>
                <w:u w:val="none"/>
                <w:lang w:val="en-US" w:eastAsia="zh-CN" w:bidi="ar"/>
              </w:rPr>
              <w:t>基本要求不得分，在此基础上每优于基本功能一项加2分，本项满分2分。须提供具有CMA或CNAS标识的检测机构出具的</w:t>
            </w:r>
            <w:r>
              <w:rPr>
                <w:rFonts w:hint="eastAsia" w:ascii="宋体" w:hAnsi="宋体" w:cs="宋体"/>
                <w:b w:val="0"/>
                <w:bCs w:val="0"/>
                <w:i w:val="0"/>
                <w:iCs w:val="0"/>
                <w:color w:val="000000"/>
                <w:kern w:val="0"/>
                <w:sz w:val="20"/>
                <w:szCs w:val="20"/>
                <w:u w:val="none"/>
                <w:lang w:val="en-US" w:eastAsia="zh-CN" w:bidi="ar"/>
              </w:rPr>
              <w:t>有效期内的</w:t>
            </w:r>
            <w:r>
              <w:rPr>
                <w:rFonts w:hint="eastAsia" w:ascii="宋体" w:hAnsi="宋体" w:eastAsia="宋体" w:cs="宋体"/>
                <w:b w:val="0"/>
                <w:bCs w:val="0"/>
                <w:i w:val="0"/>
                <w:iCs w:val="0"/>
                <w:color w:val="000000"/>
                <w:kern w:val="0"/>
                <w:sz w:val="20"/>
                <w:szCs w:val="20"/>
                <w:u w:val="none"/>
                <w:lang w:val="en-US" w:eastAsia="zh-CN" w:bidi="ar"/>
              </w:rPr>
              <w:t>测试报告，不提供或提供的检测报告不能证明满足功能要求的，该项不得分。</w:t>
            </w:r>
          </w:p>
          <w:p w14:paraId="1D2025AE">
            <w:pPr>
              <w:keepNext w:val="0"/>
              <w:keepLines w:val="0"/>
              <w:widowControl/>
              <w:suppressLineNumbers w:val="0"/>
              <w:shd w:val="clear"/>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（6）内存数据缓存软件提供可视化web管控台，支持用户登录、租户管理、用户管理、授权管理、服务管理、告警管理、节点管理、机器管理、配置管理、自动部署、任务中心、操作历史功能。满足</w:t>
            </w:r>
            <w:r>
              <w:rPr>
                <w:rFonts w:hint="eastAsia" w:ascii="宋体" w:hAnsi="宋体" w:cs="宋体"/>
                <w:b w:val="0"/>
                <w:bCs w:val="0"/>
                <w:i w:val="0"/>
                <w:iCs w:val="0"/>
                <w:color w:val="000000"/>
                <w:kern w:val="0"/>
                <w:sz w:val="20"/>
                <w:szCs w:val="20"/>
                <w:u w:val="none"/>
                <w:lang w:val="en-US" w:eastAsia="zh-CN" w:bidi="ar"/>
              </w:rPr>
              <w:t>以上</w:t>
            </w:r>
            <w:r>
              <w:rPr>
                <w:rFonts w:hint="eastAsia" w:ascii="宋体" w:hAnsi="宋体" w:eastAsia="宋体" w:cs="宋体"/>
                <w:b w:val="0"/>
                <w:bCs w:val="0"/>
                <w:i w:val="0"/>
                <w:iCs w:val="0"/>
                <w:color w:val="000000"/>
                <w:kern w:val="0"/>
                <w:sz w:val="20"/>
                <w:szCs w:val="20"/>
                <w:u w:val="none"/>
                <w:lang w:val="en-US" w:eastAsia="zh-CN" w:bidi="ar"/>
              </w:rPr>
              <w:t>基本要求不得分，在此基础上每增加一项功能加2分，本项满分2分。须</w:t>
            </w:r>
            <w:r>
              <w:rPr>
                <w:rFonts w:hint="eastAsia" w:ascii="宋体" w:hAnsi="宋体" w:cs="宋体"/>
                <w:b w:val="0"/>
                <w:bCs w:val="0"/>
                <w:i w:val="0"/>
                <w:iCs w:val="0"/>
                <w:color w:val="000000"/>
                <w:kern w:val="0"/>
                <w:sz w:val="20"/>
                <w:szCs w:val="20"/>
                <w:u w:val="none"/>
                <w:lang w:val="en-US" w:eastAsia="zh-CN" w:bidi="ar"/>
              </w:rPr>
              <w:t>提供</w:t>
            </w:r>
            <w:r>
              <w:rPr>
                <w:rFonts w:hint="eastAsia" w:ascii="宋体" w:hAnsi="宋体" w:eastAsia="宋体" w:cs="宋体"/>
                <w:b w:val="0"/>
                <w:bCs w:val="0"/>
                <w:i w:val="0"/>
                <w:iCs w:val="0"/>
                <w:color w:val="000000"/>
                <w:kern w:val="0"/>
                <w:sz w:val="20"/>
                <w:szCs w:val="20"/>
                <w:u w:val="none"/>
                <w:lang w:val="en-US" w:eastAsia="zh-CN" w:bidi="ar"/>
              </w:rPr>
              <w:t>功能截图证明并加盖公章，不提供证明材料的或证明材料不能证明满足功能要求的，该项不得分。</w:t>
            </w:r>
          </w:p>
          <w:p w14:paraId="0FA1FC34">
            <w:pPr>
              <w:keepNext w:val="0"/>
              <w:keepLines w:val="0"/>
              <w:widowControl/>
              <w:suppressLineNumbers w:val="0"/>
              <w:shd w:val="clear"/>
              <w:jc w:val="left"/>
              <w:textAlignment w:val="center"/>
              <w:rPr>
                <w:kern w:val="0"/>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（7）分布式消息队列软件支持多种消息订阅模式，包括独占、灾备、共享、按key共享等模式，支持多主题订阅、正则主题订阅，支持同步发送、异步发送、批量发送、消息压缩。满足</w:t>
            </w:r>
            <w:r>
              <w:rPr>
                <w:rFonts w:hint="eastAsia" w:ascii="宋体" w:hAnsi="宋体" w:cs="宋体"/>
                <w:b w:val="0"/>
                <w:bCs w:val="0"/>
                <w:i w:val="0"/>
                <w:iCs w:val="0"/>
                <w:color w:val="000000"/>
                <w:kern w:val="0"/>
                <w:sz w:val="20"/>
                <w:szCs w:val="20"/>
                <w:u w:val="none"/>
                <w:lang w:val="en-US" w:eastAsia="zh-CN" w:bidi="ar"/>
              </w:rPr>
              <w:t>以上</w:t>
            </w:r>
            <w:r>
              <w:rPr>
                <w:rFonts w:hint="eastAsia" w:ascii="宋体" w:hAnsi="宋体" w:eastAsia="宋体" w:cs="宋体"/>
                <w:b w:val="0"/>
                <w:bCs w:val="0"/>
                <w:i w:val="0"/>
                <w:iCs w:val="0"/>
                <w:color w:val="000000"/>
                <w:kern w:val="0"/>
                <w:sz w:val="20"/>
                <w:szCs w:val="20"/>
                <w:u w:val="none"/>
                <w:lang w:val="en-US" w:eastAsia="zh-CN" w:bidi="ar"/>
              </w:rPr>
              <w:t>基本要求不得分，在此基础上每增加一项功能加2分，本项满分2分。须</w:t>
            </w:r>
            <w:r>
              <w:rPr>
                <w:rFonts w:hint="eastAsia" w:ascii="宋体" w:hAnsi="宋体" w:cs="宋体"/>
                <w:b w:val="0"/>
                <w:bCs w:val="0"/>
                <w:i w:val="0"/>
                <w:iCs w:val="0"/>
                <w:color w:val="000000"/>
                <w:kern w:val="0"/>
                <w:sz w:val="20"/>
                <w:szCs w:val="20"/>
                <w:u w:val="none"/>
                <w:lang w:val="en-US" w:eastAsia="zh-CN" w:bidi="ar"/>
              </w:rPr>
              <w:t>提供</w:t>
            </w:r>
            <w:r>
              <w:rPr>
                <w:rFonts w:hint="eastAsia" w:ascii="宋体" w:hAnsi="宋体" w:eastAsia="宋体" w:cs="宋体"/>
                <w:b w:val="0"/>
                <w:bCs w:val="0"/>
                <w:i w:val="0"/>
                <w:iCs w:val="0"/>
                <w:color w:val="000000"/>
                <w:kern w:val="0"/>
                <w:sz w:val="20"/>
                <w:szCs w:val="20"/>
                <w:u w:val="none"/>
                <w:lang w:val="en-US" w:eastAsia="zh-CN" w:bidi="ar"/>
              </w:rPr>
              <w:t>功能截图证明并加盖公章，不提供证明材料的或证明材料不能证明满足功能要求的，该项不得分。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1F54D075">
            <w:pPr>
              <w:keepNext w:val="0"/>
              <w:keepLines w:val="0"/>
              <w:widowControl/>
              <w:suppressLineNumbers w:val="0"/>
              <w:shd w:val="clear"/>
              <w:jc w:val="center"/>
              <w:textAlignment w:val="center"/>
              <w:rPr>
                <w:rFonts w:hint="default"/>
                <w:kern w:val="0"/>
                <w:sz w:val="20"/>
                <w:szCs w:val="20"/>
                <w:highlight w:val="none"/>
                <w:lang w:val="en-US"/>
              </w:rPr>
            </w:pPr>
            <w:r>
              <w:rPr>
                <w:rFonts w:hint="eastAsia" w:ascii="宋体" w:hAnsi="宋体" w:cs="宋体"/>
                <w:i w:val="0"/>
                <w:iCs w:val="0"/>
                <w:color w:val="000000"/>
                <w:kern w:val="0"/>
                <w:sz w:val="20"/>
                <w:szCs w:val="20"/>
                <w:u w:val="none"/>
                <w:lang w:val="en-US" w:eastAsia="zh-CN" w:bidi="ar"/>
              </w:rPr>
              <w:t>14</w:t>
            </w:r>
          </w:p>
        </w:tc>
      </w:tr>
      <w:tr w14:paraId="72572886">
        <w:tblPrEx>
          <w:tblCellMar>
            <w:top w:w="0" w:type="dxa"/>
            <w:left w:w="108" w:type="dxa"/>
            <w:bottom w:w="0" w:type="dxa"/>
            <w:right w:w="108" w:type="dxa"/>
          </w:tblCellMar>
        </w:tblPrEx>
        <w:trPr>
          <w:trHeight w:val="47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32F075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3A371AD8">
            <w:pPr>
              <w:widowControl/>
              <w:jc w:val="center"/>
              <w:rPr>
                <w:rFonts w:hint="eastAsia"/>
                <w:sz w:val="20"/>
                <w:szCs w:val="20"/>
                <w:highlight w:val="none"/>
              </w:rPr>
            </w:pPr>
            <w:r>
              <w:rPr>
                <w:rFonts w:hint="eastAsia"/>
                <w:sz w:val="20"/>
                <w:szCs w:val="20"/>
                <w:highlight w:val="none"/>
              </w:rPr>
              <w:t>产品原型展示</w:t>
            </w:r>
          </w:p>
          <w:p w14:paraId="2AC5F83A">
            <w:pPr>
              <w:widowControl/>
              <w:jc w:val="center"/>
              <w:rPr>
                <w:kern w:val="0"/>
                <w:sz w:val="20"/>
                <w:szCs w:val="20"/>
                <w:highlight w:val="none"/>
              </w:rPr>
            </w:pP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0095AFA2">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一、产品原型展示评分（1分）：</w:t>
            </w:r>
          </w:p>
          <w:p w14:paraId="7E6E7A52">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供应商</w:t>
            </w:r>
            <w:r>
              <w:rPr>
                <w:rFonts w:hint="eastAsia" w:ascii="宋体" w:hAnsi="宋体" w:cs="宋体"/>
                <w:b w:val="0"/>
                <w:bCs w:val="0"/>
                <w:i w:val="0"/>
                <w:iCs w:val="0"/>
                <w:color w:val="000000"/>
                <w:kern w:val="2"/>
                <w:sz w:val="20"/>
                <w:szCs w:val="20"/>
                <w:u w:val="none"/>
                <w:lang w:val="en-US" w:eastAsia="zh-CN" w:bidi="ar-SA"/>
              </w:rPr>
              <w:t>投标</w:t>
            </w:r>
            <w:r>
              <w:rPr>
                <w:rFonts w:hint="eastAsia" w:ascii="宋体" w:hAnsi="宋体" w:eastAsia="宋体" w:cs="宋体"/>
                <w:b w:val="0"/>
                <w:bCs w:val="0"/>
                <w:i w:val="0"/>
                <w:iCs w:val="0"/>
                <w:color w:val="000000"/>
                <w:kern w:val="2"/>
                <w:sz w:val="20"/>
                <w:szCs w:val="20"/>
                <w:u w:val="none"/>
                <w:lang w:val="en-US" w:eastAsia="zh-CN" w:bidi="ar-SA"/>
              </w:rPr>
              <w:t>时提供本项目的应用服务器软件企业版、负载均衡软件、内存数据缓存软件</w:t>
            </w:r>
            <w:r>
              <w:rPr>
                <w:rFonts w:hint="eastAsia" w:ascii="宋体" w:hAnsi="宋体" w:cs="宋体"/>
                <w:b w:val="0"/>
                <w:bCs w:val="0"/>
                <w:i w:val="0"/>
                <w:iCs w:val="0"/>
                <w:color w:val="000000"/>
                <w:kern w:val="2"/>
                <w:sz w:val="20"/>
                <w:szCs w:val="20"/>
                <w:u w:val="none"/>
                <w:lang w:val="en-US" w:eastAsia="zh-CN" w:bidi="ar-SA"/>
              </w:rPr>
              <w:t>、分布式消息队列软件</w:t>
            </w:r>
            <w:r>
              <w:rPr>
                <w:rFonts w:hint="eastAsia" w:ascii="宋体" w:hAnsi="宋体" w:eastAsia="宋体" w:cs="宋体"/>
                <w:b w:val="0"/>
                <w:bCs w:val="0"/>
                <w:i w:val="0"/>
                <w:iCs w:val="0"/>
                <w:color w:val="000000"/>
                <w:kern w:val="2"/>
                <w:sz w:val="20"/>
                <w:szCs w:val="20"/>
                <w:u w:val="none"/>
                <w:lang w:val="en-US" w:eastAsia="zh-CN" w:bidi="ar-SA"/>
              </w:rPr>
              <w:t>的功能和性能介绍视频，按照技术规范书中对上述系统的具体功能要求进行评审。根据</w:t>
            </w:r>
            <w:r>
              <w:rPr>
                <w:rFonts w:hint="eastAsia" w:ascii="宋体" w:hAnsi="宋体" w:cs="宋体"/>
                <w:b w:val="0"/>
                <w:bCs w:val="0"/>
                <w:i w:val="0"/>
                <w:iCs w:val="0"/>
                <w:color w:val="000000"/>
                <w:kern w:val="2"/>
                <w:sz w:val="20"/>
                <w:szCs w:val="20"/>
                <w:u w:val="none"/>
                <w:lang w:val="en-US" w:eastAsia="zh-CN" w:bidi="ar-SA"/>
              </w:rPr>
              <w:t>投标</w:t>
            </w:r>
            <w:r>
              <w:rPr>
                <w:rFonts w:hint="eastAsia" w:ascii="宋体" w:hAnsi="宋体" w:eastAsia="宋体" w:cs="宋体"/>
                <w:b w:val="0"/>
                <w:bCs w:val="0"/>
                <w:i w:val="0"/>
                <w:iCs w:val="0"/>
                <w:color w:val="000000"/>
                <w:kern w:val="2"/>
                <w:sz w:val="20"/>
                <w:szCs w:val="20"/>
                <w:u w:val="none"/>
                <w:lang w:val="en-US" w:eastAsia="zh-CN" w:bidi="ar-SA"/>
              </w:rPr>
              <w:t>人按要求提供的演示视频，判断产品功能满足程度。分为A（全部满足，功能优秀）、B（基本满足，功能一般）、C（部分满足）三等级评分，A＝(0.6，1]、B＝(0.3，0.6]、C＝[0，0.3]。</w:t>
            </w:r>
          </w:p>
          <w:p w14:paraId="1D595BF2">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二、安全测试演示评分（1分）：</w:t>
            </w:r>
          </w:p>
          <w:p w14:paraId="3F9235A4">
            <w:pPr>
              <w:keepNext w:val="0"/>
              <w:keepLines w:val="0"/>
              <w:widowControl/>
              <w:suppressLineNumbers w:val="0"/>
              <w:jc w:val="left"/>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 xml:space="preserve"> </w:t>
            </w:r>
            <w:r>
              <w:rPr>
                <w:rFonts w:hint="eastAsia" w:ascii="宋体" w:hAnsi="宋体" w:eastAsia="宋体" w:cs="宋体"/>
                <w:b w:val="0"/>
                <w:bCs w:val="0"/>
                <w:i w:val="0"/>
                <w:iCs w:val="0"/>
                <w:color w:val="000000"/>
                <w:kern w:val="2"/>
                <w:sz w:val="20"/>
                <w:szCs w:val="20"/>
                <w:u w:val="none"/>
                <w:lang w:val="en-US" w:eastAsia="zh-CN" w:bidi="ar-SA"/>
              </w:rPr>
              <w:t xml:space="preserve">  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(0.6，1]、B＝(0.3，0.6]、C＝[0，0.3]</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37F90681">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cs="宋体"/>
                <w:i w:val="0"/>
                <w:iCs w:val="0"/>
                <w:color w:val="000000"/>
                <w:kern w:val="0"/>
                <w:sz w:val="20"/>
                <w:szCs w:val="20"/>
                <w:u w:val="none"/>
                <w:lang w:val="en-US" w:eastAsia="zh-CN" w:bidi="ar"/>
              </w:rPr>
              <w:t>2</w:t>
            </w:r>
          </w:p>
        </w:tc>
      </w:tr>
      <w:tr w14:paraId="1609FA93">
        <w:tblPrEx>
          <w:tblCellMar>
            <w:top w:w="0" w:type="dxa"/>
            <w:left w:w="108" w:type="dxa"/>
            <w:bottom w:w="0" w:type="dxa"/>
            <w:right w:w="108" w:type="dxa"/>
          </w:tblCellMar>
        </w:tblPrEx>
        <w:trPr>
          <w:trHeight w:val="699"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203855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14:paraId="58FA60D6">
            <w:pPr>
              <w:widowControl/>
              <w:jc w:val="center"/>
              <w:textAlignment w:val="center"/>
              <w:rPr>
                <w:rFonts w:hint="eastAsia"/>
                <w:sz w:val="20"/>
                <w:szCs w:val="20"/>
                <w:highlight w:val="none"/>
              </w:rPr>
            </w:pPr>
            <w:r>
              <w:rPr>
                <w:rFonts w:hint="eastAsia"/>
                <w:sz w:val="20"/>
                <w:szCs w:val="20"/>
                <w:highlight w:val="none"/>
              </w:rPr>
              <w:t>交付质量水平</w:t>
            </w:r>
          </w:p>
          <w:p w14:paraId="0D60DC7E">
            <w:pPr>
              <w:widowControl/>
              <w:jc w:val="center"/>
              <w:textAlignment w:val="center"/>
              <w:rPr>
                <w:rFonts w:ascii="宋体" w:hAnsi="宋体" w:cs="宋体"/>
                <w:kern w:val="0"/>
                <w:szCs w:val="21"/>
                <w:highlight w:val="none"/>
              </w:rPr>
            </w:pP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722383E8">
            <w:pPr>
              <w:keepNext w:val="0"/>
              <w:keepLines w:val="0"/>
              <w:widowControl/>
              <w:suppressLineNumbers w:val="0"/>
              <w:jc w:val="both"/>
              <w:textAlignment w:val="center"/>
              <w:rPr>
                <w:rFonts w:hint="eastAsia"/>
                <w:kern w:val="0"/>
                <w:sz w:val="20"/>
                <w:szCs w:val="20"/>
                <w:highlight w:val="none"/>
              </w:rPr>
            </w:pPr>
            <w:r>
              <w:rPr>
                <w:rFonts w:hint="eastAsia"/>
                <w:b/>
                <w:bCs/>
                <w:kern w:val="0"/>
                <w:sz w:val="20"/>
                <w:szCs w:val="20"/>
                <w:highlight w:val="none"/>
              </w:rPr>
              <w:t>验收报告评分（2分）：</w:t>
            </w:r>
            <w:r>
              <w:rPr>
                <w:rFonts w:hint="eastAsia"/>
                <w:kern w:val="0"/>
                <w:sz w:val="20"/>
                <w:szCs w:val="20"/>
                <w:highlight w:val="none"/>
              </w:rPr>
              <w:t>投标人提供中间件授权类项目合格的验收报告，提供1份得1分，每增加1份得1分，满分2分。</w:t>
            </w:r>
          </w:p>
          <w:p w14:paraId="344A9153">
            <w:pPr>
              <w:keepNext w:val="0"/>
              <w:keepLines w:val="0"/>
              <w:widowControl/>
              <w:suppressLineNumbers w:val="0"/>
              <w:jc w:val="both"/>
              <w:textAlignment w:val="center"/>
              <w:rPr>
                <w:kern w:val="0"/>
                <w:sz w:val="20"/>
                <w:szCs w:val="20"/>
                <w:highlight w:val="none"/>
              </w:rPr>
            </w:pPr>
            <w:r>
              <w:rPr>
                <w:rFonts w:hint="eastAsia"/>
                <w:kern w:val="0"/>
                <w:sz w:val="20"/>
                <w:szCs w:val="20"/>
                <w:highlight w:val="none"/>
              </w:rPr>
              <w:t>注：提供验收报告复印件加盖供应商公章。</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01D4D35">
            <w:pPr>
              <w:keepNext w:val="0"/>
              <w:keepLines w:val="0"/>
              <w:widowControl/>
              <w:suppressLineNumbers w:val="0"/>
              <w:jc w:val="center"/>
              <w:textAlignment w:val="center"/>
              <w:rPr>
                <w:kern w:val="0"/>
                <w:sz w:val="20"/>
                <w:szCs w:val="20"/>
                <w:highlight w:val="none"/>
              </w:rPr>
            </w:pPr>
            <w:r>
              <w:rPr>
                <w:rFonts w:hint="eastAsia" w:ascii="宋体" w:hAnsi="宋体" w:cs="宋体"/>
                <w:i w:val="0"/>
                <w:iCs w:val="0"/>
                <w:color w:val="000000"/>
                <w:kern w:val="0"/>
                <w:sz w:val="20"/>
                <w:szCs w:val="20"/>
                <w:u w:val="none"/>
                <w:lang w:val="en-US" w:eastAsia="zh-CN" w:bidi="ar"/>
              </w:rPr>
              <w:t>2</w:t>
            </w:r>
          </w:p>
        </w:tc>
      </w:tr>
      <w:tr w14:paraId="226EDC0A">
        <w:tblPrEx>
          <w:tblCellMar>
            <w:top w:w="0" w:type="dxa"/>
            <w:left w:w="108" w:type="dxa"/>
            <w:bottom w:w="0" w:type="dxa"/>
            <w:right w:w="108" w:type="dxa"/>
          </w:tblCellMar>
        </w:tblPrEx>
        <w:trPr>
          <w:trHeight w:val="557" w:hRule="atLeast"/>
        </w:trPr>
        <w:tc>
          <w:tcPr>
            <w:tcW w:w="382" w:type="pct"/>
            <w:tcBorders>
              <w:top w:val="nil"/>
              <w:left w:val="single" w:color="auto" w:sz="4" w:space="0"/>
              <w:bottom w:val="single" w:color="auto" w:sz="4" w:space="0"/>
              <w:right w:val="single" w:color="auto" w:sz="4" w:space="0"/>
            </w:tcBorders>
            <w:shd w:val="clear" w:color="auto" w:fill="auto"/>
            <w:vAlign w:val="center"/>
          </w:tcPr>
          <w:p w14:paraId="678A7B2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768" w:type="pct"/>
            <w:tcBorders>
              <w:top w:val="nil"/>
              <w:left w:val="single" w:color="auto" w:sz="4" w:space="0"/>
              <w:bottom w:val="single" w:color="auto" w:sz="4" w:space="0"/>
              <w:right w:val="single" w:color="auto" w:sz="4" w:space="0"/>
            </w:tcBorders>
            <w:shd w:val="clear" w:color="auto" w:fill="auto"/>
            <w:vAlign w:val="center"/>
          </w:tcPr>
          <w:p w14:paraId="0EF4508C">
            <w:pPr>
              <w:widowControl/>
              <w:jc w:val="center"/>
              <w:textAlignment w:val="center"/>
              <w:rPr>
                <w:rFonts w:ascii="宋体" w:hAnsi="宋体" w:cs="宋体"/>
                <w:kern w:val="0"/>
                <w:szCs w:val="21"/>
                <w:highlight w:val="none"/>
              </w:rPr>
            </w:pPr>
            <w:r>
              <w:rPr>
                <w:rFonts w:hint="eastAsia"/>
                <w:sz w:val="20"/>
                <w:szCs w:val="20"/>
                <w:highlight w:val="none"/>
              </w:rPr>
              <w:t>在网运行质量水平</w:t>
            </w:r>
          </w:p>
        </w:tc>
        <w:tc>
          <w:tcPr>
            <w:tcW w:w="3156" w:type="pct"/>
            <w:tcBorders>
              <w:top w:val="single" w:color="auto" w:sz="4" w:space="0"/>
              <w:left w:val="single" w:color="auto" w:sz="4" w:space="0"/>
              <w:bottom w:val="single" w:color="auto" w:sz="4" w:space="0"/>
              <w:right w:val="single" w:color="auto" w:sz="4" w:space="0"/>
            </w:tcBorders>
            <w:shd w:val="clear" w:color="auto" w:fill="auto"/>
            <w:vAlign w:val="center"/>
          </w:tcPr>
          <w:p w14:paraId="0084B5D2">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在网运行质量水平评分（2分）：</w:t>
            </w:r>
            <w:r>
              <w:rPr>
                <w:rFonts w:hint="eastAsia" w:ascii="宋体" w:hAnsi="宋体" w:eastAsia="宋体" w:cs="宋体"/>
                <w:b w:val="0"/>
                <w:bCs w:val="0"/>
                <w:i w:val="0"/>
                <w:iCs w:val="0"/>
                <w:color w:val="000000"/>
                <w:kern w:val="0"/>
                <w:sz w:val="20"/>
                <w:szCs w:val="20"/>
                <w:u w:val="none"/>
                <w:lang w:val="en-US" w:eastAsia="zh-CN" w:bidi="ar"/>
              </w:rPr>
              <w:t>供应商提供类似中间件授权类项目应用客户的运行情况证明（或报告、说明等，须提供近3年（2022年9月至</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截止时间）内的运行情况证明），运行情况良好（或正常、稳定等）得满分2分，否则不得分。</w:t>
            </w:r>
          </w:p>
          <w:p w14:paraId="6F93F74A">
            <w:pPr>
              <w:keepNext w:val="0"/>
              <w:keepLines w:val="0"/>
              <w:widowControl/>
              <w:suppressLineNumbers w:val="0"/>
              <w:jc w:val="left"/>
              <w:textAlignment w:val="center"/>
              <w:rPr>
                <w:rFonts w:ascii="宋体" w:hAnsi="宋体" w:cs="宋体"/>
                <w:kern w:val="0"/>
                <w:szCs w:val="21"/>
                <w:highlight w:val="none"/>
              </w:rPr>
            </w:pPr>
            <w:r>
              <w:rPr>
                <w:rFonts w:hint="eastAsia" w:ascii="宋体" w:hAnsi="宋体" w:eastAsia="宋体" w:cs="宋体"/>
                <w:b w:val="0"/>
                <w:bCs w:val="0"/>
                <w:i w:val="0"/>
                <w:iCs w:val="0"/>
                <w:color w:val="000000"/>
                <w:kern w:val="0"/>
                <w:sz w:val="20"/>
                <w:szCs w:val="20"/>
                <w:u w:val="none"/>
                <w:lang w:val="en-US" w:eastAsia="zh-CN" w:bidi="ar"/>
              </w:rPr>
              <w:t>注：建设单位或业主单位须在运行情况证明上盖章。</w:t>
            </w:r>
          </w:p>
        </w:tc>
        <w:tc>
          <w:tcPr>
            <w:tcW w:w="692" w:type="pct"/>
            <w:tcBorders>
              <w:top w:val="single" w:color="auto" w:sz="4" w:space="0"/>
              <w:left w:val="nil"/>
              <w:bottom w:val="single" w:color="auto" w:sz="4" w:space="0"/>
              <w:right w:val="single" w:color="auto" w:sz="4" w:space="0"/>
            </w:tcBorders>
            <w:shd w:val="clear" w:color="auto" w:fill="auto"/>
            <w:vAlign w:val="center"/>
          </w:tcPr>
          <w:p w14:paraId="57352E9A">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cs="宋体"/>
                <w:i w:val="0"/>
                <w:iCs w:val="0"/>
                <w:color w:val="000000"/>
                <w:kern w:val="0"/>
                <w:sz w:val="20"/>
                <w:szCs w:val="20"/>
                <w:u w:val="none"/>
                <w:lang w:val="en-US" w:eastAsia="zh-CN" w:bidi="ar"/>
              </w:rPr>
              <w:t>2</w:t>
            </w:r>
          </w:p>
        </w:tc>
      </w:tr>
      <w:tr w14:paraId="6FC5285A">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037FF642">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7A8065A3">
            <w:pPr>
              <w:widowControl/>
              <w:jc w:val="center"/>
              <w:textAlignment w:val="center"/>
              <w:rPr>
                <w:rFonts w:hint="eastAsia"/>
                <w:sz w:val="20"/>
                <w:szCs w:val="20"/>
                <w:highlight w:val="none"/>
              </w:rPr>
            </w:pPr>
            <w:r>
              <w:rPr>
                <w:rFonts w:hint="eastAsia"/>
                <w:sz w:val="20"/>
                <w:szCs w:val="20"/>
                <w:highlight w:val="none"/>
              </w:rPr>
              <w:t>技术方案建议</w:t>
            </w:r>
          </w:p>
          <w:p w14:paraId="2E9F8AA4">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71B509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技术方案评分（10分）：</w:t>
            </w:r>
            <w:r>
              <w:rPr>
                <w:rFonts w:hint="eastAsia" w:ascii="宋体" w:hAnsi="宋体" w:eastAsia="宋体" w:cs="宋体"/>
                <w:b w:val="0"/>
                <w:bCs w:val="0"/>
                <w:i w:val="0"/>
                <w:iCs w:val="0"/>
                <w:color w:val="000000"/>
                <w:kern w:val="0"/>
                <w:sz w:val="20"/>
                <w:szCs w:val="20"/>
                <w:u w:val="none"/>
                <w:lang w:val="en-US" w:eastAsia="zh-CN" w:bidi="ar"/>
              </w:rPr>
              <w:t>投标人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692" w:type="pct"/>
            <w:tcBorders>
              <w:top w:val="nil"/>
              <w:left w:val="single" w:color="auto" w:sz="4" w:space="0"/>
              <w:bottom w:val="single" w:color="auto" w:sz="4" w:space="0"/>
              <w:right w:val="single" w:color="auto" w:sz="4" w:space="0"/>
            </w:tcBorders>
            <w:shd w:val="clear" w:color="auto" w:fill="auto"/>
            <w:vAlign w:val="center"/>
          </w:tcPr>
          <w:p w14:paraId="03A9A54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r>
      <w:tr w14:paraId="279292E9">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27B5B1DC">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6361F65A">
            <w:pPr>
              <w:widowControl/>
              <w:jc w:val="center"/>
              <w:textAlignment w:val="center"/>
              <w:rPr>
                <w:rFonts w:hint="eastAsia"/>
                <w:sz w:val="20"/>
                <w:szCs w:val="20"/>
                <w:highlight w:val="none"/>
              </w:rPr>
            </w:pPr>
            <w:r>
              <w:rPr>
                <w:rFonts w:hint="eastAsia"/>
                <w:sz w:val="20"/>
                <w:szCs w:val="20"/>
                <w:highlight w:val="none"/>
              </w:rPr>
              <w:t>开发过程管理</w:t>
            </w:r>
          </w:p>
          <w:p w14:paraId="37E64D89">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5CD31D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b w:val="0"/>
                <w:bCs w:val="0"/>
                <w:i w:val="0"/>
                <w:iCs w:val="0"/>
                <w:color w:val="000000"/>
                <w:kern w:val="0"/>
                <w:sz w:val="20"/>
                <w:szCs w:val="20"/>
                <w:u w:val="none"/>
                <w:lang w:val="en-US" w:eastAsia="zh-CN" w:bidi="ar"/>
              </w:rPr>
              <w:t>投标人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692" w:type="pct"/>
            <w:tcBorders>
              <w:top w:val="nil"/>
              <w:left w:val="single" w:color="auto" w:sz="4" w:space="0"/>
              <w:bottom w:val="single" w:color="auto" w:sz="4" w:space="0"/>
              <w:right w:val="single" w:color="auto" w:sz="4" w:space="0"/>
            </w:tcBorders>
            <w:shd w:val="clear" w:color="auto" w:fill="auto"/>
            <w:vAlign w:val="center"/>
          </w:tcPr>
          <w:p w14:paraId="1042A63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r>
      <w:tr w14:paraId="67CF7AC7">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0DF5823F">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1FDBC556">
            <w:pPr>
              <w:widowControl/>
              <w:jc w:val="center"/>
              <w:textAlignment w:val="center"/>
              <w:rPr>
                <w:rFonts w:hint="eastAsia"/>
                <w:sz w:val="20"/>
                <w:szCs w:val="20"/>
                <w:highlight w:val="none"/>
              </w:rPr>
            </w:pPr>
            <w:r>
              <w:rPr>
                <w:rFonts w:hint="eastAsia"/>
                <w:sz w:val="20"/>
                <w:szCs w:val="20"/>
                <w:highlight w:val="none"/>
              </w:rPr>
              <w:t>服务保障措施</w:t>
            </w:r>
          </w:p>
          <w:p w14:paraId="34CE41DA">
            <w:pPr>
              <w:widowControl/>
              <w:jc w:val="center"/>
              <w:textAlignment w:val="center"/>
              <w:rPr>
                <w:rFonts w:hint="eastAsia"/>
                <w:sz w:val="20"/>
                <w:szCs w:val="20"/>
                <w:highlight w:val="none"/>
              </w:rPr>
            </w:pPr>
          </w:p>
        </w:tc>
        <w:tc>
          <w:tcPr>
            <w:tcW w:w="3156" w:type="pct"/>
            <w:tcBorders>
              <w:top w:val="single" w:color="auto" w:sz="4" w:space="0"/>
              <w:left w:val="nil"/>
              <w:bottom w:val="single" w:color="auto" w:sz="4" w:space="0"/>
              <w:right w:val="nil"/>
            </w:tcBorders>
            <w:shd w:val="clear" w:color="auto" w:fill="auto"/>
            <w:vAlign w:val="center"/>
          </w:tcPr>
          <w:p w14:paraId="5A50732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保修承诺评分（2分）：</w:t>
            </w:r>
          </w:p>
          <w:p w14:paraId="2DC7D324">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乙方为本项目所提供软件的保修期为[12]个月的不得分，承诺每增加3个月加1分，本项满分2分。（提供承诺）</w:t>
            </w:r>
          </w:p>
          <w:p w14:paraId="3790CD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免费更新承诺评分（2分):</w:t>
            </w:r>
            <w:r>
              <w:rPr>
                <w:rFonts w:hint="eastAsia" w:ascii="宋体" w:hAnsi="宋体" w:eastAsia="宋体" w:cs="宋体"/>
                <w:b w:val="0"/>
                <w:bCs w:val="0"/>
                <w:i w:val="0"/>
                <w:iCs w:val="0"/>
                <w:color w:val="000000"/>
                <w:kern w:val="0"/>
                <w:sz w:val="20"/>
                <w:szCs w:val="20"/>
                <w:u w:val="none"/>
                <w:lang w:val="en-US" w:eastAsia="zh-CN" w:bidi="ar"/>
              </w:rPr>
              <w:t>根据</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人承诺提供的中间件（</w:t>
            </w:r>
            <w:r>
              <w:rPr>
                <w:rFonts w:hint="eastAsia" w:ascii="宋体" w:hAnsi="宋体" w:eastAsia="宋体" w:cs="宋体"/>
                <w:b w:val="0"/>
                <w:bCs w:val="0"/>
                <w:i w:val="0"/>
                <w:iCs w:val="0"/>
                <w:color w:val="000000"/>
                <w:kern w:val="2"/>
                <w:sz w:val="20"/>
                <w:szCs w:val="20"/>
                <w:u w:val="none"/>
                <w:lang w:val="en-US" w:eastAsia="zh-CN" w:bidi="ar-SA"/>
              </w:rPr>
              <w:t>应用服务器软件企业版、负载均衡软件、内存数据缓存软件</w:t>
            </w:r>
            <w:r>
              <w:rPr>
                <w:rFonts w:hint="eastAsia" w:ascii="宋体" w:hAnsi="宋体" w:cs="宋体"/>
                <w:b w:val="0"/>
                <w:bCs w:val="0"/>
                <w:i w:val="0"/>
                <w:iCs w:val="0"/>
                <w:color w:val="000000"/>
                <w:kern w:val="2"/>
                <w:sz w:val="20"/>
                <w:szCs w:val="20"/>
                <w:u w:val="none"/>
                <w:lang w:val="en-US" w:eastAsia="zh-CN" w:bidi="ar-SA"/>
              </w:rPr>
              <w:t>、分布式消息队列软件</w:t>
            </w:r>
            <w:r>
              <w:rPr>
                <w:rFonts w:hint="eastAsia" w:ascii="宋体" w:hAnsi="宋体" w:eastAsia="宋体" w:cs="宋体"/>
                <w:b w:val="0"/>
                <w:bCs w:val="0"/>
                <w:i w:val="0"/>
                <w:iCs w:val="0"/>
                <w:color w:val="000000"/>
                <w:kern w:val="0"/>
                <w:sz w:val="20"/>
                <w:szCs w:val="20"/>
                <w:u w:val="none"/>
                <w:lang w:val="en-US" w:eastAsia="zh-CN" w:bidi="ar"/>
              </w:rPr>
              <w:t>）免费更新服务进行评审：免费更新服务为12个月不得分，在此基础上每增加3个月加1分，本项最多得2分。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7677ED4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r>
      <w:tr w14:paraId="294E96D5">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6AE757F9">
            <w:pPr>
              <w:widowControl/>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7B0C4B98">
            <w:pPr>
              <w:pStyle w:val="78"/>
              <w:keepNext w:val="0"/>
              <w:keepLines w:val="0"/>
              <w:widowControl/>
              <w:suppressLineNumbers w:val="0"/>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进度安排</w:t>
            </w:r>
          </w:p>
        </w:tc>
        <w:tc>
          <w:tcPr>
            <w:tcW w:w="3156" w:type="pct"/>
            <w:tcBorders>
              <w:top w:val="single" w:color="auto" w:sz="4" w:space="0"/>
              <w:left w:val="nil"/>
              <w:bottom w:val="single" w:color="auto" w:sz="4" w:space="0"/>
              <w:right w:val="nil"/>
            </w:tcBorders>
            <w:shd w:val="clear" w:color="auto" w:fill="auto"/>
            <w:vAlign w:val="center"/>
          </w:tcPr>
          <w:p w14:paraId="1FE52D84">
            <w:pPr>
              <w:pStyle w:val="78"/>
              <w:keepNext w:val="0"/>
              <w:keepLines w:val="0"/>
              <w:widowControl/>
              <w:suppressLineNumbers w:val="0"/>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val="0"/>
                <w:bCs w:val="0"/>
                <w:i w:val="0"/>
                <w:iCs w:val="0"/>
                <w:color w:val="000000"/>
                <w:kern w:val="0"/>
                <w:sz w:val="20"/>
                <w:szCs w:val="20"/>
                <w:u w:val="none"/>
                <w:lang w:val="en-US" w:eastAsia="zh-CN" w:bidi="ar"/>
              </w:rPr>
              <w:t>投标人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692" w:type="pct"/>
            <w:tcBorders>
              <w:top w:val="nil"/>
              <w:left w:val="single" w:color="auto" w:sz="4" w:space="0"/>
              <w:bottom w:val="single" w:color="auto" w:sz="4" w:space="0"/>
              <w:right w:val="single" w:color="auto" w:sz="4" w:space="0"/>
            </w:tcBorders>
            <w:shd w:val="clear" w:color="auto" w:fill="auto"/>
            <w:vAlign w:val="center"/>
          </w:tcPr>
          <w:p w14:paraId="41BF94B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r>
      <w:tr w14:paraId="546C20AE">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158C3BB1">
            <w:pPr>
              <w:widowControl/>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35223190">
            <w:pPr>
              <w:widowControl/>
              <w:jc w:val="center"/>
              <w:textAlignment w:val="center"/>
              <w:rPr>
                <w:rFonts w:hint="eastAsia"/>
                <w:sz w:val="20"/>
                <w:szCs w:val="20"/>
                <w:highlight w:val="none"/>
              </w:rPr>
            </w:pPr>
            <w:r>
              <w:rPr>
                <w:rFonts w:hint="eastAsia"/>
                <w:sz w:val="20"/>
                <w:szCs w:val="20"/>
                <w:highlight w:val="none"/>
              </w:rPr>
              <w:t>软件安全管理</w:t>
            </w:r>
          </w:p>
          <w:p w14:paraId="280821C8">
            <w:pPr>
              <w:widowControl/>
              <w:jc w:val="center"/>
              <w:textAlignment w:val="center"/>
              <w:rPr>
                <w:rFonts w:ascii="宋体" w:hAnsi="宋体" w:cs="宋体"/>
                <w:kern w:val="0"/>
                <w:sz w:val="20"/>
                <w:szCs w:val="20"/>
                <w:highlight w:val="none"/>
                <w:lang w:bidi="ar"/>
              </w:rPr>
            </w:pPr>
          </w:p>
        </w:tc>
        <w:tc>
          <w:tcPr>
            <w:tcW w:w="3156" w:type="pct"/>
            <w:tcBorders>
              <w:top w:val="single" w:color="auto" w:sz="4" w:space="0"/>
              <w:left w:val="nil"/>
              <w:bottom w:val="single" w:color="auto" w:sz="4" w:space="0"/>
              <w:right w:val="nil"/>
            </w:tcBorders>
            <w:shd w:val="clear" w:color="auto" w:fill="auto"/>
            <w:vAlign w:val="center"/>
          </w:tcPr>
          <w:p w14:paraId="321E143A">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w:t>
            </w:r>
            <w:r>
              <w:rPr>
                <w:rFonts w:hint="eastAsia" w:ascii="宋体" w:hAnsi="宋体" w:cs="宋体"/>
                <w:b/>
                <w:bCs/>
                <w:i w:val="0"/>
                <w:iCs w:val="0"/>
                <w:color w:val="000000"/>
                <w:kern w:val="0"/>
                <w:sz w:val="20"/>
                <w:szCs w:val="20"/>
                <w:u w:val="none"/>
                <w:lang w:val="en-US" w:eastAsia="zh-CN" w:bidi="ar"/>
              </w:rPr>
              <w:t>6</w:t>
            </w:r>
            <w:r>
              <w:rPr>
                <w:rFonts w:hint="eastAsia" w:ascii="宋体" w:hAnsi="宋体" w:eastAsia="宋体" w:cs="宋体"/>
                <w:b/>
                <w:bCs/>
                <w:i w:val="0"/>
                <w:iCs w:val="0"/>
                <w:color w:val="000000"/>
                <w:kern w:val="0"/>
                <w:sz w:val="20"/>
                <w:szCs w:val="20"/>
                <w:u w:val="none"/>
                <w:lang w:val="en-US" w:eastAsia="zh-CN" w:bidi="ar"/>
              </w:rPr>
              <w:t>分）：</w:t>
            </w:r>
          </w:p>
          <w:p w14:paraId="53C7B7D8">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投标人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w:t>
            </w:r>
          </w:p>
          <w:p w14:paraId="3C612F54">
            <w:pPr>
              <w:keepNext w:val="0"/>
              <w:keepLines w:val="0"/>
              <w:widowControl/>
              <w:suppressLineNumbers w:val="0"/>
              <w:jc w:val="left"/>
              <w:textAlignment w:val="center"/>
              <w:rPr>
                <w:kern w:val="0"/>
                <w:sz w:val="20"/>
                <w:szCs w:val="20"/>
                <w:highlight w:val="none"/>
              </w:rPr>
            </w:pPr>
            <w:r>
              <w:rPr>
                <w:rFonts w:hint="eastAsia" w:ascii="宋体" w:hAnsi="宋体" w:eastAsia="宋体" w:cs="宋体"/>
                <w:b w:val="0"/>
                <w:bCs w:val="0"/>
                <w:i w:val="0"/>
                <w:iCs w:val="0"/>
                <w:color w:val="000000"/>
                <w:kern w:val="0"/>
                <w:sz w:val="20"/>
                <w:szCs w:val="20"/>
                <w:u w:val="none"/>
                <w:lang w:val="en-US" w:eastAsia="zh-CN" w:bidi="ar"/>
              </w:rPr>
              <w:t>注：需提供证明材料，未提供证明材料视为供应链安全风险程度高；未提供软件成分信息清单的将被否决投标。</w:t>
            </w:r>
          </w:p>
        </w:tc>
        <w:tc>
          <w:tcPr>
            <w:tcW w:w="692" w:type="pct"/>
            <w:tcBorders>
              <w:top w:val="nil"/>
              <w:left w:val="single" w:color="auto" w:sz="4" w:space="0"/>
              <w:bottom w:val="single" w:color="auto" w:sz="4" w:space="0"/>
              <w:right w:val="single" w:color="auto" w:sz="4" w:space="0"/>
            </w:tcBorders>
            <w:shd w:val="clear" w:color="auto" w:fill="auto"/>
            <w:vAlign w:val="center"/>
          </w:tcPr>
          <w:p w14:paraId="6542F706">
            <w:pPr>
              <w:keepNext w:val="0"/>
              <w:keepLines w:val="0"/>
              <w:widowControl/>
              <w:suppressLineNumbers w:val="0"/>
              <w:jc w:val="center"/>
              <w:textAlignment w:val="center"/>
              <w:rPr>
                <w:rFonts w:hint="default" w:ascii="宋体" w:hAnsi="宋体" w:cs="宋体"/>
                <w:kern w:val="0"/>
                <w:sz w:val="20"/>
                <w:szCs w:val="20"/>
                <w:highlight w:val="none"/>
                <w:lang w:val="en-US" w:bidi="ar"/>
              </w:rPr>
            </w:pPr>
            <w:r>
              <w:rPr>
                <w:rFonts w:hint="eastAsia" w:ascii="宋体" w:hAnsi="宋体" w:cs="宋体"/>
                <w:i w:val="0"/>
                <w:iCs w:val="0"/>
                <w:color w:val="000000"/>
                <w:kern w:val="0"/>
                <w:sz w:val="20"/>
                <w:szCs w:val="20"/>
                <w:u w:val="none"/>
                <w:lang w:val="en-US" w:eastAsia="zh-CN" w:bidi="ar"/>
              </w:rPr>
              <w:t>6</w:t>
            </w:r>
          </w:p>
        </w:tc>
      </w:tr>
      <w:tr w14:paraId="311E3E96">
        <w:tblPrEx>
          <w:tblCellMar>
            <w:top w:w="0" w:type="dxa"/>
            <w:left w:w="108" w:type="dxa"/>
            <w:bottom w:w="0" w:type="dxa"/>
            <w:right w:w="108" w:type="dxa"/>
          </w:tblCellMar>
        </w:tblPrEx>
        <w:trPr>
          <w:trHeight w:val="90"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702D165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2E6ED75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网络安全管理能力</w:t>
            </w:r>
          </w:p>
        </w:tc>
        <w:tc>
          <w:tcPr>
            <w:tcW w:w="3156" w:type="pct"/>
            <w:tcBorders>
              <w:top w:val="single" w:color="auto" w:sz="4" w:space="0"/>
              <w:left w:val="nil"/>
              <w:bottom w:val="single" w:color="auto" w:sz="4" w:space="0"/>
              <w:right w:val="nil"/>
            </w:tcBorders>
            <w:shd w:val="clear" w:color="auto" w:fill="auto"/>
            <w:vAlign w:val="center"/>
          </w:tcPr>
          <w:p w14:paraId="4946F161">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p>
          <w:p w14:paraId="4979124A">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投标人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自理）：经自查本次投标产品不存在《工业和信息化部网络安全威胁和漏洞信息共享平台（NVDB）》已公布的互联网暴露面及内网系统系统高、中危漏洞。</w:t>
            </w:r>
          </w:p>
          <w:p w14:paraId="7F1C923F">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管理制度不完整、无安全运行情况或安全运行情况较差、得[0-0.5]分；管理制度较完整、运行情况一般的得、被书面通报存在重大隐患但已按按要求整改的（0.5-1]分；管理制度完整、运行情况较好、管理先进的得（1-2]分；未提供报告、近3年内被行政处罚的为0分。（未提供安全漏洞自查承诺、报告隐瞒上述安全隐患、行政处罚的将被否决投标）</w:t>
            </w:r>
          </w:p>
        </w:tc>
        <w:tc>
          <w:tcPr>
            <w:tcW w:w="692" w:type="pct"/>
            <w:tcBorders>
              <w:top w:val="nil"/>
              <w:left w:val="single" w:color="auto" w:sz="4" w:space="0"/>
              <w:bottom w:val="single" w:color="auto" w:sz="4" w:space="0"/>
              <w:right w:val="single" w:color="auto" w:sz="4" w:space="0"/>
            </w:tcBorders>
            <w:shd w:val="clear" w:color="auto" w:fill="auto"/>
            <w:vAlign w:val="center"/>
          </w:tcPr>
          <w:p w14:paraId="5EB57B27">
            <w:pPr>
              <w:keepNext w:val="0"/>
              <w:keepLines w:val="0"/>
              <w:widowControl/>
              <w:suppressLineNumbers w:val="0"/>
              <w:jc w:val="center"/>
              <w:textAlignment w:val="center"/>
              <w:rPr>
                <w:rFonts w:hint="default" w:ascii="宋体" w:hAnsi="宋体" w:cs="宋体"/>
                <w:kern w:val="0"/>
                <w:sz w:val="20"/>
                <w:szCs w:val="20"/>
                <w:highlight w:val="none"/>
                <w:lang w:val="en-US" w:bidi="ar"/>
              </w:rPr>
            </w:pPr>
            <w:r>
              <w:rPr>
                <w:rFonts w:hint="eastAsia" w:ascii="宋体" w:hAnsi="宋体" w:cs="宋体"/>
                <w:i w:val="0"/>
                <w:iCs w:val="0"/>
                <w:color w:val="000000"/>
                <w:kern w:val="0"/>
                <w:sz w:val="20"/>
                <w:szCs w:val="20"/>
                <w:u w:val="none"/>
                <w:lang w:val="en-US" w:eastAsia="zh-CN" w:bidi="ar"/>
              </w:rPr>
              <w:t>2</w:t>
            </w:r>
          </w:p>
        </w:tc>
      </w:tr>
      <w:tr w14:paraId="7E1D4E78">
        <w:tblPrEx>
          <w:tblCellMar>
            <w:top w:w="0" w:type="dxa"/>
            <w:left w:w="108" w:type="dxa"/>
            <w:bottom w:w="0" w:type="dxa"/>
            <w:right w:w="108" w:type="dxa"/>
          </w:tblCellMar>
        </w:tblPrEx>
        <w:trPr>
          <w:trHeight w:val="855" w:hRule="atLeast"/>
        </w:trPr>
        <w:tc>
          <w:tcPr>
            <w:tcW w:w="382" w:type="pct"/>
            <w:tcBorders>
              <w:top w:val="nil"/>
              <w:left w:val="single" w:color="auto" w:sz="4" w:space="0"/>
              <w:bottom w:val="single" w:color="auto" w:sz="4" w:space="0"/>
              <w:right w:val="single" w:color="auto" w:sz="4" w:space="0"/>
            </w:tcBorders>
            <w:shd w:val="clear" w:color="000000" w:fill="auto"/>
            <w:vAlign w:val="center"/>
          </w:tcPr>
          <w:p w14:paraId="674F6EE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11</w:t>
            </w:r>
          </w:p>
        </w:tc>
        <w:tc>
          <w:tcPr>
            <w:tcW w:w="768" w:type="pct"/>
            <w:tcBorders>
              <w:top w:val="single" w:color="auto" w:sz="4" w:space="0"/>
              <w:left w:val="single" w:color="auto" w:sz="4" w:space="0"/>
              <w:bottom w:val="single" w:color="auto" w:sz="4" w:space="0"/>
              <w:right w:val="single" w:color="auto" w:sz="4" w:space="0"/>
            </w:tcBorders>
            <w:shd w:val="clear" w:color="000000" w:fill="auto"/>
            <w:vAlign w:val="center"/>
          </w:tcPr>
          <w:p w14:paraId="1BB67D9D">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著作权证书</w:t>
            </w:r>
          </w:p>
        </w:tc>
        <w:tc>
          <w:tcPr>
            <w:tcW w:w="3156" w:type="pct"/>
            <w:tcBorders>
              <w:top w:val="single" w:color="auto" w:sz="4" w:space="0"/>
              <w:left w:val="nil"/>
              <w:bottom w:val="single" w:color="auto" w:sz="4" w:space="0"/>
              <w:right w:val="nil"/>
            </w:tcBorders>
            <w:shd w:val="clear" w:color="auto" w:fill="auto"/>
            <w:vAlign w:val="center"/>
          </w:tcPr>
          <w:p w14:paraId="0159292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p>
          <w:p w14:paraId="2C294B53">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w:t>
            </w:r>
            <w:r>
              <w:rPr>
                <w:rFonts w:hint="eastAsia" w:ascii="宋体" w:hAnsi="宋体" w:cs="宋体"/>
                <w:b w:val="0"/>
                <w:bCs w:val="0"/>
                <w:i w:val="0"/>
                <w:iCs w:val="0"/>
                <w:color w:val="000000"/>
                <w:kern w:val="0"/>
                <w:sz w:val="20"/>
                <w:szCs w:val="20"/>
                <w:u w:val="none"/>
                <w:lang w:val="en-US" w:eastAsia="zh-CN" w:bidi="ar"/>
              </w:rPr>
              <w:t>投标人</w:t>
            </w:r>
            <w:r>
              <w:rPr>
                <w:rFonts w:hint="eastAsia" w:ascii="宋体" w:hAnsi="宋体" w:eastAsia="宋体" w:cs="宋体"/>
                <w:b w:val="0"/>
                <w:bCs w:val="0"/>
                <w:i w:val="0"/>
                <w:iCs w:val="0"/>
                <w:color w:val="000000"/>
                <w:kern w:val="0"/>
                <w:sz w:val="20"/>
                <w:szCs w:val="20"/>
                <w:u w:val="none"/>
                <w:lang w:val="en-US" w:eastAsia="zh-CN" w:bidi="ar"/>
              </w:rPr>
              <w:t>提供的软件著作权进行评分（提供证明文件必须与供应商本公司名称或授权</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人的产品制造商名称一致，所提供的软件著作权必须与本次</w:t>
            </w:r>
            <w:r>
              <w:rPr>
                <w:rFonts w:hint="eastAsia" w:ascii="宋体" w:hAnsi="宋体" w:cs="宋体"/>
                <w:b w:val="0"/>
                <w:bCs w:val="0"/>
                <w:i w:val="0"/>
                <w:iCs w:val="0"/>
                <w:color w:val="000000"/>
                <w:kern w:val="0"/>
                <w:sz w:val="20"/>
                <w:szCs w:val="20"/>
                <w:u w:val="none"/>
                <w:lang w:val="en-US" w:eastAsia="zh-CN" w:bidi="ar"/>
              </w:rPr>
              <w:t>投标</w:t>
            </w:r>
            <w:r>
              <w:rPr>
                <w:rFonts w:hint="eastAsia" w:ascii="宋体" w:hAnsi="宋体" w:eastAsia="宋体" w:cs="宋体"/>
                <w:b w:val="0"/>
                <w:bCs w:val="0"/>
                <w:i w:val="0"/>
                <w:iCs w:val="0"/>
                <w:color w:val="000000"/>
                <w:kern w:val="0"/>
                <w:sz w:val="20"/>
                <w:szCs w:val="20"/>
                <w:u w:val="none"/>
                <w:lang w:val="en-US" w:eastAsia="zh-CN" w:bidi="ar"/>
              </w:rPr>
              <w:t>产品相关，其他不计算在内），每提供一项有效的著作权得1分，最高不超过2分。</w:t>
            </w:r>
          </w:p>
          <w:p w14:paraId="2E098649">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注：需提供相关证书扫描件，证书需在有效期内，否则不得分。</w:t>
            </w:r>
          </w:p>
        </w:tc>
        <w:tc>
          <w:tcPr>
            <w:tcW w:w="692" w:type="pct"/>
            <w:tcBorders>
              <w:top w:val="nil"/>
              <w:left w:val="single" w:color="auto" w:sz="4" w:space="0"/>
              <w:bottom w:val="single" w:color="auto" w:sz="4" w:space="0"/>
              <w:right w:val="single" w:color="auto" w:sz="4" w:space="0"/>
            </w:tcBorders>
            <w:shd w:val="clear" w:color="auto" w:fill="auto"/>
            <w:vAlign w:val="center"/>
          </w:tcPr>
          <w:p w14:paraId="1A190F65">
            <w:pPr>
              <w:keepNext w:val="0"/>
              <w:keepLines w:val="0"/>
              <w:widowControl/>
              <w:suppressLineNumbers w:val="0"/>
              <w:jc w:val="center"/>
              <w:textAlignment w:val="center"/>
              <w:rPr>
                <w:rFonts w:ascii="宋体" w:hAnsi="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w:t>
            </w:r>
          </w:p>
        </w:tc>
      </w:tr>
      <w:tr w14:paraId="06F30CDD">
        <w:tblPrEx>
          <w:tblCellMar>
            <w:top w:w="0" w:type="dxa"/>
            <w:left w:w="108" w:type="dxa"/>
            <w:bottom w:w="0" w:type="dxa"/>
            <w:right w:w="108" w:type="dxa"/>
          </w:tblCellMar>
        </w:tblPrEx>
        <w:trPr>
          <w:trHeight w:val="411" w:hRule="atLeast"/>
        </w:trPr>
        <w:tc>
          <w:tcPr>
            <w:tcW w:w="4307" w:type="pct"/>
            <w:gridSpan w:val="3"/>
            <w:tcBorders>
              <w:top w:val="single" w:color="auto" w:sz="4" w:space="0"/>
              <w:left w:val="single" w:color="auto" w:sz="4" w:space="0"/>
              <w:bottom w:val="single" w:color="auto" w:sz="4" w:space="0"/>
              <w:right w:val="single" w:color="auto" w:sz="4" w:space="0"/>
            </w:tcBorders>
            <w:vAlign w:val="center"/>
          </w:tcPr>
          <w:p w14:paraId="4CF2C1F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692" w:type="pct"/>
            <w:tcBorders>
              <w:top w:val="single" w:color="auto" w:sz="4" w:space="0"/>
              <w:left w:val="nil"/>
              <w:bottom w:val="single" w:color="auto" w:sz="4" w:space="0"/>
              <w:right w:val="single" w:color="auto" w:sz="4" w:space="0"/>
            </w:tcBorders>
            <w:shd w:val="clear" w:color="auto" w:fill="auto"/>
            <w:vAlign w:val="center"/>
          </w:tcPr>
          <w:p w14:paraId="6719C13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p>
        </w:tc>
      </w:tr>
    </w:tbl>
    <w:p w14:paraId="4F5FBC86">
      <w:pPr>
        <w:widowControl/>
        <w:jc w:val="left"/>
        <w:rPr>
          <w:rFonts w:cs="宋体" w:asciiTheme="minorEastAsia" w:hAnsiTheme="minorEastAsia" w:eastAsiaTheme="minorEastAsia"/>
          <w:sz w:val="32"/>
          <w:szCs w:val="32"/>
          <w:highlight w:val="none"/>
        </w:rPr>
      </w:pPr>
    </w:p>
    <w:p w14:paraId="747E4759">
      <w:pPr>
        <w:widowControl/>
        <w:jc w:val="left"/>
        <w:rPr>
          <w:rFonts w:cs="宋体" w:asciiTheme="minorEastAsia" w:hAnsiTheme="minorEastAsia" w:eastAsiaTheme="minorEastAsia"/>
          <w:sz w:val="32"/>
          <w:szCs w:val="32"/>
          <w:highlight w:val="none"/>
        </w:rPr>
      </w:pPr>
      <w:r>
        <w:rPr>
          <w:rFonts w:cs="宋体" w:asciiTheme="minorEastAsia" w:hAnsiTheme="minorEastAsia" w:eastAsiaTheme="minorEastAsia"/>
          <w:sz w:val="32"/>
          <w:szCs w:val="32"/>
          <w:highlight w:val="none"/>
        </w:rPr>
        <w:br w:type="page"/>
      </w:r>
    </w:p>
    <w:bookmarkEnd w:id="590"/>
    <w:bookmarkEnd w:id="591"/>
    <w:bookmarkEnd w:id="592"/>
    <w:bookmarkEnd w:id="593"/>
    <w:bookmarkEnd w:id="594"/>
    <w:p w14:paraId="3A9E251C">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595" w:name="_Toc30123"/>
      <w:bookmarkStart w:id="596" w:name="_Toc16544"/>
      <w:bookmarkStart w:id="597" w:name="_Toc17019"/>
      <w:bookmarkStart w:id="598" w:name="_Toc18704"/>
      <w:bookmarkStart w:id="599" w:name="_Toc38008030"/>
      <w:bookmarkStart w:id="600" w:name="_Toc7531"/>
      <w:bookmarkStart w:id="601" w:name="_Toc475472623"/>
      <w:bookmarkStart w:id="602" w:name="_Toc9896"/>
      <w:bookmarkStart w:id="603" w:name="_Toc20787"/>
      <w:bookmarkStart w:id="604" w:name="_Toc15046"/>
      <w:bookmarkStart w:id="605" w:name="_Toc17610"/>
      <w:bookmarkStart w:id="606" w:name="_Toc28038"/>
      <w:bookmarkStart w:id="607" w:name="_Toc22978"/>
      <w:bookmarkStart w:id="608" w:name="_Toc5348"/>
      <w:bookmarkStart w:id="609" w:name="_Toc447265599"/>
      <w:bookmarkStart w:id="610" w:name="_Toc226969353"/>
      <w:bookmarkStart w:id="611" w:name="_Toc447265313"/>
      <w:bookmarkStart w:id="612" w:name="_Toc227057959"/>
      <w:bookmarkStart w:id="613" w:name="_Toc107822570"/>
      <w:r>
        <w:rPr>
          <w:rFonts w:hint="eastAsia" w:ascii="宋体" w:hAnsi="宋体" w:eastAsia="宋体" w:cs="Times New Roman"/>
          <w:b/>
          <w:bCs/>
          <w:kern w:val="2"/>
          <w:sz w:val="28"/>
          <w:szCs w:val="28"/>
          <w:lang w:val="en-US" w:eastAsia="zh-CN" w:bidi="ar-SA"/>
        </w:rPr>
        <w:t>评标方法</w:t>
      </w:r>
      <w:bookmarkEnd w:id="595"/>
      <w:bookmarkEnd w:id="596"/>
    </w:p>
    <w:p w14:paraId="60028002">
      <w:pPr>
        <w:adjustRightInd w:val="0"/>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本集中招标项目评标采用综合评估法。评标委员会对满足招标文件实质要求的投标文件，根据本章第2.2款规定的评分因素和评分标准进行评分，按照综合评分由高到低的顺序推荐中标候选人，或者根据招标人授权直接确定中标人，但投标报价低于其成本的除外。</w:t>
      </w:r>
    </w:p>
    <w:p w14:paraId="5AF5A896">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614" w:name="_Toc23935"/>
      <w:bookmarkStart w:id="615" w:name="_Toc3958"/>
      <w:r>
        <w:rPr>
          <w:rFonts w:hint="eastAsia" w:ascii="宋体" w:hAnsi="宋体" w:eastAsia="宋体" w:cs="Times New Roman"/>
          <w:b/>
          <w:bCs/>
          <w:kern w:val="2"/>
          <w:sz w:val="28"/>
          <w:szCs w:val="28"/>
          <w:lang w:val="en-US" w:eastAsia="zh-CN" w:bidi="ar-SA"/>
        </w:rPr>
        <w:t>评审标准</w:t>
      </w:r>
      <w:bookmarkEnd w:id="614"/>
      <w:bookmarkEnd w:id="615"/>
    </w:p>
    <w:p w14:paraId="1D5176DC">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16" w:name="_Toc13743"/>
      <w:bookmarkStart w:id="617" w:name="_Toc4865"/>
      <w:r>
        <w:rPr>
          <w:rFonts w:hint="eastAsia" w:ascii="宋体" w:hAnsi="宋体" w:eastAsia="宋体" w:cs="Times New Roman"/>
          <w:b/>
          <w:bCs/>
          <w:kern w:val="2"/>
          <w:sz w:val="24"/>
          <w:szCs w:val="24"/>
          <w:lang w:val="en-US" w:eastAsia="zh-CN" w:bidi="ar-SA"/>
        </w:rPr>
        <w:t>初步评审标准</w:t>
      </w:r>
      <w:bookmarkEnd w:id="616"/>
      <w:bookmarkEnd w:id="617"/>
    </w:p>
    <w:p w14:paraId="59498CC5">
      <w:pPr>
        <w:adjustRightInd w:val="0"/>
        <w:snapToGrid w:val="0"/>
        <w:spacing w:line="440" w:lineRule="exact"/>
        <w:ind w:firstLine="369" w:firstLineChars="176"/>
        <w:rPr>
          <w:rFonts w:ascii="宋体" w:hAnsi="宋体" w:eastAsia="宋体" w:cs="宋体"/>
          <w:szCs w:val="21"/>
        </w:rPr>
      </w:pPr>
      <w:r>
        <w:rPr>
          <w:rFonts w:hint="eastAsia" w:ascii="宋体" w:hAnsi="宋体" w:eastAsia="宋体" w:cs="宋体"/>
          <w:szCs w:val="21"/>
        </w:rPr>
        <w:t>初步评审标准：见评标办法前附表。</w:t>
      </w:r>
    </w:p>
    <w:p w14:paraId="75AA39E7">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18" w:name="_Toc15816"/>
      <w:bookmarkStart w:id="619" w:name="_Toc18667"/>
      <w:r>
        <w:rPr>
          <w:rFonts w:hint="eastAsia" w:ascii="宋体" w:hAnsi="宋体" w:eastAsia="宋体" w:cs="Times New Roman"/>
          <w:b/>
          <w:bCs/>
          <w:kern w:val="2"/>
          <w:sz w:val="24"/>
          <w:szCs w:val="24"/>
          <w:lang w:val="en-US" w:eastAsia="zh-CN" w:bidi="ar-SA"/>
        </w:rPr>
        <w:t>详细评审标准</w:t>
      </w:r>
      <w:bookmarkEnd w:id="618"/>
      <w:bookmarkEnd w:id="619"/>
    </w:p>
    <w:p w14:paraId="1E7C590B">
      <w:pPr>
        <w:adjustRightInd w:val="0"/>
        <w:snapToGrid w:val="0"/>
        <w:spacing w:line="440" w:lineRule="exact"/>
        <w:ind w:firstLine="369" w:firstLineChars="176"/>
        <w:rPr>
          <w:rFonts w:ascii="宋体" w:hAnsi="宋体" w:eastAsia="宋体" w:cs="宋体"/>
          <w:szCs w:val="21"/>
        </w:rPr>
      </w:pPr>
      <w:r>
        <w:rPr>
          <w:rFonts w:hint="eastAsia" w:ascii="宋体" w:hAnsi="宋体" w:eastAsia="宋体" w:cs="宋体"/>
          <w:szCs w:val="21"/>
        </w:rPr>
        <w:t>详细评审标准：见评标办法前附表。</w:t>
      </w:r>
    </w:p>
    <w:p w14:paraId="2370B3DE">
      <w:pPr>
        <w:widowControl w:val="0"/>
        <w:numPr>
          <w:ilvl w:val="0"/>
          <w:numId w:val="84"/>
        </w:numPr>
        <w:tabs>
          <w:tab w:val="left" w:pos="602"/>
        </w:tabs>
        <w:snapToGrid w:val="0"/>
        <w:spacing w:before="120" w:after="120" w:line="440" w:lineRule="exact"/>
        <w:ind w:left="425" w:hanging="425"/>
        <w:jc w:val="left"/>
        <w:outlineLvl w:val="1"/>
        <w:rPr>
          <w:rFonts w:ascii="宋体" w:hAnsi="宋体" w:eastAsia="宋体" w:cs="Times New Roman"/>
          <w:b/>
          <w:bCs/>
          <w:kern w:val="2"/>
          <w:sz w:val="28"/>
          <w:szCs w:val="28"/>
          <w:lang w:val="en-US" w:eastAsia="zh-CN" w:bidi="ar-SA"/>
        </w:rPr>
      </w:pPr>
      <w:bookmarkStart w:id="620" w:name="_Toc29564"/>
      <w:bookmarkStart w:id="621" w:name="_Toc29803"/>
      <w:r>
        <w:rPr>
          <w:rFonts w:hint="eastAsia" w:ascii="宋体" w:hAnsi="宋体" w:eastAsia="宋体" w:cs="Times New Roman"/>
          <w:b/>
          <w:bCs/>
          <w:kern w:val="2"/>
          <w:sz w:val="28"/>
          <w:szCs w:val="28"/>
          <w:lang w:val="en-US" w:eastAsia="zh-CN" w:bidi="ar-SA"/>
        </w:rPr>
        <w:t>评标程序</w:t>
      </w:r>
      <w:bookmarkEnd w:id="620"/>
      <w:bookmarkEnd w:id="621"/>
    </w:p>
    <w:p w14:paraId="35B12052">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2" w:name="_Toc8426"/>
      <w:bookmarkStart w:id="623" w:name="_Toc9482"/>
      <w:r>
        <w:rPr>
          <w:rFonts w:hint="eastAsia" w:ascii="宋体" w:hAnsi="宋体" w:eastAsia="宋体" w:cs="Times New Roman"/>
          <w:b/>
          <w:bCs/>
          <w:kern w:val="2"/>
          <w:sz w:val="24"/>
          <w:szCs w:val="24"/>
          <w:lang w:val="en-US" w:eastAsia="zh-CN" w:bidi="ar-SA"/>
        </w:rPr>
        <w:t>初步评审</w:t>
      </w:r>
      <w:bookmarkEnd w:id="622"/>
      <w:bookmarkEnd w:id="623"/>
    </w:p>
    <w:p w14:paraId="6731A701">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评标委员会根据本章第2.1款规定的标准对投标文件进行初步评审。有一项不符合评审标准的，评标委员会应当否决其投标。</w:t>
      </w:r>
    </w:p>
    <w:p w14:paraId="76E0BA8F">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投标人有以下情形之一的，评标委员会应当否决其投标：</w:t>
      </w:r>
    </w:p>
    <w:p w14:paraId="2662010D">
      <w:pPr>
        <w:widowControl w:val="0"/>
        <w:numPr>
          <w:ilvl w:val="0"/>
          <w:numId w:val="85"/>
        </w:numPr>
        <w:tabs>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第二章“投标人须知”第1.8款规定的任何一种情形；</w:t>
      </w:r>
    </w:p>
    <w:p w14:paraId="18CF285E">
      <w:pPr>
        <w:widowControl w:val="0"/>
        <w:numPr>
          <w:ilvl w:val="0"/>
          <w:numId w:val="85"/>
        </w:numPr>
        <w:tabs>
          <w:tab w:val="left" w:pos="630"/>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不按照评标委员会要求澄清、说明或者补正；</w:t>
      </w:r>
    </w:p>
    <w:p w14:paraId="5E4C4D0D">
      <w:pPr>
        <w:widowControl w:val="0"/>
        <w:numPr>
          <w:ilvl w:val="0"/>
          <w:numId w:val="85"/>
        </w:numPr>
        <w:tabs>
          <w:tab w:val="left" w:pos="630"/>
          <w:tab w:val="left" w:pos="1134"/>
        </w:tabs>
        <w:adjustRightInd w:val="0"/>
        <w:snapToGrid w:val="0"/>
        <w:spacing w:line="440" w:lineRule="exact"/>
        <w:ind w:left="1140" w:hanging="7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投标文件未经投标单位盖章和单位负责人签字；</w:t>
      </w:r>
    </w:p>
    <w:p w14:paraId="3034E0B0">
      <w:pPr>
        <w:widowControl w:val="0"/>
        <w:numPr>
          <w:ilvl w:val="0"/>
          <w:numId w:val="86"/>
        </w:numPr>
        <w:tabs>
          <w:tab w:val="left" w:pos="630"/>
          <w:tab w:val="left" w:pos="1134"/>
        </w:tabs>
        <w:adjustRightInd w:val="0"/>
        <w:snapToGrid w:val="0"/>
        <w:spacing w:line="440" w:lineRule="exact"/>
        <w:ind w:left="840" w:hanging="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允许联合体投标的，投标联合体没有递交共同投标协议；</w:t>
      </w:r>
    </w:p>
    <w:p w14:paraId="779C882A">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投标人不符合国家或者招标文件规定的资格条件；</w:t>
      </w:r>
    </w:p>
    <w:p w14:paraId="4B20B75B">
      <w:pPr>
        <w:widowControl w:val="0"/>
        <w:numPr>
          <w:ilvl w:val="0"/>
          <w:numId w:val="86"/>
        </w:numPr>
        <w:tabs>
          <w:tab w:val="left" w:pos="-708"/>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同一投标人递交两个以上不同的投标文件或者投标报价，但招标文件要求递交备选投标的除外；</w:t>
      </w:r>
    </w:p>
    <w:p w14:paraId="412700E4">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投标报价低于成本或者高于招标文件设定的最高投标限价；</w:t>
      </w:r>
    </w:p>
    <w:p w14:paraId="1059F4B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投标文件没有对招标文件的实质性要求和条件做出响应；</w:t>
      </w:r>
    </w:p>
    <w:p w14:paraId="660DA15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投标人有串通投标、弄虚作假、行贿等违法行为；</w:t>
      </w:r>
    </w:p>
    <w:p w14:paraId="33F35B6D">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投标人以他人名义投标；</w:t>
      </w:r>
    </w:p>
    <w:p w14:paraId="1A072FC1">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没有按照招标文件要求提供投标担保或者所提供的投标担保有瑕疵；</w:t>
      </w:r>
    </w:p>
    <w:p w14:paraId="20BFB9B6">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投标文件载明的招标项目完成期限超过招标文件规定的期限；</w:t>
      </w:r>
    </w:p>
    <w:p w14:paraId="7644303D">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明显不符合技术规格、技术标准的要求；</w:t>
      </w:r>
    </w:p>
    <w:p w14:paraId="30FB8C0C">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投标文件载明的货物包装方式、检验标准和方法等不符合招标文件的要求；</w:t>
      </w:r>
    </w:p>
    <w:p w14:paraId="3D3873D0">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投标文件附有招标人不能接受的条件；</w:t>
      </w:r>
    </w:p>
    <w:p w14:paraId="39BFC908">
      <w:pPr>
        <w:widowControl w:val="0"/>
        <w:numPr>
          <w:ilvl w:val="0"/>
          <w:numId w:val="86"/>
        </w:numPr>
        <w:tabs>
          <w:tab w:val="left" w:pos="630"/>
          <w:tab w:val="left" w:pos="1134"/>
        </w:tabs>
        <w:adjustRightInd w:val="0"/>
        <w:snapToGrid w:val="0"/>
        <w:spacing w:line="440" w:lineRule="exact"/>
        <w:ind w:left="0" w:firstLine="42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不符合招标文件中规定的其他实质性要求。</w:t>
      </w:r>
    </w:p>
    <w:p w14:paraId="0D9002E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p w14:paraId="68CC77A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投标报价有算术错误的，评标委员会按照以下原则对投标报价进行修正，修正的价格经投标人书面确认后具有约束力。投标人不接受修正价格的，评标委员会应当否决其投标。</w:t>
      </w:r>
    </w:p>
    <w:p w14:paraId="40935D65">
      <w:pPr>
        <w:widowControl w:val="0"/>
        <w:numPr>
          <w:ilvl w:val="0"/>
          <w:numId w:val="0"/>
        </w:numPr>
        <w:tabs>
          <w:tab w:val="left" w:pos="1134"/>
        </w:tabs>
        <w:adjustRightInd w:val="0"/>
        <w:snapToGrid w:val="0"/>
        <w:spacing w:line="440" w:lineRule="exact"/>
        <w:ind w:left="1140" w:leftChars="0" w:hanging="7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（1）投标文件中的大写金额与小写金额不一致的，以大写金额为准；</w:t>
      </w:r>
    </w:p>
    <w:p w14:paraId="0737439B">
      <w:pPr>
        <w:widowControl w:val="0"/>
        <w:numPr>
          <w:ilvl w:val="0"/>
          <w:numId w:val="0"/>
        </w:numPr>
        <w:tabs>
          <w:tab w:val="left" w:pos="1134"/>
        </w:tabs>
        <w:adjustRightInd w:val="0"/>
        <w:snapToGrid w:val="0"/>
        <w:spacing w:line="440" w:lineRule="exact"/>
        <w:ind w:left="1140" w:leftChars="0" w:hanging="72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（2）总价金额与根据单价计算出的结果不一致的，以单价金额为准修正总价，但单价金额小数点有明显错误的除外。</w:t>
      </w:r>
    </w:p>
    <w:p w14:paraId="4EA6D710">
      <w:pPr>
        <w:widowControl w:val="0"/>
        <w:numPr>
          <w:ilvl w:val="0"/>
          <w:numId w:val="0"/>
        </w:numPr>
        <w:tabs>
          <w:tab w:val="left" w:pos="1134"/>
        </w:tabs>
        <w:adjustRightInd w:val="0"/>
        <w:snapToGrid w:val="0"/>
        <w:spacing w:line="440" w:lineRule="exact"/>
        <w:ind w:left="1140" w:leftChars="0" w:hanging="72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（3）含税金额与根据不含税金额计算出的结果不一致的，以不含税金额为准修正含税金额，但不含税金额有明显错误的除外。</w:t>
      </w:r>
    </w:p>
    <w:p w14:paraId="09101193">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4" w:name="_Toc12967"/>
      <w:bookmarkStart w:id="625" w:name="_Toc31245"/>
      <w:r>
        <w:rPr>
          <w:rFonts w:hint="eastAsia" w:ascii="宋体" w:hAnsi="宋体" w:eastAsia="宋体" w:cs="Times New Roman"/>
          <w:b/>
          <w:bCs/>
          <w:kern w:val="2"/>
          <w:sz w:val="24"/>
          <w:szCs w:val="24"/>
          <w:lang w:val="en-US" w:eastAsia="zh-CN" w:bidi="ar-SA"/>
        </w:rPr>
        <w:t>详细评审</w:t>
      </w:r>
      <w:bookmarkEnd w:id="624"/>
      <w:bookmarkEnd w:id="625"/>
    </w:p>
    <w:p w14:paraId="487EE75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评标委员会按照本章第2.2款规定的评审因素和量化标准进行评分，并计算出综合评估得分。</w:t>
      </w:r>
    </w:p>
    <w:p w14:paraId="477E5551">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评分分值计算原则上保留小数点后两位，小数点后第三位“四舍五入”。另有规定的，见评标办法前附表。</w:t>
      </w:r>
    </w:p>
    <w:p w14:paraId="549BD44C">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26" w:name="_Toc447265275"/>
      <w:bookmarkStart w:id="627" w:name="_Toc24177"/>
      <w:bookmarkStart w:id="628" w:name="_Toc447265561"/>
      <w:bookmarkStart w:id="629" w:name="_Toc1450"/>
      <w:r>
        <w:rPr>
          <w:rFonts w:hint="eastAsia" w:ascii="宋体" w:hAnsi="宋体" w:eastAsia="宋体" w:cs="Times New Roman"/>
          <w:b/>
          <w:bCs/>
          <w:kern w:val="2"/>
          <w:sz w:val="24"/>
          <w:szCs w:val="24"/>
          <w:lang w:val="en-US" w:eastAsia="zh-CN" w:bidi="ar-SA"/>
        </w:rPr>
        <w:t>投标文件的澄清</w:t>
      </w:r>
      <w:bookmarkEnd w:id="626"/>
      <w:bookmarkEnd w:id="627"/>
      <w:bookmarkEnd w:id="628"/>
      <w:bookmarkEnd w:id="629"/>
    </w:p>
    <w:p w14:paraId="792C5992">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在评标过程中，评标委员会应当以书面形式要求投标人对所递交的投标文件中不明确的内容进行书面澄清、说明或者对投标文件中的细微偏差进行补正。评标委员会不接受投标人主动提出的澄清、说明或者补正。</w:t>
      </w:r>
    </w:p>
    <w:p w14:paraId="357540CF">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细微偏差是指投标文件在实质上响应招标文件要求，但个别地方存在漏项或者提供了不完整的技术信息和数据等情况，并且补正这些遗漏或者不完整不会对其他投标人造成不公平的结果。细微偏差不影响投标文件的有效性。</w:t>
      </w:r>
    </w:p>
    <w:p w14:paraId="6E4407F5">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澄清、说明和补正不得改变投标文件的实质性内容（算术性错误修正的除外）。投标人的书面澄清、说明和补正属于投标文件的组成部分。</w:t>
      </w:r>
    </w:p>
    <w:p w14:paraId="42F23C23">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评标委员会对投标人递交的澄清、说明或者补正有疑问的，可以要求投标人进一步澄清、说明或者补正，直至满足评标委员会的要求。</w:t>
      </w:r>
    </w:p>
    <w:p w14:paraId="61F9E78D">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评标委员会必要时可以要求投标人递交有关证明和证件的原件，以便核验。</w:t>
      </w:r>
    </w:p>
    <w:p w14:paraId="4B34E816">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30" w:name="_Toc11220"/>
      <w:bookmarkStart w:id="631" w:name="_Toc1021"/>
      <w:r>
        <w:rPr>
          <w:rFonts w:hint="eastAsia" w:ascii="宋体" w:hAnsi="宋体" w:eastAsia="宋体" w:cs="Times New Roman"/>
          <w:b/>
          <w:bCs/>
          <w:kern w:val="2"/>
          <w:sz w:val="24"/>
          <w:szCs w:val="24"/>
          <w:lang w:val="en-US" w:eastAsia="zh-CN" w:bidi="ar-SA"/>
        </w:rPr>
        <w:t>中标候选人推荐原则</w:t>
      </w:r>
      <w:bookmarkEnd w:id="630"/>
      <w:bookmarkEnd w:id="631"/>
    </w:p>
    <w:p w14:paraId="47B861FE">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除第二章投标人须知前附表授权直接确定中标人外，评标委员会按照综合评分由高到低的顺序推荐中标候选人。综合评分相同的，处理原则见评标办法前附表。</w:t>
      </w:r>
    </w:p>
    <w:p w14:paraId="07942A7D">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中标候选人推荐原则见评标办法前附表。</w:t>
      </w:r>
    </w:p>
    <w:p w14:paraId="5A2EAF63">
      <w:pPr>
        <w:widowControl w:val="0"/>
        <w:numPr>
          <w:ilvl w:val="1"/>
          <w:numId w:val="77"/>
        </w:numPr>
        <w:tabs>
          <w:tab w:val="left" w:pos="588"/>
        </w:tabs>
        <w:snapToGrid w:val="0"/>
        <w:spacing w:before="120" w:after="120" w:line="440" w:lineRule="exact"/>
        <w:ind w:left="0" w:firstLine="424" w:firstLineChars="176"/>
        <w:jc w:val="left"/>
        <w:outlineLvl w:val="2"/>
        <w:rPr>
          <w:rFonts w:ascii="宋体" w:hAnsi="宋体" w:eastAsia="宋体" w:cs="Times New Roman"/>
          <w:b/>
          <w:bCs/>
          <w:kern w:val="2"/>
          <w:sz w:val="24"/>
          <w:szCs w:val="24"/>
          <w:lang w:val="en-US" w:eastAsia="zh-CN" w:bidi="ar-SA"/>
        </w:rPr>
      </w:pPr>
      <w:bookmarkStart w:id="632" w:name="_Toc29901"/>
      <w:bookmarkStart w:id="633" w:name="_Toc25478"/>
      <w:r>
        <w:rPr>
          <w:rFonts w:hint="eastAsia" w:ascii="宋体" w:hAnsi="宋体" w:eastAsia="宋体" w:cs="Times New Roman"/>
          <w:b/>
          <w:bCs/>
          <w:kern w:val="2"/>
          <w:sz w:val="24"/>
          <w:szCs w:val="24"/>
          <w:lang w:val="en-US" w:eastAsia="zh-CN" w:bidi="ar-SA"/>
        </w:rPr>
        <w:t>评标结果</w:t>
      </w:r>
      <w:bookmarkEnd w:id="632"/>
      <w:bookmarkEnd w:id="633"/>
    </w:p>
    <w:p w14:paraId="4C0B48B9">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评标委员会完成评标后，应当向招标人递交书面评标报告。评标委员会分组评审的，应当形成统一、完整的评标报告。</w:t>
      </w:r>
    </w:p>
    <w:p w14:paraId="67F1C04A">
      <w:pPr>
        <w:widowControl w:val="0"/>
        <w:numPr>
          <w:ilvl w:val="2"/>
          <w:numId w:val="77"/>
        </w:numPr>
        <w:tabs>
          <w:tab w:val="left" w:pos="1134"/>
        </w:tabs>
        <w:snapToGrid w:val="0"/>
        <w:spacing w:line="440" w:lineRule="exact"/>
        <w:ind w:left="0"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评标报告应当包括下列内容：</w:t>
      </w:r>
    </w:p>
    <w:p w14:paraId="406AC3FB">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基本情况；</w:t>
      </w:r>
    </w:p>
    <w:p w14:paraId="5AED39A4">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开标记录和投标一览表；</w:t>
      </w:r>
    </w:p>
    <w:p w14:paraId="59C93107">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评标方法、评标标准或者评标因素一览表；</w:t>
      </w:r>
    </w:p>
    <w:p w14:paraId="166ABB54">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评标专家评分原始记录表和否决投标的情况说明；</w:t>
      </w:r>
    </w:p>
    <w:p w14:paraId="17A13A91">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经评审的价格或者评分比较一览表和投标人排序；</w:t>
      </w:r>
    </w:p>
    <w:p w14:paraId="1F50973B">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推荐的中标候选人名单及其排序；</w:t>
      </w:r>
    </w:p>
    <w:p w14:paraId="71C68201">
      <w:pPr>
        <w:widowControl w:val="0"/>
        <w:numPr>
          <w:ilvl w:val="0"/>
          <w:numId w:val="87"/>
        </w:numPr>
        <w:tabs>
          <w:tab w:val="left" w:pos="1134"/>
        </w:tabs>
        <w:adjustRightInd w:val="0"/>
        <w:snapToGrid w:val="0"/>
        <w:spacing w:line="440" w:lineRule="exact"/>
        <w:ind w:left="0" w:firstLine="424" w:firstLineChars="202"/>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签订合同前要处理的事宜；</w:t>
      </w:r>
    </w:p>
    <w:p w14:paraId="4B250C13">
      <w:pPr>
        <w:widowControl w:val="0"/>
        <w:numPr>
          <w:ilvl w:val="0"/>
          <w:numId w:val="87"/>
        </w:numPr>
        <w:tabs>
          <w:tab w:val="left" w:pos="1134"/>
        </w:tabs>
        <w:adjustRightInd w:val="0"/>
        <w:snapToGrid w:val="0"/>
        <w:spacing w:line="440" w:lineRule="exact"/>
        <w:ind w:left="0" w:firstLine="424" w:firstLineChars="202"/>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澄清、说明、补正事项纪要；</w:t>
      </w:r>
    </w:p>
    <w:p w14:paraId="42D3B2E4">
      <w:pPr>
        <w:numPr>
          <w:ilvl w:val="0"/>
          <w:numId w:val="87"/>
        </w:numPr>
        <w:tabs>
          <w:tab w:val="left" w:pos="1134"/>
        </w:tabs>
        <w:adjustRightInd w:val="0"/>
        <w:snapToGrid w:val="0"/>
        <w:spacing w:line="440" w:lineRule="exact"/>
        <w:ind w:left="0" w:firstLine="424" w:firstLineChars="202"/>
        <w:rPr>
          <w:rFonts w:cs="宋体" w:asciiTheme="minorEastAsia" w:hAnsiTheme="minorEastAsia" w:eastAsiaTheme="minorEastAsia"/>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1"/>
          <w:szCs w:val="21"/>
          <w:lang w:val="en-US" w:eastAsia="zh-CN" w:bidi="ar-SA"/>
        </w:rPr>
        <w:t>评标委员会成员名单及本人签字、拒绝在评标报告上签字的评标委员会成员名单及其陈述的不同意见和理由。</w:t>
      </w:r>
    </w:p>
    <w:p w14:paraId="23617045">
      <w:pPr>
        <w:widowControl w:val="0"/>
        <w:numPr>
          <w:ilvl w:val="0"/>
          <w:numId w:val="0"/>
        </w:numPr>
        <w:tabs>
          <w:tab w:val="left" w:pos="1134"/>
        </w:tabs>
        <w:adjustRightInd w:val="0"/>
        <w:snapToGrid w:val="0"/>
        <w:spacing w:line="440" w:lineRule="exact"/>
        <w:ind w:leftChars="202"/>
        <w:jc w:val="both"/>
        <w:rPr>
          <w:rFonts w:hint="eastAsia"/>
          <w:sz w:val="32"/>
          <w:szCs w:val="32"/>
        </w:rPr>
      </w:pPr>
    </w:p>
    <w:p w14:paraId="7731B98F">
      <w:pPr>
        <w:pStyle w:val="3"/>
        <w:bidi w:val="0"/>
        <w:jc w:val="center"/>
        <w:rPr>
          <w:rFonts w:ascii="仿宋" w:hAnsi="仿宋" w:eastAsia="仿宋"/>
          <w:sz w:val="24"/>
          <w:highlight w:val="none"/>
        </w:rPr>
      </w:pPr>
      <w:bookmarkStart w:id="634" w:name="_Toc10610"/>
      <w:r>
        <w:rPr>
          <w:rFonts w:hint="eastAsia"/>
          <w:sz w:val="32"/>
          <w:szCs w:val="32"/>
        </w:rPr>
        <w:t xml:space="preserve">第四章 </w:t>
      </w:r>
      <w:bookmarkEnd w:id="597"/>
      <w:bookmarkEnd w:id="598"/>
      <w:bookmarkEnd w:id="599"/>
      <w:bookmarkEnd w:id="600"/>
      <w:bookmarkEnd w:id="601"/>
      <w:r>
        <w:rPr>
          <w:rFonts w:hint="eastAsia"/>
          <w:sz w:val="32"/>
          <w:szCs w:val="32"/>
          <w:lang w:val="en-US" w:eastAsia="zh-CN"/>
        </w:rPr>
        <w:t>商务规范书</w:t>
      </w:r>
      <w:bookmarkEnd w:id="602"/>
      <w:bookmarkEnd w:id="603"/>
      <w:bookmarkEnd w:id="604"/>
      <w:bookmarkEnd w:id="605"/>
      <w:bookmarkEnd w:id="606"/>
      <w:bookmarkEnd w:id="607"/>
      <w:bookmarkEnd w:id="608"/>
      <w:bookmarkEnd w:id="634"/>
    </w:p>
    <w:p w14:paraId="4774B0AA">
      <w:pPr>
        <w:widowControl/>
        <w:autoSpaceDE w:val="0"/>
        <w:autoSpaceDN w:val="0"/>
        <w:ind w:firstLine="480" w:firstLineChars="200"/>
        <w:jc w:val="center"/>
        <w:textAlignment w:val="bottom"/>
        <w:rPr>
          <w:rFonts w:ascii="仿宋" w:hAnsi="仿宋" w:eastAsia="仿宋"/>
          <w:sz w:val="24"/>
          <w:highlight w:val="none"/>
        </w:rPr>
      </w:pPr>
    </w:p>
    <w:bookmarkEnd w:id="609"/>
    <w:bookmarkEnd w:id="610"/>
    <w:bookmarkEnd w:id="611"/>
    <w:bookmarkEnd w:id="612"/>
    <w:bookmarkEnd w:id="613"/>
    <w:p w14:paraId="4D1CBAC4">
      <w:pPr>
        <w:spacing w:line="360" w:lineRule="exact"/>
        <w:ind w:left="-108"/>
        <w:jc w:val="center"/>
        <w:rPr>
          <w:rFonts w:ascii="仿宋" w:hAnsi="仿宋" w:eastAsia="仿宋" w:cs="Times New Roman"/>
          <w:b/>
          <w:color w:val="000000"/>
          <w:sz w:val="28"/>
        </w:rPr>
      </w:pPr>
      <w:bookmarkStart w:id="635" w:name="_Toc21063"/>
      <w:bookmarkStart w:id="636" w:name="_Toc475472662"/>
      <w:bookmarkStart w:id="637" w:name="_Toc28702"/>
      <w:bookmarkStart w:id="638" w:name="_Toc15020"/>
      <w:bookmarkStart w:id="639" w:name="_Toc32007"/>
      <w:bookmarkStart w:id="640" w:name="_Toc38008068"/>
      <w:bookmarkStart w:id="641" w:name="_Toc19514"/>
      <w:bookmarkStart w:id="642" w:name="_Toc475472669"/>
      <w:bookmarkStart w:id="643" w:name="_Toc447265602"/>
      <w:bookmarkStart w:id="644" w:name="_Toc447265316"/>
      <w:r>
        <w:rPr>
          <w:rFonts w:ascii="仿宋" w:hAnsi="仿宋" w:eastAsia="仿宋" w:cs="Times New Roman"/>
          <w:b/>
          <w:color w:val="000000"/>
          <w:sz w:val="28"/>
        </w:rPr>
        <w:t xml:space="preserve"> [ </w:t>
      </w:r>
      <w:r>
        <w:rPr>
          <w:rFonts w:hint="eastAsia" w:ascii="仿宋" w:hAnsi="仿宋" w:eastAsia="仿宋" w:cs="Times New Roman"/>
          <w:b/>
          <w:sz w:val="28"/>
          <w:szCs w:val="28"/>
          <w:lang w:eastAsia="zh-CN"/>
        </w:rPr>
        <w:t>2025年中国电信遵义分公司中间件框架物资采购</w:t>
      </w:r>
      <w:r>
        <w:rPr>
          <w:rFonts w:ascii="仿宋" w:hAnsi="仿宋" w:eastAsia="仿宋" w:cs="Times New Roman"/>
          <w:b/>
          <w:color w:val="000000"/>
          <w:sz w:val="28"/>
        </w:rPr>
        <w:t xml:space="preserve"> ]软件</w:t>
      </w:r>
      <w:r>
        <w:rPr>
          <w:rFonts w:hint="eastAsia" w:ascii="仿宋" w:hAnsi="仿宋" w:eastAsia="仿宋" w:cs="Times New Roman"/>
          <w:b/>
          <w:color w:val="000000"/>
          <w:sz w:val="28"/>
        </w:rPr>
        <w:t>许可</w:t>
      </w:r>
      <w:r>
        <w:rPr>
          <w:rFonts w:ascii="仿宋" w:hAnsi="仿宋" w:eastAsia="仿宋" w:cs="Times New Roman"/>
          <w:b/>
          <w:color w:val="000000"/>
          <w:sz w:val="28"/>
        </w:rPr>
        <w:t>框架协议</w:t>
      </w:r>
    </w:p>
    <w:p w14:paraId="6C1629E9">
      <w:pPr>
        <w:widowControl/>
        <w:autoSpaceDE w:val="0"/>
        <w:autoSpaceDN w:val="0"/>
        <w:spacing w:line="360" w:lineRule="exact"/>
        <w:textAlignment w:val="bottom"/>
        <w:rPr>
          <w:rFonts w:ascii="仿宋" w:hAnsi="仿宋" w:eastAsia="仿宋" w:cs="Times New Roman"/>
          <w:color w:val="000000"/>
          <w:sz w:val="24"/>
        </w:rPr>
      </w:pPr>
    </w:p>
    <w:p w14:paraId="7C9C4288">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协议签订地：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9FB7675">
      <w:pPr>
        <w:spacing w:line="360" w:lineRule="exact"/>
        <w:rPr>
          <w:rFonts w:ascii="仿宋" w:hAnsi="仿宋" w:eastAsia="仿宋" w:cs="Times New Roman"/>
          <w:color w:val="000000"/>
          <w:sz w:val="24"/>
        </w:rPr>
      </w:pPr>
    </w:p>
    <w:p w14:paraId="1997F726">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w:t>
      </w:r>
    </w:p>
    <w:p w14:paraId="5E90E998">
      <w:pPr>
        <w:spacing w:line="360" w:lineRule="exact"/>
        <w:rPr>
          <w:rFonts w:ascii="仿宋" w:hAnsi="仿宋" w:eastAsia="仿宋" w:cs="Times New Roman"/>
          <w:sz w:val="24"/>
        </w:rPr>
      </w:pPr>
      <w:r>
        <w:rPr>
          <w:rFonts w:hint="eastAsia" w:ascii="仿宋" w:hAnsi="仿宋" w:eastAsia="仿宋" w:cs="Times New Roman"/>
          <w:sz w:val="24"/>
        </w:rPr>
        <w:t>地址：</w:t>
      </w:r>
      <w:r>
        <w:rPr>
          <w:rFonts w:ascii="仿宋" w:hAnsi="仿宋" w:eastAsia="仿宋" w:cs="Times New Roman"/>
          <w:sz w:val="24"/>
        </w:rPr>
        <w:t xml:space="preserve">[ </w:t>
      </w:r>
      <w:r>
        <w:rPr>
          <w:rFonts w:hint="eastAsia" w:ascii="仿宋" w:hAnsi="仿宋" w:eastAsia="仿宋" w:cs="Times New Roman"/>
          <w:color w:val="000000"/>
          <w:sz w:val="24"/>
        </w:rPr>
        <w:t>贵州省遵义市红花岗区大兴路26号</w:t>
      </w:r>
      <w:r>
        <w:rPr>
          <w:rFonts w:ascii="仿宋" w:hAnsi="仿宋" w:eastAsia="仿宋" w:cs="Times New Roman"/>
          <w:sz w:val="24"/>
        </w:rPr>
        <w:t xml:space="preserve"> ]             </w:t>
      </w:r>
    </w:p>
    <w:p w14:paraId="2A3B5174">
      <w:pPr>
        <w:spacing w:line="360" w:lineRule="exact"/>
        <w:rPr>
          <w:rFonts w:ascii="仿宋" w:hAnsi="仿宋" w:eastAsia="仿宋" w:cs="Times New Roman"/>
          <w:sz w:val="24"/>
        </w:rPr>
      </w:pPr>
      <w:r>
        <w:rPr>
          <w:rFonts w:hint="eastAsia" w:ascii="仿宋" w:hAnsi="仿宋" w:eastAsia="仿宋" w:cs="Times New Roman"/>
          <w:sz w:val="24"/>
        </w:rPr>
        <w:t>法定代表人</w:t>
      </w:r>
      <w:r>
        <w:rPr>
          <w:rFonts w:ascii="仿宋" w:hAnsi="仿宋" w:eastAsia="仿宋" w:cs="Times New Roman"/>
          <w:sz w:val="24"/>
        </w:rPr>
        <w:t xml:space="preserve">/负责人：[ </w:t>
      </w:r>
      <w:r>
        <w:rPr>
          <w:rFonts w:hint="eastAsia" w:ascii="仿宋" w:hAnsi="仿宋" w:eastAsia="仿宋" w:cs="Times New Roman"/>
          <w:sz w:val="24"/>
          <w:lang w:val="en-US" w:eastAsia="zh-CN"/>
        </w:rPr>
        <w:t>任飞</w:t>
      </w:r>
      <w:r>
        <w:rPr>
          <w:rFonts w:ascii="仿宋" w:hAnsi="仿宋" w:eastAsia="仿宋" w:cs="Times New Roman"/>
          <w:sz w:val="24"/>
        </w:rPr>
        <w:t xml:space="preserve"> ] </w:t>
      </w:r>
    </w:p>
    <w:p w14:paraId="28DC27FE">
      <w:pPr>
        <w:spacing w:line="360" w:lineRule="exact"/>
        <w:rPr>
          <w:rFonts w:ascii="仿宋" w:hAnsi="仿宋" w:eastAsia="仿宋" w:cs="Times New Roman"/>
          <w:sz w:val="24"/>
        </w:rPr>
      </w:pPr>
      <w:r>
        <w:rPr>
          <w:rFonts w:hint="eastAsia" w:ascii="仿宋" w:hAnsi="仿宋" w:eastAsia="仿宋" w:cs="Times New Roman"/>
          <w:sz w:val="24"/>
        </w:rPr>
        <w:t>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]公司同时代表其子公司、分公司共同作为“甲方”</w:t>
      </w:r>
      <w:r>
        <w:rPr>
          <w:rFonts w:hint="eastAsia" w:ascii="仿宋" w:hAnsi="仿宋" w:eastAsia="仿宋" w:cs="Times New Roman"/>
          <w:sz w:val="24"/>
        </w:rPr>
        <w:t>。</w:t>
      </w:r>
    </w:p>
    <w:p w14:paraId="75C2ADE4">
      <w:pPr>
        <w:spacing w:line="360" w:lineRule="exact"/>
        <w:rPr>
          <w:rFonts w:ascii="仿宋" w:hAnsi="仿宋" w:eastAsia="仿宋" w:cs="Times New Roman"/>
          <w:color w:val="000000"/>
          <w:sz w:val="24"/>
        </w:rPr>
      </w:pPr>
    </w:p>
    <w:p w14:paraId="651D6547">
      <w:pPr>
        <w:spacing w:line="360" w:lineRule="exact"/>
        <w:rPr>
          <w:rFonts w:ascii="仿宋" w:hAnsi="仿宋" w:eastAsia="仿宋" w:cs="Times New Roman"/>
          <w:color w:val="000000"/>
          <w:sz w:val="24"/>
        </w:rPr>
      </w:pPr>
    </w:p>
    <w:p w14:paraId="298807E0">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  ]</w:t>
      </w:r>
    </w:p>
    <w:p w14:paraId="72F15BD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 </w:t>
      </w:r>
    </w:p>
    <w:p w14:paraId="793B8B55">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  ]</w:t>
      </w:r>
    </w:p>
    <w:p w14:paraId="690FEC33">
      <w:pPr>
        <w:spacing w:line="360" w:lineRule="exact"/>
        <w:rPr>
          <w:rFonts w:ascii="仿宋" w:hAnsi="仿宋" w:eastAsia="仿宋" w:cs="Times New Roman"/>
          <w:color w:val="000000"/>
          <w:sz w:val="24"/>
        </w:rPr>
      </w:pPr>
    </w:p>
    <w:p w14:paraId="472CD75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本着平等互利、诚实信用的原则，甲乙双方签订本协议。</w:t>
      </w:r>
    </w:p>
    <w:p w14:paraId="436E6DC2">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第一条定义</w:t>
      </w:r>
    </w:p>
    <w:p w14:paraId="3CF5314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1.1“</w:t>
      </w:r>
      <w:r>
        <w:rPr>
          <w:rFonts w:hint="eastAsia" w:ascii="仿宋" w:hAnsi="仿宋" w:eastAsia="仿宋" w:cs="Times New Roman"/>
          <w:color w:val="000000"/>
          <w:sz w:val="24"/>
        </w:rPr>
        <w:t>协议</w:t>
      </w:r>
      <w:r>
        <w:rPr>
          <w:rFonts w:ascii="仿宋" w:hAnsi="仿宋" w:eastAsia="仿宋" w:cs="Times New Roman"/>
          <w:color w:val="000000"/>
          <w:sz w:val="24"/>
        </w:rPr>
        <w:t>软件”或“软件”：甲方依据本协议获得的乙方或乙方已取得软件著作权人同意授权甲方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或其指定的第三方使用的软件。</w:t>
      </w:r>
    </w:p>
    <w:p w14:paraId="0B2FC31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1.2“服务”：按照协议及附件规定，由乙方向甲方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或其指定的第三方提供的与软件相关的服务。</w:t>
      </w:r>
    </w:p>
    <w:p w14:paraId="48D2F70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1.3“保修期”：按照协议规定，乙方为甲方提供免费技术支持和服务</w:t>
      </w:r>
      <w:r>
        <w:rPr>
          <w:rFonts w:hint="eastAsia" w:ascii="仿宋" w:hAnsi="仿宋" w:eastAsia="仿宋" w:cs="Times New Roman"/>
          <w:color w:val="000000"/>
          <w:sz w:val="24"/>
        </w:rPr>
        <w:t>的期间。</w:t>
      </w:r>
    </w:p>
    <w:p w14:paraId="6CA61A2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4“采购方”：向乙方下达订单的采购单位。根据不同情况，采购单位可以是甲方，也可以是甲方的分公司、子公司。</w:t>
      </w:r>
    </w:p>
    <w:p w14:paraId="4CCF213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5“双方”：甲方和</w:t>
      </w:r>
      <w:r>
        <w:rPr>
          <w:rFonts w:ascii="仿宋" w:hAnsi="仿宋" w:eastAsia="仿宋" w:cs="Times New Roman"/>
          <w:color w:val="000000"/>
          <w:sz w:val="24"/>
        </w:rPr>
        <w:t>/或采购方（</w:t>
      </w:r>
      <w:r>
        <w:rPr>
          <w:rFonts w:hint="eastAsia" w:ascii="仿宋" w:hAnsi="仿宋" w:eastAsia="仿宋" w:cs="Times New Roman"/>
          <w:color w:val="000000"/>
          <w:sz w:val="24"/>
        </w:rPr>
        <w:t>作为</w:t>
      </w:r>
      <w:r>
        <w:rPr>
          <w:rFonts w:ascii="仿宋" w:hAnsi="仿宋" w:eastAsia="仿宋" w:cs="Times New Roman"/>
          <w:color w:val="000000"/>
          <w:sz w:val="24"/>
        </w:rPr>
        <w:t>一方）</w:t>
      </w:r>
      <w:r>
        <w:rPr>
          <w:rFonts w:hint="eastAsia" w:ascii="仿宋" w:hAnsi="仿宋" w:eastAsia="仿宋" w:cs="Times New Roman"/>
          <w:color w:val="000000"/>
          <w:sz w:val="24"/>
        </w:rPr>
        <w:t>、</w:t>
      </w:r>
      <w:r>
        <w:rPr>
          <w:rFonts w:ascii="仿宋" w:hAnsi="仿宋" w:eastAsia="仿宋" w:cs="Times New Roman"/>
          <w:color w:val="000000"/>
          <w:sz w:val="24"/>
        </w:rPr>
        <w:t>以及乙方（</w:t>
      </w:r>
      <w:r>
        <w:rPr>
          <w:rFonts w:hint="eastAsia" w:ascii="仿宋" w:hAnsi="仿宋" w:eastAsia="仿宋" w:cs="Times New Roman"/>
          <w:color w:val="000000"/>
          <w:sz w:val="24"/>
        </w:rPr>
        <w:t>作为</w:t>
      </w:r>
      <w:r>
        <w:rPr>
          <w:rFonts w:ascii="仿宋" w:hAnsi="仿宋" w:eastAsia="仿宋" w:cs="Times New Roman"/>
          <w:color w:val="000000"/>
          <w:sz w:val="24"/>
        </w:rPr>
        <w:t>另一方）</w:t>
      </w:r>
      <w:r>
        <w:rPr>
          <w:rFonts w:hint="eastAsia" w:ascii="仿宋" w:hAnsi="仿宋" w:eastAsia="仿宋" w:cs="Times New Roman"/>
          <w:color w:val="000000"/>
          <w:sz w:val="24"/>
        </w:rPr>
        <w:t>。</w:t>
      </w:r>
    </w:p>
    <w:p w14:paraId="587B83B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6“软件著作权人”：软件的著作权人，在本协议中指</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中间件</w:t>
      </w:r>
      <w:r>
        <w:rPr>
          <w:rFonts w:hint="eastAsia" w:ascii="仿宋" w:hAnsi="仿宋" w:eastAsia="仿宋" w:cs="Times New Roman"/>
          <w:sz w:val="24"/>
          <w:lang w:val="en-US" w:eastAsia="zh-CN"/>
        </w:rPr>
        <w:t>原厂商</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1A88C53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7“中国”：中华人民共和国，为本协议之目的不包括香港特别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35C3337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8 “订单”：由采购方向乙方下达的采购通知。样本见附件三。</w:t>
      </w:r>
    </w:p>
    <w:p w14:paraId="1EA079D4">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第二条协议标的</w:t>
      </w:r>
    </w:p>
    <w:p w14:paraId="5E2A3BB4">
      <w:pPr>
        <w:spacing w:line="360" w:lineRule="exact"/>
        <w:ind w:firstLine="420"/>
        <w:rPr>
          <w:rFonts w:ascii="仿宋" w:hAnsi="仿宋" w:eastAsia="仿宋" w:cs="Times New Roman"/>
          <w:sz w:val="24"/>
        </w:rPr>
      </w:pPr>
      <w:r>
        <w:rPr>
          <w:rFonts w:ascii="仿宋" w:hAnsi="仿宋" w:eastAsia="仿宋" w:cs="Times New Roman"/>
          <w:color w:val="000000"/>
          <w:sz w:val="24"/>
        </w:rPr>
        <w:t>2.1</w:t>
      </w:r>
      <w:r>
        <w:rPr>
          <w:rFonts w:hint="eastAsia" w:ascii="仿宋" w:hAnsi="仿宋" w:eastAsia="仿宋" w:cs="Times New Roman"/>
          <w:sz w:val="24"/>
        </w:rPr>
        <w:t>甲方和乙方同意，由乙方按照本协议和订单约定提供协议软件及服务。</w:t>
      </w:r>
    </w:p>
    <w:p w14:paraId="5766CFDB">
      <w:pPr>
        <w:spacing w:line="360" w:lineRule="exact"/>
        <w:ind w:firstLine="420"/>
        <w:rPr>
          <w:rFonts w:ascii="仿宋" w:hAnsi="仿宋" w:eastAsia="仿宋" w:cs="Times New Roman"/>
          <w:color w:val="000000"/>
          <w:sz w:val="24"/>
        </w:rPr>
      </w:pPr>
      <w:r>
        <w:rPr>
          <w:rFonts w:ascii="仿宋" w:hAnsi="仿宋" w:eastAsia="仿宋" w:cs="Times New Roman"/>
          <w:sz w:val="24"/>
        </w:rPr>
        <w:t>2.2</w:t>
      </w:r>
      <w:r>
        <w:rPr>
          <w:rFonts w:ascii="仿宋" w:hAnsi="仿宋" w:eastAsia="仿宋" w:cs="Times New Roman"/>
          <w:color w:val="000000"/>
          <w:sz w:val="24"/>
        </w:rPr>
        <w:t>乙方所提供</w:t>
      </w:r>
      <w:r>
        <w:rPr>
          <w:rFonts w:hint="eastAsia" w:ascii="仿宋" w:hAnsi="仿宋" w:eastAsia="仿宋" w:cs="Times New Roman"/>
          <w:color w:val="000000"/>
          <w:sz w:val="24"/>
        </w:rPr>
        <w:t>协议软件的具体内容、技术规范和保修条件的内容以及服务详见附件</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4F159F6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3</w:t>
      </w:r>
      <w:r>
        <w:rPr>
          <w:rFonts w:hint="eastAsia" w:ascii="仿宋" w:hAnsi="仿宋" w:eastAsia="仿宋" w:cs="Times New Roman"/>
          <w:color w:val="000000"/>
          <w:sz w:val="24"/>
        </w:rPr>
        <w:t>乙方保证乙方为在本协议项下的软件的著作权人或合法许可使用人（软件著作权属证明文件见附件</w:t>
      </w:r>
      <w:r>
        <w:rPr>
          <w:rFonts w:ascii="仿宋" w:hAnsi="仿宋" w:eastAsia="仿宋" w:cs="Times New Roman"/>
          <w:color w:val="000000"/>
          <w:sz w:val="24"/>
        </w:rPr>
        <w:t>[</w:t>
      </w:r>
      <w:r>
        <w:rPr>
          <w:rFonts w:hint="eastAsia" w:ascii="仿宋" w:hAnsi="仿宋" w:eastAsia="仿宋" w:cs="Times New Roman"/>
          <w:color w:val="000000"/>
          <w:sz w:val="24"/>
        </w:rPr>
        <w:t>十</w:t>
      </w:r>
      <w:r>
        <w:rPr>
          <w:rFonts w:ascii="仿宋" w:hAnsi="仿宋" w:eastAsia="仿宋" w:cs="Times New Roman"/>
          <w:color w:val="000000"/>
          <w:sz w:val="24"/>
        </w:rPr>
        <w:t>]</w:t>
      </w:r>
      <w:r>
        <w:rPr>
          <w:rFonts w:hint="eastAsia" w:ascii="仿宋" w:hAnsi="仿宋" w:eastAsia="仿宋" w:cs="Times New Roman"/>
          <w:color w:val="000000"/>
          <w:sz w:val="24"/>
        </w:rPr>
        <w:t>）。</w:t>
      </w:r>
    </w:p>
    <w:p w14:paraId="28288D9D">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4</w:t>
      </w:r>
      <w:r>
        <w:rPr>
          <w:rFonts w:hint="eastAsia" w:ascii="仿宋" w:hAnsi="仿宋" w:eastAsia="仿宋" w:cs="Times New Roman"/>
          <w:color w:val="000000"/>
          <w:sz w:val="24"/>
        </w:rPr>
        <w:t>乙方保证使得甲方和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或采购方或其指定的第三方获得软件许可使用权授权，以保证甲方和</w:t>
      </w:r>
      <w:r>
        <w:rPr>
          <w:rFonts w:ascii="仿宋" w:hAnsi="仿宋" w:eastAsia="仿宋" w:cs="Times New Roman"/>
          <w:color w:val="000000"/>
          <w:sz w:val="24"/>
        </w:rPr>
        <w:t>/或</w:t>
      </w:r>
      <w:r>
        <w:rPr>
          <w:rFonts w:hint="eastAsia" w:ascii="仿宋" w:hAnsi="仿宋" w:eastAsia="仿宋" w:cs="Times New Roman"/>
          <w:color w:val="000000"/>
          <w:sz w:val="24"/>
        </w:rPr>
        <w:t>采购方或其指定的第三方能够在中国境内正常地运行协议软件，并向甲方和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或采购方或其指定的第三方提供与软件相关的服务。</w:t>
      </w:r>
    </w:p>
    <w:p w14:paraId="0EE91D2F">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2.4</w:t>
      </w:r>
      <w:r>
        <w:rPr>
          <w:rFonts w:hint="eastAsia" w:ascii="仿宋" w:hAnsi="仿宋" w:eastAsia="仿宋" w:cs="Times New Roman"/>
          <w:color w:val="000000"/>
          <w:sz w:val="24"/>
        </w:rPr>
        <w:t>乙方</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/或采购方或其指定的第三方</w:t>
      </w:r>
      <w:r>
        <w:rPr>
          <w:rFonts w:hint="eastAsia" w:ascii="仿宋" w:hAnsi="仿宋" w:eastAsia="仿宋" w:cs="Times New Roman"/>
          <w:color w:val="000000"/>
          <w:sz w:val="24"/>
        </w:rPr>
        <w:t>许可软件使用权的许可方式为以下第（</w:t>
      </w: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rPr>
        <w:t>）</w:t>
      </w:r>
      <w:r>
        <w:rPr>
          <w:rFonts w:ascii="仿宋" w:hAnsi="仿宋" w:eastAsia="仿宋" w:cs="Times New Roman"/>
          <w:color w:val="000000"/>
          <w:sz w:val="24"/>
        </w:rPr>
        <w:t>种：</w:t>
      </w:r>
    </w:p>
    <w:p w14:paraId="7374BC90">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乙方</w:t>
      </w:r>
      <w:r>
        <w:rPr>
          <w:rFonts w:ascii="仿宋" w:hAnsi="仿宋" w:eastAsia="仿宋" w:cs="Times New Roman"/>
          <w:color w:val="000000"/>
          <w:sz w:val="24"/>
        </w:rPr>
        <w:t>将软件许可</w:t>
      </w:r>
      <w:r>
        <w:rPr>
          <w:rFonts w:hint="eastAsia" w:ascii="仿宋" w:hAnsi="仿宋" w:eastAsia="仿宋" w:cs="Times New Roman"/>
          <w:color w:val="000000"/>
          <w:sz w:val="24"/>
        </w:rPr>
        <w:t>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/条款随同软件介质及技术资料和文档一并包装</w:t>
      </w:r>
      <w:r>
        <w:rPr>
          <w:rFonts w:hint="eastAsia" w:ascii="仿宋" w:hAnsi="仿宋" w:eastAsia="仿宋" w:cs="Times New Roman"/>
          <w:color w:val="000000"/>
          <w:sz w:val="24"/>
        </w:rPr>
        <w:t>并</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或其指定的第三方提供，甲方和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或采购方或其指定的第三方拆开包装即被视为同意该软件许可条款和条件（软件许可合同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条款见附件十）、获得软件著作权人</w:t>
      </w:r>
      <w:r>
        <w:rPr>
          <w:rFonts w:ascii="仿宋" w:hAnsi="仿宋" w:eastAsia="仿宋" w:cs="Times New Roman"/>
          <w:color w:val="000000"/>
          <w:sz w:val="24"/>
        </w:rPr>
        <w:t>的</w:t>
      </w:r>
      <w:r>
        <w:rPr>
          <w:rFonts w:hint="eastAsia" w:ascii="仿宋" w:hAnsi="仿宋" w:eastAsia="仿宋" w:cs="Times New Roman"/>
          <w:color w:val="000000"/>
          <w:sz w:val="24"/>
        </w:rPr>
        <w:t>授权。（“拆封许可方式”）</w:t>
      </w:r>
    </w:p>
    <w:p w14:paraId="4C676A23">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2）由</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或其指定的第三方自乙方获得软件产品的许可证号及密码并按照提示自行访问相应网址（网址见附件十）下载软件，下载软件并在线签署软件许可合同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条款即被视为同意该软件许可条款和条件、获得软件著作权人的授权。（“提供许可证号方式”）</w:t>
      </w:r>
    </w:p>
    <w:p w14:paraId="7B4C8BC3">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6</w:t>
      </w:r>
      <w:r>
        <w:rPr>
          <w:rFonts w:hint="eastAsia" w:ascii="仿宋" w:hAnsi="仿宋" w:eastAsia="仿宋" w:cs="Times New Roman"/>
          <w:color w:val="000000"/>
          <w:sz w:val="24"/>
        </w:rPr>
        <w:t>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0A9B6BC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7</w:t>
      </w:r>
      <w:r>
        <w:rPr>
          <w:rFonts w:hint="eastAsia" w:ascii="仿宋" w:hAnsi="仿宋" w:eastAsia="仿宋" w:cs="Times New Roman"/>
          <w:color w:val="000000"/>
          <w:sz w:val="24"/>
        </w:rPr>
        <w:t>乙方保证软件及软件介质能够满足甲方和</w:t>
      </w:r>
      <w:r>
        <w:rPr>
          <w:rFonts w:ascii="仿宋" w:hAnsi="仿宋" w:eastAsia="仿宋" w:cs="Times New Roman"/>
          <w:color w:val="000000"/>
          <w:sz w:val="24"/>
        </w:rPr>
        <w:t>/或采购方或其指定的第三方要求</w:t>
      </w:r>
      <w:r>
        <w:rPr>
          <w:rFonts w:hint="eastAsia" w:ascii="仿宋" w:hAnsi="仿宋" w:eastAsia="仿宋" w:cs="Times New Roman"/>
          <w:color w:val="000000"/>
          <w:sz w:val="24"/>
        </w:rPr>
        <w:t>，并且不存在任何权利瑕疵和质量瑕疵。如果软件升级，乙方使得甲方和</w:t>
      </w:r>
      <w:r>
        <w:rPr>
          <w:rFonts w:ascii="仿宋" w:hAnsi="仿宋" w:eastAsia="仿宋" w:cs="Times New Roman"/>
          <w:color w:val="000000"/>
          <w:sz w:val="24"/>
        </w:rPr>
        <w:t>/或采购方或其指定的第三方免费获得升级软件的许可使用权。</w:t>
      </w:r>
    </w:p>
    <w:p w14:paraId="087E8352">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8</w:t>
      </w:r>
      <w:r>
        <w:rPr>
          <w:rFonts w:hint="eastAsia" w:ascii="仿宋" w:hAnsi="仿宋" w:eastAsia="仿宋" w:cs="Times New Roman"/>
          <w:color w:val="000000"/>
          <w:sz w:val="24"/>
        </w:rPr>
        <w:t>甲方和乙方确认，未经甲方和采购方书面同意，乙方不得将协议及</w:t>
      </w:r>
      <w:r>
        <w:rPr>
          <w:rFonts w:ascii="仿宋" w:hAnsi="仿宋" w:eastAsia="仿宋" w:cs="Times New Roman"/>
          <w:color w:val="000000"/>
          <w:sz w:val="24"/>
        </w:rPr>
        <w:t>/或订单分包或转包给第三方。</w:t>
      </w:r>
    </w:p>
    <w:p w14:paraId="2325E30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第三条具体采购安排</w:t>
      </w:r>
    </w:p>
    <w:p w14:paraId="5588A9CC">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3.1</w:t>
      </w:r>
      <w:r>
        <w:rPr>
          <w:rFonts w:hint="eastAsia" w:ascii="仿宋" w:hAnsi="仿宋" w:eastAsia="仿宋" w:cs="Times New Roman"/>
          <w:color w:val="000000"/>
          <w:sz w:val="24"/>
        </w:rPr>
        <w:t>双方同意由乙方作为甲方和</w:t>
      </w:r>
      <w:r>
        <w:rPr>
          <w:rFonts w:ascii="仿宋" w:hAnsi="仿宋" w:eastAsia="仿宋" w:cs="Times New Roman"/>
          <w:color w:val="000000"/>
          <w:sz w:val="24"/>
        </w:rPr>
        <w:t>/</w:t>
      </w:r>
      <w:r>
        <w:rPr>
          <w:rFonts w:hint="eastAsia" w:ascii="仿宋" w:hAnsi="仿宋" w:eastAsia="仿宋" w:cs="Times New Roman"/>
          <w:color w:val="000000"/>
          <w:sz w:val="24"/>
        </w:rPr>
        <w:t>或采购方的供应商的期限（“有效期”）为本协议生效之日至</w:t>
      </w:r>
      <w:r>
        <w:rPr>
          <w:rFonts w:hint="eastAsia" w:ascii="仿宋" w:hAnsi="仿宋" w:eastAsia="仿宋" w:cs="Times New Roman"/>
          <w:color w:val="000000"/>
          <w:sz w:val="24"/>
          <w:lang w:val="en-US" w:eastAsia="zh-CN"/>
        </w:rPr>
        <w:t>12个月内</w:t>
      </w:r>
      <w:r>
        <w:rPr>
          <w:rFonts w:hint="eastAsia" w:ascii="仿宋" w:hAnsi="仿宋" w:eastAsia="仿宋" w:cs="Times New Roman"/>
          <w:color w:val="000000"/>
          <w:sz w:val="24"/>
        </w:rPr>
        <w:t>。如在有效期内出现以下任一情形的，有效期在以下任一日期到达时提前终止：</w:t>
      </w:r>
    </w:p>
    <w:p w14:paraId="672AD4F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w:t>
      </w:r>
      <w:r>
        <w:rPr>
          <w:rFonts w:ascii="仿宋" w:hAnsi="仿宋" w:eastAsia="仿宋" w:cs="Times New Roman"/>
          <w:color w:val="000000"/>
          <w:sz w:val="24"/>
        </w:rPr>
        <w:t>乙方</w:t>
      </w:r>
      <w:r>
        <w:rPr>
          <w:rFonts w:hint="eastAsia" w:ascii="仿宋" w:hAnsi="仿宋" w:eastAsia="仿宋" w:cs="Times New Roman"/>
          <w:color w:val="000000"/>
          <w:sz w:val="24"/>
        </w:rPr>
        <w:t>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软件许可再次签订框架协议之日；</w:t>
      </w:r>
    </w:p>
    <w:p w14:paraId="7DCC612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5887C01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w:t>
      </w:r>
      <w:r>
        <w:rPr>
          <w:rFonts w:ascii="仿宋" w:hAnsi="仿宋" w:eastAsia="仿宋" w:cs="Times New Roman"/>
          <w:color w:val="000000"/>
          <w:sz w:val="24"/>
        </w:rPr>
        <w:t>乙方</w:t>
      </w:r>
      <w:r>
        <w:rPr>
          <w:rFonts w:hint="eastAsia" w:ascii="仿宋" w:hAnsi="仿宋" w:eastAsia="仿宋" w:cs="Times New Roman"/>
          <w:color w:val="000000"/>
          <w:sz w:val="24"/>
        </w:rPr>
        <w:t>发出停止供货通知书之日；</w:t>
      </w:r>
    </w:p>
    <w:p w14:paraId="7B3D82A7">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5FA0D18D">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45940251">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有效期内如未发生以上任一情形，则有效期于届满后自动延续至以下任一日期到达时终止：</w:t>
      </w:r>
    </w:p>
    <w:p w14:paraId="44236E4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）甲方与乙方就下一批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软件许可再次签订框架协议之日；</w:t>
      </w:r>
    </w:p>
    <w:p w14:paraId="5D9CE04E">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7E279C7A">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）甲方向乙方发出停止供货通知书之日；</w:t>
      </w:r>
    </w:p>
    <w:p w14:paraId="22BEBBE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190F360A">
      <w:pPr>
        <w:spacing w:line="360" w:lineRule="exact"/>
        <w:ind w:firstLine="420"/>
        <w:rPr>
          <w:rFonts w:ascii="仿宋" w:hAnsi="仿宋" w:eastAsia="仿宋" w:cs="Times New Roman"/>
          <w:b/>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573BBD0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3.2本协议</w:t>
      </w:r>
      <w:r>
        <w:rPr>
          <w:rFonts w:hint="eastAsia" w:ascii="仿宋" w:hAnsi="仿宋" w:eastAsia="仿宋" w:cs="Times New Roman"/>
          <w:color w:val="000000"/>
          <w:sz w:val="24"/>
        </w:rPr>
        <w:t>有效</w:t>
      </w:r>
      <w:r>
        <w:rPr>
          <w:rFonts w:ascii="仿宋" w:hAnsi="仿宋" w:eastAsia="仿宋" w:cs="Times New Roman"/>
          <w:color w:val="000000"/>
          <w:sz w:val="24"/>
        </w:rPr>
        <w:t>期</w:t>
      </w:r>
      <w:r>
        <w:rPr>
          <w:rFonts w:hint="eastAsia" w:ascii="仿宋" w:hAnsi="仿宋" w:eastAsia="仿宋" w:cs="Times New Roman"/>
          <w:color w:val="000000"/>
          <w:sz w:val="24"/>
        </w:rPr>
        <w:t>和协议约定的供货份额</w:t>
      </w:r>
      <w:r>
        <w:rPr>
          <w:rFonts w:ascii="仿宋" w:hAnsi="仿宋" w:eastAsia="仿宋" w:cs="Times New Roman"/>
          <w:color w:val="000000"/>
          <w:sz w:val="24"/>
        </w:rPr>
        <w:t>内，甲方和/或采购方通过</w:t>
      </w:r>
      <w:r>
        <w:rPr>
          <w:rFonts w:hint="eastAsia" w:ascii="仿宋" w:hAnsi="仿宋" w:eastAsia="仿宋" w:cs="Times New Roman"/>
          <w:color w:val="000000"/>
          <w:sz w:val="24"/>
        </w:rPr>
        <w:t>向乙方下达订单的方式采购协议软件以及服务。</w:t>
      </w:r>
    </w:p>
    <w:p w14:paraId="55548E4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3.3本协议附件一约定的供货份额为预估值,甲方和/或采购方有权按照实际采购需求向乙方下达订单。</w:t>
      </w:r>
    </w:p>
    <w:p w14:paraId="0C17EE0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3.4双方约定按第3.4.1条的方式对订单的法律效力进行确认并由</w:t>
      </w:r>
      <w:r>
        <w:rPr>
          <w:rFonts w:hint="eastAsia" w:ascii="仿宋" w:hAnsi="仿宋" w:eastAsia="仿宋" w:cs="Times New Roman"/>
          <w:color w:val="000000"/>
          <w:sz w:val="24"/>
        </w:rPr>
        <w:t>乙</w:t>
      </w:r>
      <w:r>
        <w:rPr>
          <w:rFonts w:ascii="仿宋" w:hAnsi="仿宋" w:eastAsia="仿宋" w:cs="Times New Roman"/>
          <w:color w:val="000000"/>
          <w:sz w:val="24"/>
        </w:rPr>
        <w:t>方传回</w:t>
      </w:r>
      <w:r>
        <w:rPr>
          <w:rFonts w:hint="eastAsia" w:ascii="仿宋" w:hAnsi="仿宋" w:eastAsia="仿宋" w:cs="Times New Roman"/>
          <w:color w:val="000000"/>
          <w:sz w:val="24"/>
        </w:rPr>
        <w:t>甲方和</w:t>
      </w:r>
      <w:r>
        <w:rPr>
          <w:rFonts w:ascii="仿宋" w:hAnsi="仿宋" w:eastAsia="仿宋" w:cs="Times New Roman"/>
          <w:color w:val="000000"/>
          <w:sz w:val="24"/>
        </w:rPr>
        <w:t>/或采购方。如</w:t>
      </w:r>
      <w:r>
        <w:rPr>
          <w:rFonts w:hint="eastAsia" w:ascii="仿宋" w:hAnsi="仿宋" w:eastAsia="仿宋" w:cs="Times New Roman"/>
          <w:color w:val="000000"/>
          <w:sz w:val="24"/>
        </w:rPr>
        <w:t>乙方在订单发出后</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24</w:t>
      </w:r>
      <w:r>
        <w:rPr>
          <w:rFonts w:ascii="仿宋" w:hAnsi="仿宋" w:eastAsia="仿宋" w:cs="Times New Roman"/>
          <w:color w:val="000000"/>
          <w:sz w:val="24"/>
        </w:rPr>
        <w:t xml:space="preserve"> ]小时内未传回订单，则视为</w:t>
      </w:r>
      <w:r>
        <w:rPr>
          <w:rFonts w:hint="eastAsia" w:ascii="仿宋" w:hAnsi="仿宋" w:eastAsia="仿宋" w:cs="Times New Roman"/>
          <w:color w:val="000000"/>
          <w:sz w:val="24"/>
        </w:rPr>
        <w:t>乙</w:t>
      </w:r>
      <w:r>
        <w:rPr>
          <w:rFonts w:ascii="仿宋" w:hAnsi="仿宋" w:eastAsia="仿宋" w:cs="Times New Roman"/>
          <w:color w:val="000000"/>
          <w:sz w:val="24"/>
        </w:rPr>
        <w:t>方已确认订单并同意接受订单约束，除非</w:t>
      </w:r>
      <w:r>
        <w:rPr>
          <w:rFonts w:hint="eastAsia" w:ascii="仿宋" w:hAnsi="仿宋" w:eastAsia="仿宋" w:cs="Times New Roman"/>
          <w:color w:val="000000"/>
          <w:sz w:val="24"/>
        </w:rPr>
        <w:t>甲方和</w:t>
      </w:r>
      <w:r>
        <w:rPr>
          <w:rFonts w:ascii="仿宋" w:hAnsi="仿宋" w:eastAsia="仿宋" w:cs="Times New Roman"/>
          <w:color w:val="000000"/>
          <w:sz w:val="24"/>
        </w:rPr>
        <w:t>/或采购方撤销订单；如果</w:t>
      </w:r>
      <w:r>
        <w:rPr>
          <w:rFonts w:hint="eastAsia" w:ascii="仿宋" w:hAnsi="仿宋" w:eastAsia="仿宋" w:cs="Times New Roman"/>
          <w:color w:val="000000"/>
          <w:sz w:val="24"/>
        </w:rPr>
        <w:t>乙方对传回的订单进行了任何修改，甲</w:t>
      </w:r>
      <w:r>
        <w:rPr>
          <w:rFonts w:ascii="仿宋" w:hAnsi="仿宋" w:eastAsia="仿宋" w:cs="Times New Roman"/>
          <w:color w:val="000000"/>
          <w:sz w:val="24"/>
        </w:rPr>
        <w:t>方和/或采购方有权</w:t>
      </w:r>
      <w:r>
        <w:rPr>
          <w:rFonts w:hint="eastAsia" w:ascii="仿宋" w:hAnsi="仿宋" w:eastAsia="仿宋" w:cs="Times New Roman"/>
          <w:color w:val="000000"/>
          <w:sz w:val="24"/>
        </w:rPr>
        <w:t>不同意修改内容、拒绝确认订单且不承担任何责任。</w:t>
      </w:r>
    </w:p>
    <w:p w14:paraId="666D6DB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3.4.1订单确认方式为以下第（</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）种方式：</w:t>
      </w:r>
    </w:p>
    <w:p w14:paraId="673C4B6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1）双方</w:t>
      </w:r>
      <w:r>
        <w:rPr>
          <w:rFonts w:hint="eastAsia" w:ascii="仿宋" w:hAnsi="仿宋" w:eastAsia="仿宋" w:cs="Times New Roman"/>
          <w:color w:val="000000"/>
          <w:sz w:val="24"/>
        </w:rPr>
        <w:t>签字</w:t>
      </w:r>
      <w:r>
        <w:rPr>
          <w:rFonts w:ascii="仿宋" w:hAnsi="仿宋" w:eastAsia="仿宋" w:cs="Times New Roman"/>
          <w:color w:val="000000"/>
          <w:sz w:val="24"/>
        </w:rPr>
        <w:t>盖章</w:t>
      </w:r>
      <w:r>
        <w:rPr>
          <w:rFonts w:hint="eastAsia" w:ascii="仿宋" w:hAnsi="仿宋" w:eastAsia="仿宋" w:cs="Times New Roman"/>
          <w:color w:val="000000"/>
          <w:sz w:val="24"/>
        </w:rPr>
        <w:t>；采用电子印章的，双方加盖电子印章。</w:t>
      </w:r>
    </w:p>
    <w:p w14:paraId="2663F51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2）其他方式：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3F2954A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3.4.2</w:t>
      </w:r>
      <w:r>
        <w:rPr>
          <w:rFonts w:hint="eastAsia" w:ascii="仿宋" w:hAnsi="仿宋" w:eastAsia="仿宋" w:cs="Times New Roman"/>
          <w:color w:val="000000"/>
          <w:sz w:val="24"/>
        </w:rPr>
        <w:t>除双方加盖电子印章的订单外，乙方应将订单原件在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15</w:t>
      </w:r>
      <w:r>
        <w:rPr>
          <w:rFonts w:ascii="仿宋" w:hAnsi="仿宋" w:eastAsia="仿宋" w:cs="Times New Roman"/>
          <w:color w:val="000000"/>
          <w:sz w:val="24"/>
        </w:rPr>
        <w:t xml:space="preserve"> ]</w:t>
      </w:r>
      <w:r>
        <w:rPr>
          <w:rFonts w:hint="eastAsia" w:ascii="仿宋" w:hAnsi="仿宋" w:eastAsia="仿宋" w:cs="Times New Roman"/>
          <w:color w:val="000000"/>
          <w:sz w:val="24"/>
        </w:rPr>
        <w:t>日内送达甲方和</w:t>
      </w:r>
      <w:r>
        <w:rPr>
          <w:rFonts w:ascii="仿宋" w:hAnsi="仿宋" w:eastAsia="仿宋" w:cs="Times New Roman"/>
          <w:color w:val="000000"/>
          <w:sz w:val="24"/>
        </w:rPr>
        <w:t>/</w:t>
      </w:r>
      <w:r>
        <w:rPr>
          <w:rFonts w:hint="eastAsia" w:ascii="仿宋" w:hAnsi="仿宋" w:eastAsia="仿宋" w:cs="Times New Roman"/>
          <w:color w:val="000000"/>
          <w:sz w:val="24"/>
        </w:rPr>
        <w:t>或采购方（否则甲方和</w:t>
      </w:r>
      <w:r>
        <w:rPr>
          <w:rFonts w:ascii="仿宋" w:hAnsi="仿宋" w:eastAsia="仿宋" w:cs="Times New Roman"/>
          <w:color w:val="000000"/>
          <w:sz w:val="24"/>
        </w:rPr>
        <w:t>/</w:t>
      </w:r>
      <w:r>
        <w:rPr>
          <w:rFonts w:hint="eastAsia" w:ascii="仿宋" w:hAnsi="仿宋" w:eastAsia="仿宋" w:cs="Times New Roman"/>
          <w:color w:val="000000"/>
          <w:sz w:val="24"/>
        </w:rPr>
        <w:t>或采购方有权拒绝付款）。</w:t>
      </w:r>
    </w:p>
    <w:p w14:paraId="7877F31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3.4.3确认的订单对乙方具有约束力。未经甲方和/或采购方</w:t>
      </w:r>
      <w:r>
        <w:rPr>
          <w:rFonts w:hint="eastAsia" w:ascii="仿宋" w:hAnsi="仿宋" w:eastAsia="仿宋" w:cs="Times New Roman"/>
          <w:color w:val="000000"/>
          <w:sz w:val="24"/>
        </w:rPr>
        <w:t>书面</w:t>
      </w:r>
      <w:r>
        <w:rPr>
          <w:rFonts w:ascii="仿宋" w:hAnsi="仿宋" w:eastAsia="仿宋" w:cs="Times New Roman"/>
          <w:color w:val="000000"/>
          <w:sz w:val="24"/>
        </w:rPr>
        <w:t>同意，乙方不得再对确认的订单进行变更或撤销。</w:t>
      </w:r>
    </w:p>
    <w:p w14:paraId="0B71CA9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3.5乙方以任何方式违反本协议约定，包括但不限于下述情形之一的，</w:t>
      </w:r>
      <w:r>
        <w:rPr>
          <w:rFonts w:hint="eastAsia" w:ascii="仿宋" w:hAnsi="仿宋" w:eastAsia="仿宋" w:cs="Times New Roman"/>
          <w:color w:val="000000"/>
          <w:sz w:val="24"/>
        </w:rPr>
        <w:t>甲方和</w:t>
      </w:r>
      <w:r>
        <w:rPr>
          <w:rFonts w:ascii="仿宋" w:hAnsi="仿宋" w:eastAsia="仿宋" w:cs="Times New Roman"/>
          <w:color w:val="000000"/>
          <w:sz w:val="24"/>
        </w:rPr>
        <w:t>/或采购方有权采取包括</w:t>
      </w:r>
      <w:r>
        <w:rPr>
          <w:rFonts w:hint="eastAsia" w:ascii="仿宋" w:hAnsi="仿宋" w:eastAsia="仿宋" w:cs="Times New Roman"/>
          <w:color w:val="000000"/>
          <w:sz w:val="24"/>
        </w:rPr>
        <w:t>中止订单、终止订单、</w:t>
      </w:r>
      <w:r>
        <w:rPr>
          <w:rFonts w:ascii="仿宋" w:hAnsi="仿宋" w:eastAsia="仿宋" w:cs="Times New Roman"/>
          <w:color w:val="000000"/>
          <w:sz w:val="24"/>
        </w:rPr>
        <w:t>调整或取消</w:t>
      </w:r>
      <w:r>
        <w:rPr>
          <w:rFonts w:hint="eastAsia" w:ascii="仿宋" w:hAnsi="仿宋" w:eastAsia="仿宋" w:cs="Times New Roman"/>
          <w:color w:val="000000"/>
          <w:sz w:val="24"/>
        </w:rPr>
        <w:t>乙方在本协议项下的供货份额、直接按乙方</w:t>
      </w:r>
      <w:r>
        <w:rPr>
          <w:rFonts w:ascii="仿宋" w:hAnsi="仿宋" w:eastAsia="仿宋" w:cs="Times New Roman"/>
          <w:color w:val="000000"/>
          <w:sz w:val="24"/>
        </w:rPr>
        <w:t>调整后的实际价格确定本协议项下的所有订单的价格、直至终止本协议、取消其</w:t>
      </w:r>
      <w:r>
        <w:rPr>
          <w:rFonts w:hint="eastAsia" w:ascii="仿宋" w:hAnsi="仿宋" w:eastAsia="仿宋" w:cs="Times New Roman"/>
          <w:color w:val="000000"/>
          <w:sz w:val="24"/>
        </w:rPr>
        <w:t>供应商</w:t>
      </w:r>
      <w:r>
        <w:rPr>
          <w:rFonts w:ascii="仿宋" w:hAnsi="仿宋" w:eastAsia="仿宋" w:cs="Times New Roman"/>
          <w:color w:val="000000"/>
          <w:sz w:val="24"/>
        </w:rPr>
        <w:t>资格等措施</w:t>
      </w:r>
      <w:r>
        <w:rPr>
          <w:rFonts w:hint="eastAsia" w:ascii="仿宋" w:hAnsi="仿宋" w:eastAsia="仿宋" w:cs="Times New Roman"/>
          <w:color w:val="000000"/>
          <w:sz w:val="24"/>
        </w:rPr>
        <w:t>：</w:t>
      </w:r>
    </w:p>
    <w:p w14:paraId="69EEFC5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3.5.1</w:t>
      </w:r>
      <w:r>
        <w:rPr>
          <w:rFonts w:hint="eastAsia" w:ascii="仿宋" w:hAnsi="仿宋" w:eastAsia="仿宋" w:cs="Times New Roman"/>
          <w:color w:val="000000"/>
          <w:sz w:val="24"/>
        </w:rPr>
        <w:t>乙</w:t>
      </w:r>
      <w:r>
        <w:rPr>
          <w:rFonts w:ascii="仿宋" w:hAnsi="仿宋" w:eastAsia="仿宋" w:cs="Times New Roman"/>
          <w:color w:val="000000"/>
          <w:sz w:val="24"/>
        </w:rPr>
        <w:t>方违反第2.8条规定将本协议及/或订单分包或转包给第三方。</w:t>
      </w:r>
    </w:p>
    <w:p w14:paraId="783DDAF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3.5.2未按照本协议约定确认订单，或不按照本协议约定的时限传回订单。</w:t>
      </w:r>
    </w:p>
    <w:p w14:paraId="7FB5470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3.5.3未按照本协议约定的价格和/或供货份额向采购方供货的。</w:t>
      </w:r>
    </w:p>
    <w:p w14:paraId="051DA7D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3.5.4提供的协议</w:t>
      </w:r>
      <w:r>
        <w:rPr>
          <w:rFonts w:hint="eastAsia" w:ascii="仿宋" w:hAnsi="仿宋" w:eastAsia="仿宋" w:cs="Times New Roman"/>
          <w:color w:val="000000"/>
          <w:sz w:val="24"/>
        </w:rPr>
        <w:t>软件</w:t>
      </w:r>
      <w:r>
        <w:rPr>
          <w:rFonts w:ascii="仿宋" w:hAnsi="仿宋" w:eastAsia="仿宋" w:cs="Times New Roman"/>
          <w:color w:val="000000"/>
          <w:sz w:val="24"/>
        </w:rPr>
        <w:t>的性能和质量与协议规定不符的。</w:t>
      </w:r>
    </w:p>
    <w:p w14:paraId="145EA66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3.5.5[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2B7446D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3.5.6本协议约定的其他情形。</w:t>
      </w:r>
    </w:p>
    <w:p w14:paraId="6CFED0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w:t>
      </w:r>
      <w:r>
        <w:rPr>
          <w:rFonts w:hint="eastAsia" w:ascii="仿宋" w:hAnsi="仿宋" w:eastAsia="仿宋" w:cs="Times New Roman"/>
          <w:color w:val="000000"/>
          <w:sz w:val="24"/>
        </w:rPr>
        <w:t>甲方和</w:t>
      </w:r>
      <w:r>
        <w:rPr>
          <w:rFonts w:ascii="仿宋" w:hAnsi="仿宋" w:eastAsia="仿宋" w:cs="Times New Roman"/>
          <w:color w:val="000000"/>
          <w:sz w:val="24"/>
        </w:rPr>
        <w:t>/或采购方按照3.5</w:t>
      </w:r>
      <w:r>
        <w:rPr>
          <w:rFonts w:hint="eastAsia" w:ascii="仿宋" w:hAnsi="仿宋" w:eastAsia="仿宋" w:cs="Times New Roman"/>
          <w:color w:val="000000"/>
          <w:sz w:val="24"/>
        </w:rPr>
        <w:t>条约定</w:t>
      </w:r>
      <w:r>
        <w:rPr>
          <w:rFonts w:ascii="仿宋" w:hAnsi="仿宋" w:eastAsia="仿宋" w:cs="Times New Roman"/>
          <w:color w:val="000000"/>
          <w:sz w:val="24"/>
        </w:rPr>
        <w:t>调整或取消乙方在本协议项下的供货份额</w:t>
      </w:r>
      <w:r>
        <w:rPr>
          <w:rFonts w:hint="eastAsia" w:ascii="仿宋" w:hAnsi="仿宋" w:eastAsia="仿宋" w:cs="Times New Roman"/>
          <w:color w:val="000000"/>
          <w:sz w:val="24"/>
        </w:rPr>
        <w:t>的，按以下方式进行</w:t>
      </w:r>
      <w:r>
        <w:rPr>
          <w:rFonts w:ascii="仿宋" w:hAnsi="仿宋" w:eastAsia="仿宋" w:cs="Times New Roman"/>
          <w:color w:val="000000"/>
          <w:sz w:val="24"/>
        </w:rPr>
        <w:t>：</w:t>
      </w:r>
    </w:p>
    <w:p w14:paraId="7211BE5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3.6.1如上述3.5条约定的情形首次发生，甲方和/或采购方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核减乙方在该采购方的份额，核减的份额相当于当期订单金额的两倍；</w:t>
      </w:r>
    </w:p>
    <w:p w14:paraId="50D93D3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3.6.2如上述3.5条约定的情形在同一采购方下达订单时第二次发生，甲方和/或采购方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w:t>
      </w:r>
      <w:r>
        <w:rPr>
          <w:rFonts w:hint="eastAsia" w:ascii="仿宋" w:hAnsi="仿宋" w:eastAsia="仿宋" w:cs="Times New Roman"/>
          <w:color w:val="000000"/>
          <w:sz w:val="24"/>
        </w:rPr>
        <w:t>采购方的全部份额；</w:t>
      </w:r>
    </w:p>
    <w:p w14:paraId="1F298B28">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3.6.3如乙方被甲方和/或采购方核减两个采购方的全部份额后，仍发生上述情形，甲方和/或采购方有权视情节核减乙方的其他份额，直至取消全部供货份额。</w:t>
      </w:r>
    </w:p>
    <w:p w14:paraId="33F19B50">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hint="eastAsia" w:ascii="仿宋" w:hAnsi="仿宋" w:eastAsia="仿宋" w:cs="Times New Roman"/>
          <w:sz w:val="24"/>
        </w:rPr>
        <w:t>3</w:t>
      </w:r>
      <w:r>
        <w:rPr>
          <w:rFonts w:ascii="仿宋" w:hAnsi="仿宋" w:eastAsia="仿宋" w:cs="Times New Roman"/>
          <w:sz w:val="24"/>
        </w:rPr>
        <w:t>.6.4</w:t>
      </w:r>
      <w:r>
        <w:rPr>
          <w:rFonts w:hint="eastAsia" w:ascii="仿宋" w:hAnsi="仿宋" w:eastAsia="仿宋" w:cs="Times New Roman"/>
          <w:sz w:val="24"/>
        </w:rPr>
        <w:t>如上述</w:t>
      </w:r>
      <w:r>
        <w:rPr>
          <w:rFonts w:ascii="仿宋" w:hAnsi="仿宋" w:eastAsia="仿宋" w:cs="Times New Roman"/>
          <w:sz w:val="24"/>
        </w:rPr>
        <w:t>3.5</w:t>
      </w:r>
      <w:r>
        <w:rPr>
          <w:rFonts w:hint="eastAsia" w:ascii="仿宋" w:hAnsi="仿宋" w:eastAsia="仿宋" w:cs="Times New Roman"/>
          <w:sz w:val="24"/>
        </w:rPr>
        <w:t>条约定的情形同时构成本协议</w:t>
      </w:r>
      <w:r>
        <w:rPr>
          <w:rFonts w:ascii="仿宋" w:hAnsi="仿宋" w:eastAsia="仿宋" w:cs="Times New Roman"/>
          <w:sz w:val="24"/>
        </w:rPr>
        <w:t>16.12</w:t>
      </w:r>
      <w:r>
        <w:rPr>
          <w:rFonts w:hint="eastAsia" w:ascii="仿宋" w:hAnsi="仿宋" w:eastAsia="仿宋" w:cs="Times New Roman"/>
          <w:sz w:val="24"/>
        </w:rPr>
        <w:t>中《中国电信供应商不良行为管理规则》所列的供应商不良行为，且该规则涉及供货份额的调整和/或取消的处理，则对份额的调整和/或取消以该规则及处理结果为准，而不再执行前述</w:t>
      </w:r>
      <w:r>
        <w:rPr>
          <w:rFonts w:ascii="仿宋" w:hAnsi="仿宋" w:eastAsia="仿宋" w:cs="Times New Roman"/>
          <w:sz w:val="24"/>
        </w:rPr>
        <w:t>3.6.1</w:t>
      </w:r>
      <w:r>
        <w:rPr>
          <w:rFonts w:hint="eastAsia" w:ascii="仿宋" w:hAnsi="仿宋" w:eastAsia="仿宋" w:cs="Times New Roman"/>
          <w:sz w:val="24"/>
        </w:rPr>
        <w:t>、</w:t>
      </w:r>
      <w:r>
        <w:rPr>
          <w:rFonts w:ascii="仿宋" w:hAnsi="仿宋" w:eastAsia="仿宋" w:cs="Times New Roman"/>
          <w:sz w:val="24"/>
        </w:rPr>
        <w:t>3.6.</w:t>
      </w:r>
      <w:r>
        <w:rPr>
          <w:rFonts w:hint="eastAsia" w:ascii="仿宋" w:hAnsi="仿宋" w:eastAsia="仿宋" w:cs="Times New Roman"/>
          <w:sz w:val="24"/>
        </w:rPr>
        <w:t>2、</w:t>
      </w:r>
      <w:r>
        <w:rPr>
          <w:rFonts w:ascii="仿宋" w:hAnsi="仿宋" w:eastAsia="仿宋" w:cs="Times New Roman"/>
          <w:sz w:val="24"/>
        </w:rPr>
        <w:t>3.6.3</w:t>
      </w:r>
      <w:r>
        <w:rPr>
          <w:rFonts w:hint="eastAsia" w:ascii="仿宋" w:hAnsi="仿宋" w:eastAsia="仿宋" w:cs="Times New Roman"/>
          <w:sz w:val="24"/>
        </w:rPr>
        <w:t>条款内容，除非该卖方和/或供应商未承诺接受该规则或者本协议明示地排除适用该规则。</w:t>
      </w:r>
    </w:p>
    <w:p w14:paraId="49DA3BE3">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3.7</w:t>
      </w:r>
      <w:r>
        <w:rPr>
          <w:rFonts w:hint="eastAsia" w:ascii="仿宋" w:hAnsi="仿宋" w:eastAsia="仿宋" w:cs="Times New Roman"/>
          <w:color w:val="000000"/>
          <w:sz w:val="24"/>
        </w:rPr>
        <w:t>乙方保证</w:t>
      </w:r>
      <w:r>
        <w:rPr>
          <w:rFonts w:ascii="仿宋" w:hAnsi="仿宋" w:eastAsia="仿宋" w:cs="Times New Roman"/>
          <w:color w:val="000000"/>
          <w:sz w:val="24"/>
        </w:rPr>
        <w:t>全部具备履行本协议及订单项下权利义务的全部</w:t>
      </w:r>
      <w:r>
        <w:rPr>
          <w:rFonts w:hint="eastAsia" w:ascii="仿宋" w:hAnsi="仿宋" w:eastAsia="仿宋" w:cs="Times New Roman"/>
          <w:color w:val="000000"/>
          <w:sz w:val="24"/>
        </w:rPr>
        <w:t>主体</w:t>
      </w:r>
      <w:r>
        <w:rPr>
          <w:rFonts w:ascii="仿宋" w:hAnsi="仿宋" w:eastAsia="仿宋" w:cs="Times New Roman"/>
          <w:color w:val="000000"/>
          <w:sz w:val="24"/>
        </w:rPr>
        <w:t>资格和能力。</w:t>
      </w:r>
    </w:p>
    <w:p w14:paraId="5384039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3.8根据本协议下达的</w:t>
      </w:r>
      <w:r>
        <w:rPr>
          <w:rFonts w:hint="eastAsia" w:ascii="仿宋" w:hAnsi="仿宋" w:eastAsia="仿宋" w:cs="Times New Roman"/>
          <w:color w:val="000000"/>
          <w:sz w:val="24"/>
        </w:rPr>
        <w:t>订单</w:t>
      </w:r>
      <w:r>
        <w:rPr>
          <w:rFonts w:ascii="仿宋" w:hAnsi="仿宋" w:eastAsia="仿宋" w:cs="Times New Roman"/>
          <w:color w:val="000000"/>
          <w:sz w:val="24"/>
        </w:rPr>
        <w:t>受本协议的约束。</w:t>
      </w:r>
      <w:r>
        <w:rPr>
          <w:rFonts w:hint="eastAsia" w:ascii="仿宋" w:hAnsi="仿宋" w:eastAsia="仿宋" w:cs="Times New Roman"/>
          <w:color w:val="000000"/>
          <w:sz w:val="24"/>
        </w:rPr>
        <w:t>在本协议终止或解除后，甲方和</w:t>
      </w:r>
      <w:r>
        <w:rPr>
          <w:rFonts w:ascii="仿宋" w:hAnsi="仿宋" w:eastAsia="仿宋" w:cs="Times New Roman"/>
          <w:color w:val="000000"/>
          <w:sz w:val="24"/>
        </w:rPr>
        <w:t>/或采购方不再向乙方</w:t>
      </w:r>
      <w:r>
        <w:rPr>
          <w:rFonts w:hint="eastAsia" w:ascii="仿宋" w:hAnsi="仿宋" w:eastAsia="仿宋" w:cs="Times New Roman"/>
          <w:color w:val="000000"/>
          <w:sz w:val="24"/>
        </w:rPr>
        <w:t>下达新的订单，但双方仍应按照本协议的其他规定和已确认的订单继续履行，直至该订单下的权利义务履行完毕。订单终止或解除，不影响本协议效力。</w:t>
      </w:r>
    </w:p>
    <w:p w14:paraId="2E00D2AB">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第四条价格</w:t>
      </w:r>
    </w:p>
    <w:p w14:paraId="1048AA7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4.1</w:t>
      </w:r>
      <w:r>
        <w:rPr>
          <w:rFonts w:hint="eastAsia" w:ascii="仿宋" w:hAnsi="仿宋" w:eastAsia="仿宋" w:cs="Times New Roman"/>
          <w:color w:val="000000"/>
          <w:sz w:val="24"/>
        </w:rPr>
        <w:t>本协议项下采购方向乙方支付的金额以订单进行结算，具体金额以订单费用金额为准。乙方向甲方和</w:t>
      </w:r>
      <w:r>
        <w:rPr>
          <w:rFonts w:ascii="仿宋" w:hAnsi="仿宋" w:eastAsia="仿宋" w:cs="Times New Roman"/>
          <w:color w:val="000000"/>
          <w:sz w:val="24"/>
        </w:rPr>
        <w:t>/或采购方提供的软件和服务的单价（含税价）见</w:t>
      </w:r>
      <w:r>
        <w:rPr>
          <w:rFonts w:hint="eastAsia" w:ascii="仿宋" w:hAnsi="仿宋" w:eastAsia="仿宋" w:cs="Times New Roman"/>
          <w:color w:val="000000"/>
          <w:sz w:val="24"/>
        </w:rPr>
        <w:t>本</w:t>
      </w:r>
      <w:r>
        <w:rPr>
          <w:rFonts w:ascii="仿宋" w:hAnsi="仿宋" w:eastAsia="仿宋" w:cs="Times New Roman"/>
          <w:color w:val="000000"/>
          <w:sz w:val="24"/>
        </w:rPr>
        <w:t>协议附件一。</w:t>
      </w:r>
    </w:p>
    <w:p w14:paraId="41BE95E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4.2 </w:t>
      </w:r>
      <w:r>
        <w:rPr>
          <w:rFonts w:hint="eastAsia" w:ascii="仿宋" w:hAnsi="仿宋" w:eastAsia="仿宋" w:cs="Times New Roman"/>
          <w:color w:val="000000"/>
          <w:sz w:val="24"/>
        </w:rPr>
        <w:t>订单的价格包括：</w:t>
      </w:r>
    </w:p>
    <w:p w14:paraId="4A50AA1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1）乙方</w:t>
      </w:r>
      <w:r>
        <w:rPr>
          <w:rFonts w:hint="eastAsia" w:ascii="仿宋" w:hAnsi="仿宋" w:eastAsia="仿宋" w:cs="Times New Roman"/>
          <w:color w:val="000000"/>
          <w:sz w:val="24"/>
        </w:rPr>
        <w:t>按照</w:t>
      </w:r>
      <w:r>
        <w:rPr>
          <w:rFonts w:ascii="仿宋" w:hAnsi="仿宋" w:eastAsia="仿宋" w:cs="Times New Roman"/>
          <w:color w:val="000000"/>
          <w:sz w:val="24"/>
        </w:rPr>
        <w:t>本协议及订单</w:t>
      </w:r>
      <w:r>
        <w:rPr>
          <w:rFonts w:hint="eastAsia" w:ascii="仿宋" w:hAnsi="仿宋" w:eastAsia="仿宋" w:cs="Times New Roman"/>
          <w:color w:val="000000"/>
          <w:sz w:val="24"/>
        </w:rPr>
        <w:t>应提供的</w:t>
      </w:r>
      <w:r>
        <w:rPr>
          <w:rFonts w:ascii="仿宋" w:hAnsi="仿宋" w:eastAsia="仿宋" w:cs="Times New Roman"/>
          <w:color w:val="000000"/>
          <w:sz w:val="24"/>
        </w:rPr>
        <w:t>软件</w:t>
      </w:r>
      <w:r>
        <w:rPr>
          <w:rFonts w:hint="eastAsia" w:ascii="仿宋" w:hAnsi="仿宋" w:eastAsia="仿宋" w:cs="Times New Roman"/>
          <w:color w:val="000000"/>
          <w:sz w:val="24"/>
        </w:rPr>
        <w:t>的许可使用费用。</w:t>
      </w:r>
    </w:p>
    <w:p w14:paraId="2CC57ED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2）软件介质以及与软件许可使用相关的技术资料及文档的费用。</w:t>
      </w:r>
    </w:p>
    <w:p w14:paraId="1E2D651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3）乙方根据本协议</w:t>
      </w:r>
      <w:r>
        <w:rPr>
          <w:rFonts w:hint="eastAsia" w:ascii="仿宋" w:hAnsi="仿宋" w:eastAsia="仿宋" w:cs="Times New Roman"/>
          <w:color w:val="000000"/>
          <w:sz w:val="24"/>
        </w:rPr>
        <w:t>及订单应承担的服务费用，以及本协议附件所涉及的其他技术服务费用和培训费用。</w:t>
      </w:r>
    </w:p>
    <w:p w14:paraId="4FAE6B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4）乙方应承担的运保费，即软件介质自乙方至甲方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指定现场的运输费及保险费。</w:t>
      </w:r>
    </w:p>
    <w:p w14:paraId="0B661C4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就乙方履行本协议事宜所应支付的其他全部费用及税费（包括但不限于增值税等）。</w:t>
      </w:r>
    </w:p>
    <w:p w14:paraId="3198A98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除另有约定外，甲方和</w:t>
      </w:r>
      <w:r>
        <w:rPr>
          <w:rFonts w:ascii="仿宋" w:hAnsi="仿宋" w:eastAsia="仿宋" w:cs="Times New Roman"/>
          <w:color w:val="000000"/>
          <w:sz w:val="24"/>
        </w:rPr>
        <w:t>/或采购方</w:t>
      </w:r>
      <w:r>
        <w:rPr>
          <w:rFonts w:hint="eastAsia" w:ascii="仿宋" w:hAnsi="仿宋" w:eastAsia="仿宋" w:cs="Times New Roman"/>
          <w:color w:val="000000"/>
          <w:sz w:val="24"/>
        </w:rPr>
        <w:t>无需就软件许可事项以及本协议项下其他事项向包括乙方在内</w:t>
      </w:r>
      <w:r>
        <w:rPr>
          <w:rFonts w:ascii="仿宋" w:hAnsi="仿宋" w:eastAsia="仿宋" w:cs="Times New Roman"/>
          <w:color w:val="000000"/>
          <w:sz w:val="24"/>
        </w:rPr>
        <w:t>的任何人</w:t>
      </w:r>
      <w:r>
        <w:rPr>
          <w:rFonts w:hint="eastAsia" w:ascii="仿宋" w:hAnsi="仿宋" w:eastAsia="仿宋" w:cs="Times New Roman"/>
          <w:color w:val="000000"/>
          <w:sz w:val="24"/>
        </w:rPr>
        <w:t>支付上述费用之外的任何其他费用及税费（包括但不限于增值税等）。因国家税收政策导致增值税率变化的，单价价款（不含税价）不变，增值税款和订单金额（含税价）相应变更。</w:t>
      </w:r>
    </w:p>
    <w:p w14:paraId="4113177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4.3 </w:t>
      </w:r>
      <w:r>
        <w:rPr>
          <w:rFonts w:hint="eastAsia" w:ascii="仿宋" w:hAnsi="仿宋" w:eastAsia="仿宋" w:cs="Times New Roman"/>
          <w:color w:val="000000"/>
          <w:sz w:val="24"/>
        </w:rPr>
        <w:t>乙方应当在每月</w:t>
      </w:r>
      <w:r>
        <w:rPr>
          <w:rFonts w:ascii="仿宋" w:hAnsi="仿宋" w:eastAsia="仿宋" w:cs="Times New Roman"/>
          <w:color w:val="000000"/>
          <w:sz w:val="24"/>
        </w:rPr>
        <w:t>5日前对本协议的执行情况进行统计，并将统计结果发至甲方经办人或联系人电子邮箱或传真至甲方。</w:t>
      </w:r>
    </w:p>
    <w:p w14:paraId="4F96EE66">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第五条支付条款</w:t>
      </w:r>
    </w:p>
    <w:p w14:paraId="4454C6C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5.1订单下的费用由采购方以[ </w:t>
      </w:r>
      <w:r>
        <w:rPr>
          <w:rFonts w:hint="eastAsia" w:ascii="仿宋" w:hAnsi="仿宋" w:eastAsia="仿宋" w:cs="Times New Roman"/>
          <w:color w:val="000000"/>
          <w:sz w:val="24"/>
          <w:lang w:val="en-US" w:eastAsia="zh-CN"/>
        </w:rPr>
        <w:t>银行转账</w:t>
      </w:r>
      <w:r>
        <w:rPr>
          <w:rFonts w:ascii="仿宋" w:hAnsi="仿宋" w:eastAsia="仿宋" w:cs="Times New Roman"/>
          <w:color w:val="000000"/>
          <w:sz w:val="24"/>
        </w:rPr>
        <w:t xml:space="preserve"> ] （</w:t>
      </w:r>
      <w:r>
        <w:rPr>
          <w:rFonts w:hint="eastAsia" w:ascii="仿宋" w:hAnsi="仿宋" w:eastAsia="仿宋" w:cs="Times New Roman"/>
          <w:color w:val="000000"/>
          <w:sz w:val="24"/>
        </w:rPr>
        <w:t>银行转账</w:t>
      </w:r>
      <w:r>
        <w:rPr>
          <w:rFonts w:ascii="仿宋" w:hAnsi="仿宋" w:eastAsia="仿宋" w:cs="Times New Roman"/>
          <w:color w:val="000000"/>
          <w:sz w:val="24"/>
        </w:rPr>
        <w:t>/</w:t>
      </w:r>
      <w:r>
        <w:rPr>
          <w:rFonts w:hint="eastAsia" w:ascii="仿宋" w:hAnsi="仿宋" w:eastAsia="仿宋" w:cs="Times New Roman"/>
          <w:color w:val="000000"/>
          <w:sz w:val="24"/>
        </w:rPr>
        <w:t>电汇</w:t>
      </w:r>
      <w:r>
        <w:rPr>
          <w:rFonts w:ascii="仿宋" w:hAnsi="仿宋" w:eastAsia="仿宋" w:cs="Times New Roman"/>
          <w:color w:val="000000"/>
          <w:sz w:val="24"/>
        </w:rPr>
        <w:t>/</w:t>
      </w:r>
      <w:r>
        <w:rPr>
          <w:rFonts w:hint="eastAsia" w:ascii="仿宋" w:hAnsi="仿宋" w:eastAsia="仿宋" w:cs="Times New Roman"/>
          <w:color w:val="000000"/>
          <w:sz w:val="24"/>
        </w:rPr>
        <w:t>支票等）方式付至乙方。</w:t>
      </w:r>
    </w:p>
    <w:p w14:paraId="1846662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乙方和</w:t>
      </w:r>
      <w:r>
        <w:rPr>
          <w:rFonts w:ascii="仿宋" w:hAnsi="仿宋" w:eastAsia="仿宋" w:cs="Times New Roman"/>
          <w:color w:val="000000"/>
          <w:sz w:val="24"/>
        </w:rPr>
        <w:t>采购方的银行账户信息和纳税人信息详见订单。</w:t>
      </w:r>
    </w:p>
    <w:p w14:paraId="0E43526F">
      <w:pPr>
        <w:widowControl/>
        <w:spacing w:line="360" w:lineRule="exact"/>
        <w:ind w:firstLine="480" w:firstLineChars="200"/>
        <w:jc w:val="left"/>
        <w:rPr>
          <w:rFonts w:ascii="仿宋" w:hAnsi="仿宋" w:eastAsia="仿宋" w:cs="Arial"/>
          <w:color w:val="000000"/>
          <w:kern w:val="0"/>
          <w:sz w:val="24"/>
        </w:rPr>
      </w:pPr>
      <w:r>
        <w:rPr>
          <w:rFonts w:ascii="仿宋" w:hAnsi="仿宋" w:eastAsia="仿宋" w:cs="Arial"/>
          <w:color w:val="000000"/>
          <w:kern w:val="0"/>
          <w:sz w:val="24"/>
        </w:rPr>
        <w:t xml:space="preserve">5.2采购方应按以下条款向乙方支付当期订单下的费用： </w:t>
      </w:r>
    </w:p>
    <w:p w14:paraId="26B6570D">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甲乙双方框架合同签订后，合同订单金额由甲方下单并验收合格后且甲方收到乙方下列全部单据后[30]个工作日内，向乙方支付该笔订单[99]%的款项 ：</w:t>
      </w:r>
    </w:p>
    <w:p w14:paraId="5043D3F7">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6AB31225">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5917A74A">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(3)项目验收报告原件一份。</w:t>
      </w:r>
    </w:p>
    <w:p w14:paraId="055B6854">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维保期满后，甲方收到乙方提供的下列全部单据后[30]个工作日内，甲方向乙方支付该笔订单剩余[1]%的款项：</w:t>
      </w:r>
    </w:p>
    <w:p w14:paraId="6FCBDA1E">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4FB27432">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C58B5E5">
      <w:pPr>
        <w:widowControl/>
        <w:spacing w:line="360" w:lineRule="exact"/>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(3)保修期满证书原件</w:t>
      </w:r>
    </w:p>
    <w:p w14:paraId="417CF31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5.3 </w:t>
      </w:r>
      <w:r>
        <w:rPr>
          <w:rFonts w:hint="eastAsia" w:ascii="仿宋" w:hAnsi="仿宋" w:eastAsia="仿宋" w:cs="Times New Roman"/>
          <w:color w:val="000000"/>
          <w:sz w:val="24"/>
        </w:rPr>
        <w:t>乙方向甲方和</w:t>
      </w:r>
      <w:r>
        <w:rPr>
          <w:rFonts w:ascii="仿宋" w:hAnsi="仿宋" w:eastAsia="仿宋" w:cs="Times New Roman"/>
          <w:color w:val="000000"/>
          <w:sz w:val="24"/>
        </w:rPr>
        <w:t>/或采购方开具</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，乙方应派专人或使用挂号信件或特快专递方式在发票开具后30日内送达甲方和/或采购方，送达日期</w:t>
      </w:r>
      <w:r>
        <w:rPr>
          <w:rFonts w:hint="eastAsia" w:ascii="仿宋" w:hAnsi="仿宋" w:eastAsia="仿宋" w:cs="Times New Roman"/>
          <w:color w:val="000000"/>
          <w:sz w:val="24"/>
        </w:rPr>
        <w:t>以甲方和</w:t>
      </w:r>
      <w:r>
        <w:rPr>
          <w:rFonts w:ascii="仿宋" w:hAnsi="仿宋" w:eastAsia="仿宋" w:cs="Times New Roman"/>
          <w:color w:val="000000"/>
          <w:sz w:val="24"/>
        </w:rPr>
        <w:t>/或采购方签收日期为准；逾期送达的，每逾期一日,乙方应按逾期送达发票金额的</w:t>
      </w:r>
      <w:r>
        <w:rPr>
          <w:rFonts w:hint="eastAsia" w:ascii="仿宋" w:hAnsi="仿宋" w:eastAsia="仿宋" w:cs="Times New Roman"/>
          <w:color w:val="000000"/>
          <w:sz w:val="24"/>
        </w:rPr>
        <w:t>千</w:t>
      </w:r>
      <w:r>
        <w:rPr>
          <w:rFonts w:ascii="仿宋" w:hAnsi="仿宋" w:eastAsia="仿宋" w:cs="Times New Roman"/>
          <w:color w:val="000000"/>
          <w:sz w:val="24"/>
        </w:rPr>
        <w:t>分之三</w:t>
      </w:r>
      <w:r>
        <w:rPr>
          <w:rFonts w:hint="eastAsia" w:ascii="仿宋" w:hAnsi="仿宋" w:eastAsia="仿宋" w:cs="Times New Roman"/>
          <w:color w:val="000000"/>
          <w:sz w:val="24"/>
        </w:rPr>
        <w:t>向甲方</w:t>
      </w:r>
      <w:r>
        <w:rPr>
          <w:rFonts w:ascii="仿宋" w:hAnsi="仿宋" w:eastAsia="仿宋" w:cs="Times New Roman"/>
          <w:color w:val="000000"/>
          <w:sz w:val="24"/>
        </w:rPr>
        <w:t>和/或采购方支付违约金,若因逾期送达造成甲方和/或采购方无法抵扣的，乙方还应赔偿甲方和/或采购方由此遭受的损失，金额相当于逾期送达发票可抵扣金额。</w:t>
      </w:r>
    </w:p>
    <w:p w14:paraId="64F91E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5.4 </w:t>
      </w:r>
      <w:r>
        <w:rPr>
          <w:rFonts w:hint="eastAsia" w:ascii="仿宋" w:hAnsi="仿宋" w:eastAsia="仿宋" w:cs="Times New Roman"/>
          <w:color w:val="000000"/>
          <w:sz w:val="24"/>
        </w:rPr>
        <w:t>如乙方提供的增值税专用发票不符合法律法规要求或本协议约定，或不能通过税务认证，或不能实现税款抵扣的，甲方和</w:t>
      </w:r>
      <w:r>
        <w:rPr>
          <w:rFonts w:ascii="仿宋" w:hAnsi="仿宋" w:eastAsia="仿宋" w:cs="Times New Roman"/>
          <w:color w:val="000000"/>
          <w:sz w:val="24"/>
        </w:rPr>
        <w:t>/或采购方有权拒收或于发现问题后退回，乙方应及时更换，如因此导致未能在第5.3条约定时限内送达</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的，乙方应当按照第5.3条约定承担逾期送达的违约责任</w:t>
      </w:r>
      <w:r>
        <w:rPr>
          <w:rFonts w:hint="eastAsia" w:ascii="仿宋" w:hAnsi="仿宋" w:eastAsia="仿宋" w:cs="Times New Roman"/>
          <w:color w:val="000000"/>
          <w:sz w:val="24"/>
        </w:rPr>
        <w:t>；如无法更换的，甲方和</w:t>
      </w:r>
      <w:r>
        <w:rPr>
          <w:rFonts w:ascii="仿宋" w:hAnsi="仿宋" w:eastAsia="仿宋" w:cs="Times New Roman"/>
          <w:color w:val="000000"/>
          <w:sz w:val="24"/>
        </w:rPr>
        <w:t xml:space="preserve">/或采购方有权要求乙方支付发票金额[ </w:t>
      </w:r>
      <w:r>
        <w:rPr>
          <w:rFonts w:hint="eastAsia" w:ascii="仿宋" w:hAnsi="仿宋" w:eastAsia="仿宋" w:cs="Times New Roman"/>
          <w:color w:val="000000"/>
          <w:sz w:val="24"/>
          <w:lang w:val="en-US" w:eastAsia="zh-CN"/>
        </w:rPr>
        <w:t>0.5</w:t>
      </w:r>
      <w:r>
        <w:rPr>
          <w:rFonts w:ascii="仿宋" w:hAnsi="仿宋" w:eastAsia="仿宋" w:cs="Times New Roman"/>
          <w:color w:val="000000"/>
          <w:sz w:val="24"/>
        </w:rPr>
        <w:t xml:space="preserve"> ]%的违约金，并赔偿甲方和/或采购方由此遭受的损失。</w:t>
      </w:r>
    </w:p>
    <w:p w14:paraId="5CEC739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5.5若根据本</w:t>
      </w:r>
      <w:r>
        <w:rPr>
          <w:rFonts w:hint="eastAsia" w:ascii="仿宋" w:hAnsi="仿宋" w:eastAsia="仿宋" w:cs="Times New Roman"/>
          <w:color w:val="000000"/>
          <w:sz w:val="24"/>
        </w:rPr>
        <w:t>协议</w:t>
      </w:r>
      <w:r>
        <w:rPr>
          <w:rFonts w:ascii="仿宋" w:hAnsi="仿宋" w:eastAsia="仿宋" w:cs="Times New Roman"/>
          <w:color w:val="000000"/>
          <w:sz w:val="24"/>
        </w:rPr>
        <w:t>规定，乙方应当支付违约金和/或承担赔偿责任，则甲方</w:t>
      </w:r>
      <w:r>
        <w:rPr>
          <w:rFonts w:hint="eastAsia" w:ascii="仿宋" w:hAnsi="仿宋" w:eastAsia="仿宋" w:cs="Times New Roman"/>
          <w:color w:val="000000"/>
          <w:sz w:val="24"/>
        </w:rPr>
        <w:t>和</w:t>
      </w:r>
      <w:r>
        <w:rPr>
          <w:rFonts w:ascii="仿宋" w:hAnsi="仿宋" w:eastAsia="仿宋" w:cs="Times New Roman"/>
          <w:color w:val="000000"/>
          <w:sz w:val="24"/>
        </w:rPr>
        <w:t>/或采购方有权从上述任何一笔付款中直接扣除相应金额。扣除后仍不足以赔偿甲方</w:t>
      </w:r>
      <w:r>
        <w:rPr>
          <w:rFonts w:hint="eastAsia" w:ascii="仿宋" w:hAnsi="仿宋" w:eastAsia="仿宋" w:cs="Times New Roman"/>
          <w:color w:val="000000"/>
          <w:sz w:val="24"/>
        </w:rPr>
        <w:t>和</w:t>
      </w:r>
      <w:r>
        <w:rPr>
          <w:rFonts w:ascii="仿宋" w:hAnsi="仿宋" w:eastAsia="仿宋" w:cs="Times New Roman"/>
          <w:color w:val="000000"/>
          <w:sz w:val="24"/>
        </w:rPr>
        <w:t>/或采购方损失的，乙方应在接到甲方</w:t>
      </w:r>
      <w:r>
        <w:rPr>
          <w:rFonts w:hint="eastAsia" w:ascii="仿宋" w:hAnsi="仿宋" w:eastAsia="仿宋" w:cs="Times New Roman"/>
          <w:color w:val="000000"/>
          <w:sz w:val="24"/>
        </w:rPr>
        <w:t>和</w:t>
      </w:r>
      <w:r>
        <w:rPr>
          <w:rFonts w:ascii="仿宋" w:hAnsi="仿宋" w:eastAsia="仿宋" w:cs="Times New Roman"/>
          <w:color w:val="000000"/>
          <w:sz w:val="24"/>
        </w:rPr>
        <w:t>/或采购方通知后</w:t>
      </w:r>
      <w:r>
        <w:rPr>
          <w:rFonts w:hint="eastAsia" w:ascii="仿宋" w:hAnsi="仿宋" w:eastAsia="仿宋" w:cs="Times New Roman"/>
          <w:color w:val="000000"/>
          <w:sz w:val="24"/>
        </w:rPr>
        <w:t>十五</w:t>
      </w:r>
      <w:r>
        <w:rPr>
          <w:rFonts w:ascii="仿宋" w:hAnsi="仿宋" w:eastAsia="仿宋" w:cs="Times New Roman"/>
          <w:color w:val="000000"/>
          <w:sz w:val="24"/>
        </w:rPr>
        <w:t>日内将不足部分以[</w:t>
      </w:r>
      <w:r>
        <w:rPr>
          <w:rFonts w:ascii="Calibri" w:hAnsi="Calibri" w:eastAsia="仿宋" w:cs="Calibri"/>
          <w:color w:val="000000"/>
          <w:sz w:val="24"/>
        </w:rPr>
        <w:t> </w:t>
      </w:r>
      <w:r>
        <w:rPr>
          <w:rFonts w:hint="eastAsia" w:ascii="Calibri" w:hAnsi="Calibri" w:eastAsia="仿宋" w:cs="Calibri"/>
          <w:color w:val="000000"/>
          <w:sz w:val="24"/>
          <w:lang w:val="en-US" w:eastAsia="zh-CN"/>
        </w:rPr>
        <w:t>银行转账</w:t>
      </w:r>
      <w:r>
        <w:rPr>
          <w:rFonts w:ascii="仿宋" w:hAnsi="仿宋" w:eastAsia="仿宋" w:cs="Times New Roman"/>
          <w:color w:val="000000"/>
          <w:sz w:val="24"/>
        </w:rPr>
        <w:t xml:space="preserve"> ]（银行转账、电汇、支票等）方式付至甲方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w:t>
      </w:r>
    </w:p>
    <w:p w14:paraId="48624F1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5.6 </w:t>
      </w:r>
      <w:r>
        <w:rPr>
          <w:rFonts w:hint="eastAsia" w:ascii="仿宋" w:hAnsi="仿宋" w:eastAsia="仿宋" w:cs="Times New Roman"/>
          <w:color w:val="000000"/>
          <w:sz w:val="24"/>
        </w:rPr>
        <w:t>双方因履行本协议所发生的银行费用及与支付有关的其他费用，由双方分别承担。</w:t>
      </w:r>
    </w:p>
    <w:p w14:paraId="5148FD7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5.7 </w:t>
      </w:r>
      <w:r>
        <w:rPr>
          <w:rFonts w:hint="eastAsia" w:ascii="仿宋" w:hAnsi="仿宋" w:eastAsia="仿宋" w:cs="Times New Roman"/>
          <w:color w:val="000000"/>
          <w:sz w:val="24"/>
        </w:rPr>
        <w:t>若双方互负到期债务，且该债务均为金钱给付的，甲方和</w:t>
      </w:r>
      <w:r>
        <w:rPr>
          <w:rFonts w:ascii="仿宋" w:hAnsi="仿宋" w:eastAsia="仿宋" w:cs="Times New Roman"/>
          <w:color w:val="000000"/>
          <w:sz w:val="24"/>
        </w:rPr>
        <w:t>/或采购方</w:t>
      </w:r>
      <w:r>
        <w:rPr>
          <w:rFonts w:hint="eastAsia" w:ascii="仿宋" w:hAnsi="仿宋" w:eastAsia="仿宋" w:cs="Times New Roman"/>
          <w:color w:val="000000"/>
          <w:sz w:val="24"/>
        </w:rPr>
        <w:t>有权以其到期债务抵销乙方的到期债务，抵销自甲方和</w:t>
      </w:r>
      <w:r>
        <w:rPr>
          <w:rFonts w:ascii="仿宋" w:hAnsi="仿宋" w:eastAsia="仿宋" w:cs="Times New Roman"/>
          <w:color w:val="000000"/>
          <w:sz w:val="24"/>
        </w:rPr>
        <w:t>/或采购方</w:t>
      </w:r>
      <w:r>
        <w:rPr>
          <w:rFonts w:hint="eastAsia" w:ascii="仿宋" w:hAnsi="仿宋" w:eastAsia="仿宋" w:cs="Times New Roman"/>
          <w:color w:val="000000"/>
          <w:sz w:val="24"/>
        </w:rPr>
        <w:t>通知到达乙方时生效。</w:t>
      </w:r>
    </w:p>
    <w:p w14:paraId="292D3D02">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第六条交付</w:t>
      </w:r>
    </w:p>
    <w:p w14:paraId="5737BB0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6.1 </w:t>
      </w:r>
      <w:r>
        <w:rPr>
          <w:rFonts w:hint="eastAsia" w:ascii="仿宋" w:hAnsi="仿宋" w:eastAsia="仿宋" w:cs="Times New Roman"/>
          <w:color w:val="000000"/>
          <w:sz w:val="24"/>
        </w:rPr>
        <w:t>本协议及订单项下，协议软件的交付方式为以下第（</w:t>
      </w: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rPr>
        <w:t>）种：</w:t>
      </w:r>
    </w:p>
    <w:p w14:paraId="306F1DB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拆封许可方式：</w:t>
      </w:r>
      <w:r>
        <w:rPr>
          <w:rFonts w:ascii="仿宋" w:hAnsi="仿宋" w:eastAsia="仿宋" w:cs="Times New Roman"/>
          <w:color w:val="000000"/>
          <w:sz w:val="24"/>
        </w:rPr>
        <w:t>乙方应按订单载明的日期将当期订单下的全部软件介质、技术资料和文档及</w:t>
      </w:r>
      <w:r>
        <w:rPr>
          <w:rFonts w:hint="eastAsia" w:ascii="仿宋" w:hAnsi="仿宋" w:eastAsia="仿宋" w:cs="Times New Roman"/>
          <w:color w:val="000000"/>
          <w:sz w:val="24"/>
        </w:rPr>
        <w:t>软件许可合同</w:t>
      </w:r>
      <w:r>
        <w:rPr>
          <w:rFonts w:ascii="仿宋" w:hAnsi="仿宋" w:eastAsia="仿宋" w:cs="Times New Roman"/>
          <w:color w:val="000000"/>
          <w:sz w:val="24"/>
        </w:rPr>
        <w:t>/协议/条款</w:t>
      </w:r>
      <w:r>
        <w:rPr>
          <w:rFonts w:hint="eastAsia" w:ascii="仿宋" w:hAnsi="仿宋" w:eastAsia="仿宋" w:cs="Times New Roman"/>
          <w:color w:val="000000"/>
          <w:sz w:val="24"/>
        </w:rPr>
        <w:t>交付甲方和</w:t>
      </w:r>
      <w:r>
        <w:rPr>
          <w:rFonts w:ascii="仿宋" w:hAnsi="仿宋" w:eastAsia="仿宋" w:cs="Times New Roman"/>
          <w:color w:val="000000"/>
          <w:sz w:val="24"/>
        </w:rPr>
        <w:t>/或采购方指定现场。</w:t>
      </w:r>
    </w:p>
    <w:p w14:paraId="142D697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提供许可证号方式：</w:t>
      </w:r>
      <w:r>
        <w:rPr>
          <w:rFonts w:ascii="仿宋" w:hAnsi="仿宋" w:eastAsia="仿宋" w:cs="Times New Roman"/>
          <w:color w:val="000000"/>
          <w:sz w:val="24"/>
        </w:rPr>
        <w:t>由甲方和/或采购方或其指定的第三方自行下载许可：乙方通过邮寄或其他方式向甲方和/或采购方或其指定的第三方提交软件著作权人签发的提供许可证号（含密钥），该文件加盖有软件著作权人印章且处于密封状态。</w:t>
      </w:r>
    </w:p>
    <w:p w14:paraId="4928E49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6.2 </w:t>
      </w:r>
      <w:r>
        <w:rPr>
          <w:rFonts w:hint="eastAsia" w:ascii="仿宋" w:hAnsi="仿宋" w:eastAsia="仿宋" w:cs="Times New Roman"/>
          <w:color w:val="000000"/>
          <w:sz w:val="24"/>
        </w:rPr>
        <w:t>如果采用第</w:t>
      </w:r>
      <w:r>
        <w:rPr>
          <w:rFonts w:ascii="仿宋" w:hAnsi="仿宋" w:eastAsia="仿宋" w:cs="Times New Roman"/>
          <w:color w:val="000000"/>
          <w:sz w:val="24"/>
        </w:rPr>
        <w:t>6.1条交付方式（1），则：</w:t>
      </w:r>
    </w:p>
    <w:p w14:paraId="1F3532A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6.2.1发货的同时，乙方应向甲方和/或采购方提交两份发/到货证明原件。甲方和/或采购方代表根据发/到货证明核对到货的数量，在两份发/到货证明原件上签字并将其中的一份原件退还给乙方。</w:t>
      </w:r>
      <w:r>
        <w:rPr>
          <w:rFonts w:hint="eastAsia" w:ascii="仿宋" w:hAnsi="仿宋" w:eastAsia="仿宋" w:cs="Times New Roman"/>
          <w:color w:val="000000"/>
          <w:sz w:val="24"/>
        </w:rPr>
        <w:t>甲方和</w:t>
      </w:r>
      <w:r>
        <w:rPr>
          <w:rFonts w:ascii="仿宋" w:hAnsi="仿宋" w:eastAsia="仿宋" w:cs="Times New Roman"/>
          <w:color w:val="000000"/>
          <w:sz w:val="24"/>
        </w:rPr>
        <w:t>/或采购方代表在发/到货证明原件上签字仅具有证明甲方和/或采购方在某一日期所收到的货物箱数以及箱体表面是否严重破损的作用。</w:t>
      </w:r>
      <w:r>
        <w:rPr>
          <w:rFonts w:hint="eastAsia" w:ascii="仿宋" w:hAnsi="仿宋" w:eastAsia="仿宋" w:cs="Times New Roman"/>
          <w:color w:val="000000"/>
          <w:sz w:val="24"/>
        </w:rPr>
        <w:t>甲方和</w:t>
      </w:r>
      <w:r>
        <w:rPr>
          <w:rFonts w:ascii="仿宋" w:hAnsi="仿宋" w:eastAsia="仿宋" w:cs="Times New Roman"/>
          <w:color w:val="000000"/>
          <w:sz w:val="24"/>
        </w:rPr>
        <w:t>/或采购方在软件介质、技术资料和文档及软件许可合同/协议/条款运抵甲方和/或采购方指定的现场后，且乙方向甲方和/或采购方提交发/到货证明之日起5个工作日内，根据乙方提交的发/到货证明对软件介质、技术资料和文档、及软件许可合同/协议/条款进行查验。</w:t>
      </w:r>
    </w:p>
    <w:p w14:paraId="1D83ADF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如果采用第6.1条交付方式（2）</w:t>
      </w:r>
      <w:r>
        <w:rPr>
          <w:rFonts w:hint="eastAsia" w:ascii="仿宋" w:hAnsi="仿宋" w:eastAsia="仿宋" w:cs="Times New Roman"/>
          <w:color w:val="000000"/>
          <w:sz w:val="24"/>
        </w:rPr>
        <w:t>，乙方应向甲方和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w:t>
      </w:r>
      <w:r>
        <w:rPr>
          <w:rFonts w:ascii="仿宋" w:hAnsi="仿宋" w:eastAsia="仿宋" w:cs="Times New Roman"/>
          <w:color w:val="000000"/>
          <w:sz w:val="24"/>
        </w:rPr>
        <w:t>许可证号（含密钥）</w:t>
      </w:r>
      <w:r>
        <w:rPr>
          <w:rFonts w:hint="eastAsia" w:ascii="仿宋" w:hAnsi="仿宋" w:eastAsia="仿宋" w:cs="Times New Roman"/>
          <w:color w:val="000000"/>
          <w:sz w:val="24"/>
        </w:rPr>
        <w:t>的文件时（</w:t>
      </w:r>
      <w:r>
        <w:rPr>
          <w:rFonts w:ascii="仿宋" w:hAnsi="仿宋" w:eastAsia="仿宋" w:cs="Times New Roman"/>
          <w:color w:val="000000"/>
          <w:sz w:val="24"/>
        </w:rPr>
        <w:t>加盖有软件著作权人印章</w:t>
      </w:r>
      <w:r>
        <w:rPr>
          <w:rFonts w:hint="eastAsia" w:ascii="仿宋" w:hAnsi="仿宋" w:eastAsia="仿宋" w:cs="Times New Roman"/>
          <w:color w:val="000000"/>
          <w:sz w:val="24"/>
        </w:rPr>
        <w:t>），向甲方和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提供两份发</w:t>
      </w:r>
      <w:r>
        <w:rPr>
          <w:rFonts w:ascii="仿宋" w:hAnsi="仿宋" w:eastAsia="仿宋" w:cs="Times New Roman"/>
          <w:color w:val="000000"/>
          <w:sz w:val="24"/>
        </w:rPr>
        <w:t>/到货证明</w:t>
      </w:r>
      <w:r>
        <w:rPr>
          <w:rFonts w:hint="eastAsia" w:ascii="仿宋" w:hAnsi="仿宋" w:eastAsia="仿宋" w:cs="Times New Roman"/>
          <w:color w:val="000000"/>
          <w:sz w:val="24"/>
        </w:rPr>
        <w:t>。</w:t>
      </w:r>
      <w:r>
        <w:rPr>
          <w:rFonts w:ascii="仿宋" w:hAnsi="仿宋" w:eastAsia="仿宋" w:cs="Times New Roman"/>
          <w:color w:val="000000"/>
          <w:sz w:val="24"/>
        </w:rPr>
        <w:t>甲方</w:t>
      </w:r>
      <w:r>
        <w:rPr>
          <w:rFonts w:hint="eastAsia" w:ascii="仿宋" w:hAnsi="仿宋" w:eastAsia="仿宋" w:cs="Times New Roman"/>
          <w:color w:val="000000"/>
          <w:sz w:val="24"/>
        </w:rPr>
        <w:t>和</w:t>
      </w:r>
      <w:r>
        <w:rPr>
          <w:rFonts w:ascii="仿宋" w:hAnsi="仿宋" w:eastAsia="仿宋" w:cs="Times New Roman"/>
          <w:color w:val="000000"/>
          <w:sz w:val="24"/>
        </w:rPr>
        <w:t>/或采购方代表根据发/到货证明核对到货的数量，在两份发/到货证明原件上签字并将其中的一份原件退还给乙方</w:t>
      </w:r>
      <w:r>
        <w:rPr>
          <w:rFonts w:hint="eastAsia" w:ascii="仿宋" w:hAnsi="仿宋" w:eastAsia="仿宋" w:cs="Times New Roman"/>
          <w:color w:val="000000"/>
          <w:sz w:val="24"/>
        </w:rPr>
        <w:t>。</w:t>
      </w:r>
    </w:p>
    <w:p w14:paraId="644C6C4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若在开箱检验中发现漏发货，乙方负责于收到漏发缺货通知后</w:t>
      </w:r>
      <w:r>
        <w:rPr>
          <w:rFonts w:ascii="仿宋" w:hAnsi="仿宋" w:eastAsia="仿宋" w:cs="Times New Roman"/>
          <w:color w:val="000000"/>
          <w:sz w:val="24"/>
        </w:rPr>
        <w:t>10个工作日自费将所漏发的货物运至甲方和/或采购方指定的目的地。</w:t>
      </w:r>
    </w:p>
    <w:p w14:paraId="1E175CC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6.2.2如果甲方和/或采购方或其指定的第三方负责运输，乙方应于软件介质、技术资料和文档装运前10个工作日通过传真通知甲方和/或采购方或其指定的第三方如下内容，以便安排运输：</w:t>
      </w:r>
    </w:p>
    <w:p w14:paraId="4AC234D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订单</w:t>
      </w:r>
      <w:r>
        <w:rPr>
          <w:rFonts w:ascii="仿宋" w:hAnsi="仿宋" w:eastAsia="仿宋" w:cs="Times New Roman"/>
          <w:color w:val="000000"/>
          <w:sz w:val="24"/>
        </w:rPr>
        <w:t>号及发货软件协议价格。</w:t>
      </w:r>
    </w:p>
    <w:p w14:paraId="0175B1E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2）货物备好时间。</w:t>
      </w:r>
    </w:p>
    <w:p w14:paraId="62E72C3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3）货物总体积。</w:t>
      </w:r>
    </w:p>
    <w:p w14:paraId="2EA7642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4）总箱数。</w:t>
      </w:r>
    </w:p>
    <w:p w14:paraId="7A36FC6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5）总毛重。</w:t>
      </w:r>
    </w:p>
    <w:p w14:paraId="4C10C7F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6）每件体积。</w:t>
      </w:r>
    </w:p>
    <w:p w14:paraId="5C368E2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7）集装箱总数。</w:t>
      </w:r>
    </w:p>
    <w:p w14:paraId="2C231DB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8）任何重量超过2吨或体积超过1立方米的货物的总毛重和总尺寸。</w:t>
      </w:r>
    </w:p>
    <w:p w14:paraId="0BA2BAF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9）危险货物名称，特别保护措施及操作方法。</w:t>
      </w:r>
    </w:p>
    <w:p w14:paraId="52F50F7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10）对温度、湿度、震荡等有特殊要求的货物在运输途中所采取的特别保护措施。</w:t>
      </w:r>
    </w:p>
    <w:p w14:paraId="3DBAA85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11</w:t>
      </w:r>
      <w:r>
        <w:rPr>
          <w:rFonts w:hint="eastAsia" w:ascii="仿宋" w:hAnsi="仿宋" w:eastAsia="仿宋" w:cs="Times New Roman"/>
          <w:color w:val="000000"/>
          <w:sz w:val="24"/>
        </w:rPr>
        <w:t>）</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494DC2AC">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第七条安装、调试、试运行及验收</w:t>
      </w:r>
    </w:p>
    <w:p w14:paraId="7DD6546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7.1双方各指定一名代表负责处理与本协议有关的技术事务，其工作计划由双方代表协商制定。当发现技术问题或就技术问题发生争议时，双方代表应分析原因、分清责任并协商解决方案。安装、调试、试运行及验收期间的工作进度、发现的问题及解决方法、每天的主要工作均应当记录在工作日志上。工作日志每天的记录应当由双方代表签字确认，双方各保留一份。对技术问题以外的涉及履约时间调整、协议价款变动以及其他协议权利、义务变更等事项，双方均应当以补充协议方式确认，除非经特别授权，双方代表无权确认此等事项，即使存在代表确认事实亦为无效行为，对双方不具约束力。</w:t>
      </w:r>
    </w:p>
    <w:p w14:paraId="616226B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7.2乙方负责根据</w:t>
      </w:r>
      <w:r>
        <w:rPr>
          <w:rFonts w:hint="eastAsia" w:ascii="仿宋" w:hAnsi="仿宋" w:eastAsia="仿宋" w:cs="Times New Roman"/>
          <w:color w:val="000000"/>
          <w:sz w:val="24"/>
          <w:lang w:val="en-US" w:eastAsia="zh-CN"/>
        </w:rPr>
        <w:t>甲方要求</w:t>
      </w:r>
      <w:r>
        <w:rPr>
          <w:rFonts w:ascii="仿宋" w:hAnsi="仿宋" w:eastAsia="仿宋" w:cs="Times New Roman"/>
          <w:color w:val="000000"/>
          <w:sz w:val="24"/>
        </w:rPr>
        <w:t>]的时间进行软件的上线安装与调试工作，以检验软件及甲方和/或采购方获得的许可使用权与本协议规定相符并满足本项目要求。软件安装调试完成并稳定运行10个工作日后，甲方和/或采购方代表对软件进行初步验收。初步测试和验收应符合附件二规定的工程技术规范书及点对点应答并应满足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]规定的测试及验收。</w:t>
      </w:r>
    </w:p>
    <w:p w14:paraId="49A1D12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7.3初步验收测试由甲方和/或采购方按协议及附件[二]的有关规定进行，乙方应当提供必要的配合。如果测试结果符合附件[二]的有关规定，甲方和/或采购方签署</w:t>
      </w:r>
      <w:r>
        <w:rPr>
          <w:rFonts w:hint="eastAsia" w:ascii="仿宋" w:hAnsi="仿宋" w:eastAsia="仿宋" w:cs="Times New Roman"/>
          <w:color w:val="000000"/>
          <w:sz w:val="24"/>
          <w:lang w:val="en-US" w:eastAsia="zh-CN"/>
        </w:rPr>
        <w:t>验收</w:t>
      </w:r>
      <w:r>
        <w:rPr>
          <w:rFonts w:ascii="仿宋" w:hAnsi="仿宋" w:eastAsia="仿宋" w:cs="Times New Roman"/>
          <w:color w:val="000000"/>
          <w:sz w:val="24"/>
        </w:rPr>
        <w:t>证书。如果初验结果不符合附件[二]的有关规定，乙方应采取一切补救措施以使初验能够再次进行。如果再次初验仍不能达到附件[二]的要求，则甲方和/或采购方有权解除本协议和/或订单。</w:t>
      </w:r>
    </w:p>
    <w:p w14:paraId="790F92A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7.4初验证书签署之日起，软件开始为期[ </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 xml:space="preserve"> ] 个月的试运行。试运行应表明软件的功能和性能符合[附件二]中乙方的承诺和担保。如果在试运行期间发现软件与本协议规定的不符，乙方负责自负费用对其进行修改和矫正，直到软件达到本协议要求，同时试运行期根据修改矫正期间相应顺延。如果由于乙方软件的原因导致重大通信故障，即甲方网上已为公众提供通信服务的通信网设备在正常运行时间内，由于软件原因导致设备停机、通信中断、用户数据丢失、无法计费或计费大范围差错，则试运行期自故障修复之日起重新开始计算。</w:t>
      </w:r>
    </w:p>
    <w:p w14:paraId="455C4A8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7.5最终验收测试按照协议及附件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的条款在试运行期届满时进行。如果软件所有性能和系统指标均与协议及附件二相符，甲方和/或采购方签署三份终验证书，其中两份由乙方保存。</w:t>
      </w:r>
    </w:p>
    <w:p w14:paraId="0790156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如果软件不能通过终验，乙方应在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30</w:t>
      </w:r>
      <w:r>
        <w:rPr>
          <w:rFonts w:ascii="仿宋" w:hAnsi="仿宋" w:eastAsia="仿宋" w:cs="Times New Roman"/>
          <w:color w:val="000000"/>
          <w:sz w:val="24"/>
        </w:rPr>
        <w:t xml:space="preserve"> ]日内采取一切补救措施以使最终验收测试能够尽快再次进行。</w:t>
      </w:r>
    </w:p>
    <w:p w14:paraId="13B1177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7.6如果软件因乙方原因在再次终验测试时仍未能通过验收，则甲方和/或采购方有权解除本协议和/或订单。</w:t>
      </w:r>
    </w:p>
    <w:p w14:paraId="3CB46C3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7.7软件的最终验收测试合格并不免除乙方根据本协议规定的保修期内的责任。</w:t>
      </w:r>
    </w:p>
    <w:p w14:paraId="42A980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7.8 乙方须在本项目安装、交付、初验、终验时按照附件[</w:t>
      </w:r>
      <w:r>
        <w:rPr>
          <w:rFonts w:hint="eastAsia" w:ascii="仿宋" w:hAnsi="仿宋" w:eastAsia="仿宋" w:cs="Times New Roman"/>
          <w:color w:val="000000"/>
          <w:sz w:val="24"/>
          <w:lang w:val="en-US" w:eastAsia="zh-CN"/>
        </w:rPr>
        <w:t>九</w:t>
      </w:r>
      <w:r>
        <w:rPr>
          <w:rFonts w:hint="eastAsia" w:ascii="仿宋" w:hAnsi="仿宋" w:eastAsia="仿宋" w:cs="Times New Roman"/>
          <w:color w:val="000000"/>
          <w:sz w:val="24"/>
        </w:rPr>
        <w:t>]规定的格式提供</w:t>
      </w:r>
      <w:r>
        <w:rPr>
          <w:rFonts w:hint="eastAsia" w:ascii="仿宋" w:hAnsi="仿宋" w:eastAsia="仿宋" w:cs="Times New Roman"/>
          <w:sz w:val="24"/>
        </w:rPr>
        <w:t>外部组件</w:t>
      </w:r>
      <w:r>
        <w:rPr>
          <w:rFonts w:hint="eastAsia" w:ascii="仿宋" w:hAnsi="仿宋" w:eastAsia="仿宋" w:cs="Times New Roman"/>
          <w:color w:val="000000"/>
          <w:sz w:val="24"/>
        </w:rPr>
        <w:t>软件成分信息清单，并有义务在软件升级后，及时更新软件成分信息清单并通知甲方。如甲方在代码审计、代码走查、安全检测等软件安全检查中发现软件中存在非软件成分信息清单中的组件，[每发现一个]，乙方应当支付当期订单总价的[</w:t>
      </w:r>
      <w:r>
        <w:rPr>
          <w:rFonts w:hint="eastAsia" w:ascii="仿宋" w:hAnsi="仿宋" w:eastAsia="仿宋" w:cs="Times New Roman"/>
          <w:color w:val="000000"/>
          <w:sz w:val="24"/>
          <w:lang w:val="en-US" w:eastAsia="zh-CN"/>
        </w:rPr>
        <w:t xml:space="preserve"> 0.1%</w:t>
      </w:r>
      <w:r>
        <w:rPr>
          <w:rFonts w:ascii="仿宋" w:hAnsi="仿宋" w:eastAsia="仿宋" w:cs="Times New Roman"/>
          <w:color w:val="000000"/>
          <w:sz w:val="24"/>
        </w:rPr>
        <w:t xml:space="preserve"> </w:t>
      </w:r>
      <w:r>
        <w:rPr>
          <w:rFonts w:hint="eastAsia" w:ascii="仿宋" w:hAnsi="仿宋" w:eastAsia="仿宋" w:cs="Times New Roman"/>
          <w:color w:val="000000"/>
          <w:sz w:val="24"/>
        </w:rPr>
        <w:t>]的违约金。</w:t>
      </w:r>
    </w:p>
    <w:p w14:paraId="6604EF00">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第八条保证、保修</w:t>
      </w:r>
    </w:p>
    <w:p w14:paraId="41FA0B7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8.1乙方自甲方和/或采购方签署到货验收合格证书之日起，为甲方和/或采购方提供为期[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 个月的免费技术支持和服务（“保修期”）。保修期满后，甲方和/或采购方签发两份保修期满证书。</w:t>
      </w:r>
    </w:p>
    <w:p w14:paraId="4CEE728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8.2乙方保证在保修期内，不存在由于软件或乙方原因引起的影响甲方</w:t>
      </w:r>
      <w:r>
        <w:rPr>
          <w:rFonts w:hint="eastAsia" w:ascii="仿宋" w:hAnsi="仿宋" w:eastAsia="仿宋" w:cs="Times New Roman"/>
          <w:color w:val="000000"/>
          <w:sz w:val="24"/>
        </w:rPr>
        <w:t>和</w:t>
      </w:r>
      <w:r>
        <w:rPr>
          <w:rFonts w:ascii="仿宋" w:hAnsi="仿宋" w:eastAsia="仿宋" w:cs="Times New Roman"/>
          <w:color w:val="000000"/>
          <w:sz w:val="24"/>
        </w:rPr>
        <w:t>/或采购方设备正常运行的任何缺陷。在保修期内，乙方应免费修理或更换有缺陷的软件介质或提供相应的技术支持和服务。</w:t>
      </w:r>
      <w:r>
        <w:rPr>
          <w:rFonts w:hint="eastAsia" w:ascii="仿宋" w:hAnsi="仿宋" w:eastAsia="仿宋" w:cs="Times New Roman"/>
          <w:color w:val="000000"/>
          <w:sz w:val="24"/>
        </w:rPr>
        <w:t>乙方保证软件无网络与信息安全风险。</w:t>
      </w:r>
    </w:p>
    <w:p w14:paraId="212237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8.3在保修期内，乙方应就本协议项下的软件向甲方和/或采购方免费提供以下支持：</w:t>
      </w:r>
    </w:p>
    <w:p w14:paraId="1CD7966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7X24小时电话技术支持</w:t>
      </w:r>
    </w:p>
    <w:p w14:paraId="3AA9DC2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工作时间(周一到周五上午8:00到晚上6:00)远程调试支持</w:t>
      </w:r>
    </w:p>
    <w:p w14:paraId="1F9C543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每年不限服务次数</w:t>
      </w:r>
    </w:p>
    <w:p w14:paraId="1A6F373D">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出现紧急系统故障要求供应商8小时内派人到场并修复故障，无法修复需提供解决方案。</w:t>
      </w:r>
      <w:r>
        <w:rPr>
          <w:rFonts w:hint="eastAsia" w:ascii="仿宋" w:hAnsi="仿宋" w:eastAsia="仿宋" w:cs="Times New Roman"/>
          <w:color w:val="000000"/>
          <w:sz w:val="24"/>
          <w:lang w:val="en-US" w:eastAsia="zh-CN"/>
        </w:rPr>
        <w:t xml:space="preserve"> </w:t>
      </w:r>
    </w:p>
    <w:p w14:paraId="209BF9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上述所有技术支持应以电话咨询或双方约定的其他方式提供。在甲方和</w:t>
      </w:r>
      <w:r>
        <w:rPr>
          <w:rFonts w:ascii="仿宋" w:hAnsi="仿宋" w:eastAsia="仿宋" w:cs="Times New Roman"/>
          <w:color w:val="000000"/>
          <w:sz w:val="24"/>
        </w:rPr>
        <w:t>/或采购方要求下，乙方应提供免费现场支持。</w:t>
      </w:r>
    </w:p>
    <w:p w14:paraId="431784A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8.4保修期届满后，双方通过协商可就乙方继续提供相关支持服务达成协议，届时乙方的收费标准不得高于本协议</w:t>
      </w:r>
      <w:r>
        <w:rPr>
          <w:rFonts w:hint="eastAsia" w:ascii="仿宋" w:hAnsi="仿宋" w:eastAsia="仿宋" w:cs="Times New Roman"/>
          <w:color w:val="000000"/>
          <w:sz w:val="24"/>
        </w:rPr>
        <w:t>成交单</w:t>
      </w:r>
      <w:r>
        <w:rPr>
          <w:rFonts w:ascii="仿宋" w:hAnsi="仿宋" w:eastAsia="仿宋" w:cs="Times New Roman"/>
          <w:color w:val="000000"/>
          <w:sz w:val="24"/>
        </w:rPr>
        <w:t>价（本协议成交单价是指将本协议的赠送、一次性优惠等优惠条件折算到软件单价后形成的综合折扣价格）。</w:t>
      </w:r>
    </w:p>
    <w:p w14:paraId="188357E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8.5由于乙方违反上述保修义务以及保修期届满后的优惠条件服务义务或因软件任何缺陷给甲方和/或采购方造成损失的，乙方应予赔偿。</w:t>
      </w:r>
    </w:p>
    <w:p w14:paraId="48AFB975">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第九条培训</w:t>
      </w:r>
    </w:p>
    <w:p w14:paraId="53F0615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9.1培训目的:确保甲方和/或采购方技术人员能够熟练地对协议软件进行运行、诊断、维护和管理；确保甲方和/或采购方相关业务人员能熟练地操作和使用协议软件。</w:t>
      </w:r>
    </w:p>
    <w:p w14:paraId="2A13D0F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9.2培训内容: </w:t>
      </w:r>
    </w:p>
    <w:p w14:paraId="7AF42A27">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（1）对本项目所提供中间件的安装、调试培训，并提供相应的培训资料。</w:t>
      </w:r>
    </w:p>
    <w:p w14:paraId="77BF09C3">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（2）对本项目所提供中间件的操作培训，并提供相应的培训资料。</w:t>
      </w:r>
    </w:p>
    <w:p w14:paraId="3A9247B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（3）对本项目所提供中间件维护培训，并提供相应的培训资料，满足甲方能独立进行本项目所提供服务的维护需要。</w:t>
      </w:r>
      <w:r>
        <w:rPr>
          <w:rFonts w:ascii="仿宋" w:hAnsi="仿宋" w:eastAsia="仿宋" w:cs="Times New Roman"/>
          <w:color w:val="000000"/>
          <w:sz w:val="24"/>
        </w:rPr>
        <w:t>]。</w:t>
      </w:r>
    </w:p>
    <w:p w14:paraId="117D8A4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9.3培训时间与地点：乙方在甲方和/或采购方所在地提供相关现场技术培训，具体培训时间由双方协商决定。培训产生的所有费用已经包含在当期订单总价中。具体培训方式由双方协商决定，但是乙方应当确保培训质量能够达到上述培训目的。</w:t>
      </w:r>
    </w:p>
    <w:p w14:paraId="150500F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第十条违约责任</w:t>
      </w:r>
    </w:p>
    <w:p w14:paraId="08A1E2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.1如乙方提供的软件许可使用权限、数量、范围、期限等与本协议及附件不符，或软件介质存在瑕疵， 甲方和/或采购方有权解除本协议和/或订单或要求乙方按照本协议第[15.4条]的规定采取措施并承担责任。</w:t>
      </w:r>
    </w:p>
    <w:p w14:paraId="5460D06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2由于乙方原因使得初验（含再次初验）、试运行（含顺延和重新计算的试运行期）、终验（含再次终验）、保修期等任一阶段工作延误的，乙方应就该等延误向甲方和/或采购方承担违约责任。对于乙方在任一阶段工作的延误，甲方和/或采购方均有权要求乙方按照下列比率向甲方和/或采购方支付违约金：任一阶段工作迟延的，乙方应每天按相当于当期订单[1]%的标准支付违约金。迟延履行不足1天时按1天计算。因任一阶段工作迟延而使甲方和/或采购方额外增加的各项费用（包括但不限于运输及保险费用、测试费用）由乙方承担。如乙方任一阶段工作迟延使甲方和/或采购方遭受损失的，乙方应赔偿甲方和/或采购方由此造成的损失。</w:t>
      </w:r>
    </w:p>
    <w:p w14:paraId="33F1201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并且，如乙方任一阶段工作迟延，其迟延违约金金额累计达到当期订单金额的</w:t>
      </w:r>
      <w:r>
        <w:rPr>
          <w:rFonts w:ascii="仿宋" w:hAnsi="仿宋" w:eastAsia="仿宋" w:cs="Times New Roman"/>
          <w:color w:val="000000"/>
          <w:sz w:val="24"/>
        </w:rPr>
        <w:t>[10%]或延迟达[7]天时，以先到者为准，甲方和/或采购方有权视情况解除当期订单直至解除本协议。解除当期订单和解除本协议并不免除</w:t>
      </w:r>
      <w:r>
        <w:rPr>
          <w:rFonts w:hint="eastAsia" w:ascii="仿宋" w:hAnsi="仿宋" w:eastAsia="仿宋" w:cs="Times New Roman"/>
          <w:color w:val="000000"/>
          <w:sz w:val="24"/>
        </w:rPr>
        <w:t>乙方根据甲方和</w:t>
      </w:r>
      <w:r>
        <w:rPr>
          <w:rFonts w:ascii="仿宋" w:hAnsi="仿宋" w:eastAsia="仿宋" w:cs="Times New Roman"/>
          <w:color w:val="000000"/>
          <w:sz w:val="24"/>
        </w:rPr>
        <w:t>/或采购方</w:t>
      </w:r>
      <w:r>
        <w:rPr>
          <w:rFonts w:hint="eastAsia" w:ascii="仿宋" w:hAnsi="仿宋" w:eastAsia="仿宋" w:cs="Times New Roman"/>
          <w:color w:val="000000"/>
          <w:sz w:val="24"/>
        </w:rPr>
        <w:t>要求应当承担的上述违约责任。</w:t>
      </w:r>
    </w:p>
    <w:p w14:paraId="333BA3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.3保修期内，如乙方未能按协议规定及时提供服务，除本协议规定的不可抗力原因外，每迟延[一次]，应当支付[协议总价的5‰]的违约金。</w:t>
      </w:r>
    </w:p>
    <w:p w14:paraId="6761CAA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.4对于乙方依据本协议约定应当承担的各项违约金及损失赔偿，甲方和/或采购方均有权依据本协议[第5.5条]规定从应支付乙方的款项中扣除。</w:t>
      </w:r>
      <w:r>
        <w:rPr>
          <w:rFonts w:hint="eastAsia" w:ascii="仿宋" w:hAnsi="仿宋" w:eastAsia="仿宋" w:cs="Times New Roman"/>
          <w:color w:val="000000"/>
          <w:sz w:val="24"/>
        </w:rPr>
        <w:t>乙方除按照本协议的约定向甲方和</w:t>
      </w:r>
      <w:r>
        <w:rPr>
          <w:rFonts w:ascii="仿宋" w:hAnsi="仿宋" w:eastAsia="仿宋" w:cs="Times New Roman"/>
          <w:color w:val="000000"/>
          <w:sz w:val="24"/>
        </w:rPr>
        <w:t>/或采购方</w:t>
      </w:r>
      <w:r>
        <w:rPr>
          <w:rFonts w:hint="eastAsia" w:ascii="仿宋" w:hAnsi="仿宋" w:eastAsia="仿宋" w:cs="Times New Roman"/>
          <w:color w:val="000000"/>
          <w:sz w:val="24"/>
        </w:rPr>
        <w:t>承担违约责任、赔偿责任外，还应当承担甲方和</w:t>
      </w:r>
      <w:r>
        <w:rPr>
          <w:rFonts w:ascii="仿宋" w:hAnsi="仿宋" w:eastAsia="仿宋" w:cs="Times New Roman"/>
          <w:color w:val="000000"/>
          <w:sz w:val="24"/>
        </w:rPr>
        <w:t>/或采购方</w:t>
      </w:r>
      <w:r>
        <w:rPr>
          <w:rFonts w:hint="eastAsia" w:ascii="仿宋" w:hAnsi="仿宋" w:eastAsia="仿宋" w:cs="Times New Roman"/>
          <w:color w:val="000000"/>
          <w:sz w:val="24"/>
        </w:rPr>
        <w:t>为追究乙方违约责任、赔偿责任而支出的各项费用（包括但不限于律师费、诉讼费、保全费、财产保全担保费等）。</w:t>
      </w:r>
      <w:r>
        <w:rPr>
          <w:rFonts w:ascii="仿宋" w:hAnsi="仿宋" w:eastAsia="仿宋" w:cs="Times New Roman"/>
          <w:color w:val="000000"/>
          <w:sz w:val="24"/>
        </w:rPr>
        <w:t>如乙方对前述扣款事项有异议，应在接到甲方和/或采购方通知后[五日]内提出。</w:t>
      </w:r>
    </w:p>
    <w:p w14:paraId="519E8C5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.5</w:t>
      </w:r>
      <w:r>
        <w:rPr>
          <w:rFonts w:hint="eastAsia" w:ascii="仿宋" w:hAnsi="仿宋" w:eastAsia="仿宋" w:cs="Times New Roman"/>
          <w:color w:val="000000"/>
          <w:sz w:val="24"/>
        </w:rPr>
        <w:t>如甲方依据本协议约定解除协议的，则乙方除应当依据本协议约定承担违约责任和赔偿责任（包括支付违约金、赔偿甲方和</w:t>
      </w:r>
      <w:r>
        <w:rPr>
          <w:rFonts w:ascii="仿宋" w:hAnsi="仿宋" w:eastAsia="仿宋" w:cs="Times New Roman"/>
          <w:color w:val="000000"/>
          <w:sz w:val="24"/>
        </w:rPr>
        <w:t>/</w:t>
      </w:r>
      <w:r>
        <w:rPr>
          <w:rFonts w:hint="eastAsia" w:ascii="仿宋" w:hAnsi="仿宋" w:eastAsia="仿宋" w:cs="Times New Roman"/>
          <w:color w:val="000000"/>
          <w:sz w:val="24"/>
        </w:rPr>
        <w:t>或采购方由此遭受的损失等）外，乙方并应退还甲方和</w:t>
      </w:r>
      <w:r>
        <w:rPr>
          <w:rFonts w:ascii="仿宋" w:hAnsi="仿宋" w:eastAsia="仿宋" w:cs="Times New Roman"/>
          <w:color w:val="000000"/>
          <w:sz w:val="24"/>
        </w:rPr>
        <w:t>/</w:t>
      </w:r>
      <w:r>
        <w:rPr>
          <w:rFonts w:hint="eastAsia" w:ascii="仿宋" w:hAnsi="仿宋" w:eastAsia="仿宋" w:cs="Times New Roman"/>
          <w:color w:val="000000"/>
          <w:sz w:val="24"/>
        </w:rPr>
        <w:t>或采购方已支付的全部款项及</w:t>
      </w:r>
      <w:r>
        <w:rPr>
          <w:rFonts w:ascii="仿宋" w:hAnsi="仿宋" w:eastAsia="仿宋" w:cs="Times New Roman"/>
          <w:color w:val="000000"/>
          <w:sz w:val="24"/>
        </w:rPr>
        <w:t>自甲方</w:t>
      </w:r>
      <w:r>
        <w:rPr>
          <w:rFonts w:hint="eastAsia" w:ascii="仿宋" w:hAnsi="仿宋" w:eastAsia="仿宋" w:cs="Times New Roman"/>
          <w:color w:val="000000"/>
          <w:sz w:val="24"/>
        </w:rPr>
        <w:t>和</w:t>
      </w:r>
      <w:r>
        <w:rPr>
          <w:rFonts w:ascii="仿宋" w:hAnsi="仿宋" w:eastAsia="仿宋" w:cs="Times New Roman"/>
          <w:color w:val="000000"/>
          <w:sz w:val="24"/>
        </w:rPr>
        <w:t>/或采购方付款之日起至乙方退还款项之日止的利息</w:t>
      </w:r>
      <w:r>
        <w:rPr>
          <w:rFonts w:hint="eastAsia" w:ascii="仿宋" w:hAnsi="仿宋" w:eastAsia="仿宋" w:cs="Times New Roman"/>
          <w:color w:val="000000"/>
          <w:sz w:val="24"/>
        </w:rPr>
        <w:t>（按中国人民银行授权全国银行间同业拆借中心公布的一年期贷款市场报价利率（</w:t>
      </w:r>
      <w:r>
        <w:rPr>
          <w:rFonts w:ascii="仿宋" w:hAnsi="仿宋" w:eastAsia="仿宋" w:cs="Times New Roman"/>
          <w:color w:val="000000"/>
          <w:sz w:val="24"/>
        </w:rPr>
        <w:t>LPR</w:t>
      </w:r>
      <w:r>
        <w:rPr>
          <w:rFonts w:hint="eastAsia" w:ascii="仿宋" w:hAnsi="仿宋" w:eastAsia="仿宋" w:cs="Times New Roman"/>
          <w:color w:val="000000"/>
          <w:sz w:val="24"/>
        </w:rPr>
        <w:t>）计算）。</w:t>
      </w:r>
    </w:p>
    <w:p w14:paraId="2EBD0C4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.6除非甲方解除协议，否则，乙方承担违约责任并不免除其继续履行协议的责任。</w:t>
      </w:r>
    </w:p>
    <w:p w14:paraId="5D10047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.7如果因为甲方和/或采购方原因使得协议时间未能得到履行，则在得到甲方和/或采购方书面确认后时间相应顺延。</w:t>
      </w:r>
    </w:p>
    <w:p w14:paraId="288E3E2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.8本协议履行过程中，如乙方发生以下任</w:t>
      </w:r>
      <w:r>
        <w:rPr>
          <w:rFonts w:hint="eastAsia" w:ascii="仿宋" w:hAnsi="仿宋" w:eastAsia="仿宋" w:cs="Times New Roman"/>
          <w:color w:val="000000"/>
          <w:sz w:val="24"/>
        </w:rPr>
        <w:t>一情形的，甲方和</w:t>
      </w:r>
      <w:r>
        <w:rPr>
          <w:rFonts w:ascii="仿宋" w:hAnsi="仿宋" w:eastAsia="仿宋" w:cs="Times New Roman"/>
          <w:color w:val="000000"/>
          <w:sz w:val="24"/>
        </w:rPr>
        <w:t>/或采购方有权视情节严重程度采取中止订单、终止订单、调整或取消乙方在本协议项下的份额、直至终止协议、取消乙方供应商资格等措施且不承担违约责任；因此导致任何第三方向甲方和/或采购方提出法律或行政程序，乙方应当负责解决；如该情形给甲方和/或采购方造成损失的，乙方应当全额赔偿：</w:t>
      </w:r>
    </w:p>
    <w:p w14:paraId="701CF76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1）被</w:t>
      </w:r>
      <w:r>
        <w:rPr>
          <w:rFonts w:hint="eastAsia" w:ascii="仿宋" w:hAnsi="仿宋" w:eastAsia="仿宋" w:cs="Times New Roman"/>
          <w:color w:val="000000"/>
          <w:sz w:val="24"/>
        </w:rPr>
        <w:t>行政机关</w:t>
      </w:r>
      <w:r>
        <w:rPr>
          <w:rFonts w:ascii="仿宋" w:hAnsi="仿宋" w:eastAsia="仿宋" w:cs="Times New Roman"/>
          <w:color w:val="000000"/>
          <w:sz w:val="24"/>
        </w:rPr>
        <w:t>纳入“严重违法失信”名单；</w:t>
      </w:r>
    </w:p>
    <w:p w14:paraId="677D5A4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2）被人民法院纳入“失信被执行人”名单；</w:t>
      </w:r>
    </w:p>
    <w:p w14:paraId="5835F13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3）被甲方（含甲方上级单位）纳入违规失信合作商名单；</w:t>
      </w:r>
    </w:p>
    <w:p w14:paraId="47523AA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4）如存在网络和信息安全违法、违规行为的，包括但不限于因网络和信息安全问题承担刑事责任或</w:t>
      </w:r>
      <w:r>
        <w:rPr>
          <w:rFonts w:hint="eastAsia" w:ascii="仿宋" w:hAnsi="仿宋" w:eastAsia="仿宋" w:cs="Times New Roman"/>
          <w:color w:val="000000"/>
          <w:sz w:val="24"/>
        </w:rPr>
        <w:t>受到行政处罚，被列入各级公安机关的涉通讯信息诈骗违法犯罪高危自然人或法人名单、电信业务经营不良名单、失信名单等；</w:t>
      </w:r>
    </w:p>
    <w:p w14:paraId="4F622A56">
      <w:pPr>
        <w:autoSpaceDE w:val="0"/>
        <w:autoSpaceDN w:val="0"/>
        <w:adjustRightInd w:val="0"/>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5）中标通知书/中选通知书/成交通知书发出或</w:t>
      </w:r>
      <w:r>
        <w:rPr>
          <w:rFonts w:hint="eastAsia" w:ascii="仿宋" w:hAnsi="仿宋" w:eastAsia="仿宋" w:cs="Times New Roman"/>
          <w:color w:val="000000"/>
          <w:sz w:val="24"/>
        </w:rPr>
        <w:t>对应的</w:t>
      </w:r>
      <w:r>
        <w:rPr>
          <w:rFonts w:ascii="仿宋" w:hAnsi="仿宋" w:eastAsia="仿宋" w:cs="Times New Roman"/>
          <w:color w:val="000000"/>
          <w:sz w:val="24"/>
        </w:rPr>
        <w:t>协议签署后，发现</w:t>
      </w:r>
      <w:r>
        <w:rPr>
          <w:rFonts w:hint="eastAsia" w:ascii="仿宋" w:hAnsi="仿宋" w:eastAsia="仿宋" w:cs="Times New Roman"/>
          <w:color w:val="000000"/>
          <w:sz w:val="24"/>
        </w:rPr>
        <w:t>乙方</w:t>
      </w:r>
      <w:r>
        <w:rPr>
          <w:rFonts w:ascii="仿宋" w:hAnsi="仿宋" w:eastAsia="仿宋" w:cs="Times New Roman"/>
          <w:color w:val="000000"/>
          <w:sz w:val="24"/>
        </w:rPr>
        <w:t>存在中标无效/中选无效/成交无效的情形或者</w:t>
      </w:r>
      <w:r>
        <w:rPr>
          <w:rFonts w:hint="eastAsia" w:ascii="仿宋" w:hAnsi="仿宋" w:eastAsia="仿宋" w:cs="Times New Roman"/>
          <w:color w:val="000000"/>
          <w:sz w:val="24"/>
        </w:rPr>
        <w:t>存在应当被否决投标</w:t>
      </w:r>
      <w:r>
        <w:rPr>
          <w:rFonts w:ascii="仿宋" w:hAnsi="仿宋" w:eastAsia="仿宋" w:cs="Times New Roman"/>
          <w:color w:val="000000"/>
          <w:sz w:val="24"/>
        </w:rPr>
        <w:t>/否决参选/否决应答的情形；</w:t>
      </w:r>
    </w:p>
    <w:p w14:paraId="1A4CA4F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6）其他相关法律法规规定或有权机关认定的违法失信情形，以及可能导致协议履行风险或侵害甲方</w:t>
      </w:r>
      <w:r>
        <w:rPr>
          <w:rFonts w:hint="eastAsia" w:ascii="仿宋" w:hAnsi="仿宋" w:eastAsia="仿宋" w:cs="Times New Roman"/>
          <w:color w:val="000000"/>
          <w:sz w:val="24"/>
        </w:rPr>
        <w:t>和</w:t>
      </w:r>
      <w:r>
        <w:rPr>
          <w:rFonts w:ascii="仿宋" w:hAnsi="仿宋" w:eastAsia="仿宋" w:cs="Times New Roman"/>
          <w:color w:val="000000"/>
          <w:sz w:val="24"/>
        </w:rPr>
        <w:t>/或采购方合法</w:t>
      </w:r>
      <w:r>
        <w:rPr>
          <w:rFonts w:hint="eastAsia" w:ascii="仿宋" w:hAnsi="仿宋" w:eastAsia="仿宋" w:cs="Times New Roman"/>
          <w:color w:val="000000"/>
          <w:sz w:val="24"/>
        </w:rPr>
        <w:t>权益或声誉的违规失信情形。</w:t>
      </w:r>
    </w:p>
    <w:p w14:paraId="44EC706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第十一条不可抗力</w:t>
      </w:r>
    </w:p>
    <w:p w14:paraId="76642ED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.1</w:t>
      </w:r>
      <w:r>
        <w:rPr>
          <w:rFonts w:ascii="仿宋" w:hAnsi="仿宋" w:eastAsia="仿宋" w:cs="Times New Roman"/>
          <w:sz w:val="24"/>
        </w:rPr>
        <w:t>本</w:t>
      </w:r>
      <w:r>
        <w:rPr>
          <w:rFonts w:hint="eastAsia" w:ascii="仿宋" w:hAnsi="仿宋" w:eastAsia="仿宋" w:cs="Times New Roman"/>
          <w:color w:val="000000"/>
          <w:sz w:val="24"/>
        </w:rPr>
        <w:t>协议</w:t>
      </w:r>
      <w:r>
        <w:rPr>
          <w:rFonts w:ascii="仿宋" w:hAnsi="仿宋" w:eastAsia="仿宋" w:cs="Times New Roman"/>
          <w:sz w:val="24"/>
        </w:rPr>
        <w:t>所称不可抗力，是指地震、台风、水灾、火灾、战争</w:t>
      </w:r>
      <w:r>
        <w:rPr>
          <w:rFonts w:hint="eastAsia" w:ascii="仿宋" w:hAnsi="仿宋" w:eastAsia="仿宋" w:cs="Times New Roman"/>
          <w:sz w:val="24"/>
        </w:rPr>
        <w:t>等</w:t>
      </w:r>
      <w:r>
        <w:rPr>
          <w:rFonts w:ascii="仿宋" w:hAnsi="仿宋" w:eastAsia="仿宋" w:cs="Times New Roman"/>
          <w:sz w:val="24"/>
        </w:rPr>
        <w:t>本</w:t>
      </w:r>
      <w:r>
        <w:rPr>
          <w:rFonts w:hint="eastAsia" w:ascii="仿宋" w:hAnsi="仿宋" w:eastAsia="仿宋" w:cs="Times New Roman"/>
          <w:color w:val="000000"/>
          <w:sz w:val="24"/>
        </w:rPr>
        <w:t>协议双方</w:t>
      </w:r>
      <w:r>
        <w:rPr>
          <w:rFonts w:ascii="仿宋" w:hAnsi="仿宋" w:eastAsia="仿宋" w:cs="Times New Roman"/>
          <w:sz w:val="24"/>
        </w:rPr>
        <w:t>不能预见</w:t>
      </w:r>
      <w:r>
        <w:rPr>
          <w:rFonts w:hint="eastAsia" w:ascii="仿宋" w:hAnsi="仿宋" w:eastAsia="仿宋" w:cs="Times New Roman"/>
          <w:sz w:val="24"/>
        </w:rPr>
        <w:t>、</w:t>
      </w:r>
      <w:r>
        <w:rPr>
          <w:rFonts w:ascii="仿宋" w:hAnsi="仿宋" w:eastAsia="仿宋" w:cs="Times New Roman"/>
          <w:sz w:val="24"/>
        </w:rPr>
        <w:t>不能避免且不</w:t>
      </w:r>
      <w:r>
        <w:rPr>
          <w:rFonts w:hint="eastAsia" w:ascii="仿宋" w:hAnsi="仿宋" w:eastAsia="仿宋" w:cs="Times New Roman"/>
          <w:sz w:val="24"/>
        </w:rPr>
        <w:t>能</w:t>
      </w:r>
      <w:r>
        <w:rPr>
          <w:rFonts w:ascii="仿宋" w:hAnsi="仿宋" w:eastAsia="仿宋" w:cs="Times New Roman"/>
          <w:sz w:val="24"/>
        </w:rPr>
        <w:t>克服的客观情况。</w:t>
      </w:r>
    </w:p>
    <w:p w14:paraId="35F773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.2本协议任何一方因不可抗力不能履行或不能完全履行本协议的义务时，应在不可抗力发生之日起的10日内书面通知本协议的其</w:t>
      </w:r>
      <w:r>
        <w:rPr>
          <w:rFonts w:hint="eastAsia" w:ascii="仿宋" w:hAnsi="仿宋" w:eastAsia="仿宋" w:cs="Times New Roman"/>
          <w:color w:val="000000"/>
          <w:sz w:val="24"/>
        </w:rPr>
        <w:t>他</w:t>
      </w:r>
      <w:r>
        <w:rPr>
          <w:rFonts w:ascii="仿宋" w:hAnsi="仿宋" w:eastAsia="仿宋" w:cs="Times New Roman"/>
          <w:color w:val="000000"/>
          <w:sz w:val="24"/>
        </w:rPr>
        <w:t>方，并提供由有关部门出具的不可抗力证明。</w:t>
      </w:r>
    </w:p>
    <w:p w14:paraId="76473E3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.3因不可抗力不能履行协议的，根据不可抗力的影响，受影响方部分或全部免除责任，但法律另有规定的除外。迟延履行协议后发生不可抗力的，不能免除责任。</w:t>
      </w:r>
    </w:p>
    <w:p w14:paraId="0F352C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.4如果因不可抗力的影响致使本协议中止履行</w:t>
      </w:r>
      <w:r>
        <w:rPr>
          <w:rFonts w:hint="eastAsia" w:ascii="仿宋" w:hAnsi="仿宋" w:eastAsia="仿宋" w:cs="Times New Roman"/>
          <w:color w:val="000000"/>
          <w:sz w:val="24"/>
        </w:rPr>
        <w:t>三十</w:t>
      </w:r>
      <w:r>
        <w:rPr>
          <w:rFonts w:ascii="仿宋" w:hAnsi="仿宋" w:eastAsia="仿宋" w:cs="Times New Roman"/>
          <w:color w:val="000000"/>
          <w:sz w:val="24"/>
        </w:rPr>
        <w:t>日或以上时，甲方有权决定是否继续履行或终止本协议，并书面通知乙方。</w:t>
      </w:r>
    </w:p>
    <w:p w14:paraId="5CF8517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第十二条税费</w:t>
      </w:r>
    </w:p>
    <w:p w14:paraId="39B4EA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12</w:t>
      </w:r>
      <w:r>
        <w:rPr>
          <w:rFonts w:ascii="仿宋" w:hAnsi="仿宋" w:eastAsia="仿宋" w:cs="Times New Roman"/>
          <w:color w:val="000000"/>
          <w:sz w:val="24"/>
        </w:rPr>
        <w:t>.1双方各自承担中国有关机构根据中国税法向其征收的所有与协议履行有关的</w:t>
      </w:r>
      <w:r>
        <w:rPr>
          <w:rFonts w:hint="eastAsia" w:ascii="仿宋" w:hAnsi="仿宋" w:eastAsia="仿宋" w:cs="Times New Roman"/>
          <w:color w:val="000000"/>
          <w:sz w:val="24"/>
        </w:rPr>
        <w:t>税费</w:t>
      </w:r>
      <w:r>
        <w:rPr>
          <w:rFonts w:ascii="仿宋" w:hAnsi="仿宋" w:eastAsia="仿宋" w:cs="Times New Roman"/>
          <w:color w:val="000000"/>
          <w:sz w:val="24"/>
        </w:rPr>
        <w:t>。</w:t>
      </w:r>
    </w:p>
    <w:p w14:paraId="563EB999">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第十三条法律适用和争议解决</w:t>
      </w:r>
    </w:p>
    <w:p w14:paraId="67091BB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.1本协议适用中华人民共和国法律。</w:t>
      </w:r>
    </w:p>
    <w:p w14:paraId="63A4D54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.2所有因本协议及订单引起的或与本协议或订单有关的任何争议通过双方友好协商解决。如果双方不能通过友好协商解决争议，则任何一方均可向</w:t>
      </w:r>
      <w:r>
        <w:rPr>
          <w:rFonts w:hint="eastAsia" w:ascii="仿宋" w:hAnsi="仿宋" w:eastAsia="仿宋" w:cs="Times New Roman"/>
          <w:color w:val="000000"/>
          <w:sz w:val="24"/>
        </w:rPr>
        <w:t>甲方住所地</w:t>
      </w:r>
      <w:r>
        <w:rPr>
          <w:rFonts w:ascii="仿宋" w:hAnsi="仿宋" w:eastAsia="仿宋" w:cs="Times New Roman"/>
          <w:color w:val="000000"/>
          <w:sz w:val="24"/>
        </w:rPr>
        <w:t>有管辖权的人民法院起诉。</w:t>
      </w:r>
    </w:p>
    <w:p w14:paraId="4EB339B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.3</w:t>
      </w:r>
      <w:r>
        <w:rPr>
          <w:rFonts w:hint="eastAsia" w:ascii="仿宋" w:hAnsi="仿宋" w:eastAsia="仿宋" w:cs="Times New Roman"/>
          <w:color w:val="000000"/>
          <w:sz w:val="24"/>
        </w:rPr>
        <w:t>诉讼进行过程中，双方继续履行本协议及订单未涉诉讼的其他部分。</w:t>
      </w:r>
    </w:p>
    <w:p w14:paraId="1E7C314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.4甲方有权代采购方根据本协议约定的方式解决争议。</w:t>
      </w:r>
    </w:p>
    <w:p w14:paraId="12EC1D03">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第十四条保密</w:t>
      </w:r>
    </w:p>
    <w:p w14:paraId="077C21F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.1</w:t>
      </w:r>
      <w:r>
        <w:rPr>
          <w:rFonts w:hint="eastAsia" w:ascii="仿宋" w:hAnsi="仿宋" w:eastAsia="仿宋" w:cs="Times New Roman"/>
          <w:color w:val="000000"/>
          <w:sz w:val="24"/>
        </w:rPr>
        <w:t>本协议所述的保密信息指一方（“接收方”）从另一方（“披露方”）获悉的、对披露方而言具有专属性质的信息、资料和商业秘密。但是，保密信息不包括如下信息：</w:t>
      </w:r>
    </w:p>
    <w:p w14:paraId="4048C34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(1)在依</w:t>
      </w:r>
      <w:r>
        <w:rPr>
          <w:rFonts w:hint="eastAsia" w:ascii="仿宋" w:hAnsi="仿宋" w:eastAsia="仿宋" w:cs="Times New Roman"/>
          <w:color w:val="000000"/>
          <w:sz w:val="24"/>
        </w:rPr>
        <w:t>本协议披露之时，已以合法方式属接收方所有或由接收方知悉的；</w:t>
      </w:r>
    </w:p>
    <w:p w14:paraId="6F300AC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(2)在依</w:t>
      </w:r>
      <w:r>
        <w:rPr>
          <w:rFonts w:hint="eastAsia" w:ascii="仿宋" w:hAnsi="仿宋" w:eastAsia="仿宋" w:cs="Times New Roman"/>
          <w:color w:val="000000"/>
          <w:sz w:val="24"/>
        </w:rPr>
        <w:t>本协议披露之时，已经公开或能从公开领域获得的；</w:t>
      </w:r>
    </w:p>
    <w:p w14:paraId="1F7CC73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(3)接</w:t>
      </w:r>
      <w:r>
        <w:rPr>
          <w:rFonts w:hint="eastAsia" w:ascii="仿宋" w:hAnsi="仿宋" w:eastAsia="仿宋" w:cs="Times New Roman"/>
          <w:color w:val="000000"/>
          <w:sz w:val="24"/>
        </w:rPr>
        <w:t>收方从没有违反对披露方负有保密或不披露义务的人合法取得的；</w:t>
      </w:r>
    </w:p>
    <w:p w14:paraId="10B7C8B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(4)接</w:t>
      </w:r>
      <w:r>
        <w:rPr>
          <w:rFonts w:hint="eastAsia" w:ascii="仿宋" w:hAnsi="仿宋" w:eastAsia="仿宋" w:cs="Times New Roman"/>
          <w:color w:val="000000"/>
          <w:sz w:val="24"/>
        </w:rPr>
        <w:t>收方或其关联或附属公司独立开发，而且未从披露方或其关联或附属公司披露或提供的信息中获益的。</w:t>
      </w:r>
    </w:p>
    <w:p w14:paraId="7A0939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.2 接收方对保密信息负有保密义务，接收方仅得为履行本协议之目的对保密信息进行复制。接收方应当妥善保管保密信息，采取不低于对其本身</w:t>
      </w:r>
      <w:r>
        <w:rPr>
          <w:rFonts w:hint="eastAsia" w:ascii="仿宋" w:hAnsi="仿宋" w:eastAsia="仿宋" w:cs="Times New Roman"/>
          <w:color w:val="000000"/>
          <w:sz w:val="24"/>
        </w:rPr>
        <w:t>商业秘密所采取的保护手段予以保护。</w:t>
      </w:r>
    </w:p>
    <w:p w14:paraId="70796DF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.3接收</w:t>
      </w:r>
      <w:r>
        <w:rPr>
          <w:rFonts w:hint="eastAsia" w:ascii="仿宋" w:hAnsi="仿宋" w:eastAsia="仿宋" w:cs="Times New Roman"/>
          <w:color w:val="000000"/>
          <w:sz w:val="24"/>
        </w:rPr>
        <w:t>方仅可为本协议之目的向其确有知悉必要的雇员、股东、董事、顾问和</w:t>
      </w:r>
      <w:r>
        <w:rPr>
          <w:rFonts w:ascii="仿宋" w:hAnsi="仿宋" w:eastAsia="仿宋" w:cs="Times New Roman"/>
          <w:color w:val="000000"/>
          <w:sz w:val="24"/>
        </w:rPr>
        <w:t>/或咨询人员</w:t>
      </w:r>
      <w:r>
        <w:rPr>
          <w:rFonts w:hint="eastAsia" w:ascii="仿宋" w:hAnsi="仿宋" w:eastAsia="仿宋" w:cs="Times New Roman"/>
          <w:color w:val="000000"/>
          <w:sz w:val="24"/>
        </w:rPr>
        <w:t>披露保密信息，但同时应当指示其遵守本条规定的保密及不披露义务。</w:t>
      </w:r>
    </w:p>
    <w:p w14:paraId="0354DD8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.4 接收方有权按照</w:t>
      </w:r>
      <w:r>
        <w:rPr>
          <w:rFonts w:hint="eastAsia" w:ascii="仿宋" w:hAnsi="仿宋" w:eastAsia="仿宋" w:cs="Times New Roman"/>
          <w:color w:val="000000"/>
          <w:sz w:val="24"/>
        </w:rPr>
        <w:t>法律、法规、规章或监管机构要求披露保密信息。</w:t>
      </w:r>
    </w:p>
    <w:p w14:paraId="6790D38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.5</w:t>
      </w:r>
      <w:r>
        <w:rPr>
          <w:rFonts w:hint="eastAsia" w:ascii="仿宋" w:hAnsi="仿宋" w:eastAsia="仿宋" w:cs="Times New Roman"/>
          <w:color w:val="000000"/>
          <w:sz w:val="24"/>
        </w:rPr>
        <w:t>本保密条款自保密信息提供或披露之日起至本协议终止或解除后五年内持续有效。</w:t>
      </w:r>
    </w:p>
    <w:p w14:paraId="60D9C19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.6</w:t>
      </w:r>
      <w:r>
        <w:rPr>
          <w:rFonts w:hint="eastAsia" w:ascii="仿宋" w:hAnsi="仿宋" w:eastAsia="仿宋" w:cs="Times New Roman"/>
          <w:color w:val="000000"/>
          <w:sz w:val="24"/>
        </w:rPr>
        <w:t>尽管有上述规定，买方和</w:t>
      </w:r>
      <w:r>
        <w:rPr>
          <w:rFonts w:ascii="仿宋" w:hAnsi="仿宋" w:eastAsia="仿宋" w:cs="Times New Roman"/>
          <w:color w:val="000000"/>
          <w:sz w:val="24"/>
        </w:rPr>
        <w:t>/或采购方作为接收方</w:t>
      </w:r>
      <w:r>
        <w:rPr>
          <w:rFonts w:hint="eastAsia" w:ascii="仿宋" w:hAnsi="仿宋" w:eastAsia="仿宋" w:cs="Times New Roman"/>
          <w:color w:val="000000"/>
          <w:sz w:val="24"/>
        </w:rPr>
        <w:t>向其关联方提供或披露卖方和</w:t>
      </w:r>
      <w:r>
        <w:rPr>
          <w:rFonts w:ascii="仿宋" w:hAnsi="仿宋" w:eastAsia="仿宋" w:cs="Times New Roman"/>
          <w:color w:val="000000"/>
          <w:sz w:val="24"/>
        </w:rPr>
        <w:t>/或供应商的资料和信息的，不受本条规定的</w:t>
      </w:r>
      <w:r>
        <w:rPr>
          <w:rFonts w:hint="eastAsia" w:ascii="仿宋" w:hAnsi="仿宋" w:eastAsia="仿宋" w:cs="Times New Roman"/>
          <w:color w:val="000000"/>
          <w:sz w:val="24"/>
        </w:rPr>
        <w:t>保密和不披露义务的约束。</w:t>
      </w:r>
    </w:p>
    <w:p w14:paraId="7EFD49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.7</w:t>
      </w:r>
      <w:r>
        <w:rPr>
          <w:rFonts w:hint="eastAsia" w:ascii="仿宋" w:hAnsi="仿宋" w:eastAsia="仿宋" w:cs="Times New Roman"/>
          <w:color w:val="000000"/>
          <w:sz w:val="24"/>
        </w:rPr>
        <w:t>对于接收方在本协议签订及履行过程中依法获得的个人信息和重要数据，接收方应当依法在境内存储，且不得向境外提供。</w:t>
      </w:r>
    </w:p>
    <w:p w14:paraId="66268F9A">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第十五条软件使用权及侵权处理</w:t>
      </w:r>
    </w:p>
    <w:p w14:paraId="147B59E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.1根据本协议甲方和/或采购方或其指定的第三方仅获得软件的许可使用权以及软件介质的所有权，并未获得软件的著作权，著作权仍归软件著作权人。</w:t>
      </w:r>
    </w:p>
    <w:p w14:paraId="62DD86E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.2</w:t>
      </w:r>
      <w:r>
        <w:rPr>
          <w:rFonts w:hint="eastAsia" w:ascii="仿宋" w:hAnsi="仿宋" w:eastAsia="仿宋" w:cs="Times New Roman"/>
          <w:color w:val="000000"/>
          <w:sz w:val="24"/>
        </w:rPr>
        <w:t>乙方</w:t>
      </w:r>
      <w:r>
        <w:rPr>
          <w:rFonts w:ascii="仿宋" w:hAnsi="仿宋" w:eastAsia="仿宋" w:cs="Times New Roman"/>
          <w:color w:val="000000"/>
          <w:sz w:val="24"/>
        </w:rPr>
        <w:t>承诺，甲方和/或采购方或其指定的第三方可以将其在本协议项下的所有权利转让给用于甲方或采购方</w:t>
      </w:r>
      <w:r>
        <w:rPr>
          <w:rFonts w:hint="eastAsia" w:ascii="仿宋" w:hAnsi="仿宋" w:eastAsia="仿宋" w:cs="Times New Roman"/>
          <w:color w:val="000000"/>
          <w:sz w:val="24"/>
        </w:rPr>
        <w:t>或其</w:t>
      </w:r>
      <w:r>
        <w:rPr>
          <w:rFonts w:ascii="仿宋" w:hAnsi="仿宋" w:eastAsia="仿宋" w:cs="Times New Roman"/>
          <w:color w:val="000000"/>
          <w:sz w:val="24"/>
        </w:rPr>
        <w:t>指定第三方的任何后继所有人，且无需取得乙方</w:t>
      </w:r>
      <w:r>
        <w:rPr>
          <w:rFonts w:hint="eastAsia" w:ascii="仿宋" w:hAnsi="仿宋" w:eastAsia="仿宋" w:cs="Times New Roman"/>
          <w:color w:val="000000"/>
          <w:sz w:val="24"/>
        </w:rPr>
        <w:t>或</w:t>
      </w:r>
      <w:r>
        <w:rPr>
          <w:rFonts w:ascii="仿宋" w:hAnsi="仿宋" w:eastAsia="仿宋" w:cs="Times New Roman"/>
          <w:color w:val="000000"/>
          <w:sz w:val="24"/>
        </w:rPr>
        <w:t>软件著作权人的同意。</w:t>
      </w:r>
    </w:p>
    <w:p w14:paraId="08D29B7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3如果有人提出法律或行政程序(合称“侵权指控”)，声称甲方和/或采购方或其指定的第三方使用本协议项下软件侵犯了其所有权或者知识产权等合法权益，乙方应负责解决，并赔偿甲方和/或采购方或其指定的第三方就此所承担的一切费用，包括但不限于上述侵权指控中所产生的诉讼费用、调查费用、合理的律师费用、和解金额或生效法律文书中规定的赔偿金额。</w:t>
      </w:r>
    </w:p>
    <w:p w14:paraId="1063685D">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.4如果在侵权指控的审理过程中有关机关禁止甲方和/或采购方或其指定的第三方继续使用本协议项下软件的部分或全部，乙方应采取以下措施之一：</w:t>
      </w:r>
    </w:p>
    <w:p w14:paraId="618756B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1）使甲方和/或采购方或其指定的第三方重新免费获得使用上述软件的权利，或</w:t>
      </w:r>
    </w:p>
    <w:p w14:paraId="4568045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2）免费更换或改造上述软件，使甲方和/或采购方或其指定的第三方不受上述禁令限制继续使用该软件。</w:t>
      </w:r>
    </w:p>
    <w:p w14:paraId="6486B30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3）其</w:t>
      </w:r>
      <w:r>
        <w:rPr>
          <w:rFonts w:hint="eastAsia" w:ascii="仿宋" w:hAnsi="仿宋" w:eastAsia="仿宋" w:cs="Times New Roman"/>
          <w:color w:val="000000"/>
          <w:sz w:val="24"/>
        </w:rPr>
        <w:t>他</w:t>
      </w:r>
      <w:r>
        <w:rPr>
          <w:rFonts w:ascii="仿宋" w:hAnsi="仿宋" w:eastAsia="仿宋" w:cs="Times New Roman"/>
          <w:color w:val="000000"/>
          <w:sz w:val="24"/>
        </w:rPr>
        <w:t>使甲方和/或采购方或其指定的第三方对软件拥有合法使用权，或其</w:t>
      </w:r>
      <w:r>
        <w:rPr>
          <w:rFonts w:hint="eastAsia" w:ascii="仿宋" w:hAnsi="仿宋" w:eastAsia="仿宋" w:cs="Times New Roman"/>
          <w:color w:val="000000"/>
          <w:sz w:val="24"/>
        </w:rPr>
        <w:t>他</w:t>
      </w:r>
      <w:r>
        <w:rPr>
          <w:rFonts w:ascii="仿宋" w:hAnsi="仿宋" w:eastAsia="仿宋" w:cs="Times New Roman"/>
          <w:color w:val="000000"/>
          <w:sz w:val="24"/>
        </w:rPr>
        <w:t>弥补甲方和/或采购方或其指定的第三方受损利益、实现协议目的的合理方式</w:t>
      </w:r>
      <w:r>
        <w:rPr>
          <w:rFonts w:hint="eastAsia" w:ascii="仿宋" w:hAnsi="仿宋" w:eastAsia="仿宋" w:cs="Times New Roman"/>
          <w:color w:val="000000"/>
          <w:sz w:val="24"/>
        </w:rPr>
        <w:t>，且不收取任何费用</w:t>
      </w:r>
      <w:r>
        <w:rPr>
          <w:rFonts w:ascii="仿宋" w:hAnsi="仿宋" w:eastAsia="仿宋" w:cs="Times New Roman"/>
          <w:color w:val="000000"/>
          <w:sz w:val="24"/>
        </w:rPr>
        <w:t>。</w:t>
      </w:r>
    </w:p>
    <w:p w14:paraId="6503B42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乙方采取上述措施不能免除乙方就甲方和</w:t>
      </w:r>
      <w:r>
        <w:rPr>
          <w:rFonts w:ascii="仿宋" w:hAnsi="仿宋" w:eastAsia="仿宋" w:cs="Times New Roman"/>
          <w:color w:val="000000"/>
          <w:sz w:val="24"/>
        </w:rPr>
        <w:t>/或采购方或其指定的第三方因此遭受的损失进行赔偿的义务。</w:t>
      </w:r>
    </w:p>
    <w:p w14:paraId="147101C0">
      <w:pPr>
        <w:spacing w:line="360" w:lineRule="exact"/>
        <w:ind w:firstLine="480" w:firstLineChars="200"/>
        <w:rPr>
          <w:rFonts w:ascii="仿宋" w:hAnsi="仿宋" w:eastAsia="仿宋" w:cs="Times New Roman"/>
          <w:b/>
          <w:color w:val="000000"/>
          <w:sz w:val="24"/>
        </w:rPr>
      </w:pPr>
      <w:r>
        <w:rPr>
          <w:rFonts w:hint="eastAsia" w:ascii="仿宋" w:hAnsi="仿宋" w:eastAsia="仿宋" w:cs="Times New Roman"/>
          <w:b/>
          <w:color w:val="000000"/>
          <w:sz w:val="24"/>
        </w:rPr>
        <w:t>第十六条协议生效及其他</w:t>
      </w:r>
    </w:p>
    <w:p w14:paraId="352332AB">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w:t>
      </w:r>
      <w:r>
        <w:rPr>
          <w:rFonts w:hint="eastAsia" w:ascii="仿宋" w:hAnsi="仿宋" w:eastAsia="仿宋" w:cs="Times New Roman"/>
          <w:color w:val="000000"/>
          <w:sz w:val="24"/>
        </w:rPr>
        <w:t>自双方签字盖章之日起生效；若使用电子印章的，自双方盖章之日起生效。本协议</w:t>
      </w:r>
      <w:r>
        <w:rPr>
          <w:rFonts w:ascii="仿宋" w:hAnsi="仿宋" w:eastAsia="仿宋" w:cs="Times New Roman"/>
          <w:color w:val="000000"/>
          <w:sz w:val="24"/>
        </w:rPr>
        <w:t>保持其有效直至双方已完全履行</w:t>
      </w:r>
      <w:r>
        <w:rPr>
          <w:rFonts w:hint="eastAsia" w:ascii="仿宋" w:hAnsi="仿宋" w:eastAsia="仿宋" w:cs="Times New Roman"/>
          <w:color w:val="000000"/>
          <w:sz w:val="24"/>
        </w:rPr>
        <w:t>协议</w:t>
      </w:r>
      <w:r>
        <w:rPr>
          <w:rFonts w:ascii="仿宋" w:hAnsi="仿宋" w:eastAsia="仿宋" w:cs="Times New Roman"/>
          <w:color w:val="000000"/>
          <w:sz w:val="24"/>
        </w:rPr>
        <w:t>项下的所有义务且双方之间的所有付款和索赔已结清</w:t>
      </w:r>
      <w:r>
        <w:rPr>
          <w:rFonts w:hint="eastAsia" w:ascii="仿宋" w:hAnsi="仿宋" w:eastAsia="仿宋" w:cs="Times New Roman"/>
          <w:color w:val="000000"/>
          <w:sz w:val="24"/>
        </w:rPr>
        <w:t>。</w:t>
      </w:r>
    </w:p>
    <w:p w14:paraId="6F80ABFA">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若甲方加盖电子印章的，以加盖</w:t>
      </w:r>
      <w:r>
        <w:rPr>
          <w:rFonts w:ascii="仿宋" w:hAnsi="仿宋" w:eastAsia="仿宋" w:cs="Times New Roman"/>
          <w:color w:val="000000"/>
          <w:sz w:val="24"/>
        </w:rPr>
        <w:t>甲方电子印章的本</w:t>
      </w:r>
      <w:r>
        <w:rPr>
          <w:rFonts w:hint="eastAsia" w:ascii="仿宋" w:hAnsi="仿宋" w:eastAsia="仿宋" w:cs="Times New Roman"/>
          <w:color w:val="000000"/>
          <w:sz w:val="24"/>
        </w:rPr>
        <w:t>协议</w:t>
      </w:r>
      <w:r>
        <w:rPr>
          <w:rFonts w:ascii="仿宋" w:hAnsi="仿宋" w:eastAsia="仿宋" w:cs="Times New Roman"/>
          <w:color w:val="000000"/>
          <w:sz w:val="24"/>
        </w:rPr>
        <w:t>电子文档所载内容为准</w:t>
      </w:r>
      <w:r>
        <w:rPr>
          <w:rFonts w:hint="eastAsia" w:ascii="仿宋" w:hAnsi="仿宋" w:eastAsia="仿宋" w:cs="Times New Roman"/>
          <w:color w:val="000000"/>
          <w:sz w:val="24"/>
        </w:rPr>
        <w:t>。</w:t>
      </w:r>
    </w:p>
    <w:p w14:paraId="134FFD56">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.2</w:t>
      </w:r>
      <w:r>
        <w:rPr>
          <w:rFonts w:hint="eastAsia" w:ascii="仿宋" w:hAnsi="仿宋" w:eastAsia="仿宋" w:cs="Times New Roman"/>
          <w:color w:val="000000"/>
          <w:sz w:val="24"/>
        </w:rPr>
        <w:t>本协议</w:t>
      </w:r>
      <w:r>
        <w:rPr>
          <w:rFonts w:ascii="仿宋" w:hAnsi="仿宋" w:eastAsia="仿宋" w:cs="Times New Roman"/>
          <w:color w:val="000000"/>
          <w:sz w:val="24"/>
        </w:rPr>
        <w:t>附件</w:t>
      </w:r>
      <w:r>
        <w:rPr>
          <w:rFonts w:hint="eastAsia" w:ascii="仿宋" w:hAnsi="仿宋" w:eastAsia="仿宋" w:cs="Times New Roman"/>
          <w:color w:val="000000"/>
          <w:sz w:val="24"/>
        </w:rPr>
        <w:t>同时</w:t>
      </w:r>
      <w:r>
        <w:rPr>
          <w:rFonts w:ascii="仿宋" w:hAnsi="仿宋" w:eastAsia="仿宋" w:cs="Times New Roman"/>
          <w:color w:val="000000"/>
          <w:sz w:val="24"/>
        </w:rPr>
        <w:t>存在中文</w:t>
      </w:r>
      <w:r>
        <w:rPr>
          <w:rFonts w:hint="eastAsia" w:ascii="仿宋" w:hAnsi="仿宋" w:eastAsia="仿宋" w:cs="Times New Roman"/>
          <w:color w:val="000000"/>
          <w:sz w:val="24"/>
        </w:rPr>
        <w:t>和</w:t>
      </w:r>
      <w:r>
        <w:rPr>
          <w:rFonts w:ascii="仿宋" w:hAnsi="仿宋" w:eastAsia="仿宋" w:cs="Times New Roman"/>
          <w:color w:val="000000"/>
          <w:sz w:val="24"/>
        </w:rPr>
        <w:t>英文文本</w:t>
      </w:r>
      <w:r>
        <w:rPr>
          <w:rFonts w:hint="eastAsia" w:ascii="仿宋" w:hAnsi="仿宋" w:eastAsia="仿宋" w:cs="Times New Roman"/>
          <w:color w:val="000000"/>
          <w:sz w:val="24"/>
        </w:rPr>
        <w:t>的</w:t>
      </w:r>
      <w:r>
        <w:rPr>
          <w:rFonts w:ascii="仿宋" w:hAnsi="仿宋" w:eastAsia="仿宋" w:cs="Times New Roman"/>
          <w:color w:val="000000"/>
          <w:sz w:val="24"/>
        </w:rPr>
        <w:t>，中英文不一致时，以中文</w:t>
      </w:r>
      <w:r>
        <w:rPr>
          <w:rFonts w:hint="eastAsia" w:ascii="仿宋" w:hAnsi="仿宋" w:eastAsia="仿宋" w:cs="Times New Roman"/>
          <w:color w:val="000000"/>
          <w:sz w:val="24"/>
        </w:rPr>
        <w:t>文本</w:t>
      </w:r>
      <w:r>
        <w:rPr>
          <w:rFonts w:ascii="仿宋" w:hAnsi="仿宋" w:eastAsia="仿宋" w:cs="Times New Roman"/>
          <w:color w:val="000000"/>
          <w:sz w:val="24"/>
        </w:rPr>
        <w:t>为准</w:t>
      </w:r>
      <w:r>
        <w:rPr>
          <w:rFonts w:hint="eastAsia" w:ascii="仿宋" w:hAnsi="仿宋" w:eastAsia="仿宋" w:cs="Times New Roman"/>
          <w:color w:val="000000"/>
          <w:sz w:val="24"/>
        </w:rPr>
        <w:t>。</w:t>
      </w:r>
    </w:p>
    <w:p w14:paraId="2AEDAD3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.3</w:t>
      </w:r>
      <w:r>
        <w:rPr>
          <w:rFonts w:hint="eastAsia" w:ascii="仿宋" w:hAnsi="仿宋" w:eastAsia="仿宋" w:cs="Times New Roman"/>
          <w:color w:val="000000"/>
          <w:sz w:val="24"/>
        </w:rPr>
        <w:t>本协议替代此前双方所有关于本协议事项的口头或书面的纪要、备忘录、合同、协议等法律文件。</w:t>
      </w:r>
    </w:p>
    <w:p w14:paraId="6C8139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.4</w:t>
      </w:r>
      <w:r>
        <w:rPr>
          <w:rFonts w:hint="eastAsia" w:ascii="仿宋" w:hAnsi="仿宋" w:eastAsia="仿宋" w:cs="Times New Roman"/>
          <w:color w:val="000000"/>
          <w:sz w:val="24"/>
        </w:rPr>
        <w:t>乙</w:t>
      </w:r>
      <w:r>
        <w:rPr>
          <w:rFonts w:ascii="仿宋" w:hAnsi="仿宋" w:eastAsia="仿宋" w:cs="Times New Roman"/>
          <w:color w:val="000000"/>
          <w:sz w:val="24"/>
        </w:rPr>
        <w:t>方未得</w:t>
      </w:r>
      <w:r>
        <w:rPr>
          <w:rFonts w:hint="eastAsia" w:ascii="仿宋" w:hAnsi="仿宋" w:eastAsia="仿宋" w:cs="Times New Roman"/>
          <w:color w:val="000000"/>
          <w:sz w:val="24"/>
        </w:rPr>
        <w:t>甲</w:t>
      </w:r>
      <w:r>
        <w:rPr>
          <w:rFonts w:ascii="仿宋" w:hAnsi="仿宋" w:eastAsia="仿宋" w:cs="Times New Roman"/>
          <w:color w:val="000000"/>
          <w:sz w:val="24"/>
        </w:rPr>
        <w:t>方同意不得向任何第三方（不包括软件著作权人、甲方关联公司）披露本协议的签订及其内容。</w:t>
      </w:r>
    </w:p>
    <w:p w14:paraId="030CB52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.5对协议内容做出的任何修改和补充应为书面形式，由双方签字盖章后成为协议不可分割的部分。</w:t>
      </w:r>
    </w:p>
    <w:p w14:paraId="6BCF25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.6甲乙双方因履行本协议或与本协议有关的一切通知都应当按照本协议</w:t>
      </w:r>
      <w:r>
        <w:rPr>
          <w:rFonts w:hint="eastAsia" w:ascii="仿宋" w:hAnsi="仿宋" w:eastAsia="仿宋" w:cs="Times New Roman"/>
          <w:color w:val="000000"/>
          <w:sz w:val="24"/>
        </w:rPr>
        <w:t>中的地址，以书面信函或者传真或者电子邮件方式进行。其中：</w:t>
      </w:r>
    </w:p>
    <w:p w14:paraId="2B4596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.6.1除本协议另有约定外，有关下述任一事项的通知，均应当采用书面信函形式作出，否则，该通知无效，不产生本协议项下的任何通知效力：</w:t>
      </w:r>
    </w:p>
    <w:p w14:paraId="0CB20B5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1）与本协议费用及支付事宜有关的通知；</w:t>
      </w:r>
    </w:p>
    <w:p w14:paraId="442F9AD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2）与本协议违约事宜有关的通知；</w:t>
      </w:r>
    </w:p>
    <w:p w14:paraId="43AB58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3）与本协议终止、解除或变更事宜有关的通知；</w:t>
      </w:r>
    </w:p>
    <w:p w14:paraId="5BFD882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4）与本协议延续/续展有关的通知；</w:t>
      </w:r>
    </w:p>
    <w:p w14:paraId="556A765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1DED9B0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.6.2本协议约定的各种通知方式的送达标准如下：</w:t>
      </w:r>
    </w:p>
    <w:p w14:paraId="1C1FCFF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8AA162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6E9EAC8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6A4C6C5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）如采用甲方供应商门户网站在线提交的方式，信息表单正式创建提交系统的时间为通知送达时间。如甲方供应商门户网站关闭或故障，双方应立即使用书面信函形式或者传真或者电子邮件方式进行通知。</w:t>
      </w:r>
    </w:p>
    <w:p w14:paraId="5D33DDD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C0157D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.6.3本协议双方通知地址及方式如下：</w:t>
      </w:r>
    </w:p>
    <w:p w14:paraId="4446508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05E6C87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w:t>
      </w:r>
      <w:r>
        <w:rPr>
          <w:rFonts w:ascii="仿宋" w:hAnsi="仿宋" w:eastAsia="仿宋" w:cs="Times New Roman"/>
          <w:color w:val="000000"/>
          <w:sz w:val="24"/>
        </w:rPr>
        <w:t xml:space="preserve">  址：[ </w:t>
      </w:r>
      <w:r>
        <w:rPr>
          <w:rFonts w:hint="eastAsia" w:ascii="仿宋" w:hAnsi="仿宋" w:eastAsia="仿宋" w:cs="Times New Roman"/>
          <w:sz w:val="24"/>
        </w:rPr>
        <w:t>遵义市大兴路 249 号</w:t>
      </w:r>
      <w:r>
        <w:rPr>
          <w:rFonts w:ascii="仿宋" w:hAnsi="仿宋" w:eastAsia="仿宋" w:cs="Times New Roman"/>
          <w:color w:val="000000"/>
          <w:sz w:val="24"/>
        </w:rPr>
        <w:t xml:space="preserve"> ] </w:t>
      </w:r>
    </w:p>
    <w:p w14:paraId="7D7B8D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陈妍</w:t>
      </w:r>
      <w:r>
        <w:rPr>
          <w:rFonts w:ascii="仿宋" w:hAnsi="仿宋" w:eastAsia="仿宋" w:cs="Times New Roman"/>
          <w:color w:val="000000"/>
          <w:sz w:val="24"/>
        </w:rPr>
        <w:t xml:space="preserve"> ]</w:t>
      </w:r>
    </w:p>
    <w:p w14:paraId="2980DB9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17708522288</w:t>
      </w:r>
      <w:r>
        <w:rPr>
          <w:rFonts w:ascii="仿宋" w:hAnsi="仿宋" w:eastAsia="仿宋" w:cs="Times New Roman"/>
          <w:color w:val="000000"/>
          <w:sz w:val="24"/>
        </w:rPr>
        <w:t xml:space="preserve"> ]</w:t>
      </w:r>
    </w:p>
    <w:p w14:paraId="20A3D07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588BA00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563000</w:t>
      </w:r>
      <w:r>
        <w:rPr>
          <w:rFonts w:ascii="仿宋" w:hAnsi="仿宋" w:eastAsia="仿宋" w:cs="Times New Roman"/>
          <w:color w:val="000000"/>
          <w:sz w:val="24"/>
        </w:rPr>
        <w:t xml:space="preserve"> ]</w:t>
      </w:r>
    </w:p>
    <w:p w14:paraId="49F43D9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cheny139@chinatelecom.cn</w:t>
      </w:r>
      <w:r>
        <w:rPr>
          <w:rFonts w:ascii="仿宋" w:hAnsi="仿宋" w:eastAsia="仿宋" w:cs="Times New Roman"/>
          <w:color w:val="000000"/>
          <w:sz w:val="24"/>
        </w:rPr>
        <w:t xml:space="preserve"> ]</w:t>
      </w:r>
    </w:p>
    <w:p w14:paraId="1E95A57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w:t>
      </w:r>
    </w:p>
    <w:p w14:paraId="196DDB5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w:t>
      </w:r>
    </w:p>
    <w:p w14:paraId="68DC38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w:t>
      </w:r>
    </w:p>
    <w:p w14:paraId="40006A3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w:t>
      </w:r>
    </w:p>
    <w:p w14:paraId="552324C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w:t>
      </w:r>
    </w:p>
    <w:p w14:paraId="2982033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w:t>
      </w:r>
    </w:p>
    <w:p w14:paraId="1CCA07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w:t>
      </w:r>
    </w:p>
    <w:p w14:paraId="61314A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上述任何信息发生变更的，变更方应及时以书面形式通知另一方，未及时通知并影响本协议履行或造成损失的，应承担相应的责任。</w:t>
      </w:r>
    </w:p>
    <w:p w14:paraId="3FD9FF3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.7未得到</w:t>
      </w:r>
      <w:r>
        <w:rPr>
          <w:rFonts w:hint="eastAsia" w:ascii="仿宋" w:hAnsi="仿宋" w:eastAsia="仿宋" w:cs="Times New Roman"/>
          <w:color w:val="000000"/>
          <w:sz w:val="24"/>
        </w:rPr>
        <w:t>甲</w:t>
      </w:r>
      <w:r>
        <w:rPr>
          <w:rFonts w:ascii="仿宋" w:hAnsi="仿宋" w:eastAsia="仿宋" w:cs="Times New Roman"/>
          <w:color w:val="000000"/>
          <w:sz w:val="24"/>
        </w:rPr>
        <w:t>方的书面许可，</w:t>
      </w:r>
      <w:r>
        <w:rPr>
          <w:rFonts w:hint="eastAsia" w:ascii="仿宋" w:hAnsi="仿宋" w:eastAsia="仿宋" w:cs="Times New Roman"/>
          <w:color w:val="000000"/>
          <w:sz w:val="24"/>
        </w:rPr>
        <w:t>乙</w:t>
      </w:r>
      <w:r>
        <w:rPr>
          <w:rFonts w:ascii="仿宋" w:hAnsi="仿宋" w:eastAsia="仿宋" w:cs="Times New Roman"/>
          <w:color w:val="000000"/>
          <w:sz w:val="24"/>
        </w:rPr>
        <w:t>方均不得以广告或在公共场合使用或摹仿对方的商业名称、商标、图案、服务标志、符号、代码、型号或缩写，</w:t>
      </w:r>
      <w:r>
        <w:rPr>
          <w:rFonts w:hint="eastAsia" w:ascii="仿宋" w:hAnsi="仿宋" w:eastAsia="仿宋" w:cs="Times New Roman"/>
          <w:color w:val="000000"/>
          <w:sz w:val="24"/>
        </w:rPr>
        <w:t>乙方不得声称对甲方的商业名称、商标、图案、服务标志、符号、代码、型号或缩写拥有所有权。</w:t>
      </w:r>
    </w:p>
    <w:p w14:paraId="426712F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.8本协议各条标题仅为提示之用，应以条文内容确定各方的权利义务。</w:t>
      </w:r>
    </w:p>
    <w:p w14:paraId="6C7B636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.9如果本协议的任何条款在任何时候变成不合法、无效或不可强制执行而不从根本上影响本协议的效力时，本协议的其</w:t>
      </w:r>
      <w:r>
        <w:rPr>
          <w:rFonts w:hint="eastAsia" w:ascii="仿宋" w:hAnsi="仿宋" w:eastAsia="仿宋" w:cs="Times New Roman"/>
          <w:color w:val="000000"/>
          <w:sz w:val="24"/>
        </w:rPr>
        <w:t>他</w:t>
      </w:r>
      <w:r>
        <w:rPr>
          <w:rFonts w:ascii="仿宋" w:hAnsi="仿宋" w:eastAsia="仿宋" w:cs="Times New Roman"/>
          <w:color w:val="000000"/>
          <w:sz w:val="24"/>
        </w:rPr>
        <w:t>条款不受影响。</w:t>
      </w:r>
    </w:p>
    <w:p w14:paraId="1911B35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.10本协议的任何内容不应被视为或解释为双方之间具有合资、合伙、代理关系。</w:t>
      </w:r>
    </w:p>
    <w:p w14:paraId="2F827B2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.11未经甲方书面同意，乙方</w:t>
      </w:r>
      <w:r>
        <w:rPr>
          <w:rFonts w:hint="eastAsia" w:ascii="仿宋" w:hAnsi="仿宋" w:eastAsia="仿宋" w:cs="Times New Roman"/>
          <w:color w:val="000000"/>
          <w:sz w:val="24"/>
        </w:rPr>
        <w:t>不得向第三方转让全部或部分权利，也不得以包括但不限于保理、质押等形式进行处分本协议项下的权利</w:t>
      </w:r>
      <w:r>
        <w:rPr>
          <w:rFonts w:ascii="仿宋" w:hAnsi="仿宋" w:eastAsia="仿宋" w:cs="Times New Roman"/>
          <w:color w:val="000000"/>
          <w:sz w:val="24"/>
        </w:rPr>
        <w:t>。</w:t>
      </w:r>
    </w:p>
    <w:p w14:paraId="29B560B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.12</w:t>
      </w:r>
      <w:r>
        <w:rPr>
          <w:rFonts w:hint="eastAsia" w:ascii="仿宋" w:hAnsi="仿宋" w:eastAsia="仿宋" w:cs="Times New Roman"/>
          <w:color w:val="000000"/>
          <w:sz w:val="24"/>
        </w:rPr>
        <w:t>乙方保证乙方和/或其所代表的制造商（如有）、软件著作权人（如有）、知识产权权利人（如有）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接受不时修订的《中国电信供应商不良行为管理规则》（</w:t>
      </w:r>
      <w:r>
        <w:rPr>
          <w:rFonts w:hint="eastAsia" w:ascii="仿宋" w:hAnsi="仿宋" w:eastAsia="仿宋" w:cs="Times New Roman"/>
          <w:sz w:val="24"/>
        </w:rPr>
        <w:t>发布于“中国电信阳光采购网”[</w:t>
      </w:r>
      <w:r>
        <w:rPr>
          <w:rFonts w:ascii="仿宋" w:hAnsi="仿宋" w:eastAsia="仿宋" w:cs="Times New Roman"/>
          <w:sz w:val="24"/>
        </w:rPr>
        <w:t>https://caigou.chinatelecom.com.cn/MSS-PORTAL/account/login.do]），甲方有权按照《中国电信供应商不良行为管理规则》，对乙方和/或其代表的制造商（如有）、软件著作权人（如有）、知识产权权利人（如有）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进行不良行为管理和处理。</w:t>
      </w:r>
    </w:p>
    <w:p w14:paraId="7162A09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.13</w:t>
      </w:r>
      <w:r>
        <w:rPr>
          <w:rFonts w:hint="eastAsia" w:ascii="仿宋" w:hAnsi="仿宋" w:eastAsia="仿宋" w:cs="Times New Roman"/>
          <w:color w:val="000000"/>
          <w:sz w:val="24"/>
        </w:rPr>
        <w:t>双方同意，下述文件是本协议不可分割的组成部分，并与本协议文件一起阅读和解释：</w:t>
      </w:r>
    </w:p>
    <w:p w14:paraId="1351E5C0">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w:t>
      </w:r>
      <w:r>
        <w:rPr>
          <w:rFonts w:hint="eastAsia" w:ascii="仿宋" w:hAnsi="仿宋" w:eastAsia="仿宋" w:cs="Times New Roman"/>
          <w:color w:val="000000"/>
          <w:sz w:val="24"/>
        </w:rPr>
        <w:t>协议</w:t>
      </w:r>
      <w:r>
        <w:rPr>
          <w:rFonts w:ascii="仿宋" w:hAnsi="仿宋" w:eastAsia="仿宋" w:cs="Times New Roman"/>
          <w:color w:val="000000"/>
          <w:sz w:val="24"/>
        </w:rPr>
        <w:t>正文；</w:t>
      </w:r>
    </w:p>
    <w:p w14:paraId="1E5258E8">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协议</w:t>
      </w:r>
      <w:r>
        <w:rPr>
          <w:rFonts w:ascii="仿宋" w:hAnsi="仿宋" w:eastAsia="仿宋" w:cs="Times New Roman"/>
          <w:color w:val="000000"/>
          <w:sz w:val="24"/>
        </w:rPr>
        <w:t xml:space="preserve">附件； </w:t>
      </w:r>
    </w:p>
    <w:p w14:paraId="1950F58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3）订单；</w:t>
      </w:r>
    </w:p>
    <w:p w14:paraId="61F1AD2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4）中标/中选/成交通知书； </w:t>
      </w:r>
    </w:p>
    <w:p w14:paraId="3C65ED58">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5）投标文件/参选文件/应答文件；</w:t>
      </w:r>
    </w:p>
    <w:p w14:paraId="2FAC933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w:t>
      </w:r>
      <w:r>
        <w:rPr>
          <w:rFonts w:hint="eastAsia" w:ascii="仿宋" w:hAnsi="仿宋" w:eastAsia="仿宋" w:cs="Times New Roman"/>
          <w:color w:val="000000"/>
          <w:sz w:val="24"/>
        </w:rPr>
        <w:t>他</w:t>
      </w:r>
      <w:r>
        <w:rPr>
          <w:rFonts w:ascii="仿宋" w:hAnsi="仿宋" w:eastAsia="仿宋" w:cs="Times New Roman"/>
          <w:color w:val="000000"/>
          <w:sz w:val="24"/>
        </w:rPr>
        <w:t>明确双方权利义务的协议性文件。</w:t>
      </w:r>
    </w:p>
    <w:p w14:paraId="23E3F7F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各文件彼此相互解释、相互补充，如在上述文件之间出现含糊或冲突之处，就同一事项的解释，应以本条上述排列次序在先的文件所表述的意思为准；当同一顺序的多份文件之间发生内容冲突时，应以文件形成时间较后的为准。对于同一类协议文件，以其最新版本为准。</w:t>
      </w:r>
    </w:p>
    <w:p w14:paraId="350291B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16.13本协议附件为：</w:t>
      </w:r>
    </w:p>
    <w:p w14:paraId="45C9419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附件一报价表</w:t>
      </w:r>
    </w:p>
    <w:p w14:paraId="7BB1AC4E">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附件二技术规范书</w:t>
      </w:r>
    </w:p>
    <w:p w14:paraId="556A89B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w:t>
      </w:r>
      <w:r>
        <w:rPr>
          <w:rFonts w:hint="eastAsia" w:ascii="仿宋" w:hAnsi="仿宋" w:eastAsia="仿宋" w:cs="Times New Roman"/>
          <w:color w:val="000000"/>
          <w:sz w:val="24"/>
          <w:lang w:eastAsia="zh-CN"/>
        </w:rPr>
        <w:t>2025年中国电信遵义分公司中间件框架物资采购</w:t>
      </w:r>
      <w:r>
        <w:rPr>
          <w:rFonts w:hint="eastAsia" w:ascii="仿宋" w:hAnsi="仿宋" w:eastAsia="仿宋" w:cs="Times New Roman"/>
          <w:color w:val="000000"/>
          <w:sz w:val="24"/>
        </w:rPr>
        <w:t>]订单</w:t>
      </w:r>
    </w:p>
    <w:p w14:paraId="55E75D69">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color w:val="000000"/>
          <w:sz w:val="24"/>
        </w:rPr>
        <w:tab/>
      </w:r>
      <w:r>
        <w:rPr>
          <w:rFonts w:hint="eastAsia" w:ascii="仿宋" w:hAnsi="仿宋" w:eastAsia="仿宋" w:cs="Times New Roman"/>
          <w:color w:val="000000"/>
          <w:sz w:val="24"/>
        </w:rPr>
        <w:t>保密承诺函</w:t>
      </w:r>
    </w:p>
    <w:p w14:paraId="7054974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附件五 安全生产管理责任书</w:t>
      </w:r>
    </w:p>
    <w:p w14:paraId="6B72202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附件六 网络及信息安全承诺书</w:t>
      </w:r>
    </w:p>
    <w:p w14:paraId="3408E98F">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附件七 服务项目人员名单</w:t>
      </w:r>
    </w:p>
    <w:p w14:paraId="25DBA65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 xml:space="preserve">附件八 </w:t>
      </w:r>
      <w:r>
        <w:rPr>
          <w:rFonts w:hint="eastAsia" w:ascii="仿宋" w:hAnsi="仿宋" w:eastAsia="仿宋" w:cs="Times New Roman"/>
          <w:color w:val="000000"/>
          <w:sz w:val="24"/>
          <w:lang w:val="en-US" w:eastAsia="zh-CN"/>
        </w:rPr>
        <w:t>投标</w:t>
      </w:r>
      <w:r>
        <w:rPr>
          <w:rFonts w:hint="eastAsia" w:ascii="仿宋" w:hAnsi="仿宋" w:eastAsia="仿宋" w:cs="Times New Roman"/>
          <w:color w:val="000000"/>
          <w:sz w:val="24"/>
        </w:rPr>
        <w:t xml:space="preserve">文件正偏离信息表 </w:t>
      </w:r>
    </w:p>
    <w:p w14:paraId="1D57F75B">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附件九 外部组件软件成分信息清单</w:t>
      </w:r>
    </w:p>
    <w:p w14:paraId="3DFDEA1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附件十 软件许可使用权证书或其他软件许可使用文件</w:t>
      </w:r>
    </w:p>
    <w:p w14:paraId="11094FD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附件十一 廉洁协议</w:t>
      </w:r>
    </w:p>
    <w:p w14:paraId="168E4B1F">
      <w:pPr>
        <w:spacing w:line="360" w:lineRule="exact"/>
        <w:ind w:firstLine="480" w:firstLineChars="200"/>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24B6A2ED">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经友好协商，对本协议条款补充、修改如下，本补充附页为协议正文的一部分，与协议正文冲突时，以本补充附页为准：</w:t>
      </w:r>
      <w:r>
        <w:rPr>
          <w:rFonts w:ascii="仿宋" w:hAnsi="仿宋" w:eastAsia="仿宋" w:cs="Times New Roman"/>
          <w:color w:val="000000"/>
          <w:sz w:val="24"/>
        </w:rPr>
        <w:t xml:space="preserve">[ </w:t>
      </w:r>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7F1678DD">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w:t>
      </w:r>
      <w:r>
        <w:rPr>
          <w:rFonts w:hint="eastAsia" w:ascii="仿宋" w:hAnsi="仿宋" w:eastAsia="仿宋" w:cs="Times New Roman"/>
          <w:color w:val="000000"/>
          <w:sz w:val="24"/>
        </w:rPr>
        <w:t>冲突时，应以文件形成时间较后的为准。对于同一类合同文件，以其最新版本为准。</w:t>
      </w:r>
      <w:r>
        <w:rPr>
          <w:rFonts w:ascii="仿宋" w:hAnsi="仿宋" w:eastAsia="仿宋" w:cs="Times New Roman"/>
          <w:color w:val="000000"/>
          <w:sz w:val="24"/>
        </w:rPr>
        <w:t>]</w:t>
      </w:r>
    </w:p>
    <w:p w14:paraId="7719D82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b/>
          <w:bCs/>
          <w:sz w:val="24"/>
        </w:rPr>
        <w:t>★其他:</w:t>
      </w:r>
      <w:r>
        <w:rPr>
          <w:rFonts w:hint="eastAsia" w:ascii="仿宋" w:hAnsi="仿宋" w:eastAsia="仿宋" w:cs="Times New Roman"/>
          <w:b/>
          <w:bCs/>
          <w:sz w:val="24"/>
          <w:lang w:val="en-US" w:eastAsia="zh-CN"/>
        </w:rPr>
        <w:t>服务</w:t>
      </w:r>
      <w:r>
        <w:rPr>
          <w:rFonts w:hint="eastAsia" w:ascii="仿宋" w:hAnsi="仿宋" w:eastAsia="仿宋" w:cs="Times New Roman"/>
          <w:b/>
          <w:bCs/>
          <w:sz w:val="24"/>
        </w:rPr>
        <w:t>人员名单需作为合同附件，名单内人员变更需经甲方书面同意。</w:t>
      </w:r>
      <w:r>
        <w:rPr>
          <w:rFonts w:ascii="仿宋" w:hAnsi="仿宋" w:eastAsia="仿宋" w:cs="Times New Roman"/>
          <w:color w:val="000000"/>
          <w:sz w:val="24"/>
        </w:rPr>
        <w:t xml:space="preserve"> ]</w:t>
      </w:r>
    </w:p>
    <w:p w14:paraId="117AEF33">
      <w:pPr>
        <w:spacing w:line="360" w:lineRule="exact"/>
        <w:jc w:val="center"/>
        <w:rPr>
          <w:rFonts w:ascii="仿宋" w:hAnsi="仿宋" w:eastAsia="仿宋" w:cs="Times New Roman"/>
          <w:color w:val="000000"/>
          <w:sz w:val="24"/>
        </w:rPr>
      </w:pPr>
      <w:r>
        <w:rPr>
          <w:rFonts w:ascii="仿宋" w:hAnsi="仿宋" w:eastAsia="仿宋" w:cs="Times New Roman"/>
          <w:color w:val="000000"/>
          <w:sz w:val="24"/>
        </w:rPr>
        <w:br w:type="page"/>
      </w:r>
      <w:r>
        <w:rPr>
          <w:rFonts w:ascii="仿宋" w:hAnsi="仿宋" w:eastAsia="仿宋" w:cs="Times New Roman"/>
          <w:color w:val="000000"/>
          <w:sz w:val="24"/>
        </w:rPr>
        <w:t>（</w:t>
      </w:r>
      <w:r>
        <w:rPr>
          <w:rFonts w:hint="eastAsia" w:ascii="仿宋" w:hAnsi="仿宋" w:eastAsia="仿宋" w:cs="Times New Roman"/>
          <w:color w:val="000000"/>
          <w:sz w:val="24"/>
        </w:rPr>
        <w:t>此页无正文</w:t>
      </w:r>
      <w:r>
        <w:rPr>
          <w:rFonts w:ascii="仿宋" w:hAnsi="仿宋" w:eastAsia="仿宋" w:cs="Times New Roman"/>
          <w:color w:val="000000"/>
          <w:sz w:val="24"/>
        </w:rPr>
        <w:t>）</w:t>
      </w:r>
    </w:p>
    <w:p w14:paraId="16FF20CD">
      <w:pPr>
        <w:spacing w:line="360" w:lineRule="exact"/>
        <w:rPr>
          <w:rFonts w:ascii="仿宋" w:hAnsi="仿宋" w:eastAsia="仿宋" w:cs="Times New Roman"/>
          <w:color w:val="000000"/>
          <w:sz w:val="24"/>
        </w:rPr>
      </w:pPr>
    </w:p>
    <w:p w14:paraId="6196B79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14C7456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1CF4226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235FA43A">
      <w:pPr>
        <w:spacing w:line="360" w:lineRule="exact"/>
        <w:rPr>
          <w:rFonts w:ascii="仿宋" w:hAnsi="仿宋" w:eastAsia="仿宋" w:cs="Times New Roman"/>
          <w:color w:val="000000"/>
          <w:sz w:val="24"/>
        </w:rPr>
      </w:pPr>
    </w:p>
    <w:p w14:paraId="23EC83DD">
      <w:pPr>
        <w:spacing w:line="360" w:lineRule="exact"/>
        <w:rPr>
          <w:rFonts w:ascii="仿宋" w:hAnsi="仿宋" w:eastAsia="仿宋" w:cs="Times New Roman"/>
          <w:color w:val="000000"/>
          <w:sz w:val="24"/>
        </w:rPr>
      </w:pPr>
    </w:p>
    <w:p w14:paraId="5432521C">
      <w:pPr>
        <w:spacing w:line="360" w:lineRule="exact"/>
        <w:rPr>
          <w:rFonts w:ascii="仿宋" w:hAnsi="仿宋" w:eastAsia="仿宋" w:cs="Times New Roman"/>
          <w:color w:val="000000"/>
          <w:sz w:val="24"/>
        </w:rPr>
      </w:pPr>
    </w:p>
    <w:p w14:paraId="3D83109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p>
    <w:p w14:paraId="610B068D">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04D6B907">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48660A8B">
      <w:pPr>
        <w:spacing w:line="360" w:lineRule="exact"/>
        <w:rPr>
          <w:rFonts w:ascii="仿宋" w:hAnsi="仿宋" w:eastAsia="仿宋" w:cs="Times New Roman"/>
          <w:color w:val="000000"/>
          <w:sz w:val="24"/>
        </w:rPr>
      </w:pPr>
    </w:p>
    <w:p w14:paraId="00F85972">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签署日期：</w:t>
      </w:r>
      <w:r>
        <w:rPr>
          <w:rFonts w:ascii="仿宋" w:hAnsi="仿宋" w:eastAsia="仿宋" w:cs="Times New Roman"/>
          <w:color w:val="000000"/>
          <w:sz w:val="24"/>
        </w:rPr>
        <w:t>[  ]</w:t>
      </w:r>
      <w:r>
        <w:rPr>
          <w:rFonts w:hint="eastAsia" w:ascii="仿宋" w:hAnsi="仿宋" w:eastAsia="仿宋" w:cs="Times New Roman"/>
          <w:color w:val="000000"/>
          <w:sz w:val="24"/>
        </w:rPr>
        <w:t>年</w:t>
      </w:r>
      <w:r>
        <w:rPr>
          <w:rFonts w:ascii="仿宋" w:hAnsi="仿宋" w:eastAsia="仿宋" w:cs="Times New Roman"/>
          <w:color w:val="000000"/>
          <w:sz w:val="24"/>
        </w:rPr>
        <w:t>[  ]</w:t>
      </w:r>
      <w:r>
        <w:rPr>
          <w:rFonts w:hint="eastAsia" w:ascii="仿宋" w:hAnsi="仿宋" w:eastAsia="仿宋" w:cs="Times New Roman"/>
          <w:color w:val="000000"/>
          <w:sz w:val="24"/>
        </w:rPr>
        <w:t>月</w:t>
      </w:r>
      <w:r>
        <w:rPr>
          <w:rFonts w:ascii="仿宋" w:hAnsi="仿宋" w:eastAsia="仿宋" w:cs="Times New Roman"/>
          <w:color w:val="000000"/>
          <w:sz w:val="24"/>
        </w:rPr>
        <w:t>[  ]日</w:t>
      </w:r>
    </w:p>
    <w:p w14:paraId="33D79F27">
      <w:pPr>
        <w:spacing w:line="360" w:lineRule="exact"/>
        <w:rPr>
          <w:rFonts w:hint="eastAsia" w:ascii="仿宋" w:hAnsi="仿宋" w:eastAsia="仿宋" w:cs="Times New Roman"/>
          <w:sz w:val="24"/>
          <w:lang w:val="en-US" w:eastAsia="zh-CN"/>
        </w:rPr>
      </w:pPr>
      <w:r>
        <w:rPr>
          <w:rFonts w:ascii="仿宋" w:hAnsi="仿宋" w:eastAsia="仿宋" w:cs="Times New Roman"/>
          <w:color w:val="000000"/>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一 报价表</w:t>
      </w:r>
    </w:p>
    <w:p w14:paraId="68F878F6">
      <w:pPr>
        <w:keepNext/>
        <w:keepLines/>
        <w:widowControl w:val="0"/>
        <w:spacing w:before="280" w:after="290" w:line="376" w:lineRule="auto"/>
        <w:jc w:val="both"/>
        <w:outlineLvl w:val="4"/>
        <w:rPr>
          <w:rFonts w:hint="eastAsia" w:ascii="仿宋" w:hAnsi="仿宋" w:eastAsia="仿宋" w:cs="Times New Roman"/>
          <w:b w:val="0"/>
          <w:bCs w:val="0"/>
          <w:kern w:val="2"/>
          <w:sz w:val="24"/>
          <w:szCs w:val="28"/>
          <w:lang w:val="en-US" w:eastAsia="zh-CN" w:bidi="ar-SA"/>
        </w:rPr>
      </w:pPr>
      <w:r>
        <w:rPr>
          <w:rFonts w:hint="eastAsia" w:ascii="仿宋" w:hAnsi="仿宋" w:eastAsia="仿宋" w:cs="Times New Roman"/>
          <w:b/>
          <w:bCs/>
          <w:kern w:val="2"/>
          <w:sz w:val="24"/>
          <w:szCs w:val="28"/>
          <w:lang w:val="en-US" w:eastAsia="zh-CN" w:bidi="ar-SA"/>
        </w:rPr>
        <w:br w:type="page"/>
      </w:r>
      <w:r>
        <w:rPr>
          <w:rFonts w:hint="eastAsia" w:ascii="仿宋" w:hAnsi="仿宋" w:eastAsia="仿宋" w:cs="Times New Roman"/>
          <w:b w:val="0"/>
          <w:bCs w:val="0"/>
          <w:kern w:val="2"/>
          <w:sz w:val="24"/>
          <w:szCs w:val="28"/>
          <w:lang w:val="en-US" w:eastAsia="zh-CN" w:bidi="ar-SA"/>
        </w:rPr>
        <w:t>附件二 技术规范书</w:t>
      </w:r>
    </w:p>
    <w:p w14:paraId="7E98043C">
      <w:pPr>
        <w:widowControl w:val="0"/>
        <w:ind w:firstLine="0"/>
        <w:jc w:val="both"/>
        <w:rPr>
          <w:rFonts w:ascii="Times New Roman" w:hAnsi="Times New Roman" w:eastAsia="宋体" w:cs="Times New Roman"/>
          <w:kern w:val="2"/>
          <w:sz w:val="21"/>
          <w:szCs w:val="24"/>
          <w:lang w:val="en-US" w:eastAsia="zh-CN" w:bidi="ar-SA"/>
        </w:rPr>
      </w:pPr>
    </w:p>
    <w:p w14:paraId="1E298746">
      <w:pPr>
        <w:keepNext/>
        <w:keepLines/>
        <w:widowControl w:val="0"/>
        <w:spacing w:before="280" w:after="290" w:line="376" w:lineRule="auto"/>
        <w:jc w:val="both"/>
        <w:outlineLvl w:val="4"/>
        <w:rPr>
          <w:rFonts w:hint="default" w:ascii="仿宋" w:hAnsi="仿宋" w:eastAsia="仿宋" w:cs="Times New Roman"/>
          <w:b/>
          <w:bCs/>
          <w:kern w:val="2"/>
          <w:sz w:val="24"/>
          <w:szCs w:val="28"/>
          <w:lang w:val="en-US" w:eastAsia="zh-CN" w:bidi="ar-SA"/>
        </w:rPr>
      </w:pPr>
      <w:r>
        <w:rPr>
          <w:rFonts w:hint="default" w:ascii="Times New Roman" w:hAnsi="Times New Roman" w:eastAsia="宋体" w:cs="Times New Roman"/>
          <w:b/>
          <w:bCs/>
          <w:kern w:val="2"/>
          <w:sz w:val="28"/>
          <w:szCs w:val="28"/>
          <w:lang w:val="en-US" w:eastAsia="zh-CN" w:bidi="ar-SA"/>
        </w:rPr>
        <w:br w:type="page"/>
      </w:r>
      <w:r>
        <w:rPr>
          <w:rFonts w:hint="eastAsia" w:ascii="仿宋" w:hAnsi="仿宋" w:eastAsia="仿宋" w:cs="Times New Roman"/>
          <w:b w:val="0"/>
          <w:bCs w:val="0"/>
          <w:kern w:val="2"/>
          <w:sz w:val="24"/>
          <w:szCs w:val="28"/>
          <w:lang w:val="en-US" w:eastAsia="zh-CN" w:bidi="ar-SA"/>
        </w:rPr>
        <w:t>附件三 [2025年中国电信遵义分公司中间件框架物资采购 ]订单</w:t>
      </w:r>
    </w:p>
    <w:tbl>
      <w:tblPr>
        <w:tblStyle w:val="85"/>
        <w:tblW w:w="5000" w:type="pct"/>
        <w:tblInd w:w="0" w:type="dxa"/>
        <w:tblLayout w:type="autofit"/>
        <w:tblCellMar>
          <w:top w:w="0" w:type="dxa"/>
          <w:left w:w="0" w:type="dxa"/>
          <w:bottom w:w="0" w:type="dxa"/>
          <w:right w:w="0" w:type="dxa"/>
        </w:tblCellMar>
      </w:tblPr>
      <w:tblGrid>
        <w:gridCol w:w="310"/>
        <w:gridCol w:w="1115"/>
        <w:gridCol w:w="1028"/>
        <w:gridCol w:w="288"/>
        <w:gridCol w:w="1502"/>
        <w:gridCol w:w="356"/>
        <w:gridCol w:w="538"/>
        <w:gridCol w:w="688"/>
        <w:gridCol w:w="312"/>
        <w:gridCol w:w="688"/>
        <w:gridCol w:w="310"/>
        <w:gridCol w:w="688"/>
        <w:gridCol w:w="691"/>
      </w:tblGrid>
      <w:tr w14:paraId="437F5B2F">
        <w:tblPrEx>
          <w:tblCellMar>
            <w:top w:w="0" w:type="dxa"/>
            <w:left w:w="0" w:type="dxa"/>
            <w:bottom w:w="0" w:type="dxa"/>
            <w:right w:w="0" w:type="dxa"/>
          </w:tblCellMar>
        </w:tblPrEx>
        <w:trPr>
          <w:trHeight w:val="154" w:hRule="atLeast"/>
        </w:trPr>
        <w:tc>
          <w:tcPr>
            <w:tcW w:w="5000" w:type="pct"/>
            <w:gridSpan w:val="13"/>
            <w:tcBorders>
              <w:bottom w:val="single" w:color="auto" w:sz="4" w:space="0"/>
            </w:tcBorders>
            <w:noWrap w:val="0"/>
            <w:tcMar>
              <w:top w:w="5" w:type="dxa"/>
              <w:left w:w="5" w:type="dxa"/>
              <w:bottom w:w="0" w:type="dxa"/>
              <w:right w:w="5" w:type="dxa"/>
            </w:tcMar>
            <w:vAlign w:val="center"/>
          </w:tcPr>
          <w:p w14:paraId="32F10FAB">
            <w:pPr>
              <w:jc w:val="center"/>
              <w:rPr>
                <w:rFonts w:ascii="仿宋" w:hAnsi="仿宋" w:eastAsia="仿宋" w:cs="Times New Roman"/>
                <w:sz w:val="28"/>
                <w:szCs w:val="28"/>
              </w:rPr>
            </w:pPr>
            <w:r>
              <w:rPr>
                <w:rFonts w:hint="eastAsia" w:ascii="仿宋" w:hAnsi="仿宋" w:eastAsia="仿宋" w:cs="Times New Roman"/>
                <w:b/>
                <w:bCs/>
                <w:sz w:val="28"/>
                <w:szCs w:val="28"/>
              </w:rPr>
              <w:t xml:space="preserve">[ </w:t>
            </w:r>
            <w:r>
              <w:rPr>
                <w:rFonts w:hint="eastAsia" w:ascii="仿宋" w:hAnsi="仿宋" w:eastAsia="仿宋" w:cs="Times New Roman"/>
                <w:b/>
                <w:bCs/>
                <w:sz w:val="28"/>
                <w:szCs w:val="28"/>
                <w:lang w:eastAsia="zh-CN"/>
              </w:rPr>
              <w:t>2025年中国电信遵义分公司中间件框架物资采购</w:t>
            </w:r>
            <w:r>
              <w:rPr>
                <w:rFonts w:hint="eastAsia" w:ascii="仿宋" w:hAnsi="仿宋" w:eastAsia="仿宋" w:cs="Times New Roman"/>
                <w:b/>
                <w:bCs/>
                <w:sz w:val="28"/>
                <w:szCs w:val="28"/>
              </w:rPr>
              <w:t>]</w:t>
            </w:r>
            <w:r>
              <w:rPr>
                <w:rFonts w:ascii="仿宋" w:hAnsi="仿宋" w:eastAsia="仿宋" w:cs="Times New Roman"/>
                <w:b/>
                <w:bCs/>
                <w:sz w:val="28"/>
                <w:szCs w:val="28"/>
              </w:rPr>
              <w:t>订单</w:t>
            </w:r>
          </w:p>
        </w:tc>
      </w:tr>
      <w:tr w14:paraId="2753B425">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B645BC5">
            <w:pPr>
              <w:rPr>
                <w:rFonts w:ascii="仿宋" w:hAnsi="仿宋" w:eastAsia="仿宋" w:cs="Times New Roman"/>
                <w:sz w:val="24"/>
                <w:szCs w:val="24"/>
              </w:rPr>
            </w:pPr>
            <w:r>
              <w:rPr>
                <w:rFonts w:ascii="仿宋" w:hAnsi="仿宋" w:eastAsia="仿宋" w:cs="Times New Roman"/>
                <w:sz w:val="24"/>
                <w:szCs w:val="24"/>
              </w:rPr>
              <w:t>设备框架协议合同编号：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5BA6CFC6">
            <w:pPr>
              <w:rPr>
                <w:rFonts w:ascii="仿宋" w:hAnsi="仿宋" w:eastAsia="仿宋" w:cs="Times New Roman"/>
                <w:sz w:val="24"/>
                <w:szCs w:val="24"/>
              </w:rPr>
            </w:pPr>
            <w:r>
              <w:rPr>
                <w:rFonts w:ascii="仿宋" w:hAnsi="仿宋" w:eastAsia="仿宋" w:cs="Times New Roman"/>
                <w:sz w:val="24"/>
                <w:szCs w:val="24"/>
              </w:rPr>
              <w:t>设备采购订单合同编号：</w:t>
            </w:r>
          </w:p>
        </w:tc>
      </w:tr>
      <w:tr w14:paraId="5EF39452">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5BDFF44">
            <w:pPr>
              <w:rPr>
                <w:rFonts w:ascii="仿宋" w:hAnsi="仿宋" w:eastAsia="仿宋" w:cs="Times New Roman"/>
                <w:sz w:val="24"/>
                <w:szCs w:val="24"/>
              </w:rPr>
            </w:pPr>
            <w:r>
              <w:rPr>
                <w:rFonts w:ascii="仿宋" w:hAnsi="仿宋" w:eastAsia="仿宋" w:cs="Times New Roman"/>
                <w:sz w:val="24"/>
                <w:szCs w:val="24"/>
              </w:rPr>
              <w:t>附属框架协议合同编号：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82CDE6C">
            <w:pPr>
              <w:rPr>
                <w:rFonts w:ascii="仿宋" w:hAnsi="仿宋" w:eastAsia="仿宋" w:cs="Times New Roman"/>
                <w:sz w:val="24"/>
                <w:szCs w:val="24"/>
              </w:rPr>
            </w:pPr>
            <w:r>
              <w:rPr>
                <w:rFonts w:ascii="仿宋" w:hAnsi="仿宋" w:eastAsia="仿宋" w:cs="Times New Roman"/>
                <w:sz w:val="24"/>
                <w:szCs w:val="24"/>
              </w:rPr>
              <w:t>　</w:t>
            </w:r>
          </w:p>
        </w:tc>
      </w:tr>
      <w:tr w14:paraId="52D99633">
        <w:tblPrEx>
          <w:tblCellMar>
            <w:top w:w="0" w:type="dxa"/>
            <w:left w:w="0" w:type="dxa"/>
            <w:bottom w:w="0" w:type="dxa"/>
            <w:right w:w="0" w:type="dxa"/>
          </w:tblCellMar>
        </w:tblPrEx>
        <w:trPr>
          <w:trHeight w:val="980" w:hRule="atLeast"/>
        </w:trPr>
        <w:tc>
          <w:tcPr>
            <w:tcW w:w="2492" w:type="pct"/>
            <w:gridSpan w:val="5"/>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4D26D4">
            <w:pPr>
              <w:rPr>
                <w:rFonts w:ascii="仿宋" w:hAnsi="仿宋" w:eastAsia="仿宋" w:cs="Times New Roman"/>
                <w:b/>
                <w:bCs/>
                <w:sz w:val="24"/>
                <w:szCs w:val="24"/>
              </w:rPr>
            </w:pPr>
            <w:r>
              <w:rPr>
                <w:rFonts w:ascii="仿宋" w:hAnsi="仿宋" w:eastAsia="仿宋" w:cs="Times New Roman"/>
                <w:b/>
                <w:bCs/>
                <w:sz w:val="24"/>
                <w:szCs w:val="24"/>
              </w:rPr>
              <w:t>采购方：</w:t>
            </w:r>
            <w:r>
              <w:rPr>
                <w:rFonts w:hint="eastAsia" w:ascii="仿宋" w:hAnsi="仿宋" w:eastAsia="仿宋" w:cs="Times New Roman"/>
                <w:b/>
                <w:bCs/>
                <w:sz w:val="24"/>
                <w:szCs w:val="24"/>
              </w:rPr>
              <w:t xml:space="preserve">中国电信[ </w:t>
            </w:r>
            <w:r>
              <w:rPr>
                <w:rFonts w:hint="eastAsia" w:ascii="仿宋" w:hAnsi="仿宋" w:eastAsia="仿宋" w:cs="Times New Roman"/>
                <w:b/>
                <w:bCs/>
                <w:sz w:val="24"/>
                <w:szCs w:val="24"/>
                <w:lang w:val="en-US" w:eastAsia="zh-CN"/>
              </w:rPr>
              <w:t>股份有限公司遵义分</w:t>
            </w:r>
            <w:r>
              <w:rPr>
                <w:rFonts w:hint="eastAsia" w:ascii="仿宋" w:hAnsi="仿宋" w:eastAsia="仿宋" w:cs="Times New Roman"/>
                <w:b/>
                <w:bCs/>
                <w:sz w:val="24"/>
                <w:szCs w:val="24"/>
              </w:rPr>
              <w:t xml:space="preserve"> ]公司</w:t>
            </w:r>
          </w:p>
          <w:p w14:paraId="2C10E147">
            <w:pPr>
              <w:rPr>
                <w:rFonts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Times New Roman"/>
                <w:sz w:val="24"/>
                <w:szCs w:val="24"/>
              </w:rPr>
              <w:t>遵义市大兴路 249 号</w:t>
            </w:r>
          </w:p>
          <w:p w14:paraId="41FCD86C">
            <w:pPr>
              <w:rPr>
                <w:rFonts w:hint="eastAsia" w:ascii="仿宋" w:hAnsi="仿宋" w:eastAsia="仿宋" w:cs="Times New Roman"/>
                <w:sz w:val="24"/>
                <w:szCs w:val="24"/>
                <w:lang w:val="en-US" w:eastAsia="zh-CN"/>
              </w:rPr>
            </w:pPr>
            <w:r>
              <w:rPr>
                <w:rFonts w:ascii="仿宋" w:hAnsi="仿宋" w:eastAsia="仿宋" w:cs="Times New Roman"/>
                <w:sz w:val="24"/>
                <w:szCs w:val="24"/>
              </w:rPr>
              <w:t>联系人：</w:t>
            </w:r>
            <w:r>
              <w:rPr>
                <w:rFonts w:hint="eastAsia" w:ascii="仿宋" w:hAnsi="仿宋" w:eastAsia="仿宋" w:cs="Times New Roman"/>
                <w:sz w:val="24"/>
                <w:szCs w:val="24"/>
                <w:lang w:val="en-US" w:eastAsia="zh-CN"/>
              </w:rPr>
              <w:t>陈妍</w:t>
            </w:r>
          </w:p>
          <w:p w14:paraId="55FCFD34">
            <w:pPr>
              <w:rPr>
                <w:rFonts w:hint="default" w:ascii="仿宋" w:hAnsi="仿宋" w:eastAsia="仿宋" w:cs="Times New Roman"/>
                <w:b w:val="0"/>
                <w:bCs w:val="0"/>
                <w:sz w:val="24"/>
                <w:szCs w:val="24"/>
                <w:lang w:val="en-US" w:eastAsia="zh-CN"/>
              </w:rPr>
            </w:pPr>
            <w:r>
              <w:rPr>
                <w:rFonts w:ascii="仿宋" w:hAnsi="仿宋" w:eastAsia="仿宋" w:cs="Times New Roman"/>
                <w:sz w:val="24"/>
                <w:szCs w:val="24"/>
              </w:rPr>
              <w:t>电话：</w:t>
            </w:r>
            <w:r>
              <w:rPr>
                <w:rFonts w:hint="eastAsia" w:ascii="仿宋" w:hAnsi="仿宋" w:eastAsia="仿宋" w:cs="Times New Roman"/>
                <w:b/>
                <w:bCs/>
                <w:sz w:val="24"/>
                <w:szCs w:val="24"/>
              </w:rPr>
              <w:t xml:space="preserve"> </w:t>
            </w:r>
            <w:r>
              <w:rPr>
                <w:rFonts w:hint="eastAsia" w:ascii="仿宋" w:hAnsi="仿宋" w:eastAsia="仿宋" w:cs="Times New Roman"/>
                <w:b w:val="0"/>
                <w:bCs w:val="0"/>
                <w:sz w:val="24"/>
                <w:szCs w:val="24"/>
                <w:lang w:val="en-US" w:eastAsia="zh-CN"/>
              </w:rPr>
              <w:t>17708522288</w:t>
            </w:r>
          </w:p>
          <w:p w14:paraId="33F3F638">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电子邮箱：</w:t>
            </w:r>
            <w:r>
              <w:rPr>
                <w:rFonts w:hint="eastAsia" w:ascii="仿宋" w:hAnsi="仿宋" w:eastAsia="仿宋" w:cs="Times New Roman"/>
                <w:sz w:val="24"/>
                <w:szCs w:val="24"/>
                <w:lang w:val="en-US" w:eastAsia="zh-CN"/>
              </w:rPr>
              <w:t>cheny139@chinatelecom.cn</w:t>
            </w:r>
          </w:p>
        </w:tc>
        <w:tc>
          <w:tcPr>
            <w:tcW w:w="2507" w:type="pct"/>
            <w:gridSpan w:val="8"/>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ACD7E1">
            <w:pPr>
              <w:rPr>
                <w:rFonts w:ascii="仿宋" w:hAnsi="仿宋" w:eastAsia="仿宋" w:cs="Times New Roman"/>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w:t>
            </w:r>
            <w:r>
              <w:rPr>
                <w:rFonts w:hint="eastAsia" w:ascii="仿宋" w:hAnsi="仿宋" w:eastAsia="仿宋" w:cs="Times New Roman"/>
                <w:b/>
                <w:bCs/>
                <w:sz w:val="24"/>
                <w:szCs w:val="24"/>
              </w:rPr>
              <w:t>[  ]</w:t>
            </w:r>
          </w:p>
          <w:p w14:paraId="61FD9B9A">
            <w:pPr>
              <w:rPr>
                <w:rFonts w:ascii="仿宋" w:hAnsi="仿宋" w:eastAsia="仿宋" w:cs="Times New Roman"/>
                <w:sz w:val="24"/>
                <w:szCs w:val="24"/>
              </w:rPr>
            </w:pPr>
            <w:r>
              <w:rPr>
                <w:rFonts w:hint="eastAsia" w:ascii="仿宋" w:hAnsi="仿宋" w:eastAsia="仿宋" w:cs="Times New Roman"/>
                <w:sz w:val="24"/>
                <w:szCs w:val="24"/>
              </w:rPr>
              <w:t>地址：</w:t>
            </w:r>
          </w:p>
          <w:p w14:paraId="423F7863">
            <w:pPr>
              <w:rPr>
                <w:rFonts w:ascii="仿宋" w:hAnsi="仿宋" w:eastAsia="仿宋" w:cs="Times New Roman"/>
                <w:sz w:val="24"/>
                <w:szCs w:val="24"/>
              </w:rPr>
            </w:pPr>
            <w:r>
              <w:rPr>
                <w:rFonts w:hint="eastAsia" w:ascii="仿宋" w:hAnsi="仿宋" w:eastAsia="仿宋" w:cs="Times New Roman"/>
                <w:sz w:val="24"/>
                <w:szCs w:val="24"/>
              </w:rPr>
              <w:t>联系人：</w:t>
            </w:r>
          </w:p>
          <w:p w14:paraId="553177C4">
            <w:pPr>
              <w:rPr>
                <w:rFonts w:ascii="仿宋" w:hAnsi="仿宋" w:eastAsia="仿宋" w:cs="Times New Roman"/>
                <w:sz w:val="24"/>
                <w:szCs w:val="24"/>
              </w:rPr>
            </w:pPr>
            <w:r>
              <w:rPr>
                <w:rFonts w:hint="eastAsia" w:ascii="仿宋" w:hAnsi="仿宋" w:eastAsia="仿宋" w:cs="Times New Roman"/>
                <w:sz w:val="24"/>
                <w:szCs w:val="24"/>
              </w:rPr>
              <w:t>电话：</w:t>
            </w:r>
          </w:p>
          <w:p w14:paraId="6BD28ECD">
            <w:pPr>
              <w:rPr>
                <w:rFonts w:ascii="仿宋" w:hAnsi="仿宋" w:eastAsia="仿宋" w:cs="Times New Roman"/>
                <w:sz w:val="24"/>
                <w:szCs w:val="24"/>
              </w:rPr>
            </w:pPr>
            <w:r>
              <w:rPr>
                <w:rFonts w:hint="eastAsia" w:ascii="仿宋" w:hAnsi="仿宋" w:eastAsia="仿宋" w:cs="Times New Roman"/>
                <w:sz w:val="24"/>
                <w:szCs w:val="24"/>
              </w:rPr>
              <w:t>电子邮箱：</w:t>
            </w:r>
          </w:p>
          <w:p w14:paraId="629912F6">
            <w:pPr>
              <w:rPr>
                <w:rFonts w:ascii="仿宋" w:hAnsi="仿宋" w:eastAsia="仿宋" w:cs="Times New Roman"/>
                <w:sz w:val="24"/>
                <w:szCs w:val="24"/>
              </w:rPr>
            </w:pPr>
            <w:r>
              <w:rPr>
                <w:rFonts w:hint="eastAsia" w:ascii="仿宋" w:hAnsi="仿宋" w:eastAsia="仿宋" w:cs="Times New Roman"/>
                <w:sz w:val="24"/>
                <w:szCs w:val="24"/>
              </w:rPr>
              <w:t>统一社会信用代码：</w:t>
            </w:r>
          </w:p>
          <w:p w14:paraId="46E2E9AB">
            <w:pPr>
              <w:rPr>
                <w:rFonts w:ascii="仿宋" w:hAnsi="仿宋" w:eastAsia="仿宋" w:cs="Times New Roman"/>
                <w:sz w:val="24"/>
                <w:szCs w:val="24"/>
              </w:rPr>
            </w:pPr>
            <w:r>
              <w:rPr>
                <w:rFonts w:hint="eastAsia" w:ascii="仿宋" w:hAnsi="仿宋" w:eastAsia="仿宋" w:cs="Times New Roman"/>
                <w:sz w:val="24"/>
                <w:szCs w:val="24"/>
              </w:rPr>
              <w:t>开户行：</w:t>
            </w:r>
          </w:p>
          <w:p w14:paraId="47B714EE">
            <w:pPr>
              <w:rPr>
                <w:rFonts w:ascii="仿宋" w:hAnsi="仿宋" w:eastAsia="仿宋" w:cs="Times New Roman"/>
                <w:sz w:val="24"/>
                <w:szCs w:val="24"/>
              </w:rPr>
            </w:pPr>
            <w:r>
              <w:rPr>
                <w:rFonts w:hint="eastAsia" w:ascii="仿宋" w:hAnsi="仿宋" w:eastAsia="仿宋" w:cs="Times New Roman"/>
                <w:sz w:val="24"/>
                <w:szCs w:val="24"/>
              </w:rPr>
              <w:t>银行地址：</w:t>
            </w:r>
          </w:p>
          <w:p w14:paraId="4565801E">
            <w:pPr>
              <w:rPr>
                <w:rFonts w:ascii="仿宋" w:hAnsi="仿宋" w:eastAsia="仿宋" w:cs="Times New Roman"/>
                <w:sz w:val="24"/>
                <w:szCs w:val="24"/>
              </w:rPr>
            </w:pPr>
            <w:r>
              <w:rPr>
                <w:rFonts w:hint="eastAsia" w:ascii="仿宋" w:hAnsi="仿宋" w:eastAsia="仿宋" w:cs="Times New Roman"/>
                <w:sz w:val="24"/>
                <w:szCs w:val="24"/>
              </w:rPr>
              <w:t>户名：</w:t>
            </w:r>
          </w:p>
          <w:p w14:paraId="4048BA0F">
            <w:pPr>
              <w:rPr>
                <w:rFonts w:ascii="仿宋" w:hAnsi="仿宋" w:eastAsia="仿宋" w:cs="Times New Roman"/>
                <w:sz w:val="24"/>
                <w:szCs w:val="24"/>
              </w:rPr>
            </w:pPr>
            <w:r>
              <w:rPr>
                <w:rFonts w:hint="eastAsia" w:ascii="仿宋" w:hAnsi="仿宋" w:eastAsia="仿宋" w:cs="Times New Roman"/>
                <w:sz w:val="24"/>
                <w:szCs w:val="24"/>
              </w:rPr>
              <w:t>账号：</w:t>
            </w:r>
          </w:p>
        </w:tc>
      </w:tr>
      <w:tr w14:paraId="0501DF56">
        <w:tblPrEx>
          <w:tblCellMar>
            <w:top w:w="0" w:type="dxa"/>
            <w:left w:w="0" w:type="dxa"/>
            <w:bottom w:w="0" w:type="dxa"/>
            <w:right w:w="0" w:type="dxa"/>
          </w:tblCellMar>
        </w:tblPrEx>
        <w:trPr>
          <w:trHeight w:val="734" w:hRule="atLeast"/>
        </w:trPr>
        <w:tc>
          <w:tcPr>
            <w:tcW w:w="16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8E24E08">
            <w:pPr>
              <w:jc w:val="left"/>
              <w:rPr>
                <w:rFonts w:ascii="仿宋" w:hAnsi="仿宋" w:eastAsia="仿宋" w:cs="Times New Roman"/>
                <w:b/>
                <w:bCs/>
                <w:sz w:val="24"/>
                <w:szCs w:val="24"/>
              </w:rPr>
            </w:pPr>
            <w:r>
              <w:rPr>
                <w:rFonts w:ascii="仿宋" w:hAnsi="仿宋" w:eastAsia="仿宋" w:cs="Times New Roman"/>
                <w:b/>
                <w:bCs/>
                <w:sz w:val="24"/>
                <w:szCs w:val="24"/>
              </w:rPr>
              <w:t>采购方财务信息</w:t>
            </w:r>
          </w:p>
          <w:p w14:paraId="5C2FB6CE">
            <w:pPr>
              <w:jc w:val="left"/>
              <w:rPr>
                <w:rFonts w:ascii="仿宋" w:hAnsi="仿宋" w:eastAsia="仿宋" w:cs="Times New Roman"/>
                <w:sz w:val="24"/>
                <w:szCs w:val="24"/>
              </w:rPr>
            </w:pPr>
            <w:r>
              <w:rPr>
                <w:rFonts w:hint="eastAsia" w:ascii="仿宋" w:hAnsi="仿宋" w:eastAsia="仿宋" w:cs="Times New Roman"/>
                <w:sz w:val="24"/>
                <w:szCs w:val="24"/>
              </w:rPr>
              <w:t>采购方</w:t>
            </w:r>
            <w:r>
              <w:rPr>
                <w:rFonts w:ascii="仿宋" w:hAnsi="仿宋" w:eastAsia="仿宋" w:cs="Times New Roman"/>
                <w:sz w:val="24"/>
                <w:szCs w:val="24"/>
              </w:rPr>
              <w:t>名称（发票抬头）：</w:t>
            </w:r>
            <w:r>
              <w:rPr>
                <w:rFonts w:hint="eastAsia" w:ascii="仿宋" w:hAnsi="仿宋" w:eastAsia="仿宋" w:cs="Times New Roman"/>
                <w:sz w:val="24"/>
                <w:szCs w:val="24"/>
              </w:rPr>
              <w:t>中国电信股份有限公司遵义分公司</w:t>
            </w:r>
          </w:p>
          <w:p w14:paraId="7359146B">
            <w:pPr>
              <w:jc w:val="left"/>
              <w:rPr>
                <w:rFonts w:ascii="仿宋" w:hAnsi="仿宋" w:eastAsia="仿宋" w:cs="Times New Roman"/>
                <w:sz w:val="24"/>
                <w:szCs w:val="24"/>
              </w:rPr>
            </w:pPr>
            <w:r>
              <w:rPr>
                <w:rFonts w:ascii="仿宋" w:hAnsi="仿宋" w:eastAsia="仿宋" w:cs="Times New Roman"/>
                <w:sz w:val="24"/>
                <w:szCs w:val="24"/>
              </w:rPr>
              <w:t>统一社会信用代码：</w:t>
            </w:r>
            <w:r>
              <w:rPr>
                <w:rFonts w:hint="eastAsia" w:ascii="仿宋" w:hAnsi="仿宋" w:eastAsia="仿宋" w:cs="Times New Roman"/>
                <w:sz w:val="24"/>
                <w:szCs w:val="24"/>
              </w:rPr>
              <w:t>91520300709516549G</w:t>
            </w:r>
          </w:p>
          <w:p w14:paraId="6559DF80">
            <w:pPr>
              <w:jc w:val="left"/>
              <w:rPr>
                <w:rFonts w:ascii="仿宋" w:hAnsi="仿宋" w:eastAsia="仿宋" w:cs="Times New Roman"/>
                <w:sz w:val="24"/>
                <w:szCs w:val="24"/>
              </w:rPr>
            </w:pPr>
            <w:r>
              <w:rPr>
                <w:rFonts w:ascii="仿宋" w:hAnsi="仿宋" w:eastAsia="仿宋" w:cs="Times New Roman"/>
                <w:sz w:val="24"/>
                <w:szCs w:val="24"/>
              </w:rPr>
              <w:t>开户行：</w:t>
            </w:r>
            <w:r>
              <w:rPr>
                <w:rFonts w:hint="eastAsia" w:ascii="仿宋" w:hAnsi="仿宋" w:eastAsia="仿宋" w:cs="Times New Roman"/>
                <w:sz w:val="24"/>
                <w:szCs w:val="24"/>
              </w:rPr>
              <w:t>贵州省遵义市建行湘江支行</w:t>
            </w:r>
          </w:p>
          <w:p w14:paraId="053AD526">
            <w:pPr>
              <w:jc w:val="left"/>
              <w:rPr>
                <w:rFonts w:ascii="仿宋" w:hAnsi="仿宋" w:eastAsia="仿宋" w:cs="Times New Roman"/>
                <w:sz w:val="24"/>
                <w:szCs w:val="24"/>
              </w:rPr>
            </w:pPr>
            <w:r>
              <w:rPr>
                <w:rFonts w:ascii="仿宋" w:hAnsi="仿宋" w:eastAsia="仿宋" w:cs="Times New Roman"/>
                <w:sz w:val="24"/>
                <w:szCs w:val="24"/>
              </w:rPr>
              <w:t>银行地址：</w:t>
            </w:r>
            <w:r>
              <w:rPr>
                <w:rFonts w:hint="eastAsia" w:ascii="仿宋" w:hAnsi="仿宋" w:eastAsia="仿宋" w:cs="Times New Roman"/>
                <w:sz w:val="24"/>
                <w:szCs w:val="24"/>
              </w:rPr>
              <w:t>遵义市湘江路</w:t>
            </w:r>
          </w:p>
          <w:p w14:paraId="4364322B">
            <w:pPr>
              <w:jc w:val="left"/>
              <w:rPr>
                <w:rFonts w:ascii="仿宋" w:hAnsi="仿宋" w:eastAsia="仿宋" w:cs="Times New Roman"/>
                <w:sz w:val="24"/>
                <w:szCs w:val="24"/>
              </w:rPr>
            </w:pPr>
            <w:r>
              <w:rPr>
                <w:rFonts w:ascii="仿宋" w:hAnsi="仿宋" w:eastAsia="仿宋" w:cs="Times New Roman"/>
                <w:sz w:val="24"/>
                <w:szCs w:val="24"/>
              </w:rPr>
              <w:t>户名：</w:t>
            </w:r>
            <w:r>
              <w:rPr>
                <w:rFonts w:hint="eastAsia" w:ascii="仿宋" w:hAnsi="仿宋" w:eastAsia="仿宋" w:cs="Times New Roman"/>
                <w:sz w:val="24"/>
                <w:szCs w:val="24"/>
              </w:rPr>
              <w:t>中国电信股份有限公司遵义分公司</w:t>
            </w:r>
          </w:p>
          <w:p w14:paraId="260EDD6F">
            <w:pPr>
              <w:jc w:val="left"/>
              <w:rPr>
                <w:rFonts w:ascii="仿宋" w:hAnsi="仿宋" w:eastAsia="仿宋" w:cs="Times New Roman"/>
                <w:sz w:val="24"/>
                <w:szCs w:val="24"/>
              </w:rPr>
            </w:pPr>
            <w:r>
              <w:rPr>
                <w:rFonts w:ascii="仿宋" w:hAnsi="仿宋" w:eastAsia="仿宋" w:cs="Times New Roman"/>
                <w:sz w:val="24"/>
                <w:szCs w:val="24"/>
              </w:rPr>
              <w:t>账号：</w:t>
            </w:r>
            <w:r>
              <w:rPr>
                <w:rFonts w:hint="eastAsia" w:ascii="仿宋" w:hAnsi="仿宋" w:eastAsia="仿宋" w:cs="Times New Roman"/>
                <w:sz w:val="24"/>
                <w:szCs w:val="24"/>
              </w:rPr>
              <w:t>52001624036050001932</w:t>
            </w:r>
          </w:p>
        </w:tc>
        <w:tc>
          <w:tcPr>
            <w:tcW w:w="18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FBB52D2">
            <w:pPr>
              <w:jc w:val="left"/>
              <w:rPr>
                <w:rFonts w:ascii="仿宋" w:hAnsi="仿宋" w:eastAsia="仿宋" w:cs="Times New Roman"/>
                <w:sz w:val="24"/>
                <w:szCs w:val="24"/>
              </w:rPr>
            </w:pPr>
            <w:r>
              <w:rPr>
                <w:rFonts w:ascii="仿宋" w:hAnsi="仿宋" w:eastAsia="仿宋" w:cs="Times New Roman"/>
                <w:b/>
                <w:bCs/>
                <w:sz w:val="24"/>
                <w:szCs w:val="24"/>
              </w:rPr>
              <w:t>工程项目信息</w:t>
            </w:r>
          </w:p>
          <w:p w14:paraId="24617E4F">
            <w:pPr>
              <w:jc w:val="left"/>
              <w:rPr>
                <w:rFonts w:ascii="仿宋" w:hAnsi="仿宋" w:eastAsia="仿宋" w:cs="Times New Roman"/>
                <w:sz w:val="24"/>
                <w:szCs w:val="24"/>
              </w:rPr>
            </w:pPr>
            <w:r>
              <w:rPr>
                <w:rFonts w:hint="eastAsia" w:ascii="仿宋" w:hAnsi="仿宋" w:eastAsia="仿宋" w:cs="Times New Roman"/>
                <w:sz w:val="24"/>
                <w:szCs w:val="24"/>
              </w:rPr>
              <w:t>建设单位名称：</w:t>
            </w:r>
          </w:p>
          <w:p w14:paraId="0DFC11F5">
            <w:pPr>
              <w:jc w:val="left"/>
              <w:rPr>
                <w:rFonts w:ascii="仿宋" w:hAnsi="仿宋" w:eastAsia="仿宋" w:cs="Times New Roman"/>
                <w:sz w:val="24"/>
                <w:szCs w:val="24"/>
              </w:rPr>
            </w:pPr>
            <w:r>
              <w:rPr>
                <w:rFonts w:hint="eastAsia" w:ascii="仿宋" w:hAnsi="仿宋" w:eastAsia="仿宋" w:cs="Times New Roman"/>
                <w:sz w:val="24"/>
                <w:szCs w:val="24"/>
              </w:rPr>
              <w:t>工程项目名称：</w:t>
            </w:r>
          </w:p>
          <w:p w14:paraId="0A0BBBD9">
            <w:pPr>
              <w:jc w:val="left"/>
              <w:rPr>
                <w:rFonts w:ascii="仿宋" w:hAnsi="仿宋" w:eastAsia="仿宋" w:cs="Times New Roman"/>
                <w:sz w:val="24"/>
                <w:szCs w:val="24"/>
              </w:rPr>
            </w:pPr>
            <w:r>
              <w:rPr>
                <w:rFonts w:hint="eastAsia" w:ascii="仿宋" w:hAnsi="仿宋" w:eastAsia="仿宋" w:cs="Times New Roman"/>
                <w:sz w:val="24"/>
                <w:szCs w:val="24"/>
              </w:rPr>
              <w:t>工程项目编号：</w:t>
            </w:r>
          </w:p>
          <w:p w14:paraId="6CF66962">
            <w:pPr>
              <w:jc w:val="left"/>
              <w:rPr>
                <w:rFonts w:ascii="仿宋" w:hAnsi="仿宋" w:eastAsia="仿宋" w:cs="Times New Roman"/>
                <w:sz w:val="24"/>
                <w:szCs w:val="24"/>
              </w:rPr>
            </w:pPr>
            <w:r>
              <w:rPr>
                <w:rFonts w:hint="eastAsia" w:ascii="仿宋" w:hAnsi="仿宋" w:eastAsia="仿宋" w:cs="Times New Roman"/>
                <w:sz w:val="24"/>
                <w:szCs w:val="24"/>
              </w:rPr>
              <w:t>工程项目负责人：</w:t>
            </w:r>
          </w:p>
          <w:p w14:paraId="29999386">
            <w:pPr>
              <w:jc w:val="left"/>
              <w:rPr>
                <w:rFonts w:ascii="仿宋" w:hAnsi="仿宋" w:eastAsia="仿宋" w:cs="Times New Roman"/>
                <w:sz w:val="24"/>
                <w:szCs w:val="24"/>
              </w:rPr>
            </w:pPr>
            <w:r>
              <w:rPr>
                <w:rFonts w:hint="eastAsia" w:ascii="仿宋" w:hAnsi="仿宋" w:eastAsia="仿宋" w:cs="Times New Roman"/>
                <w:sz w:val="24"/>
                <w:szCs w:val="24"/>
              </w:rPr>
              <w:t>电话：</w:t>
            </w:r>
          </w:p>
          <w:p w14:paraId="75D9BD29">
            <w:pPr>
              <w:jc w:val="left"/>
              <w:rPr>
                <w:rFonts w:ascii="仿宋" w:hAnsi="仿宋" w:eastAsia="仿宋" w:cs="Times New Roman"/>
                <w:sz w:val="24"/>
                <w:szCs w:val="24"/>
              </w:rPr>
            </w:pPr>
            <w:r>
              <w:rPr>
                <w:rFonts w:hint="eastAsia" w:ascii="仿宋" w:hAnsi="仿宋" w:eastAsia="仿宋" w:cs="Times New Roman"/>
                <w:sz w:val="24"/>
                <w:szCs w:val="24"/>
              </w:rPr>
              <w:t>发货通知单编号：</w:t>
            </w:r>
          </w:p>
        </w:tc>
        <w:tc>
          <w:tcPr>
            <w:tcW w:w="1578"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519452F">
            <w:pPr>
              <w:jc w:val="left"/>
              <w:rPr>
                <w:rFonts w:ascii="仿宋" w:hAnsi="仿宋" w:eastAsia="仿宋" w:cs="Times New Roman"/>
                <w:sz w:val="24"/>
                <w:szCs w:val="24"/>
              </w:rPr>
            </w:pPr>
            <w:r>
              <w:rPr>
                <w:rFonts w:ascii="仿宋" w:hAnsi="仿宋" w:eastAsia="仿宋" w:cs="Times New Roman"/>
                <w:b/>
                <w:bCs/>
                <w:sz w:val="24"/>
                <w:szCs w:val="24"/>
              </w:rPr>
              <w:t>送货信息</w:t>
            </w:r>
          </w:p>
          <w:p w14:paraId="5E2D2EE0">
            <w:pPr>
              <w:jc w:val="left"/>
              <w:rPr>
                <w:rFonts w:ascii="仿宋" w:hAnsi="仿宋" w:eastAsia="仿宋" w:cs="Times New Roman"/>
                <w:sz w:val="24"/>
                <w:szCs w:val="24"/>
              </w:rPr>
            </w:pPr>
            <w:r>
              <w:rPr>
                <w:rFonts w:hint="eastAsia" w:ascii="仿宋" w:hAnsi="仿宋" w:eastAsia="仿宋" w:cs="Times New Roman"/>
                <w:sz w:val="24"/>
                <w:szCs w:val="24"/>
              </w:rPr>
              <w:t>物流承运商：</w:t>
            </w:r>
          </w:p>
          <w:p w14:paraId="1E15EAE0">
            <w:pPr>
              <w:jc w:val="left"/>
              <w:rPr>
                <w:rFonts w:ascii="仿宋" w:hAnsi="仿宋" w:eastAsia="仿宋" w:cs="Times New Roman"/>
                <w:sz w:val="24"/>
                <w:szCs w:val="24"/>
              </w:rPr>
            </w:pPr>
            <w:r>
              <w:rPr>
                <w:rFonts w:hint="eastAsia" w:ascii="仿宋" w:hAnsi="仿宋" w:eastAsia="仿宋" w:cs="Times New Roman"/>
                <w:sz w:val="24"/>
                <w:szCs w:val="24"/>
              </w:rPr>
              <w:t>到货时间：</w:t>
            </w:r>
          </w:p>
          <w:p w14:paraId="77B82509">
            <w:pPr>
              <w:jc w:val="left"/>
              <w:rPr>
                <w:rFonts w:ascii="仿宋" w:hAnsi="仿宋" w:eastAsia="仿宋" w:cs="Times New Roman"/>
                <w:sz w:val="24"/>
                <w:szCs w:val="24"/>
              </w:rPr>
            </w:pPr>
            <w:r>
              <w:rPr>
                <w:rFonts w:hint="eastAsia" w:ascii="仿宋" w:hAnsi="仿宋" w:eastAsia="仿宋" w:cs="Times New Roman"/>
                <w:sz w:val="24"/>
                <w:szCs w:val="24"/>
              </w:rPr>
              <w:t>送货地址：</w:t>
            </w:r>
          </w:p>
          <w:p w14:paraId="04719F95">
            <w:pPr>
              <w:jc w:val="left"/>
              <w:rPr>
                <w:rFonts w:ascii="仿宋" w:hAnsi="仿宋" w:eastAsia="仿宋" w:cs="Times New Roman"/>
                <w:sz w:val="24"/>
                <w:szCs w:val="24"/>
              </w:rPr>
            </w:pPr>
            <w:r>
              <w:rPr>
                <w:rFonts w:hint="eastAsia" w:ascii="仿宋" w:hAnsi="仿宋" w:eastAsia="仿宋" w:cs="Times New Roman"/>
                <w:sz w:val="24"/>
                <w:szCs w:val="24"/>
              </w:rPr>
              <w:t>收货人：</w:t>
            </w:r>
          </w:p>
          <w:p w14:paraId="6B61995E">
            <w:pPr>
              <w:jc w:val="left"/>
              <w:rPr>
                <w:rFonts w:ascii="仿宋" w:hAnsi="仿宋" w:eastAsia="仿宋" w:cs="Times New Roman"/>
                <w:sz w:val="24"/>
                <w:szCs w:val="24"/>
              </w:rPr>
            </w:pPr>
            <w:r>
              <w:rPr>
                <w:rFonts w:hint="eastAsia" w:ascii="仿宋" w:hAnsi="仿宋" w:eastAsia="仿宋" w:cs="Times New Roman"/>
                <w:sz w:val="24"/>
                <w:szCs w:val="24"/>
              </w:rPr>
              <w:t>电话：</w:t>
            </w:r>
          </w:p>
          <w:p w14:paraId="73F72857">
            <w:pPr>
              <w:jc w:val="left"/>
              <w:rPr>
                <w:rFonts w:ascii="仿宋" w:hAnsi="仿宋" w:eastAsia="仿宋" w:cs="Times New Roman"/>
                <w:sz w:val="24"/>
                <w:szCs w:val="24"/>
              </w:rPr>
            </w:pPr>
            <w:r>
              <w:rPr>
                <w:rFonts w:hint="eastAsia" w:ascii="仿宋" w:hAnsi="仿宋" w:eastAsia="仿宋" w:cs="Times New Roman"/>
                <w:sz w:val="24"/>
                <w:szCs w:val="24"/>
              </w:rPr>
              <w:t>电子邮箱：</w:t>
            </w:r>
          </w:p>
        </w:tc>
      </w:tr>
      <w:tr w14:paraId="71381942">
        <w:tblPrEx>
          <w:tblCellMar>
            <w:top w:w="0" w:type="dxa"/>
            <w:left w:w="0" w:type="dxa"/>
            <w:bottom w:w="0" w:type="dxa"/>
            <w:right w:w="0" w:type="dxa"/>
          </w:tblCellMar>
        </w:tblPrEx>
        <w:trPr>
          <w:trHeight w:val="15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A6E873A">
            <w:pPr>
              <w:jc w:val="center"/>
              <w:rPr>
                <w:rFonts w:ascii="仿宋" w:hAnsi="仿宋" w:eastAsia="仿宋" w:cs="Times New Roman"/>
                <w:sz w:val="24"/>
                <w:szCs w:val="24"/>
              </w:rPr>
            </w:pPr>
            <w:r>
              <w:rPr>
                <w:rFonts w:ascii="仿宋" w:hAnsi="仿宋" w:eastAsia="仿宋" w:cs="Times New Roman"/>
                <w:b/>
                <w:bCs/>
                <w:sz w:val="24"/>
                <w:szCs w:val="24"/>
              </w:rPr>
              <w:t>货物费明细</w:t>
            </w:r>
          </w:p>
        </w:tc>
      </w:tr>
      <w:tr w14:paraId="410011A5">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BF60D7E">
            <w:pPr>
              <w:rPr>
                <w:rFonts w:ascii="仿宋" w:hAnsi="仿宋" w:eastAsia="仿宋" w:cs="Times New Roman"/>
                <w:sz w:val="24"/>
                <w:szCs w:val="24"/>
              </w:rPr>
            </w:pPr>
            <w:r>
              <w:rPr>
                <w:rFonts w:ascii="仿宋" w:hAnsi="仿宋" w:eastAsia="仿宋" w:cs="Times New Roman"/>
                <w:b/>
                <w:bCs/>
                <w:sz w:val="24"/>
                <w:szCs w:val="24"/>
              </w:rPr>
              <w:t>序号</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1E9397F">
            <w:pPr>
              <w:rPr>
                <w:rFonts w:ascii="仿宋" w:hAnsi="仿宋" w:eastAsia="仿宋" w:cs="Times New Roman"/>
                <w:sz w:val="24"/>
                <w:szCs w:val="24"/>
              </w:rPr>
            </w:pPr>
            <w:r>
              <w:rPr>
                <w:rFonts w:ascii="仿宋" w:hAnsi="仿宋" w:eastAsia="仿宋" w:cs="Times New Roman"/>
                <w:b/>
                <w:bCs/>
                <w:sz w:val="24"/>
                <w:szCs w:val="24"/>
              </w:rPr>
              <w:t>货物名称（物料名称）</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31FBF26">
            <w:pPr>
              <w:rPr>
                <w:rFonts w:ascii="仿宋" w:hAnsi="仿宋" w:eastAsia="仿宋" w:cs="Times New Roman"/>
                <w:sz w:val="24"/>
                <w:szCs w:val="24"/>
              </w:rPr>
            </w:pPr>
            <w:r>
              <w:rPr>
                <w:rFonts w:ascii="仿宋" w:hAnsi="仿宋" w:eastAsia="仿宋" w:cs="Times New Roman"/>
                <w:b/>
                <w:bCs/>
                <w:sz w:val="24"/>
                <w:szCs w:val="24"/>
              </w:rPr>
              <w:t>货物编码（物料编码）</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9AF64CA">
            <w:pPr>
              <w:rPr>
                <w:rFonts w:ascii="仿宋" w:hAnsi="仿宋" w:eastAsia="仿宋" w:cs="Times New Roman"/>
                <w:sz w:val="24"/>
                <w:szCs w:val="24"/>
              </w:rPr>
            </w:pPr>
            <w:r>
              <w:rPr>
                <w:rFonts w:ascii="仿宋" w:hAnsi="仿宋" w:eastAsia="仿宋" w:cs="Times New Roman"/>
                <w:b/>
                <w:bCs/>
                <w:sz w:val="24"/>
                <w:szCs w:val="24"/>
              </w:rPr>
              <w:t>原厂商规格型号</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9D1C62B">
            <w:pPr>
              <w:rPr>
                <w:rFonts w:ascii="仿宋" w:hAnsi="仿宋" w:eastAsia="仿宋" w:cs="Times New Roman"/>
                <w:sz w:val="24"/>
                <w:szCs w:val="24"/>
              </w:rPr>
            </w:pPr>
            <w:r>
              <w:rPr>
                <w:rFonts w:ascii="仿宋" w:hAnsi="仿宋" w:eastAsia="仿宋" w:cs="Times New Roman"/>
                <w:b/>
                <w:bCs/>
                <w:sz w:val="24"/>
                <w:szCs w:val="24"/>
              </w:rPr>
              <w:t>备注</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104357A">
            <w:pPr>
              <w:rPr>
                <w:rFonts w:ascii="仿宋" w:hAnsi="仿宋" w:eastAsia="仿宋" w:cs="Times New Roman"/>
                <w:sz w:val="24"/>
                <w:szCs w:val="24"/>
              </w:rPr>
            </w:pPr>
            <w:r>
              <w:rPr>
                <w:rFonts w:ascii="仿宋" w:hAnsi="仿宋" w:eastAsia="仿宋" w:cs="Times New Roman"/>
                <w:b/>
                <w:bCs/>
                <w:sz w:val="24"/>
                <w:szCs w:val="24"/>
              </w:rPr>
              <w:t>计量单位</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F38C62E">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7E4F8E3">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79C3C5">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D920891">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009AB24">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280A461">
            <w:pPr>
              <w:rPr>
                <w:rFonts w:ascii="仿宋" w:hAnsi="仿宋" w:eastAsia="仿宋" w:cs="Times New Roman"/>
                <w:sz w:val="24"/>
                <w:szCs w:val="24"/>
              </w:rPr>
            </w:pPr>
            <w:r>
              <w:rPr>
                <w:rFonts w:ascii="仿宋" w:hAnsi="仿宋" w:eastAsia="仿宋" w:cs="Times New Roman"/>
                <w:b/>
                <w:bCs/>
                <w:sz w:val="24"/>
                <w:szCs w:val="24"/>
              </w:rPr>
              <w:t>价税合计</w:t>
            </w:r>
          </w:p>
        </w:tc>
      </w:tr>
      <w:tr w14:paraId="3EA6E9C2">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D43616B">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2D1607E">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A8F3FF9">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8E03F6F">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FAB9FB6">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24056D4">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10CCC6A">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026FF3">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92A696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C7A303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BB2F1B3">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5726289">
            <w:pPr>
              <w:rPr>
                <w:rFonts w:ascii="仿宋" w:hAnsi="仿宋" w:eastAsia="仿宋" w:cs="Times New Roman"/>
                <w:sz w:val="24"/>
                <w:szCs w:val="24"/>
              </w:rPr>
            </w:pPr>
            <w:r>
              <w:rPr>
                <w:rFonts w:ascii="仿宋" w:hAnsi="仿宋" w:eastAsia="仿宋" w:cs="Times New Roman"/>
                <w:sz w:val="24"/>
                <w:szCs w:val="24"/>
              </w:rPr>
              <w:t>　</w:t>
            </w:r>
          </w:p>
        </w:tc>
      </w:tr>
      <w:tr w14:paraId="07F99AE5">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CCD352">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6368A4F">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CF58B88">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ABBA97A">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AE7AF4A">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40ABF0">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4D11F3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D6A19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06C23A">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60A26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F5F5AEC">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ECCEA06">
            <w:pPr>
              <w:rPr>
                <w:rFonts w:ascii="仿宋" w:hAnsi="仿宋" w:eastAsia="仿宋" w:cs="Times New Roman"/>
                <w:sz w:val="24"/>
                <w:szCs w:val="24"/>
              </w:rPr>
            </w:pPr>
            <w:r>
              <w:rPr>
                <w:rFonts w:ascii="仿宋" w:hAnsi="仿宋" w:eastAsia="仿宋" w:cs="Times New Roman"/>
                <w:sz w:val="24"/>
                <w:szCs w:val="24"/>
              </w:rPr>
              <w:t>　</w:t>
            </w:r>
          </w:p>
        </w:tc>
      </w:tr>
      <w:tr w14:paraId="42BB8D7E">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D705BD1">
            <w:pPr>
              <w:rPr>
                <w:rFonts w:ascii="仿宋" w:hAnsi="仿宋" w:eastAsia="仿宋" w:cs="Times New Roman"/>
                <w:sz w:val="24"/>
                <w:szCs w:val="24"/>
              </w:rPr>
            </w:pPr>
            <w:r>
              <w:rPr>
                <w:rFonts w:ascii="仿宋" w:hAnsi="仿宋" w:eastAsia="仿宋" w:cs="Times New Roman"/>
                <w:b/>
                <w:bCs/>
                <w:sz w:val="24"/>
                <w:szCs w:val="24"/>
              </w:rPr>
              <w:t>货物费合计金额：</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E8B37B1">
            <w:pPr>
              <w:rPr>
                <w:rFonts w:ascii="仿宋" w:hAnsi="仿宋" w:eastAsia="仿宋" w:cs="Times New Roman"/>
                <w:sz w:val="24"/>
                <w:szCs w:val="24"/>
              </w:rPr>
            </w:pPr>
            <w:r>
              <w:rPr>
                <w:rFonts w:ascii="仿宋" w:hAnsi="仿宋" w:eastAsia="仿宋" w:cs="Times New Roman"/>
                <w:b/>
                <w:bCs/>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7F9383C">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531F275">
            <w:pPr>
              <w:rPr>
                <w:rFonts w:ascii="仿宋" w:hAnsi="仿宋" w:eastAsia="仿宋" w:cs="Times New Roman"/>
                <w:sz w:val="24"/>
                <w:szCs w:val="24"/>
              </w:rPr>
            </w:pPr>
            <w:r>
              <w:rPr>
                <w:rFonts w:ascii="仿宋" w:hAnsi="仿宋" w:eastAsia="仿宋" w:cs="Times New Roman"/>
                <w:b/>
                <w:bCs/>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4259146">
            <w:pPr>
              <w:rPr>
                <w:rFonts w:ascii="仿宋" w:hAnsi="仿宋" w:eastAsia="仿宋" w:cs="Times New Roman"/>
                <w:sz w:val="24"/>
                <w:szCs w:val="24"/>
              </w:rPr>
            </w:pPr>
            <w:r>
              <w:rPr>
                <w:rFonts w:ascii="仿宋" w:hAnsi="仿宋" w:eastAsia="仿宋" w:cs="Times New Roman"/>
                <w:b/>
                <w:bCs/>
                <w:sz w:val="24"/>
                <w:szCs w:val="24"/>
              </w:rPr>
              <w:t>　</w:t>
            </w:r>
          </w:p>
        </w:tc>
      </w:tr>
      <w:tr w14:paraId="2F248D5E">
        <w:tblPrEx>
          <w:tblCellMar>
            <w:top w:w="0" w:type="dxa"/>
            <w:left w:w="0" w:type="dxa"/>
            <w:bottom w:w="0" w:type="dxa"/>
            <w:right w:w="0" w:type="dxa"/>
          </w:tblCellMar>
        </w:tblPrEx>
        <w:trPr>
          <w:trHeight w:val="154"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91D00E">
            <w:pPr>
              <w:jc w:val="center"/>
              <w:rPr>
                <w:rFonts w:ascii="仿宋" w:hAnsi="仿宋" w:eastAsia="仿宋" w:cs="Times New Roman"/>
                <w:sz w:val="24"/>
                <w:szCs w:val="24"/>
              </w:rPr>
            </w:pPr>
            <w:r>
              <w:rPr>
                <w:rFonts w:ascii="仿宋" w:hAnsi="仿宋" w:eastAsia="仿宋" w:cs="Times New Roman"/>
                <w:b/>
                <w:bCs/>
                <w:sz w:val="24"/>
                <w:szCs w:val="24"/>
              </w:rPr>
              <w:t>服务费明细</w:t>
            </w:r>
          </w:p>
        </w:tc>
      </w:tr>
      <w:tr w14:paraId="384254F4">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E9679C5">
            <w:pPr>
              <w:rPr>
                <w:rFonts w:ascii="仿宋" w:hAnsi="仿宋" w:eastAsia="仿宋" w:cs="Times New Roman"/>
                <w:sz w:val="24"/>
                <w:szCs w:val="24"/>
              </w:rPr>
            </w:pPr>
            <w:r>
              <w:rPr>
                <w:rFonts w:ascii="仿宋" w:hAnsi="仿宋" w:eastAsia="仿宋" w:cs="Times New Roman"/>
                <w:b/>
                <w:bCs/>
                <w:sz w:val="24"/>
                <w:szCs w:val="24"/>
              </w:rPr>
              <w:t>序号</w:t>
            </w:r>
          </w:p>
        </w:tc>
        <w:tc>
          <w:tcPr>
            <w:tcW w:w="1259" w:type="pct"/>
            <w:gridSpan w:val="2"/>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top"/>
          </w:tcPr>
          <w:p w14:paraId="187FCE1C">
            <w:pPr>
              <w:rPr>
                <w:rFonts w:ascii="仿宋" w:hAnsi="仿宋" w:eastAsia="仿宋" w:cs="Times New Roman"/>
                <w:sz w:val="24"/>
                <w:szCs w:val="24"/>
              </w:rPr>
            </w:pPr>
            <w:r>
              <w:rPr>
                <w:rFonts w:ascii="仿宋" w:hAnsi="仿宋" w:eastAsia="仿宋" w:cs="Times New Roman"/>
                <w:b/>
                <w:bCs/>
                <w:sz w:val="24"/>
                <w:szCs w:val="24"/>
              </w:rPr>
              <w:t>费用类型</w:t>
            </w:r>
          </w:p>
          <w:p w14:paraId="2CD33288">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3"/>
            <w:tcBorders>
              <w:top w:val="single" w:color="000000" w:sz="4" w:space="0"/>
              <w:left w:val="single" w:color="000000" w:sz="4" w:space="0"/>
              <w:bottom w:val="single" w:color="auto" w:sz="4" w:space="0"/>
              <w:right w:val="single" w:color="000000" w:sz="4" w:space="0"/>
            </w:tcBorders>
            <w:noWrap w:val="0"/>
            <w:vAlign w:val="top"/>
          </w:tcPr>
          <w:p w14:paraId="26312ADA">
            <w:pPr>
              <w:rPr>
                <w:rFonts w:ascii="仿宋" w:hAnsi="仿宋" w:eastAsia="仿宋" w:cs="Times New Roman"/>
                <w:b/>
                <w:sz w:val="24"/>
                <w:szCs w:val="24"/>
              </w:rPr>
            </w:pPr>
            <w:r>
              <w:rPr>
                <w:rFonts w:ascii="仿宋" w:hAnsi="仿宋" w:eastAsia="仿宋" w:cs="Times New Roman"/>
                <w:b/>
                <w:sz w:val="24"/>
                <w:szCs w:val="24"/>
              </w:rPr>
              <w:t>服务供应商</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483F3D5">
            <w:pPr>
              <w:rPr>
                <w:rFonts w:ascii="仿宋" w:hAnsi="仿宋" w:eastAsia="仿宋" w:cs="Times New Roman"/>
                <w:sz w:val="24"/>
                <w:szCs w:val="24"/>
              </w:rPr>
            </w:pPr>
            <w:r>
              <w:rPr>
                <w:rFonts w:ascii="仿宋" w:hAnsi="仿宋" w:eastAsia="仿宋" w:cs="Times New Roman"/>
                <w:b/>
                <w:bCs/>
                <w:sz w:val="24"/>
                <w:szCs w:val="24"/>
              </w:rPr>
              <w:t>费率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37E2646">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4279F2C">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E13310">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AF25FC5">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7A48BC8">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014E259">
            <w:pPr>
              <w:rPr>
                <w:rFonts w:ascii="仿宋" w:hAnsi="仿宋" w:eastAsia="仿宋" w:cs="Times New Roman"/>
                <w:sz w:val="24"/>
                <w:szCs w:val="24"/>
              </w:rPr>
            </w:pPr>
            <w:r>
              <w:rPr>
                <w:rFonts w:ascii="仿宋" w:hAnsi="仿宋" w:eastAsia="仿宋" w:cs="Times New Roman"/>
                <w:b/>
                <w:bCs/>
                <w:sz w:val="24"/>
                <w:szCs w:val="24"/>
              </w:rPr>
              <w:t>价税合计</w:t>
            </w:r>
          </w:p>
        </w:tc>
      </w:tr>
      <w:tr w14:paraId="1278322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152DC9D6">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5A43D5C4">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52149AED">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5C7F1A06">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510E33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A4CEC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1865930">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B356D1B">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33D0A95">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497A3BA">
            <w:pPr>
              <w:rPr>
                <w:rFonts w:ascii="仿宋" w:hAnsi="仿宋" w:eastAsia="仿宋" w:cs="Times New Roman"/>
                <w:sz w:val="24"/>
                <w:szCs w:val="24"/>
              </w:rPr>
            </w:pPr>
            <w:r>
              <w:rPr>
                <w:rFonts w:ascii="仿宋" w:hAnsi="仿宋" w:eastAsia="仿宋" w:cs="Times New Roman"/>
                <w:sz w:val="24"/>
                <w:szCs w:val="24"/>
              </w:rPr>
              <w:t>　</w:t>
            </w:r>
          </w:p>
        </w:tc>
      </w:tr>
      <w:tr w14:paraId="648D3585">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688A7E3B">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46276EBA">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6F10E7B8">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10A539B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E813A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580ED5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1DF5C7">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ADCBC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A94D67">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2FD7C2">
            <w:pPr>
              <w:rPr>
                <w:rFonts w:ascii="仿宋" w:hAnsi="仿宋" w:eastAsia="仿宋" w:cs="Times New Roman"/>
                <w:sz w:val="24"/>
                <w:szCs w:val="24"/>
              </w:rPr>
            </w:pPr>
            <w:r>
              <w:rPr>
                <w:rFonts w:ascii="仿宋" w:hAnsi="仿宋" w:eastAsia="仿宋" w:cs="Times New Roman"/>
                <w:sz w:val="24"/>
                <w:szCs w:val="24"/>
              </w:rPr>
              <w:t>　</w:t>
            </w:r>
          </w:p>
        </w:tc>
      </w:tr>
      <w:tr w14:paraId="2D83055F">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633C9E6A">
            <w:pPr>
              <w:rPr>
                <w:rFonts w:ascii="仿宋" w:hAnsi="仿宋" w:eastAsia="仿宋" w:cs="Times New Roman"/>
                <w:sz w:val="24"/>
                <w:szCs w:val="24"/>
              </w:rPr>
            </w:pPr>
            <w:r>
              <w:rPr>
                <w:rFonts w:ascii="仿宋" w:hAnsi="仿宋" w:eastAsia="仿宋" w:cs="Times New Roman"/>
                <w:b/>
                <w:bCs/>
                <w:sz w:val="24"/>
                <w:szCs w:val="24"/>
              </w:rPr>
              <w:t>服务费合计金额：</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2E8F680D">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722C6299">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21BAD5C6">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3FBDAF8C">
            <w:pPr>
              <w:rPr>
                <w:rFonts w:ascii="仿宋" w:hAnsi="仿宋" w:eastAsia="仿宋" w:cs="Times New Roman"/>
                <w:sz w:val="24"/>
                <w:szCs w:val="24"/>
              </w:rPr>
            </w:pPr>
            <w:r>
              <w:rPr>
                <w:rFonts w:ascii="仿宋" w:hAnsi="仿宋" w:eastAsia="仿宋" w:cs="Times New Roman"/>
                <w:sz w:val="24"/>
                <w:szCs w:val="24"/>
              </w:rPr>
              <w:t>　</w:t>
            </w:r>
          </w:p>
        </w:tc>
      </w:tr>
      <w:tr w14:paraId="645A8274">
        <w:tblPrEx>
          <w:tblCellMar>
            <w:top w:w="0" w:type="dxa"/>
            <w:left w:w="0" w:type="dxa"/>
            <w:bottom w:w="0" w:type="dxa"/>
            <w:right w:w="0" w:type="dxa"/>
          </w:tblCellMar>
        </w:tblPrEx>
        <w:trPr>
          <w:trHeight w:val="154" w:hRule="atLeast"/>
        </w:trPr>
        <w:tc>
          <w:tcPr>
            <w:tcW w:w="5000" w:type="pct"/>
            <w:gridSpan w:val="13"/>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33031ED">
            <w:pPr>
              <w:jc w:val="center"/>
              <w:rPr>
                <w:rFonts w:ascii="仿宋" w:hAnsi="仿宋" w:eastAsia="仿宋" w:cs="Times New Roman"/>
                <w:b/>
                <w:sz w:val="24"/>
                <w:szCs w:val="24"/>
              </w:rPr>
            </w:pPr>
            <w:r>
              <w:rPr>
                <w:rFonts w:hint="eastAsia" w:ascii="仿宋" w:hAnsi="仿宋" w:eastAsia="仿宋" w:cs="Times New Roman"/>
                <w:b/>
                <w:sz w:val="24"/>
                <w:szCs w:val="24"/>
              </w:rPr>
              <w:t>费用总计</w:t>
            </w:r>
          </w:p>
        </w:tc>
      </w:tr>
      <w:tr w14:paraId="3C4DBE4A">
        <w:tblPrEx>
          <w:tblCellMar>
            <w:top w:w="0" w:type="dxa"/>
            <w:left w:w="0" w:type="dxa"/>
            <w:bottom w:w="0" w:type="dxa"/>
            <w:right w:w="0" w:type="dxa"/>
          </w:tblCellMar>
        </w:tblPrEx>
        <w:trPr>
          <w:trHeight w:val="154" w:hRule="atLeast"/>
        </w:trPr>
        <w:tc>
          <w:tcPr>
            <w:tcW w:w="2700" w:type="pct"/>
            <w:gridSpan w:val="6"/>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36E4105">
            <w:pPr>
              <w:rPr>
                <w:rFonts w:ascii="仿宋" w:hAnsi="仿宋" w:eastAsia="仿宋" w:cs="Times New Roman"/>
                <w:sz w:val="24"/>
                <w:szCs w:val="24"/>
              </w:rPr>
            </w:pPr>
            <w:r>
              <w:rPr>
                <w:rFonts w:ascii="仿宋" w:hAnsi="仿宋" w:eastAsia="仿宋" w:cs="Times New Roman"/>
                <w:b/>
                <w:bCs/>
                <w:sz w:val="24"/>
                <w:szCs w:val="24"/>
              </w:rPr>
              <w:t>费用类型</w:t>
            </w:r>
          </w:p>
        </w:tc>
        <w:tc>
          <w:tcPr>
            <w:tcW w:w="903" w:type="pct"/>
            <w:gridSpan w:val="3"/>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FE7BEF2">
            <w:pPr>
              <w:rPr>
                <w:rFonts w:ascii="仿宋" w:hAnsi="仿宋" w:eastAsia="仿宋" w:cs="Times New Roman"/>
                <w:sz w:val="24"/>
                <w:szCs w:val="24"/>
              </w:rPr>
            </w:pPr>
            <w:r>
              <w:rPr>
                <w:rFonts w:ascii="仿宋" w:hAnsi="仿宋" w:eastAsia="仿宋" w:cs="Times New Roman"/>
                <w:b/>
                <w:bCs/>
                <w:sz w:val="24"/>
                <w:szCs w:val="24"/>
              </w:rPr>
              <w:t>价款</w:t>
            </w:r>
          </w:p>
        </w:tc>
        <w:tc>
          <w:tcPr>
            <w:tcW w:w="586"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6872271">
            <w:pPr>
              <w:rPr>
                <w:rFonts w:ascii="仿宋" w:hAnsi="仿宋" w:eastAsia="仿宋" w:cs="Times New Roman"/>
                <w:sz w:val="24"/>
                <w:szCs w:val="24"/>
              </w:rPr>
            </w:pPr>
            <w:r>
              <w:rPr>
                <w:rFonts w:ascii="仿宋" w:hAnsi="仿宋" w:eastAsia="仿宋" w:cs="Times New Roman"/>
                <w:b/>
                <w:bCs/>
                <w:sz w:val="24"/>
                <w:szCs w:val="24"/>
              </w:rPr>
              <w:t>税款</w:t>
            </w:r>
          </w:p>
        </w:tc>
        <w:tc>
          <w:tcPr>
            <w:tcW w:w="809"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EE5CF82">
            <w:pPr>
              <w:rPr>
                <w:rFonts w:ascii="仿宋" w:hAnsi="仿宋" w:eastAsia="仿宋" w:cs="Times New Roman"/>
                <w:sz w:val="24"/>
                <w:szCs w:val="24"/>
              </w:rPr>
            </w:pPr>
            <w:r>
              <w:rPr>
                <w:rFonts w:ascii="仿宋" w:hAnsi="仿宋" w:eastAsia="仿宋" w:cs="Times New Roman"/>
                <w:b/>
                <w:bCs/>
                <w:sz w:val="24"/>
                <w:szCs w:val="24"/>
              </w:rPr>
              <w:t>价税合计</w:t>
            </w:r>
          </w:p>
        </w:tc>
      </w:tr>
      <w:tr w14:paraId="4A65603A">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56EC6">
            <w:pPr>
              <w:rPr>
                <w:rFonts w:ascii="仿宋" w:hAnsi="仿宋" w:eastAsia="仿宋" w:cs="Times New Roman"/>
                <w:sz w:val="24"/>
                <w:szCs w:val="24"/>
              </w:rPr>
            </w:pPr>
            <w:r>
              <w:rPr>
                <w:rFonts w:ascii="仿宋" w:hAnsi="仿宋" w:eastAsia="仿宋" w:cs="Times New Roman"/>
                <w:b/>
                <w:bCs/>
                <w:sz w:val="24"/>
                <w:szCs w:val="24"/>
              </w:rPr>
              <w:t>货物费总金额：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69E16BD">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7FFB84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E9D63FF">
            <w:pPr>
              <w:rPr>
                <w:rFonts w:ascii="仿宋" w:hAnsi="仿宋" w:eastAsia="仿宋" w:cs="Times New Roman"/>
                <w:sz w:val="24"/>
                <w:szCs w:val="24"/>
              </w:rPr>
            </w:pPr>
            <w:r>
              <w:rPr>
                <w:rFonts w:ascii="仿宋" w:hAnsi="仿宋" w:eastAsia="仿宋" w:cs="Times New Roman"/>
                <w:b/>
                <w:bCs/>
                <w:sz w:val="24"/>
                <w:szCs w:val="24"/>
              </w:rPr>
              <w:t>　</w:t>
            </w:r>
          </w:p>
        </w:tc>
      </w:tr>
      <w:tr w14:paraId="3D0FC9E4">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019EC8">
            <w:pPr>
              <w:rPr>
                <w:rFonts w:ascii="仿宋" w:hAnsi="仿宋" w:eastAsia="仿宋" w:cs="Times New Roman"/>
                <w:sz w:val="24"/>
                <w:szCs w:val="24"/>
              </w:rPr>
            </w:pPr>
            <w:r>
              <w:rPr>
                <w:rFonts w:ascii="仿宋" w:hAnsi="仿宋" w:eastAsia="仿宋" w:cs="Times New Roman"/>
                <w:b/>
                <w:bCs/>
                <w:sz w:val="24"/>
                <w:szCs w:val="24"/>
              </w:rPr>
              <w:t>服务费总金额：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C8C835">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F1A1804">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EB79898">
            <w:pPr>
              <w:rPr>
                <w:rFonts w:ascii="仿宋" w:hAnsi="仿宋" w:eastAsia="仿宋" w:cs="Times New Roman"/>
                <w:sz w:val="24"/>
                <w:szCs w:val="24"/>
              </w:rPr>
            </w:pPr>
            <w:r>
              <w:rPr>
                <w:rFonts w:ascii="仿宋" w:hAnsi="仿宋" w:eastAsia="仿宋" w:cs="Times New Roman"/>
                <w:b/>
                <w:bCs/>
                <w:sz w:val="24"/>
                <w:szCs w:val="24"/>
              </w:rPr>
              <w:t>　</w:t>
            </w:r>
          </w:p>
        </w:tc>
      </w:tr>
      <w:tr w14:paraId="24032B7C">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7B48584">
            <w:pPr>
              <w:rPr>
                <w:rFonts w:ascii="仿宋" w:hAnsi="仿宋" w:eastAsia="仿宋" w:cs="Times New Roman"/>
                <w:sz w:val="24"/>
                <w:szCs w:val="24"/>
              </w:rPr>
            </w:pPr>
            <w:r>
              <w:rPr>
                <w:rFonts w:ascii="仿宋" w:hAnsi="仿宋" w:eastAsia="仿宋" w:cs="Times New Roman"/>
                <w:b/>
                <w:bCs/>
                <w:sz w:val="24"/>
                <w:szCs w:val="24"/>
              </w:rPr>
              <w:t>订单总金额（人民币小写）：</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03C172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A35A75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003E3B">
            <w:pPr>
              <w:rPr>
                <w:rFonts w:ascii="仿宋" w:hAnsi="仿宋" w:eastAsia="仿宋" w:cs="Times New Roman"/>
                <w:sz w:val="24"/>
                <w:szCs w:val="24"/>
              </w:rPr>
            </w:pPr>
            <w:r>
              <w:rPr>
                <w:rFonts w:ascii="仿宋" w:hAnsi="仿宋" w:eastAsia="仿宋" w:cs="Times New Roman"/>
                <w:b/>
                <w:bCs/>
                <w:sz w:val="24"/>
                <w:szCs w:val="24"/>
              </w:rPr>
              <w:t>　</w:t>
            </w:r>
          </w:p>
        </w:tc>
      </w:tr>
      <w:tr w14:paraId="7F993BEE">
        <w:tblPrEx>
          <w:tblCellMar>
            <w:top w:w="0" w:type="dxa"/>
            <w:left w:w="0" w:type="dxa"/>
            <w:bottom w:w="0" w:type="dxa"/>
            <w:right w:w="0" w:type="dxa"/>
          </w:tblCellMar>
        </w:tblPrEx>
        <w:trPr>
          <w:trHeight w:val="459"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E91C636">
            <w:pPr>
              <w:rPr>
                <w:rFonts w:ascii="仿宋" w:hAnsi="仿宋" w:eastAsia="仿宋" w:cs="Times New Roman"/>
                <w:sz w:val="24"/>
                <w:szCs w:val="24"/>
              </w:rPr>
            </w:pPr>
            <w:r>
              <w:rPr>
                <w:rFonts w:ascii="仿宋" w:hAnsi="仿宋" w:eastAsia="仿宋" w:cs="Times New Roman"/>
                <w:b/>
                <w:bCs/>
                <w:sz w:val="24"/>
                <w:szCs w:val="24"/>
              </w:rPr>
              <w:t>订单总金额（人民币大写）：</w:t>
            </w:r>
          </w:p>
        </w:tc>
        <w:tc>
          <w:tcPr>
            <w:tcW w:w="2299" w:type="pct"/>
            <w:gridSpan w:val="7"/>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C1E67CB">
            <w:pPr>
              <w:rPr>
                <w:rFonts w:ascii="仿宋" w:hAnsi="仿宋" w:eastAsia="仿宋" w:cs="Times New Roman"/>
                <w:b/>
                <w:bCs/>
                <w:sz w:val="24"/>
                <w:szCs w:val="24"/>
              </w:rPr>
            </w:pPr>
            <w:r>
              <w:rPr>
                <w:rFonts w:ascii="仿宋" w:hAnsi="仿宋" w:eastAsia="仿宋" w:cs="Times New Roman"/>
                <w:b/>
                <w:bCs/>
                <w:sz w:val="24"/>
                <w:szCs w:val="24"/>
              </w:rPr>
              <w:t>价款：</w:t>
            </w:r>
          </w:p>
          <w:p w14:paraId="1B0AB283">
            <w:pPr>
              <w:rPr>
                <w:rFonts w:ascii="仿宋" w:hAnsi="仿宋" w:eastAsia="仿宋" w:cs="Times New Roman"/>
                <w:b/>
                <w:bCs/>
                <w:sz w:val="24"/>
                <w:szCs w:val="24"/>
              </w:rPr>
            </w:pPr>
            <w:r>
              <w:rPr>
                <w:rFonts w:ascii="仿宋" w:hAnsi="仿宋" w:eastAsia="仿宋" w:cs="Times New Roman"/>
                <w:b/>
                <w:bCs/>
                <w:sz w:val="24"/>
                <w:szCs w:val="24"/>
              </w:rPr>
              <w:t>税款：</w:t>
            </w:r>
          </w:p>
          <w:p w14:paraId="26297F13">
            <w:pPr>
              <w:rPr>
                <w:rFonts w:ascii="仿宋" w:hAnsi="仿宋" w:eastAsia="仿宋" w:cs="Times New Roman"/>
                <w:sz w:val="24"/>
                <w:szCs w:val="24"/>
              </w:rPr>
            </w:pPr>
            <w:r>
              <w:rPr>
                <w:rFonts w:ascii="仿宋" w:hAnsi="仿宋" w:eastAsia="仿宋" w:cs="Times New Roman"/>
                <w:b/>
                <w:bCs/>
                <w:sz w:val="24"/>
                <w:szCs w:val="24"/>
              </w:rPr>
              <w:t>价税合计：</w:t>
            </w:r>
          </w:p>
        </w:tc>
      </w:tr>
      <w:tr w14:paraId="7277D6F6">
        <w:tblPrEx>
          <w:tblCellMar>
            <w:top w:w="0" w:type="dxa"/>
            <w:left w:w="0" w:type="dxa"/>
            <w:bottom w:w="0" w:type="dxa"/>
            <w:right w:w="0" w:type="dxa"/>
          </w:tblCellMar>
        </w:tblPrEx>
        <w:trPr>
          <w:trHeight w:val="53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57E7B">
            <w:pPr>
              <w:rPr>
                <w:rFonts w:ascii="仿宋" w:hAnsi="仿宋" w:eastAsia="仿宋" w:cs="Times New Roman"/>
                <w:sz w:val="24"/>
                <w:szCs w:val="24"/>
              </w:rPr>
            </w:pPr>
            <w:r>
              <w:rPr>
                <w:rFonts w:ascii="仿宋" w:hAnsi="仿宋" w:eastAsia="仿宋" w:cs="Times New Roman"/>
                <w:b/>
                <w:bCs/>
                <w:sz w:val="24"/>
                <w:szCs w:val="24"/>
              </w:rPr>
              <w:t>备注</w:t>
            </w:r>
            <w:r>
              <w:rPr>
                <w:rFonts w:ascii="仿宋" w:hAnsi="仿宋" w:eastAsia="仿宋" w:cs="Times New Roman"/>
                <w:sz w:val="24"/>
                <w:szCs w:val="24"/>
              </w:rPr>
              <w:t>：</w:t>
            </w:r>
          </w:p>
          <w:p w14:paraId="0B8DDF36">
            <w:pPr>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、采购方和供应商</w:t>
            </w:r>
            <w:r>
              <w:rPr>
                <w:rFonts w:hint="eastAsia" w:ascii="仿宋" w:hAnsi="仿宋" w:eastAsia="仿宋" w:cs="Times New Roman"/>
                <w:sz w:val="24"/>
                <w:szCs w:val="24"/>
              </w:rPr>
              <w:t>（乙方）</w:t>
            </w:r>
            <w:r>
              <w:rPr>
                <w:rFonts w:ascii="仿宋" w:hAnsi="仿宋" w:eastAsia="仿宋" w:cs="Times New Roman"/>
                <w:sz w:val="24"/>
                <w:szCs w:val="24"/>
              </w:rPr>
              <w:t>确认：本订单受框架协议的约束。与本订单有关的争议将按照框架协议的约定解决</w:t>
            </w:r>
            <w:r>
              <w:rPr>
                <w:rFonts w:hint="eastAsia" w:ascii="仿宋" w:hAnsi="仿宋" w:eastAsia="仿宋" w:cs="Times New Roman"/>
                <w:sz w:val="24"/>
                <w:szCs w:val="24"/>
              </w:rPr>
              <w:t>。</w:t>
            </w:r>
          </w:p>
          <w:p w14:paraId="52D30780">
            <w:pPr>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、下单配置明细信息表示该下单配置中具体组件，下单配置明细金额之和等于下单配置金额。</w:t>
            </w:r>
          </w:p>
          <w:p w14:paraId="691F501F">
            <w:pPr>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、实际发票抬头信息与收货信息以</w:t>
            </w:r>
            <w:r>
              <w:rPr>
                <w:rFonts w:hint="eastAsia" w:ascii="仿宋" w:hAnsi="仿宋" w:eastAsia="仿宋" w:cs="Times New Roman"/>
                <w:sz w:val="24"/>
                <w:szCs w:val="24"/>
              </w:rPr>
              <w:t>本订单</w:t>
            </w:r>
            <w:r>
              <w:rPr>
                <w:rFonts w:ascii="仿宋" w:hAnsi="仿宋" w:eastAsia="仿宋" w:cs="Times New Roman"/>
                <w:sz w:val="24"/>
                <w:szCs w:val="24"/>
              </w:rPr>
              <w:t>建设单位具体要求为准。</w:t>
            </w:r>
          </w:p>
          <w:p w14:paraId="5E255525">
            <w:pPr>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、本订单货币单位为人民币（元）</w:t>
            </w:r>
            <w:r>
              <w:rPr>
                <w:rFonts w:hint="eastAsia" w:ascii="仿宋" w:hAnsi="仿宋" w:eastAsia="仿宋" w:cs="Times New Roman"/>
                <w:sz w:val="24"/>
                <w:szCs w:val="24"/>
              </w:rPr>
              <w:t>。</w:t>
            </w:r>
            <w:r>
              <w:rPr>
                <w:rFonts w:hint="eastAsia" w:ascii="仿宋" w:hAnsi="仿宋" w:eastAsia="仿宋" w:cs="Times New Roman"/>
                <w:b/>
                <w:bCs/>
                <w:sz w:val="24"/>
                <w:szCs w:val="24"/>
              </w:rPr>
              <w:t xml:space="preserve"> </w:t>
            </w:r>
          </w:p>
        </w:tc>
      </w:tr>
      <w:tr w14:paraId="0BA3E81F">
        <w:tblPrEx>
          <w:tblCellMar>
            <w:top w:w="0" w:type="dxa"/>
            <w:left w:w="0" w:type="dxa"/>
            <w:bottom w:w="0" w:type="dxa"/>
            <w:right w:w="0" w:type="dxa"/>
          </w:tblCellMar>
        </w:tblPrEx>
        <w:trPr>
          <w:trHeight w:val="803" w:hRule="atLeast"/>
        </w:trPr>
        <w:tc>
          <w:tcPr>
            <w:tcW w:w="2492"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526F42B">
            <w:pPr>
              <w:rPr>
                <w:rFonts w:ascii="仿宋" w:hAnsi="仿宋" w:eastAsia="仿宋" w:cs="Times New Roman"/>
                <w:sz w:val="24"/>
                <w:szCs w:val="24"/>
              </w:rPr>
            </w:pPr>
            <w:r>
              <w:rPr>
                <w:rFonts w:hint="eastAsia" w:ascii="仿宋" w:hAnsi="仿宋" w:eastAsia="仿宋" w:cs="Times New Roman"/>
                <w:b/>
                <w:sz w:val="24"/>
                <w:szCs w:val="24"/>
              </w:rPr>
              <w:t>采购方</w:t>
            </w:r>
            <w:r>
              <w:rPr>
                <w:rFonts w:ascii="仿宋" w:hAnsi="仿宋" w:eastAsia="仿宋" w:cs="Times New Roman"/>
                <w:b/>
                <w:sz w:val="24"/>
                <w:szCs w:val="24"/>
              </w:rPr>
              <w:t>（盖章）：中国电信</w:t>
            </w:r>
            <w:r>
              <w:rPr>
                <w:rFonts w:hint="eastAsia" w:ascii="仿宋" w:hAnsi="仿宋" w:eastAsia="仿宋" w:cs="Times New Roman"/>
                <w:b/>
                <w:sz w:val="24"/>
                <w:szCs w:val="24"/>
              </w:rPr>
              <w:t xml:space="preserve">[ </w:t>
            </w:r>
            <w:r>
              <w:rPr>
                <w:rFonts w:hint="eastAsia" w:ascii="仿宋" w:hAnsi="仿宋" w:eastAsia="仿宋" w:cs="Times New Roman"/>
                <w:b/>
                <w:sz w:val="24"/>
                <w:szCs w:val="24"/>
                <w:lang w:val="en-US" w:eastAsia="zh-CN"/>
              </w:rPr>
              <w:t>股份有限公司遵义分</w:t>
            </w:r>
            <w:r>
              <w:rPr>
                <w:rFonts w:hint="eastAsia" w:ascii="仿宋" w:hAnsi="仿宋" w:eastAsia="仿宋" w:cs="Times New Roman"/>
                <w:b/>
                <w:sz w:val="24"/>
                <w:szCs w:val="24"/>
              </w:rPr>
              <w:t xml:space="preserve"> ]</w:t>
            </w:r>
            <w:r>
              <w:rPr>
                <w:rFonts w:ascii="仿宋" w:hAnsi="仿宋" w:eastAsia="仿宋" w:cs="Times New Roman"/>
                <w:b/>
                <w:sz w:val="24"/>
                <w:szCs w:val="24"/>
              </w:rPr>
              <w:t>公司</w:t>
            </w:r>
          </w:p>
          <w:p w14:paraId="6423F121">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p>
          <w:p w14:paraId="0C08776D">
            <w:pPr>
              <w:rPr>
                <w:rFonts w:ascii="仿宋" w:hAnsi="仿宋" w:eastAsia="仿宋" w:cs="Times New Roman"/>
                <w:sz w:val="24"/>
                <w:szCs w:val="24"/>
              </w:rPr>
            </w:pPr>
            <w:r>
              <w:rPr>
                <w:rFonts w:ascii="仿宋" w:hAnsi="仿宋" w:eastAsia="仿宋" w:cs="Times New Roman"/>
                <w:sz w:val="24"/>
                <w:szCs w:val="24"/>
              </w:rPr>
              <w:t>或授权代表（签字）：</w:t>
            </w:r>
          </w:p>
        </w:tc>
        <w:tc>
          <w:tcPr>
            <w:tcW w:w="2507" w:type="pct"/>
            <w:gridSpan w:val="8"/>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05C9ED0">
            <w:pPr>
              <w:rPr>
                <w:rFonts w:ascii="仿宋" w:hAnsi="仿宋" w:eastAsia="仿宋" w:cs="Times New Roman"/>
                <w:b/>
                <w:bCs/>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已确认上述内容。</w:t>
            </w:r>
          </w:p>
          <w:p w14:paraId="350B6F00">
            <w:pPr>
              <w:rPr>
                <w:rFonts w:ascii="仿宋" w:hAnsi="仿宋" w:eastAsia="仿宋" w:cs="Times New Roman"/>
                <w:sz w:val="24"/>
                <w:szCs w:val="24"/>
              </w:rPr>
            </w:pPr>
            <w:r>
              <w:rPr>
                <w:rFonts w:ascii="仿宋" w:hAnsi="仿宋" w:eastAsia="仿宋" w:cs="Times New Roman"/>
                <w:sz w:val="24"/>
                <w:szCs w:val="24"/>
              </w:rPr>
              <w:t>供应商</w:t>
            </w:r>
            <w:r>
              <w:rPr>
                <w:rFonts w:hint="eastAsia" w:ascii="仿宋" w:hAnsi="仿宋" w:eastAsia="仿宋" w:cs="Times New Roman"/>
                <w:sz w:val="24"/>
                <w:szCs w:val="24"/>
              </w:rPr>
              <w:t>（乙方）</w:t>
            </w:r>
            <w:r>
              <w:rPr>
                <w:rFonts w:ascii="仿宋" w:hAnsi="仿宋" w:eastAsia="仿宋" w:cs="Times New Roman"/>
                <w:sz w:val="24"/>
                <w:szCs w:val="24"/>
              </w:rPr>
              <w:t>（盖章）：</w:t>
            </w:r>
            <w:r>
              <w:rPr>
                <w:rFonts w:hint="eastAsia" w:ascii="仿宋" w:hAnsi="仿宋" w:eastAsia="仿宋" w:cs="Times New Roman"/>
                <w:sz w:val="24"/>
                <w:szCs w:val="24"/>
              </w:rPr>
              <w:t>[  ]</w:t>
            </w:r>
            <w:r>
              <w:rPr>
                <w:rFonts w:ascii="仿宋" w:hAnsi="仿宋" w:eastAsia="仿宋" w:cs="Times New Roman"/>
                <w:sz w:val="24"/>
                <w:szCs w:val="24"/>
              </w:rPr>
              <w:t>公司</w:t>
            </w:r>
          </w:p>
          <w:p w14:paraId="01A3C949">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r>
              <w:rPr>
                <w:rFonts w:ascii="仿宋" w:hAnsi="仿宋" w:eastAsia="仿宋" w:cs="Times New Roman"/>
                <w:sz w:val="24"/>
                <w:szCs w:val="24"/>
              </w:rPr>
              <w:br w:type="textWrapping"/>
            </w:r>
            <w:r>
              <w:rPr>
                <w:rFonts w:ascii="仿宋" w:hAnsi="仿宋" w:eastAsia="仿宋" w:cs="Times New Roman"/>
                <w:sz w:val="24"/>
                <w:szCs w:val="24"/>
              </w:rPr>
              <w:t>或授权代表（签字）：</w:t>
            </w:r>
          </w:p>
        </w:tc>
      </w:tr>
      <w:tr w14:paraId="3B03DB56">
        <w:tblPrEx>
          <w:tblCellMar>
            <w:top w:w="0" w:type="dxa"/>
            <w:left w:w="0" w:type="dxa"/>
            <w:bottom w:w="0" w:type="dxa"/>
            <w:right w:w="0" w:type="dxa"/>
          </w:tblCellMar>
        </w:tblPrEx>
        <w:trPr>
          <w:trHeight w:val="453"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88EE74E">
            <w:pPr>
              <w:rPr>
                <w:rFonts w:ascii="仿宋" w:hAnsi="仿宋" w:eastAsia="仿宋" w:cs="Times New Roman"/>
                <w:bCs/>
                <w:sz w:val="24"/>
                <w:szCs w:val="24"/>
              </w:rPr>
            </w:pPr>
            <w:r>
              <w:rPr>
                <w:rFonts w:ascii="仿宋" w:hAnsi="仿宋" w:eastAsia="仿宋" w:cs="Times New Roman"/>
                <w:bCs/>
                <w:sz w:val="24"/>
                <w:szCs w:val="24"/>
              </w:rPr>
              <w:t>签署日期</w:t>
            </w:r>
            <w:r>
              <w:rPr>
                <w:rFonts w:hint="eastAsia" w:ascii="仿宋" w:hAnsi="仿宋" w:eastAsia="仿宋" w:cs="Times New Roman"/>
                <w:bCs/>
                <w:sz w:val="24"/>
                <w:szCs w:val="24"/>
              </w:rPr>
              <w:t>：</w:t>
            </w:r>
          </w:p>
        </w:tc>
      </w:tr>
    </w:tbl>
    <w:p w14:paraId="70570C9C">
      <w:pPr>
        <w:rPr>
          <w:rFonts w:hint="eastAsia" w:ascii="Times New Roman" w:hAnsi="Times New Roman" w:eastAsia="宋体" w:cs="Times New Roman"/>
        </w:rPr>
      </w:pPr>
      <w:r>
        <w:rPr>
          <w:rFonts w:ascii="仿宋" w:hAnsi="仿宋" w:eastAsia="仿宋" w:cs="Times New Roman"/>
          <w:color w:val="000000"/>
          <w:sz w:val="24"/>
        </w:rPr>
        <w:br w:type="page"/>
      </w:r>
      <w:r>
        <w:rPr>
          <w:rFonts w:hint="eastAsia" w:ascii="Times New Roman" w:hAnsi="Times New Roman" w:eastAsia="宋体" w:cs="Times New Roman"/>
        </w:rPr>
        <w:t>附件四</w:t>
      </w:r>
      <w:r>
        <w:rPr>
          <w:rFonts w:hint="eastAsia" w:ascii="Times New Roman" w:hAnsi="Times New Roman" w:eastAsia="宋体" w:cs="Times New Roman"/>
        </w:rPr>
        <w:tab/>
      </w:r>
      <w:r>
        <w:rPr>
          <w:rFonts w:hint="eastAsia" w:ascii="Times New Roman" w:hAnsi="Times New Roman" w:eastAsia="宋体" w:cs="Times New Roman"/>
        </w:rPr>
        <w:t>保密承诺函</w:t>
      </w:r>
    </w:p>
    <w:p w14:paraId="336B212A">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保密承诺函</w:t>
      </w:r>
    </w:p>
    <w:p w14:paraId="7E6C4320">
      <w:pPr>
        <w:spacing w:line="360" w:lineRule="exact"/>
        <w:rPr>
          <w:rFonts w:hint="eastAsia" w:ascii="宋体" w:hAnsi="宋体" w:eastAsia="宋体" w:cs="宋体"/>
          <w:sz w:val="21"/>
          <w:szCs w:val="21"/>
        </w:rPr>
      </w:pPr>
    </w:p>
    <w:p w14:paraId="7C899D65">
      <w:pPr>
        <w:spacing w:line="360" w:lineRule="exact"/>
        <w:rPr>
          <w:rFonts w:hint="eastAsia" w:ascii="宋体" w:hAnsi="宋体" w:eastAsia="宋体" w:cs="宋体"/>
          <w:sz w:val="21"/>
          <w:szCs w:val="21"/>
        </w:rPr>
      </w:pPr>
    </w:p>
    <w:p w14:paraId="1B6A9286">
      <w:pPr>
        <w:spacing w:line="360" w:lineRule="exact"/>
        <w:rPr>
          <w:rFonts w:hint="eastAsia" w:ascii="宋体" w:hAnsi="宋体" w:eastAsia="宋体" w:cs="宋体"/>
          <w:sz w:val="21"/>
          <w:szCs w:val="21"/>
        </w:rPr>
      </w:pPr>
      <w:r>
        <w:rPr>
          <w:rFonts w:hint="eastAsia" w:ascii="宋体" w:hAnsi="宋体" w:eastAsia="宋体" w:cs="宋体"/>
          <w:sz w:val="21"/>
          <w:szCs w:val="21"/>
        </w:rPr>
        <w:t>中国电信股份有限公司遵义分公司</w:t>
      </w:r>
    </w:p>
    <w:p w14:paraId="381EA72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本单位郑重承诺遵守本承诺书的有关条款，如有违反本承诺书有关条款的行为，本单位承担由此带来的一切民事、行政和刑事责任。</w:t>
      </w:r>
    </w:p>
    <w:p w14:paraId="4B09D583">
      <w:pPr>
        <w:numPr>
          <w:ilvl w:val="0"/>
          <w:numId w:val="88"/>
        </w:numPr>
        <w:spacing w:line="360" w:lineRule="exact"/>
        <w:ind w:left="-1" w:firstLine="480"/>
        <w:jc w:val="left"/>
        <w:rPr>
          <w:rFonts w:hint="eastAsia" w:ascii="宋体" w:hAnsi="宋体" w:eastAsia="宋体" w:cs="宋体"/>
          <w:sz w:val="21"/>
          <w:szCs w:val="21"/>
        </w:rPr>
      </w:pPr>
      <w:r>
        <w:rPr>
          <w:rFonts w:hint="eastAsia" w:ascii="宋体" w:hAnsi="宋体" w:eastAsia="宋体" w:cs="宋体"/>
          <w:sz w:val="21"/>
          <w:szCs w:val="21"/>
        </w:rPr>
        <w:t>本单位对贵单位在</w:t>
      </w:r>
      <w:r>
        <w:rPr>
          <w:rFonts w:hint="eastAsia" w:ascii="宋体" w:hAnsi="宋体" w:cs="宋体"/>
          <w:sz w:val="21"/>
          <w:szCs w:val="21"/>
          <w:u w:val="single"/>
          <w:lang w:eastAsia="zh-CN"/>
        </w:rPr>
        <w:t>2025年中国电信遵义分公司中间件框架物资采购</w:t>
      </w:r>
      <w:r>
        <w:rPr>
          <w:rFonts w:hint="eastAsia" w:ascii="宋体" w:hAnsi="宋体" w:eastAsia="宋体" w:cs="宋体"/>
          <w:sz w:val="21"/>
          <w:szCs w:val="21"/>
        </w:rPr>
        <w:t>合作过程中已经或将要向本单位提供或披露（或本单位可能获悉）贵单位的秘密性、专有性或保密性信息（以上信息合称“保密信息”，本项目中具体指：</w:t>
      </w:r>
      <w:r>
        <w:rPr>
          <w:rFonts w:hint="eastAsia" w:ascii="宋体" w:hAnsi="宋体" w:eastAsia="宋体" w:cs="宋体"/>
          <w:sz w:val="21"/>
          <w:szCs w:val="21"/>
          <w:u w:val="none"/>
        </w:rPr>
        <w:t xml:space="preserve">乙方对甲方提供的所有资料以及在本合同签订、履行过程中所接触到的甲方及其关联公司的商业秘密、技术资料、客户信息等资料和信息等 </w:t>
      </w:r>
      <w:r>
        <w:rPr>
          <w:rFonts w:hint="eastAsia" w:ascii="宋体" w:hAnsi="宋体" w:eastAsia="宋体" w:cs="宋体"/>
          <w:sz w:val="21"/>
          <w:szCs w:val="21"/>
        </w:rPr>
        <w:t>）负有保密义务。该保密信息仅用于本单位与贵公司合作项目有关的用途，不将保密信息用于项目以外的任何用途。</w:t>
      </w:r>
    </w:p>
    <w:p w14:paraId="2F53CA7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7F8F75D5">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三、对保密信息在本单位期间发生的以下事项承担全部责任，因此造成贵单位损失的，本单位负责赔偿：</w:t>
      </w:r>
    </w:p>
    <w:p w14:paraId="0A9438B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1.保密信息被盗、泄露及/或毁损、灭失。</w:t>
      </w:r>
    </w:p>
    <w:p w14:paraId="5A7C81A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2.任何本单位的雇员（包括但不限于现有雇员及从前雇员）、股东、董事、顾问和/或咨询人员等对保密信息未经授权的披露。</w:t>
      </w:r>
    </w:p>
    <w:p w14:paraId="478B778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四、本单位承诺对保密信息按本承诺函约定予以保密，并至少采取不低于贵单位对数据安全保护的相关技术规范要求的保护手段进行保密。</w:t>
      </w:r>
    </w:p>
    <w:p w14:paraId="6703C79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4B52164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六、项目终止后，本单位将承载保密信息的介质原件及复制件全部返还贵单位，最迟不超过贵单位发出交还通知之日起[三十]日。</w:t>
      </w:r>
    </w:p>
    <w:p w14:paraId="4CD2D4D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七、上述限制条款不适用于以下情况：</w:t>
      </w:r>
    </w:p>
    <w:p w14:paraId="1B04570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1.在依本承诺函披露之时，该保密信息已以合法方式属本单位所有或由本单位知悉。</w:t>
      </w:r>
    </w:p>
    <w:p w14:paraId="25B9DA6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2.在依本承诺函披露之时，该保密信息已经公开或能从公开领域获得。</w:t>
      </w:r>
    </w:p>
    <w:p w14:paraId="47C9820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3.保密信息是本单位从没有违反对贵单位负有保密或不披露义务的人合法取得的。</w:t>
      </w:r>
    </w:p>
    <w:p w14:paraId="6AF4ADE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4.该保密信息是本单位或其关联或附属公司独立开发，而且未从贵单位或其关联或附属公司披露或提供的信息中获益。</w:t>
      </w:r>
    </w:p>
    <w:p w14:paraId="57B4CB81">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5.经贵单位书面同意对外披露，但仅限于贵单位书面同意的范围、方式且遵循书面同意中规定的其他前提条件。</w:t>
      </w:r>
    </w:p>
    <w:p w14:paraId="3EEE3086">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6.本单位应法律、行政法规要求披露的信息（通过口头提问、询问、要求资料或文件、传唤、民事或刑事调查或其他程序披露保密信息）。</w:t>
      </w:r>
    </w:p>
    <w:p w14:paraId="4C841E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以本条中5、6为依据作出披露的，应至少于实际作出披露行为前[五]个工作日通知贵单位，说明其拟根据上述约定披露有关的保密信息，并就披露对象和披露范围、方式等作出说明。</w:t>
      </w:r>
    </w:p>
    <w:p w14:paraId="58D7DDE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八、如果本单位得知第三方获得任何保密信息，则及时书面通知贵单位，并向贵单位提供掌握的所有相关情况。</w:t>
      </w:r>
    </w:p>
    <w:p w14:paraId="78CE892C">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九、对于本承诺函签订及履行过程中、项目的商谈及合作过程中所接触到的贵单位关联公司的保密信息，本单位则依据本承诺函约定履行保密义务、承担责任。</w:t>
      </w:r>
    </w:p>
    <w:p w14:paraId="5EAA4A3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十、本承诺函有效期至本单位与贵单位合作项目终止后10年或者至贵单位公布保密信息时止。</w:t>
      </w:r>
    </w:p>
    <w:p w14:paraId="5F19AF08">
      <w:pPr>
        <w:spacing w:line="36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十一、</w:t>
      </w:r>
      <w:r>
        <w:rPr>
          <w:rFonts w:hint="eastAsia" w:ascii="宋体" w:hAnsi="宋体" w:eastAsia="宋体" w:cs="宋体"/>
          <w:sz w:val="21"/>
          <w:szCs w:val="21"/>
        </w:rPr>
        <w:t>若因本单位未履行或未完全履行上述承诺事项给贵单位造成的一切损失，包括但不限于贵单位因调查违约行为而支付的合理费用，本单位承诺予以赔偿。</w:t>
      </w:r>
    </w:p>
    <w:p w14:paraId="15A044A3">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十二、本单位承诺接受贵单位的数据安全相关管理办法，并接受贵单位必要的安全监控和审计。</w:t>
      </w:r>
    </w:p>
    <w:p w14:paraId="5DF771AF">
      <w:pPr>
        <w:spacing w:line="360" w:lineRule="exact"/>
        <w:ind w:firstLine="420" w:firstLineChars="200"/>
        <w:rPr>
          <w:rFonts w:hint="eastAsia" w:ascii="宋体" w:hAnsi="宋体" w:eastAsia="宋体" w:cs="宋体"/>
          <w:b/>
          <w:sz w:val="21"/>
          <w:szCs w:val="21"/>
        </w:rPr>
      </w:pPr>
    </w:p>
    <w:p w14:paraId="6546E269">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承诺单位（盖公章）： </w:t>
      </w:r>
    </w:p>
    <w:p w14:paraId="39DEDF96">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法定代表人</w:t>
      </w:r>
    </w:p>
    <w:p w14:paraId="0D9CE260">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或授权委托人签字:  </w:t>
      </w:r>
    </w:p>
    <w:p w14:paraId="0601E36A">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日期：</w:t>
      </w:r>
    </w:p>
    <w:p w14:paraId="69F6F91B">
      <w:pPr>
        <w:widowControl/>
        <w:spacing w:line="360" w:lineRule="exact"/>
        <w:jc w:val="left"/>
        <w:rPr>
          <w:rFonts w:hint="eastAsia" w:ascii="仿宋" w:hAnsi="仿宋" w:eastAsia="仿宋" w:cs="Times New Roman"/>
          <w:sz w:val="24"/>
          <w:lang w:val="en-US" w:eastAsia="zh-CN"/>
        </w:rPr>
      </w:pPr>
      <w:r>
        <w:rPr>
          <w:rFonts w:hint="eastAsia" w:ascii="宋体" w:hAnsi="宋体" w:eastAsia="宋体" w:cs="宋体"/>
          <w:sz w:val="21"/>
          <w:szCs w:val="21"/>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五</w:t>
      </w:r>
    </w:p>
    <w:p w14:paraId="04E53011">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3918A52C">
      <w:pPr>
        <w:spacing w:line="360" w:lineRule="exact"/>
        <w:jc w:val="center"/>
        <w:rPr>
          <w:rFonts w:ascii="仿宋" w:hAnsi="仿宋" w:eastAsia="仿宋" w:cs="Times New Roman"/>
          <w:b/>
          <w:sz w:val="28"/>
          <w:szCs w:val="28"/>
        </w:rPr>
      </w:pPr>
    </w:p>
    <w:p w14:paraId="6190386E">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12259E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为保障安全生产，确保安全管理工作的落实，在贵公司与本单位双方签订的《[ </w:t>
      </w:r>
      <w:r>
        <w:rPr>
          <w:rFonts w:hint="eastAsia" w:ascii="仿宋" w:hAnsi="仿宋" w:eastAsia="仿宋" w:cs="Times New Roman"/>
          <w:sz w:val="24"/>
          <w:u w:val="single"/>
          <w:lang w:eastAsia="zh-CN"/>
        </w:rPr>
        <w:t>2025年中国电信遵义分公司中间件框架物资采购</w:t>
      </w:r>
      <w:r>
        <w:rPr>
          <w:rFonts w:hint="eastAsia" w:ascii="仿宋" w:hAnsi="仿宋" w:eastAsia="仿宋" w:cs="Times New Roman"/>
          <w:sz w:val="24"/>
        </w:rPr>
        <w:t xml:space="preserve"> ]软件许可框架协议》（以下简称“合同”）履行过程中，本单位承诺如下：</w:t>
      </w:r>
    </w:p>
    <w:p w14:paraId="0AB690F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4ADAF0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2C72D0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501B92D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6FA592D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732B7E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0C02184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2D6C2B2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1B508E3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5CE5A9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46D6E69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7AD1A9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487296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6D1E65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282BFE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6FDABB8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315C678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79352C7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755D70B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5E4C355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5368B5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462082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15DC64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2BE921A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30F661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1149C3A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2F3B1A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0D4085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5F2B84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4731972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6B13229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62BA2F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0565F3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20594CD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12F1312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6315A2D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1F54B25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0BF4E5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  ]</w:t>
      </w:r>
    </w:p>
    <w:p w14:paraId="5C0F7F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  ]</w:t>
      </w:r>
    </w:p>
    <w:p w14:paraId="60B91C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494C21D6">
      <w:pPr>
        <w:spacing w:line="360" w:lineRule="exact"/>
        <w:rPr>
          <w:rFonts w:ascii="仿宋" w:hAnsi="仿宋" w:eastAsia="仿宋" w:cs="Times New Roman"/>
          <w:sz w:val="24"/>
        </w:rPr>
      </w:pPr>
    </w:p>
    <w:p w14:paraId="60E10744">
      <w:pPr>
        <w:spacing w:line="360" w:lineRule="exact"/>
        <w:rPr>
          <w:rFonts w:ascii="仿宋" w:hAnsi="仿宋" w:eastAsia="仿宋" w:cs="Times New Roman"/>
          <w:sz w:val="24"/>
        </w:rPr>
      </w:pPr>
    </w:p>
    <w:p w14:paraId="1DA68B21">
      <w:pPr>
        <w:spacing w:line="360" w:lineRule="exact"/>
        <w:rPr>
          <w:rFonts w:ascii="仿宋" w:hAnsi="仿宋" w:eastAsia="仿宋" w:cs="Times New Roman"/>
          <w:sz w:val="24"/>
        </w:rPr>
      </w:pPr>
      <w:r>
        <w:rPr>
          <w:rFonts w:hint="eastAsia" w:ascii="仿宋" w:hAnsi="仿宋" w:eastAsia="仿宋" w:cs="Times New Roman"/>
          <w:sz w:val="24"/>
        </w:rPr>
        <w:t>责任人（盖章）：[  ]</w:t>
      </w:r>
    </w:p>
    <w:p w14:paraId="7D4C3766">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6C4005A5">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28F75387">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1C858197">
      <w:pPr>
        <w:spacing w:line="360" w:lineRule="exact"/>
        <w:rPr>
          <w:rFonts w:hint="eastAsia" w:ascii="仿宋" w:hAnsi="仿宋" w:eastAsia="仿宋" w:cs="Times New Roman"/>
          <w:sz w:val="24"/>
          <w:lang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六</w:t>
      </w:r>
    </w:p>
    <w:p w14:paraId="1BE541AC">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66D6527C">
      <w:pPr>
        <w:spacing w:line="360" w:lineRule="exact"/>
        <w:jc w:val="center"/>
        <w:rPr>
          <w:rFonts w:ascii="仿宋" w:hAnsi="仿宋" w:eastAsia="仿宋" w:cs="Times New Roman"/>
          <w:b/>
          <w:sz w:val="28"/>
          <w:szCs w:val="28"/>
        </w:rPr>
      </w:pPr>
    </w:p>
    <w:p w14:paraId="22BEE307">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39A163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4CCF2C7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35A727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77F0F0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417630B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0600DB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485DA0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32ABAA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1C4C467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00F11D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5EFBB1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553930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1EB9F4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295819E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478ED2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0C69B16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3D1A8B7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14A8394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5ADBCE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5B21F5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7F53F0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11FCE0F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230178B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31C0F40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707107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4AA48D5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4458A6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2C7E15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5D0089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565DA7A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5E1C0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29B804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7E92F2C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010C639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2554DA1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77E1C41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27D51F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1213803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52131FD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422653C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333B50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48D1E42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51824A9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13749B2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5B751A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1EC8455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558A64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7F95767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3D8B58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22E3BC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553FC28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35B354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59D19E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36F346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356239C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CC7BB4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40357C9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2F0A00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姓名：[  ],职务：[  ],联系方式：[  ]</w:t>
      </w:r>
    </w:p>
    <w:p w14:paraId="60AEBDE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3FEDF86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5DB7B98F">
      <w:pPr>
        <w:spacing w:line="360" w:lineRule="exact"/>
        <w:ind w:firstLine="480" w:firstLineChars="200"/>
        <w:rPr>
          <w:rFonts w:ascii="仿宋" w:hAnsi="仿宋" w:eastAsia="仿宋" w:cs="Times New Roman"/>
          <w:sz w:val="24"/>
        </w:rPr>
      </w:pPr>
    </w:p>
    <w:p w14:paraId="6CAAAA72">
      <w:pPr>
        <w:spacing w:line="360" w:lineRule="exact"/>
        <w:rPr>
          <w:rFonts w:ascii="仿宋" w:hAnsi="仿宋" w:eastAsia="仿宋" w:cs="Times New Roman"/>
          <w:sz w:val="24"/>
        </w:rPr>
      </w:pPr>
      <w:r>
        <w:rPr>
          <w:rFonts w:hint="eastAsia" w:ascii="仿宋" w:hAnsi="仿宋" w:eastAsia="仿宋" w:cs="Times New Roman"/>
          <w:sz w:val="24"/>
        </w:rPr>
        <w:t>承诺单位（盖章）：[  ]</w:t>
      </w:r>
    </w:p>
    <w:p w14:paraId="5D3C1A6A">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9278162">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t>或授权代表（签字）：</w:t>
      </w:r>
    </w:p>
    <w:p w14:paraId="7F0E2612">
      <w:pPr>
        <w:spacing w:line="360" w:lineRule="exact"/>
        <w:rPr>
          <w:rFonts w:hint="eastAsia" w:ascii="仿宋" w:hAnsi="仿宋" w:eastAsia="仿宋" w:cs="Times New Roman"/>
          <w:sz w:val="24"/>
          <w:lang w:eastAsia="zh-CN"/>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七 服务项目人员名单</w:t>
      </w:r>
    </w:p>
    <w:p w14:paraId="4684CFE8">
      <w:pPr>
        <w:spacing w:line="360" w:lineRule="exact"/>
        <w:ind w:firstLine="0"/>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服务项目人员名单</w:t>
      </w:r>
    </w:p>
    <w:tbl>
      <w:tblPr>
        <w:tblStyle w:val="85"/>
        <w:tblW w:w="5000" w:type="pct"/>
        <w:tblInd w:w="0" w:type="dxa"/>
        <w:tblLayout w:type="fixed"/>
        <w:tblCellMar>
          <w:top w:w="0" w:type="dxa"/>
          <w:left w:w="108" w:type="dxa"/>
          <w:bottom w:w="0" w:type="dxa"/>
          <w:right w:w="108" w:type="dxa"/>
        </w:tblCellMar>
      </w:tblPr>
      <w:tblGrid>
        <w:gridCol w:w="611"/>
        <w:gridCol w:w="1082"/>
        <w:gridCol w:w="932"/>
        <w:gridCol w:w="1780"/>
        <w:gridCol w:w="819"/>
        <w:gridCol w:w="1612"/>
        <w:gridCol w:w="1272"/>
        <w:gridCol w:w="613"/>
      </w:tblGrid>
      <w:tr w14:paraId="3490308D">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20240AD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3729777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6E35B911">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2428ACC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516C959B">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D982A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7FDB1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B2DBFA">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3F4A1E57">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6DD96B61">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6CDFEBC6">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0254BBBC">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24414C1E">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0B3DA1C6">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40CFF4D5">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9CC5113">
            <w:pPr>
              <w:tabs>
                <w:tab w:val="left" w:pos="7980"/>
              </w:tabs>
              <w:spacing w:line="360" w:lineRule="exact"/>
              <w:jc w:val="left"/>
              <w:rPr>
                <w:rFonts w:ascii="仿宋" w:hAnsi="仿宋" w:eastAsia="仿宋" w:cs="Times New Roman"/>
                <w:kern w:val="0"/>
                <w:sz w:val="24"/>
              </w:rPr>
            </w:pPr>
          </w:p>
        </w:tc>
      </w:tr>
      <w:tr w14:paraId="28CFB1F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44DB07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2111ED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6B8157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982CF05">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AD5C28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13857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EE36D0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3D85B2A">
            <w:pPr>
              <w:tabs>
                <w:tab w:val="left" w:pos="7980"/>
              </w:tabs>
              <w:spacing w:line="360" w:lineRule="exact"/>
              <w:jc w:val="left"/>
              <w:rPr>
                <w:rFonts w:ascii="仿宋" w:hAnsi="仿宋" w:eastAsia="仿宋" w:cs="Times New Roman"/>
                <w:kern w:val="0"/>
                <w:sz w:val="24"/>
              </w:rPr>
            </w:pPr>
          </w:p>
        </w:tc>
      </w:tr>
      <w:tr w14:paraId="18D1331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B578D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6D9EE50B">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E1AF96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C6E95C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088134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CC4366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6F79BF8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5C663B3">
            <w:pPr>
              <w:tabs>
                <w:tab w:val="left" w:pos="7980"/>
              </w:tabs>
              <w:spacing w:line="360" w:lineRule="exact"/>
              <w:jc w:val="left"/>
              <w:rPr>
                <w:rFonts w:ascii="仿宋" w:hAnsi="仿宋" w:eastAsia="仿宋" w:cs="Times New Roman"/>
                <w:kern w:val="0"/>
                <w:sz w:val="24"/>
              </w:rPr>
            </w:pPr>
          </w:p>
        </w:tc>
      </w:tr>
      <w:tr w14:paraId="29CAF55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B25228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2CB0A9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DE10A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CCD17C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BCFD5B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636218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E0020E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85A45F">
            <w:pPr>
              <w:tabs>
                <w:tab w:val="left" w:pos="7980"/>
              </w:tabs>
              <w:spacing w:line="360" w:lineRule="exact"/>
              <w:jc w:val="left"/>
              <w:rPr>
                <w:rFonts w:ascii="仿宋" w:hAnsi="仿宋" w:eastAsia="仿宋" w:cs="Times New Roman"/>
                <w:kern w:val="0"/>
                <w:sz w:val="24"/>
              </w:rPr>
            </w:pPr>
          </w:p>
        </w:tc>
      </w:tr>
      <w:tr w14:paraId="22CC314B">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159FF9F">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429A2C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1DDD4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2EDEFE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4CDA43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0F06F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3B0BD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1C48D02">
            <w:pPr>
              <w:tabs>
                <w:tab w:val="left" w:pos="7980"/>
              </w:tabs>
              <w:spacing w:line="360" w:lineRule="exact"/>
              <w:jc w:val="left"/>
              <w:rPr>
                <w:rFonts w:ascii="仿宋" w:hAnsi="仿宋" w:eastAsia="仿宋" w:cs="Times New Roman"/>
                <w:kern w:val="0"/>
                <w:sz w:val="24"/>
              </w:rPr>
            </w:pPr>
          </w:p>
        </w:tc>
      </w:tr>
      <w:tr w14:paraId="4344887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2A7FC21">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B6EE1B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F0AF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4D1EF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AC8B3B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CEE8D16">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7EF585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2F7F6D6">
            <w:pPr>
              <w:tabs>
                <w:tab w:val="left" w:pos="7980"/>
              </w:tabs>
              <w:spacing w:line="360" w:lineRule="exact"/>
              <w:jc w:val="left"/>
              <w:rPr>
                <w:rFonts w:ascii="仿宋" w:hAnsi="仿宋" w:eastAsia="仿宋" w:cs="Times New Roman"/>
                <w:kern w:val="0"/>
                <w:sz w:val="24"/>
              </w:rPr>
            </w:pPr>
          </w:p>
        </w:tc>
      </w:tr>
      <w:tr w14:paraId="271413F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579481D">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5590E0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40E538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F47E1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DF70B6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7F3FE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11DA96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F2C9328">
            <w:pPr>
              <w:tabs>
                <w:tab w:val="left" w:pos="7980"/>
              </w:tabs>
              <w:spacing w:line="360" w:lineRule="exact"/>
              <w:jc w:val="left"/>
              <w:rPr>
                <w:rFonts w:ascii="仿宋" w:hAnsi="仿宋" w:eastAsia="仿宋" w:cs="Times New Roman"/>
                <w:kern w:val="0"/>
                <w:sz w:val="24"/>
              </w:rPr>
            </w:pPr>
          </w:p>
        </w:tc>
      </w:tr>
      <w:tr w14:paraId="7C91A34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3B69D9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46F81D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3A0317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4072C56">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CACACA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A20955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DE3BBD">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0CD18A6">
            <w:pPr>
              <w:tabs>
                <w:tab w:val="left" w:pos="7980"/>
              </w:tabs>
              <w:spacing w:line="360" w:lineRule="exact"/>
              <w:jc w:val="left"/>
              <w:rPr>
                <w:rFonts w:ascii="仿宋" w:hAnsi="仿宋" w:eastAsia="仿宋" w:cs="Times New Roman"/>
                <w:kern w:val="0"/>
                <w:sz w:val="24"/>
              </w:rPr>
            </w:pPr>
          </w:p>
        </w:tc>
      </w:tr>
      <w:tr w14:paraId="2850562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C79E13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8F9599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183EB0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D8585D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82347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9A84B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9FC328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11899D1">
            <w:pPr>
              <w:tabs>
                <w:tab w:val="left" w:pos="7980"/>
              </w:tabs>
              <w:spacing w:line="360" w:lineRule="exact"/>
              <w:jc w:val="left"/>
              <w:rPr>
                <w:rFonts w:ascii="仿宋" w:hAnsi="仿宋" w:eastAsia="仿宋" w:cs="Times New Roman"/>
                <w:kern w:val="0"/>
                <w:sz w:val="24"/>
              </w:rPr>
            </w:pPr>
          </w:p>
        </w:tc>
      </w:tr>
      <w:tr w14:paraId="3FBA15B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AF16F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5DE938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CE08E1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06B945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3071B3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9C575F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46E78A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6EB95B3">
            <w:pPr>
              <w:tabs>
                <w:tab w:val="left" w:pos="7980"/>
              </w:tabs>
              <w:spacing w:line="360" w:lineRule="exact"/>
              <w:jc w:val="left"/>
              <w:rPr>
                <w:rFonts w:ascii="仿宋" w:hAnsi="仿宋" w:eastAsia="仿宋" w:cs="Times New Roman"/>
                <w:kern w:val="0"/>
                <w:sz w:val="24"/>
              </w:rPr>
            </w:pPr>
          </w:p>
        </w:tc>
      </w:tr>
      <w:tr w14:paraId="4C8B2B3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5298D4A">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32F4F53">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1D04B4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309AE5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2D7A51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D404E1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AB5929">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8EA8F37">
            <w:pPr>
              <w:tabs>
                <w:tab w:val="left" w:pos="7980"/>
              </w:tabs>
              <w:spacing w:line="360" w:lineRule="exact"/>
              <w:jc w:val="left"/>
              <w:rPr>
                <w:rFonts w:ascii="仿宋" w:hAnsi="仿宋" w:eastAsia="仿宋" w:cs="Times New Roman"/>
                <w:kern w:val="0"/>
                <w:sz w:val="24"/>
              </w:rPr>
            </w:pPr>
          </w:p>
        </w:tc>
      </w:tr>
      <w:tr w14:paraId="5CA50C1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AD5384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2CC303B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3DDDE04">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BC0C6AE">
            <w:pPr>
              <w:tabs>
                <w:tab w:val="left" w:pos="7980"/>
              </w:tabs>
              <w:spacing w:line="360" w:lineRule="exact"/>
              <w:jc w:val="left"/>
              <w:rPr>
                <w:rFonts w:ascii="仿宋" w:hAnsi="仿宋" w:eastAsia="仿宋" w:cs="Times New Roman"/>
                <w:kern w:val="0"/>
                <w:sz w:val="24"/>
              </w:rPr>
            </w:pPr>
            <w:bookmarkStart w:id="645" w:name="OLE_LINK1"/>
            <w:r>
              <w:rPr>
                <w:rFonts w:hint="eastAsia" w:ascii="仿宋" w:hAnsi="仿宋" w:eastAsia="仿宋" w:cs="Times New Roman"/>
                <w:kern w:val="0"/>
                <w:sz w:val="24"/>
              </w:rPr>
              <w:t>项目联系人</w:t>
            </w:r>
            <w:bookmarkEnd w:id="645"/>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DE714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75283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E7A8971">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114467">
            <w:pPr>
              <w:tabs>
                <w:tab w:val="left" w:pos="7980"/>
              </w:tabs>
              <w:spacing w:line="360" w:lineRule="exact"/>
              <w:jc w:val="left"/>
              <w:rPr>
                <w:rFonts w:ascii="仿宋" w:hAnsi="仿宋" w:eastAsia="仿宋" w:cs="Times New Roman"/>
                <w:kern w:val="0"/>
                <w:sz w:val="24"/>
              </w:rPr>
            </w:pPr>
          </w:p>
        </w:tc>
      </w:tr>
      <w:tr w14:paraId="373EBD5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3880FCC">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129599F1">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9735A03">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39F7813">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77E600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E341C0D">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C925E6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29CD13">
            <w:pPr>
              <w:tabs>
                <w:tab w:val="left" w:pos="7980"/>
              </w:tabs>
              <w:spacing w:line="360" w:lineRule="exact"/>
              <w:jc w:val="left"/>
              <w:rPr>
                <w:rFonts w:ascii="仿宋" w:hAnsi="仿宋" w:eastAsia="仿宋" w:cs="Times New Roman"/>
                <w:kern w:val="0"/>
                <w:sz w:val="24"/>
              </w:rPr>
            </w:pPr>
          </w:p>
        </w:tc>
      </w:tr>
      <w:tr w14:paraId="5DD3F63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2FD20A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7E2325E4">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FEFCD7">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973F33D">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4456560">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7E282E9">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C1D18B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D9505D8">
            <w:pPr>
              <w:tabs>
                <w:tab w:val="left" w:pos="7980"/>
              </w:tabs>
              <w:spacing w:line="360" w:lineRule="exact"/>
              <w:jc w:val="left"/>
              <w:rPr>
                <w:rFonts w:ascii="仿宋" w:hAnsi="仿宋" w:eastAsia="仿宋" w:cs="Times New Roman"/>
                <w:kern w:val="0"/>
                <w:sz w:val="24"/>
              </w:rPr>
            </w:pPr>
          </w:p>
        </w:tc>
      </w:tr>
      <w:tr w14:paraId="018FE23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F7C4B7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73B1ED67">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EAD734A">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D5C225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6A96E7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8DF0E9A">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FFBB6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B3A7E8">
            <w:pPr>
              <w:tabs>
                <w:tab w:val="left" w:pos="7980"/>
              </w:tabs>
              <w:spacing w:line="360" w:lineRule="exact"/>
              <w:jc w:val="left"/>
              <w:rPr>
                <w:rFonts w:ascii="仿宋" w:hAnsi="仿宋" w:eastAsia="仿宋" w:cs="Times New Roman"/>
                <w:kern w:val="0"/>
                <w:sz w:val="24"/>
              </w:rPr>
            </w:pPr>
          </w:p>
        </w:tc>
      </w:tr>
      <w:tr w14:paraId="47E23B9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B3254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0B1171B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1CB4DB9">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6B43D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AE37E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BF0FE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E67DA7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EFCC42C">
            <w:pPr>
              <w:tabs>
                <w:tab w:val="left" w:pos="7980"/>
              </w:tabs>
              <w:spacing w:line="360" w:lineRule="exact"/>
              <w:jc w:val="left"/>
              <w:rPr>
                <w:rFonts w:ascii="仿宋" w:hAnsi="仿宋" w:eastAsia="仿宋" w:cs="Times New Roman"/>
                <w:kern w:val="0"/>
                <w:sz w:val="24"/>
              </w:rPr>
            </w:pPr>
          </w:p>
        </w:tc>
      </w:tr>
      <w:tr w14:paraId="121C9B8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578DC4E">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1BE6671">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AD7C705">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A81BE7A">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F74CD8F">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76F4B89">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64CD22">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6920BC0">
            <w:pPr>
              <w:rPr>
                <w:rFonts w:ascii="宋体" w:hAnsi="宋体" w:eastAsia="宋体" w:cs="宋体"/>
                <w:sz w:val="24"/>
              </w:rPr>
            </w:pPr>
          </w:p>
        </w:tc>
      </w:tr>
      <w:tr w14:paraId="4AD72137">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21363A1">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813C3F9">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AFC1E34">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8C7BB57">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44677E">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379CCDF">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FFA2F79">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303F859">
            <w:pPr>
              <w:rPr>
                <w:rFonts w:ascii="宋体" w:hAnsi="宋体" w:eastAsia="宋体" w:cs="宋体"/>
                <w:sz w:val="24"/>
              </w:rPr>
            </w:pPr>
          </w:p>
        </w:tc>
      </w:tr>
      <w:tr w14:paraId="48D8F50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9D4D567">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3E0A337C">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773DC1E">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F53A082">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AE2158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CE1B5C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B2B9E62">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982E0D3">
            <w:pPr>
              <w:rPr>
                <w:rFonts w:ascii="宋体" w:hAnsi="宋体" w:eastAsia="宋体" w:cs="宋体"/>
                <w:sz w:val="24"/>
              </w:rPr>
            </w:pPr>
          </w:p>
        </w:tc>
      </w:tr>
    </w:tbl>
    <w:p w14:paraId="07868681">
      <w:pPr>
        <w:rPr>
          <w:rFonts w:hint="eastAsia" w:ascii="仿宋" w:hAnsi="仿宋" w:eastAsia="仿宋" w:cs="仿宋"/>
          <w:sz w:val="24"/>
          <w:szCs w:val="24"/>
          <w:lang w:val="en-US" w:eastAsia="zh-CN"/>
        </w:rPr>
      </w:pPr>
    </w:p>
    <w:p w14:paraId="504D78CF">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485AF02D">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八</w:t>
      </w:r>
      <w:r>
        <w:rPr>
          <w:rFonts w:hint="eastAsia" w:ascii="仿宋" w:hAnsi="仿宋" w:eastAsia="仿宋" w:cs="Times New Roman"/>
          <w:sz w:val="24"/>
        </w:rPr>
        <w:t>：</w:t>
      </w:r>
      <w:r>
        <w:rPr>
          <w:rFonts w:hint="eastAsia" w:ascii="仿宋" w:hAnsi="仿宋" w:eastAsia="仿宋" w:cs="Times New Roman"/>
          <w:sz w:val="24"/>
          <w:lang w:val="en-US" w:eastAsia="zh-CN"/>
        </w:rPr>
        <w:t>投标</w:t>
      </w:r>
      <w:r>
        <w:rPr>
          <w:rFonts w:hint="eastAsia" w:ascii="仿宋" w:hAnsi="仿宋" w:eastAsia="仿宋" w:cs="Times New Roman"/>
          <w:sz w:val="24"/>
        </w:rPr>
        <w:t xml:space="preserve">文件正偏离信息表 </w:t>
      </w:r>
    </w:p>
    <w:p w14:paraId="50780060">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九</w:t>
      </w:r>
      <w:r>
        <w:rPr>
          <w:rFonts w:hint="eastAsia" w:ascii="仿宋" w:hAnsi="仿宋" w:eastAsia="仿宋" w:cs="Times New Roman"/>
          <w:sz w:val="24"/>
        </w:rPr>
        <w:t>： 外部组件软件成分信息清单</w:t>
      </w:r>
    </w:p>
    <w:p w14:paraId="38E32B6B">
      <w:pPr>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center"/>
        <w:textAlignment w:val="auto"/>
        <w:outlineLvl w:val="1"/>
        <w:rPr>
          <w:rFonts w:hint="eastAsia" w:ascii="宋体" w:hAnsi="宋体" w:eastAsia="宋体" w:cs="Times New Roman"/>
          <w:b/>
          <w:bCs/>
          <w:kern w:val="2"/>
          <w:sz w:val="24"/>
          <w:szCs w:val="24"/>
          <w:lang w:val="en-US" w:eastAsia="zh-CN" w:bidi="ar-SA"/>
        </w:rPr>
      </w:pPr>
      <w:bookmarkStart w:id="646" w:name="_Toc9826"/>
      <w:bookmarkStart w:id="647" w:name="_Toc13303"/>
      <w:r>
        <w:rPr>
          <w:rFonts w:hint="eastAsia" w:ascii="宋体" w:hAnsi="宋体" w:eastAsia="宋体" w:cs="Times New Roman"/>
          <w:b/>
          <w:bCs/>
          <w:kern w:val="2"/>
          <w:sz w:val="24"/>
          <w:szCs w:val="24"/>
          <w:lang w:val="en-US" w:eastAsia="zh-CN" w:bidi="ar-SA"/>
        </w:rPr>
        <w:t>外部组件软件成分信息清单模版</w:t>
      </w:r>
      <w:bookmarkEnd w:id="646"/>
      <w:bookmarkEnd w:id="647"/>
    </w:p>
    <w:p w14:paraId="2842169E">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C883810">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4DA18AA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66A3CE8E">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088CBB5B">
      <w:pPr>
        <w:spacing w:line="0" w:lineRule="atLeast"/>
        <w:jc w:val="left"/>
        <w:rPr>
          <w:rFonts w:ascii="微软雅黑" w:hAnsi="微软雅黑" w:eastAsia="微软雅黑" w:cs="Times New Roman"/>
          <w:sz w:val="20"/>
          <w:szCs w:val="22"/>
        </w:rPr>
      </w:pPr>
    </w:p>
    <w:p w14:paraId="7BAA211D">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48" w:name="_Toc8697"/>
      <w:bookmarkStart w:id="649" w:name="_Toc31535"/>
      <w:bookmarkStart w:id="650" w:name="_Toc14966"/>
      <w:bookmarkStart w:id="651" w:name="_Toc813"/>
      <w:bookmarkStart w:id="652" w:name="_Toc11069"/>
      <w:bookmarkStart w:id="653" w:name="_Toc4492"/>
      <w:r>
        <w:rPr>
          <w:rFonts w:hint="eastAsia" w:ascii="等线" w:hAnsi="等线" w:eastAsia="等线" w:cs="Times New Roman"/>
          <w:b/>
          <w:kern w:val="2"/>
          <w:sz w:val="24"/>
          <w:szCs w:val="24"/>
          <w:lang w:val="en-US" w:eastAsia="zh-CN" w:bidi="ar-SA"/>
        </w:rPr>
        <w:t>一、软件基本信息</w:t>
      </w:r>
      <w:bookmarkEnd w:id="648"/>
      <w:bookmarkEnd w:id="649"/>
      <w:bookmarkEnd w:id="650"/>
      <w:bookmarkEnd w:id="651"/>
      <w:bookmarkEnd w:id="652"/>
      <w:bookmarkEnd w:id="653"/>
    </w:p>
    <w:tbl>
      <w:tblPr>
        <w:tblStyle w:val="85"/>
        <w:tblW w:w="5000" w:type="pct"/>
        <w:tblInd w:w="0" w:type="dxa"/>
        <w:tblLayout w:type="autofit"/>
        <w:tblCellMar>
          <w:top w:w="0" w:type="dxa"/>
          <w:left w:w="108" w:type="dxa"/>
          <w:bottom w:w="0" w:type="dxa"/>
          <w:right w:w="108" w:type="dxa"/>
        </w:tblCellMar>
      </w:tblPr>
      <w:tblGrid>
        <w:gridCol w:w="1611"/>
        <w:gridCol w:w="2108"/>
        <w:gridCol w:w="2759"/>
        <w:gridCol w:w="2242"/>
      </w:tblGrid>
      <w:tr w14:paraId="6639663E">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1332374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4D8DC9B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6DACA44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751FB9D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3F59CD0F">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4563575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noWrap w:val="0"/>
            <w:vAlign w:val="center"/>
          </w:tcPr>
          <w:p w14:paraId="3A76EA8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noWrap w:val="0"/>
            <w:vAlign w:val="center"/>
          </w:tcPr>
          <w:p w14:paraId="26B26FA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noWrap/>
            <w:vAlign w:val="bottom"/>
          </w:tcPr>
          <w:p w14:paraId="1856523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53D31FF8">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5DA3C0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2B7F351E">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noWrap w:val="0"/>
            <w:vAlign w:val="center"/>
          </w:tcPr>
          <w:p w14:paraId="30C4C0E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noWrap/>
            <w:vAlign w:val="bottom"/>
          </w:tcPr>
          <w:p w14:paraId="6B9427E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2B648DF">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28209EC">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noWrap w:val="0"/>
            <w:vAlign w:val="center"/>
          </w:tcPr>
          <w:p w14:paraId="38AE3C79">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noWrap w:val="0"/>
            <w:vAlign w:val="center"/>
          </w:tcPr>
          <w:p w14:paraId="6B712DE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noWrap/>
            <w:vAlign w:val="bottom"/>
          </w:tcPr>
          <w:p w14:paraId="73F8A8F4">
            <w:pPr>
              <w:spacing w:line="360" w:lineRule="auto"/>
              <w:jc w:val="center"/>
              <w:rPr>
                <w:rFonts w:ascii="微软雅黑" w:hAnsi="微软雅黑" w:eastAsia="微软雅黑" w:cs="Times New Roman"/>
                <w:sz w:val="20"/>
                <w:szCs w:val="22"/>
                <w:highlight w:val="yellow"/>
              </w:rPr>
            </w:pPr>
          </w:p>
        </w:tc>
      </w:tr>
      <w:tr w14:paraId="71AF70D0">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CF31A9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3CCA1F0E">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noWrap w:val="0"/>
            <w:vAlign w:val="center"/>
          </w:tcPr>
          <w:p w14:paraId="6FC1C6B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51E3E74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39E917C">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3830062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3265FDC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noWrap w:val="0"/>
            <w:vAlign w:val="center"/>
          </w:tcPr>
          <w:p w14:paraId="132DD60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02E39F1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E3BEF8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B41044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4074DD8F">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noWrap w:val="0"/>
            <w:vAlign w:val="center"/>
          </w:tcPr>
          <w:p w14:paraId="4B033A7F">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noWrap/>
            <w:vAlign w:val="bottom"/>
          </w:tcPr>
          <w:p w14:paraId="012804A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57FB0A2C">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795E8B0">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1E98027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noWrap w:val="0"/>
            <w:vAlign w:val="center"/>
          </w:tcPr>
          <w:p w14:paraId="5FBFA00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noWrap/>
            <w:vAlign w:val="bottom"/>
          </w:tcPr>
          <w:p w14:paraId="3111583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F12F1E6">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40BE135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noWrap w:val="0"/>
            <w:vAlign w:val="center"/>
          </w:tcPr>
          <w:p w14:paraId="1A872F2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noWrap w:val="0"/>
            <w:vAlign w:val="center"/>
          </w:tcPr>
          <w:p w14:paraId="2F2D01A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5EB3217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014EDD7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54" w:name="_Toc23153"/>
      <w:bookmarkStart w:id="655" w:name="_Toc25766"/>
      <w:bookmarkStart w:id="656" w:name="_Toc7529"/>
      <w:bookmarkStart w:id="657" w:name="_Toc23511"/>
      <w:bookmarkStart w:id="658" w:name="_Toc23068"/>
      <w:bookmarkStart w:id="659" w:name="_Toc6165"/>
      <w:r>
        <w:rPr>
          <w:rFonts w:hint="eastAsia" w:ascii="等线" w:hAnsi="等线" w:eastAsia="等线" w:cs="Times New Roman"/>
          <w:b/>
          <w:kern w:val="2"/>
          <w:sz w:val="24"/>
          <w:szCs w:val="24"/>
          <w:lang w:val="en-US" w:eastAsia="zh-CN" w:bidi="ar-SA"/>
        </w:rPr>
        <w:t>二、软件成分明细</w:t>
      </w:r>
      <w:bookmarkEnd w:id="654"/>
      <w:bookmarkEnd w:id="655"/>
      <w:bookmarkEnd w:id="656"/>
      <w:bookmarkEnd w:id="657"/>
      <w:bookmarkEnd w:id="658"/>
      <w:bookmarkEnd w:id="659"/>
    </w:p>
    <w:p w14:paraId="7E6C502E">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091262A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2EC3CFC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60" w:name="_Toc26625"/>
      <w:bookmarkStart w:id="661" w:name="_Toc29718"/>
      <w:bookmarkStart w:id="662" w:name="_Toc15060"/>
      <w:bookmarkStart w:id="663" w:name="_Toc16860"/>
      <w:bookmarkStart w:id="664" w:name="_Toc10274"/>
      <w:bookmarkStart w:id="665" w:name="_Toc5558"/>
      <w:r>
        <w:rPr>
          <w:rFonts w:hint="eastAsia" w:ascii="等线" w:hAnsi="等线" w:eastAsia="等线" w:cs="Times New Roman"/>
          <w:b/>
          <w:kern w:val="2"/>
          <w:sz w:val="24"/>
          <w:szCs w:val="24"/>
          <w:lang w:val="en-US" w:eastAsia="zh-CN" w:bidi="ar-SA"/>
        </w:rPr>
        <w:t>2.1 开发工具类</w:t>
      </w:r>
      <w:bookmarkEnd w:id="660"/>
      <w:bookmarkEnd w:id="661"/>
      <w:bookmarkEnd w:id="662"/>
      <w:bookmarkEnd w:id="663"/>
      <w:bookmarkEnd w:id="664"/>
      <w:bookmarkEnd w:id="665"/>
    </w:p>
    <w:p w14:paraId="24D80483">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1193EDC9">
      <w:pPr>
        <w:spacing w:line="0" w:lineRule="atLeast"/>
        <w:jc w:val="left"/>
        <w:rPr>
          <w:rFonts w:ascii="微软雅黑" w:hAnsi="微软雅黑" w:eastAsia="微软雅黑" w:cs="Times New Roman"/>
          <w:sz w:val="20"/>
          <w:szCs w:val="22"/>
        </w:rPr>
      </w:pPr>
    </w:p>
    <w:tbl>
      <w:tblPr>
        <w:tblStyle w:val="85"/>
        <w:tblW w:w="5000" w:type="pct"/>
        <w:tblInd w:w="0" w:type="dxa"/>
        <w:tblLayout w:type="fixed"/>
        <w:tblCellMar>
          <w:top w:w="0" w:type="dxa"/>
          <w:left w:w="108" w:type="dxa"/>
          <w:bottom w:w="0" w:type="dxa"/>
          <w:right w:w="108" w:type="dxa"/>
        </w:tblCellMar>
      </w:tblPr>
      <w:tblGrid>
        <w:gridCol w:w="557"/>
        <w:gridCol w:w="1077"/>
        <w:gridCol w:w="717"/>
        <w:gridCol w:w="1032"/>
        <w:gridCol w:w="2373"/>
        <w:gridCol w:w="2075"/>
        <w:gridCol w:w="888"/>
      </w:tblGrid>
      <w:tr w14:paraId="055953A2">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736E4D9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noWrap/>
            <w:vAlign w:val="center"/>
          </w:tcPr>
          <w:p w14:paraId="64F7ECE2">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noWrap/>
            <w:vAlign w:val="center"/>
          </w:tcPr>
          <w:p w14:paraId="7655AD9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noWrap/>
            <w:vAlign w:val="center"/>
          </w:tcPr>
          <w:p w14:paraId="6750133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noWrap/>
            <w:vAlign w:val="center"/>
          </w:tcPr>
          <w:p w14:paraId="200085F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noWrap/>
            <w:vAlign w:val="center"/>
          </w:tcPr>
          <w:p w14:paraId="5AAC24C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noWrap/>
            <w:vAlign w:val="center"/>
          </w:tcPr>
          <w:p w14:paraId="44AC05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5F56D4F0">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03A29CC5">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noWrap/>
            <w:vAlign w:val="center"/>
          </w:tcPr>
          <w:p w14:paraId="4ABF7B0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noWrap/>
            <w:vAlign w:val="center"/>
          </w:tcPr>
          <w:p w14:paraId="62840582">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noWrap/>
            <w:vAlign w:val="center"/>
          </w:tcPr>
          <w:p w14:paraId="7275CE3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noWrap/>
            <w:vAlign w:val="center"/>
          </w:tcPr>
          <w:p w14:paraId="4541CC9E">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noWrap/>
            <w:vAlign w:val="center"/>
          </w:tcPr>
          <w:p w14:paraId="7063DDF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noWrap/>
            <w:vAlign w:val="bottom"/>
          </w:tcPr>
          <w:p w14:paraId="5604ED2B">
            <w:pPr>
              <w:widowControl/>
              <w:spacing w:line="360" w:lineRule="auto"/>
              <w:jc w:val="left"/>
              <w:rPr>
                <w:rFonts w:ascii="等线" w:hAnsi="等线" w:eastAsia="等线" w:cs="宋体"/>
                <w:color w:val="5B9BD5"/>
                <w:kern w:val="0"/>
                <w:sz w:val="22"/>
                <w:szCs w:val="22"/>
              </w:rPr>
            </w:pPr>
          </w:p>
        </w:tc>
      </w:tr>
      <w:tr w14:paraId="5B66FC7D">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3BA2250D">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ign w:val="center"/>
          </w:tcPr>
          <w:p w14:paraId="78DD2E0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noWrap/>
            <w:vAlign w:val="bottom"/>
          </w:tcPr>
          <w:p w14:paraId="6D3A6D5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061E07A1">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0D99FF8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43A5CFB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749DD87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F03367C">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146741EE">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ign w:val="center"/>
          </w:tcPr>
          <w:p w14:paraId="28D389E1">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noWrap/>
            <w:vAlign w:val="bottom"/>
          </w:tcPr>
          <w:p w14:paraId="71938B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5A9D683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36CB962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4FE91B6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680EDF1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C2A8EB">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2079327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noWrap/>
            <w:vAlign w:val="center"/>
          </w:tcPr>
          <w:p w14:paraId="5DF96F0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noWrap/>
            <w:vAlign w:val="bottom"/>
          </w:tcPr>
          <w:p w14:paraId="4627463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noWrap/>
            <w:vAlign w:val="bottom"/>
          </w:tcPr>
          <w:p w14:paraId="50F21F6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noWrap/>
            <w:vAlign w:val="bottom"/>
          </w:tcPr>
          <w:p w14:paraId="1BF6FA4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noWrap/>
            <w:vAlign w:val="bottom"/>
          </w:tcPr>
          <w:p w14:paraId="691EEE6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noWrap/>
            <w:vAlign w:val="bottom"/>
          </w:tcPr>
          <w:p w14:paraId="5B8830B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EECEBE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7C0AB830">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noWrap/>
            <w:vAlign w:val="center"/>
          </w:tcPr>
          <w:p w14:paraId="7B93DE1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noWrap/>
            <w:vAlign w:val="bottom"/>
          </w:tcPr>
          <w:p w14:paraId="49D07C7D">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6D9B18C0">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032DF12B">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533C9F6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72AE3EC6">
            <w:pPr>
              <w:widowControl/>
              <w:spacing w:line="360" w:lineRule="auto"/>
              <w:jc w:val="left"/>
              <w:rPr>
                <w:rFonts w:ascii="等线" w:hAnsi="等线" w:eastAsia="等线" w:cs="宋体"/>
                <w:color w:val="000000"/>
                <w:kern w:val="0"/>
                <w:sz w:val="22"/>
                <w:szCs w:val="22"/>
              </w:rPr>
            </w:pPr>
          </w:p>
        </w:tc>
      </w:tr>
      <w:tr w14:paraId="1A42FA8A">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3C12D9D0">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noWrap/>
            <w:vAlign w:val="center"/>
          </w:tcPr>
          <w:p w14:paraId="7F4B886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noWrap/>
            <w:vAlign w:val="bottom"/>
          </w:tcPr>
          <w:p w14:paraId="1429C87C">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4683A1B8">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763274A5">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76996E0E">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436C0848">
            <w:pPr>
              <w:widowControl/>
              <w:spacing w:line="360" w:lineRule="auto"/>
              <w:jc w:val="left"/>
              <w:rPr>
                <w:rFonts w:ascii="等线" w:hAnsi="等线" w:eastAsia="等线" w:cs="宋体"/>
                <w:color w:val="000000"/>
                <w:kern w:val="0"/>
                <w:sz w:val="22"/>
                <w:szCs w:val="22"/>
              </w:rPr>
            </w:pPr>
          </w:p>
        </w:tc>
      </w:tr>
      <w:tr w14:paraId="5033200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474B929F">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noWrap/>
            <w:vAlign w:val="center"/>
          </w:tcPr>
          <w:p w14:paraId="4C5A2D29">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noWrap/>
            <w:vAlign w:val="bottom"/>
          </w:tcPr>
          <w:p w14:paraId="65601B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noWrap/>
            <w:vAlign w:val="bottom"/>
          </w:tcPr>
          <w:p w14:paraId="26A7BB20">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noWrap/>
            <w:vAlign w:val="bottom"/>
          </w:tcPr>
          <w:p w14:paraId="2840A39D">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noWrap/>
            <w:vAlign w:val="bottom"/>
          </w:tcPr>
          <w:p w14:paraId="78F16306">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noWrap/>
            <w:vAlign w:val="bottom"/>
          </w:tcPr>
          <w:p w14:paraId="4D21B15C">
            <w:pPr>
              <w:widowControl/>
              <w:spacing w:line="360" w:lineRule="auto"/>
              <w:jc w:val="left"/>
              <w:rPr>
                <w:rFonts w:ascii="等线" w:hAnsi="等线" w:eastAsia="等线" w:cs="宋体"/>
                <w:color w:val="000000"/>
                <w:kern w:val="0"/>
                <w:sz w:val="22"/>
                <w:szCs w:val="22"/>
              </w:rPr>
            </w:pPr>
          </w:p>
        </w:tc>
      </w:tr>
    </w:tbl>
    <w:p w14:paraId="34F268EC">
      <w:pPr>
        <w:spacing w:line="360" w:lineRule="auto"/>
        <w:jc w:val="left"/>
        <w:rPr>
          <w:rFonts w:ascii="微软雅黑" w:hAnsi="微软雅黑" w:eastAsia="微软雅黑" w:cs="Times New Roman"/>
          <w:i/>
          <w:sz w:val="20"/>
          <w:szCs w:val="22"/>
        </w:rPr>
      </w:pPr>
    </w:p>
    <w:p w14:paraId="5DE27ED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66" w:name="_Toc11278"/>
      <w:bookmarkStart w:id="667" w:name="_Toc30582"/>
      <w:bookmarkStart w:id="668" w:name="_Toc23836"/>
      <w:bookmarkStart w:id="669" w:name="_Toc10030"/>
      <w:bookmarkStart w:id="670" w:name="_Toc7959"/>
      <w:r>
        <w:rPr>
          <w:rFonts w:hint="eastAsia" w:ascii="等线" w:hAnsi="等线" w:eastAsia="等线" w:cs="Times New Roman"/>
          <w:b/>
          <w:kern w:val="2"/>
          <w:sz w:val="24"/>
          <w:szCs w:val="24"/>
          <w:lang w:val="en-US" w:eastAsia="zh-CN" w:bidi="ar-SA"/>
        </w:rPr>
        <w:t>2.2 第三方软件类</w:t>
      </w:r>
      <w:bookmarkEnd w:id="666"/>
      <w:bookmarkEnd w:id="667"/>
      <w:bookmarkEnd w:id="668"/>
      <w:bookmarkEnd w:id="669"/>
      <w:bookmarkEnd w:id="670"/>
    </w:p>
    <w:p w14:paraId="673C87EA">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85"/>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E9161C0">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noWrap/>
            <w:vAlign w:val="bottom"/>
          </w:tcPr>
          <w:p w14:paraId="7E1120F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noWrap/>
            <w:vAlign w:val="bottom"/>
          </w:tcPr>
          <w:p w14:paraId="15C651D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noWrap/>
            <w:vAlign w:val="bottom"/>
          </w:tcPr>
          <w:p w14:paraId="57C3119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noWrap/>
            <w:vAlign w:val="bottom"/>
          </w:tcPr>
          <w:p w14:paraId="633ED7F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noWrap/>
            <w:vAlign w:val="bottom"/>
          </w:tcPr>
          <w:p w14:paraId="4C9967C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noWrap/>
            <w:vAlign w:val="bottom"/>
          </w:tcPr>
          <w:p w14:paraId="1968B32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noWrap/>
            <w:vAlign w:val="bottom"/>
          </w:tcPr>
          <w:p w14:paraId="4935DCE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AEB3DC0">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1DA77A7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noWrap/>
            <w:vAlign w:val="center"/>
          </w:tcPr>
          <w:p w14:paraId="519946C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noWrap/>
            <w:vAlign w:val="center"/>
          </w:tcPr>
          <w:p w14:paraId="1248CCC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noWrap/>
            <w:vAlign w:val="center"/>
          </w:tcPr>
          <w:p w14:paraId="199F5DED">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noWrap/>
            <w:vAlign w:val="center"/>
          </w:tcPr>
          <w:p w14:paraId="71466AE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noWrap/>
            <w:vAlign w:val="center"/>
          </w:tcPr>
          <w:p w14:paraId="46D29217">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noWrap/>
            <w:vAlign w:val="bottom"/>
          </w:tcPr>
          <w:p w14:paraId="1D968FFD">
            <w:pPr>
              <w:widowControl/>
              <w:spacing w:line="360" w:lineRule="auto"/>
              <w:jc w:val="left"/>
              <w:rPr>
                <w:rFonts w:ascii="等线" w:hAnsi="等线" w:eastAsia="等线" w:cs="宋体"/>
                <w:color w:val="000000"/>
                <w:kern w:val="0"/>
                <w:sz w:val="22"/>
                <w:szCs w:val="22"/>
              </w:rPr>
            </w:pPr>
          </w:p>
        </w:tc>
      </w:tr>
      <w:tr w14:paraId="2CC25C9A">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5D38D09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noWrap/>
            <w:vAlign w:val="center"/>
          </w:tcPr>
          <w:p w14:paraId="6449A7C6">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noWrap/>
            <w:vAlign w:val="center"/>
          </w:tcPr>
          <w:p w14:paraId="22A7F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noWrap/>
            <w:vAlign w:val="center"/>
          </w:tcPr>
          <w:p w14:paraId="000A3B2F">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noWrap/>
            <w:vAlign w:val="center"/>
          </w:tcPr>
          <w:p w14:paraId="784D6A5F">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noWrap/>
            <w:vAlign w:val="center"/>
          </w:tcPr>
          <w:p w14:paraId="311E95CE">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noWrap/>
            <w:vAlign w:val="bottom"/>
          </w:tcPr>
          <w:p w14:paraId="6B920E55">
            <w:pPr>
              <w:widowControl/>
              <w:spacing w:line="360" w:lineRule="auto"/>
              <w:jc w:val="left"/>
              <w:rPr>
                <w:rFonts w:ascii="等线" w:hAnsi="等线" w:eastAsia="等线" w:cs="宋体"/>
                <w:color w:val="000000"/>
                <w:kern w:val="0"/>
                <w:sz w:val="22"/>
                <w:szCs w:val="22"/>
              </w:rPr>
            </w:pPr>
          </w:p>
        </w:tc>
      </w:tr>
      <w:tr w14:paraId="170C80E0">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bottom"/>
          </w:tcPr>
          <w:p w14:paraId="3697F83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noWrap/>
            <w:vAlign w:val="bottom"/>
          </w:tcPr>
          <w:p w14:paraId="2ACC40DE">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noWrap/>
            <w:vAlign w:val="bottom"/>
          </w:tcPr>
          <w:p w14:paraId="03234BF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7D98C00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0F74A94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55CEB54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19532CD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1FC0432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266EC1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noWrap/>
            <w:vAlign w:val="bottom"/>
          </w:tcPr>
          <w:p w14:paraId="56C35F3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noWrap/>
            <w:vAlign w:val="bottom"/>
          </w:tcPr>
          <w:p w14:paraId="1E1A837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30A1C329">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2B35750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0F05B3A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6D847A1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678224E">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noWrap/>
            <w:vAlign w:val="bottom"/>
          </w:tcPr>
          <w:p w14:paraId="0D8D1A2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noWrap/>
            <w:vAlign w:val="bottom"/>
          </w:tcPr>
          <w:p w14:paraId="26465DB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noWrap/>
            <w:vAlign w:val="bottom"/>
          </w:tcPr>
          <w:p w14:paraId="6E4906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noWrap/>
            <w:vAlign w:val="bottom"/>
          </w:tcPr>
          <w:p w14:paraId="7F46C5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noWrap/>
            <w:vAlign w:val="bottom"/>
          </w:tcPr>
          <w:p w14:paraId="7A26326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noWrap/>
            <w:vAlign w:val="bottom"/>
          </w:tcPr>
          <w:p w14:paraId="16837DF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noWrap/>
            <w:vAlign w:val="bottom"/>
          </w:tcPr>
          <w:p w14:paraId="48E4AE7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EE1A5E7">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004C72E6">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noWrap/>
            <w:vAlign w:val="bottom"/>
          </w:tcPr>
          <w:p w14:paraId="1AEB9BD8">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noWrap/>
            <w:vAlign w:val="bottom"/>
          </w:tcPr>
          <w:p w14:paraId="6F129921">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noWrap/>
            <w:vAlign w:val="bottom"/>
          </w:tcPr>
          <w:p w14:paraId="4090AA0C">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noWrap/>
            <w:vAlign w:val="bottom"/>
          </w:tcPr>
          <w:p w14:paraId="0E33BC9D">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noWrap/>
            <w:vAlign w:val="bottom"/>
          </w:tcPr>
          <w:p w14:paraId="717194ED">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noWrap/>
            <w:vAlign w:val="bottom"/>
          </w:tcPr>
          <w:p w14:paraId="7CE5C943">
            <w:pPr>
              <w:widowControl/>
              <w:spacing w:line="360" w:lineRule="auto"/>
              <w:jc w:val="left"/>
              <w:rPr>
                <w:rFonts w:ascii="等线" w:hAnsi="等线" w:eastAsia="等线" w:cs="宋体"/>
                <w:color w:val="000000"/>
                <w:kern w:val="0"/>
                <w:sz w:val="22"/>
                <w:szCs w:val="22"/>
              </w:rPr>
            </w:pPr>
          </w:p>
        </w:tc>
      </w:tr>
    </w:tbl>
    <w:p w14:paraId="1533D8A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71" w:name="_Toc23169"/>
      <w:bookmarkStart w:id="672" w:name="_Toc24990"/>
      <w:bookmarkStart w:id="673" w:name="_Toc19850"/>
      <w:bookmarkStart w:id="674" w:name="_Toc3194"/>
      <w:bookmarkStart w:id="675" w:name="_Toc7737"/>
      <w:bookmarkStart w:id="676" w:name="_Toc6854"/>
      <w:r>
        <w:rPr>
          <w:rFonts w:hint="eastAsia" w:ascii="等线" w:hAnsi="等线" w:eastAsia="等线" w:cs="Times New Roman"/>
          <w:b/>
          <w:kern w:val="2"/>
          <w:sz w:val="24"/>
          <w:szCs w:val="24"/>
          <w:lang w:val="en-US" w:eastAsia="zh-CN" w:bidi="ar-SA"/>
        </w:rPr>
        <w:t>2.3 开源软件类</w:t>
      </w:r>
      <w:bookmarkEnd w:id="671"/>
      <w:bookmarkEnd w:id="672"/>
      <w:bookmarkEnd w:id="673"/>
      <w:bookmarkEnd w:id="674"/>
      <w:bookmarkEnd w:id="675"/>
      <w:bookmarkEnd w:id="676"/>
    </w:p>
    <w:p w14:paraId="19775E2F">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06"/>
        <w:gridCol w:w="737"/>
        <w:gridCol w:w="1448"/>
        <w:gridCol w:w="1448"/>
        <w:gridCol w:w="2299"/>
        <w:gridCol w:w="1125"/>
      </w:tblGrid>
      <w:tr w14:paraId="76DF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4530F7B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noWrap/>
            <w:vAlign w:val="center"/>
          </w:tcPr>
          <w:p w14:paraId="63412E6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noWrap/>
            <w:vAlign w:val="center"/>
          </w:tcPr>
          <w:p w14:paraId="5B6DBC4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noWrap w:val="0"/>
            <w:vAlign w:val="center"/>
          </w:tcPr>
          <w:p w14:paraId="02E4464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noWrap/>
            <w:vAlign w:val="center"/>
          </w:tcPr>
          <w:p w14:paraId="78EEDCD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noWrap/>
            <w:vAlign w:val="center"/>
          </w:tcPr>
          <w:p w14:paraId="352441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28903C7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noWrap/>
            <w:vAlign w:val="center"/>
          </w:tcPr>
          <w:p w14:paraId="3FF2891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6D19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216C47CB">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noWrap/>
            <w:vAlign w:val="center"/>
          </w:tcPr>
          <w:p w14:paraId="5FA2D7EB">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noWrap/>
            <w:vAlign w:val="center"/>
          </w:tcPr>
          <w:p w14:paraId="764F3E9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noWrap w:val="0"/>
            <w:vAlign w:val="center"/>
          </w:tcPr>
          <w:p w14:paraId="65CA2A88">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noWrap/>
            <w:vAlign w:val="center"/>
          </w:tcPr>
          <w:p w14:paraId="2148BF2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noWrap/>
            <w:vAlign w:val="center"/>
          </w:tcPr>
          <w:p w14:paraId="4761495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noWrap/>
            <w:vAlign w:val="center"/>
          </w:tcPr>
          <w:p w14:paraId="6A8F7C79">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167B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5BABD11C">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noWrap/>
            <w:vAlign w:val="center"/>
          </w:tcPr>
          <w:p w14:paraId="543AF97C">
            <w:pPr>
              <w:widowControl/>
              <w:jc w:val="left"/>
              <w:textAlignment w:val="center"/>
              <w:rPr>
                <w:rFonts w:ascii="微软雅黑" w:hAnsi="微软雅黑" w:eastAsia="微软雅黑" w:cs="微软雅黑"/>
                <w:i/>
                <w:iCs/>
                <w:color w:val="000000"/>
                <w:szCs w:val="21"/>
              </w:rPr>
            </w:pPr>
          </w:p>
        </w:tc>
        <w:tc>
          <w:tcPr>
            <w:tcW w:w="423" w:type="pct"/>
            <w:noWrap/>
            <w:vAlign w:val="center"/>
          </w:tcPr>
          <w:p w14:paraId="4FC559DE">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4B2A419">
            <w:pPr>
              <w:widowControl/>
              <w:jc w:val="left"/>
              <w:textAlignment w:val="center"/>
              <w:rPr>
                <w:rFonts w:ascii="微软雅黑" w:hAnsi="微软雅黑" w:eastAsia="微软雅黑" w:cs="微软雅黑"/>
                <w:i/>
                <w:iCs/>
                <w:color w:val="000000"/>
                <w:szCs w:val="21"/>
              </w:rPr>
            </w:pPr>
          </w:p>
        </w:tc>
        <w:tc>
          <w:tcPr>
            <w:tcW w:w="830" w:type="pct"/>
            <w:noWrap/>
            <w:vAlign w:val="center"/>
          </w:tcPr>
          <w:p w14:paraId="3FE2603E">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14BF0128">
            <w:pPr>
              <w:widowControl/>
              <w:jc w:val="left"/>
              <w:textAlignment w:val="center"/>
              <w:rPr>
                <w:rFonts w:ascii="微软雅黑" w:hAnsi="微软雅黑" w:eastAsia="微软雅黑" w:cs="微软雅黑"/>
                <w:i/>
                <w:iCs/>
                <w:color w:val="000000"/>
                <w:szCs w:val="21"/>
              </w:rPr>
            </w:pPr>
          </w:p>
        </w:tc>
        <w:tc>
          <w:tcPr>
            <w:tcW w:w="645" w:type="pct"/>
            <w:noWrap/>
            <w:vAlign w:val="center"/>
          </w:tcPr>
          <w:p w14:paraId="32478471">
            <w:pPr>
              <w:widowControl/>
              <w:jc w:val="left"/>
              <w:textAlignment w:val="center"/>
              <w:rPr>
                <w:rFonts w:ascii="微软雅黑" w:hAnsi="微软雅黑" w:eastAsia="微软雅黑" w:cs="微软雅黑"/>
                <w:i/>
                <w:iCs/>
                <w:color w:val="000000"/>
                <w:szCs w:val="21"/>
              </w:rPr>
            </w:pPr>
          </w:p>
        </w:tc>
      </w:tr>
      <w:tr w14:paraId="16E3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27E3A4C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noWrap/>
            <w:vAlign w:val="center"/>
          </w:tcPr>
          <w:p w14:paraId="03F0A7D2">
            <w:pPr>
              <w:widowControl/>
              <w:jc w:val="left"/>
              <w:textAlignment w:val="center"/>
              <w:rPr>
                <w:rFonts w:ascii="微软雅黑" w:hAnsi="微软雅黑" w:eastAsia="微软雅黑" w:cs="微软雅黑"/>
                <w:i/>
                <w:iCs/>
                <w:color w:val="000000"/>
                <w:szCs w:val="21"/>
              </w:rPr>
            </w:pPr>
          </w:p>
        </w:tc>
        <w:tc>
          <w:tcPr>
            <w:tcW w:w="423" w:type="pct"/>
            <w:noWrap/>
            <w:vAlign w:val="center"/>
          </w:tcPr>
          <w:p w14:paraId="7B1427DC">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49F07AF8">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3FAF534">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78438B5A">
            <w:pPr>
              <w:widowControl/>
              <w:jc w:val="left"/>
              <w:textAlignment w:val="center"/>
              <w:rPr>
                <w:rFonts w:ascii="微软雅黑" w:hAnsi="微软雅黑" w:eastAsia="微软雅黑" w:cs="微软雅黑"/>
                <w:i/>
                <w:iCs/>
                <w:color w:val="000000"/>
                <w:szCs w:val="21"/>
              </w:rPr>
            </w:pPr>
          </w:p>
        </w:tc>
        <w:tc>
          <w:tcPr>
            <w:tcW w:w="645" w:type="pct"/>
            <w:noWrap/>
            <w:vAlign w:val="center"/>
          </w:tcPr>
          <w:p w14:paraId="028D5DE8">
            <w:pPr>
              <w:widowControl/>
              <w:jc w:val="left"/>
              <w:textAlignment w:val="center"/>
              <w:rPr>
                <w:rFonts w:ascii="微软雅黑" w:hAnsi="微软雅黑" w:eastAsia="微软雅黑" w:cs="微软雅黑"/>
                <w:i/>
                <w:iCs/>
                <w:color w:val="000000"/>
                <w:szCs w:val="21"/>
              </w:rPr>
            </w:pPr>
          </w:p>
        </w:tc>
      </w:tr>
      <w:tr w14:paraId="2177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5446D384">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noWrap/>
            <w:vAlign w:val="center"/>
          </w:tcPr>
          <w:p w14:paraId="6F4F5697">
            <w:pPr>
              <w:widowControl/>
              <w:jc w:val="left"/>
              <w:textAlignment w:val="center"/>
              <w:rPr>
                <w:rFonts w:ascii="微软雅黑" w:hAnsi="微软雅黑" w:eastAsia="微软雅黑" w:cs="微软雅黑"/>
                <w:i/>
                <w:iCs/>
                <w:color w:val="000000"/>
                <w:szCs w:val="21"/>
              </w:rPr>
            </w:pPr>
          </w:p>
        </w:tc>
        <w:tc>
          <w:tcPr>
            <w:tcW w:w="423" w:type="pct"/>
            <w:noWrap/>
            <w:vAlign w:val="center"/>
          </w:tcPr>
          <w:p w14:paraId="15710950">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3FBACCB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1660B972">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059D39A3">
            <w:pPr>
              <w:widowControl/>
              <w:jc w:val="left"/>
              <w:textAlignment w:val="center"/>
              <w:rPr>
                <w:rFonts w:ascii="微软雅黑" w:hAnsi="微软雅黑" w:eastAsia="微软雅黑" w:cs="微软雅黑"/>
                <w:i/>
                <w:iCs/>
                <w:color w:val="000000"/>
                <w:szCs w:val="21"/>
              </w:rPr>
            </w:pPr>
          </w:p>
        </w:tc>
        <w:tc>
          <w:tcPr>
            <w:tcW w:w="645" w:type="pct"/>
            <w:noWrap/>
            <w:vAlign w:val="center"/>
          </w:tcPr>
          <w:p w14:paraId="523864C7">
            <w:pPr>
              <w:widowControl/>
              <w:jc w:val="left"/>
              <w:textAlignment w:val="center"/>
              <w:rPr>
                <w:rFonts w:ascii="微软雅黑" w:hAnsi="微软雅黑" w:eastAsia="微软雅黑" w:cs="微软雅黑"/>
                <w:i/>
                <w:iCs/>
                <w:color w:val="000000"/>
                <w:szCs w:val="21"/>
              </w:rPr>
            </w:pPr>
          </w:p>
        </w:tc>
      </w:tr>
    </w:tbl>
    <w:p w14:paraId="01EDB9B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677" w:name="_Toc21711"/>
      <w:bookmarkStart w:id="678" w:name="_Toc25661"/>
      <w:bookmarkStart w:id="679" w:name="_Toc8576"/>
      <w:bookmarkStart w:id="680" w:name="_Toc13970"/>
      <w:bookmarkStart w:id="681" w:name="_Toc27209"/>
      <w:bookmarkStart w:id="682" w:name="_Toc4881"/>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677"/>
      <w:bookmarkEnd w:id="678"/>
      <w:bookmarkEnd w:id="679"/>
      <w:bookmarkEnd w:id="680"/>
      <w:bookmarkEnd w:id="681"/>
      <w:bookmarkEnd w:id="682"/>
    </w:p>
    <w:p w14:paraId="3CAE2104">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br w:type="page"/>
      </w:r>
      <w:r>
        <w:rPr>
          <w:rFonts w:hint="eastAsia" w:ascii="仿宋" w:hAnsi="仿宋" w:eastAsia="仿宋" w:cs="Times New Roman"/>
          <w:sz w:val="24"/>
        </w:rPr>
        <w:t>附件十：软件许可使用权证书或其他软件许可使用文件</w:t>
      </w:r>
    </w:p>
    <w:p w14:paraId="197600BC">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32607A94">
      <w:pPr>
        <w:spacing w:line="360" w:lineRule="exact"/>
        <w:rPr>
          <w:rFonts w:hint="default"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十一</w:t>
      </w:r>
    </w:p>
    <w:p w14:paraId="64E4553B">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48197012">
      <w:pPr>
        <w:spacing w:line="360" w:lineRule="exact"/>
        <w:jc w:val="center"/>
        <w:rPr>
          <w:rFonts w:ascii="仿宋" w:hAnsi="仿宋" w:eastAsia="仿宋" w:cs="Times New Roman"/>
          <w:b/>
          <w:sz w:val="28"/>
          <w:szCs w:val="28"/>
        </w:rPr>
      </w:pPr>
    </w:p>
    <w:p w14:paraId="7274EFE6">
      <w:pPr>
        <w:spacing w:line="360" w:lineRule="exact"/>
        <w:rPr>
          <w:rFonts w:ascii="仿宋" w:hAnsi="仿宋" w:eastAsia="仿宋" w:cs="Times New Roman"/>
          <w:sz w:val="24"/>
        </w:rPr>
      </w:pPr>
      <w:r>
        <w:rPr>
          <w:rFonts w:hint="eastAsia" w:ascii="仿宋" w:hAnsi="仿宋" w:eastAsia="仿宋" w:cs="Times New Roman"/>
          <w:sz w:val="24"/>
        </w:rPr>
        <w:t xml:space="preserve">甲方： 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  </w:t>
      </w:r>
    </w:p>
    <w:p w14:paraId="38BDCC53">
      <w:pPr>
        <w:spacing w:line="360" w:lineRule="exact"/>
        <w:rPr>
          <w:rFonts w:ascii="仿宋" w:hAnsi="仿宋" w:eastAsia="仿宋" w:cs="Times New Roman"/>
          <w:sz w:val="24"/>
        </w:rPr>
      </w:pPr>
      <w:r>
        <w:rPr>
          <w:rFonts w:hint="eastAsia" w:ascii="仿宋" w:hAnsi="仿宋" w:eastAsia="仿宋" w:cs="Times New Roman"/>
          <w:sz w:val="24"/>
        </w:rPr>
        <w:t xml:space="preserve">地址：[ </w:t>
      </w:r>
      <w:r>
        <w:rPr>
          <w:rFonts w:hint="eastAsia" w:ascii="仿宋" w:hAnsi="仿宋" w:eastAsia="仿宋" w:cs="Times New Roman"/>
          <w:color w:val="000000"/>
          <w:sz w:val="24"/>
        </w:rPr>
        <w:t>贵州省遵义市红花岗区大兴路26号</w:t>
      </w:r>
      <w:r>
        <w:rPr>
          <w:rFonts w:hint="eastAsia" w:ascii="仿宋" w:hAnsi="仿宋" w:eastAsia="仿宋" w:cs="Times New Roman"/>
          <w:sz w:val="24"/>
        </w:rPr>
        <w:t xml:space="preserve"> ]     </w:t>
      </w:r>
    </w:p>
    <w:p w14:paraId="032A1396">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r>
        <w:rPr>
          <w:rFonts w:hint="eastAsia" w:ascii="仿宋" w:hAnsi="仿宋" w:eastAsia="仿宋" w:cs="Times New Roman"/>
          <w:sz w:val="24"/>
          <w:lang w:val="en-US" w:eastAsia="zh-CN"/>
        </w:rPr>
        <w:t>任飞</w:t>
      </w:r>
      <w:r>
        <w:rPr>
          <w:rFonts w:hint="eastAsia" w:ascii="仿宋" w:hAnsi="仿宋" w:eastAsia="仿宋" w:cs="Times New Roman"/>
          <w:sz w:val="24"/>
        </w:rPr>
        <w:t xml:space="preserve"> ]           </w:t>
      </w:r>
    </w:p>
    <w:p w14:paraId="1D504C38">
      <w:pPr>
        <w:spacing w:line="360" w:lineRule="exact"/>
        <w:rPr>
          <w:rFonts w:ascii="仿宋" w:hAnsi="仿宋" w:eastAsia="仿宋" w:cs="Times New Roman"/>
          <w:sz w:val="24"/>
        </w:rPr>
      </w:pPr>
    </w:p>
    <w:p w14:paraId="101155E3">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30EC80CE">
      <w:pPr>
        <w:spacing w:line="360" w:lineRule="exact"/>
        <w:rPr>
          <w:rFonts w:ascii="仿宋" w:hAnsi="仿宋" w:eastAsia="仿宋" w:cs="Times New Roman"/>
          <w:sz w:val="24"/>
        </w:rPr>
      </w:pPr>
      <w:r>
        <w:rPr>
          <w:rFonts w:hint="eastAsia" w:ascii="仿宋" w:hAnsi="仿宋" w:eastAsia="仿宋" w:cs="Times New Roman"/>
          <w:sz w:val="24"/>
        </w:rPr>
        <w:t xml:space="preserve">地址：[  ]     </w:t>
      </w:r>
    </w:p>
    <w:p w14:paraId="196ED2BE">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           </w:t>
      </w:r>
    </w:p>
    <w:p w14:paraId="1417D2E0">
      <w:pPr>
        <w:spacing w:line="360" w:lineRule="exact"/>
        <w:rPr>
          <w:rFonts w:ascii="仿宋" w:hAnsi="仿宋" w:eastAsia="仿宋" w:cs="Times New Roman"/>
          <w:sz w:val="24"/>
        </w:rPr>
      </w:pPr>
    </w:p>
    <w:p w14:paraId="1524D07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为确保甲乙双方在签订和履行《[</w:t>
      </w:r>
      <w:r>
        <w:rPr>
          <w:rFonts w:hint="eastAsia" w:ascii="仿宋" w:hAnsi="仿宋" w:eastAsia="仿宋" w:cs="Times New Roman"/>
          <w:sz w:val="24"/>
          <w:u w:val="single"/>
        </w:rPr>
        <w:t xml:space="preserve"> </w:t>
      </w:r>
      <w:r>
        <w:rPr>
          <w:rFonts w:hint="eastAsia" w:ascii="仿宋" w:hAnsi="仿宋" w:eastAsia="仿宋" w:cs="Times New Roman"/>
          <w:sz w:val="24"/>
          <w:u w:val="single"/>
          <w:lang w:eastAsia="zh-CN"/>
        </w:rPr>
        <w:t>2025年中国电信遵义分公司中间件框架物资采购</w:t>
      </w:r>
      <w:r>
        <w:rPr>
          <w:rFonts w:hint="eastAsia" w:ascii="仿宋" w:hAnsi="仿宋" w:eastAsia="仿宋" w:cs="Times New Roman"/>
          <w:sz w:val="24"/>
          <w:u w:val="single"/>
        </w:rPr>
        <w:t xml:space="preserve"> </w:t>
      </w:r>
      <w:r>
        <w:rPr>
          <w:rFonts w:hint="eastAsia" w:ascii="仿宋" w:hAnsi="仿宋" w:eastAsia="仿宋" w:cs="Times New Roman"/>
          <w:sz w:val="24"/>
        </w:rPr>
        <w:t>]软件许可框架协议》（以下简称“合同”）过程中廉洁自律、诚实守信，防止违法违纪行为发生，保障双方合法权益，依据国家有关法律法规，经双方协商，达成以下协议：</w:t>
      </w:r>
    </w:p>
    <w:p w14:paraId="334585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75930BA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78FB1F8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2D3B19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07473B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03670B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26AF4C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3330CB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042342A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3A3FC9D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4D26EF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2FE700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0FBDB7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2FE723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20206AF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7593E1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39CE609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2.8 [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4B65E20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44E4C93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5A3CB1E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7C2BF78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18F469F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3.4如乙方违反本合同约定，甲方有权视情节采取终止合同、将乙方纳入甲方违规失信合作商名单、否决乙方参加甲方其他项目的投标、参选和报价等1至3年等措施。</w:t>
      </w:r>
    </w:p>
    <w:p w14:paraId="76F14A8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183B6B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6E300F07">
      <w:pPr>
        <w:spacing w:line="360" w:lineRule="exact"/>
        <w:rPr>
          <w:rFonts w:ascii="仿宋" w:hAnsi="仿宋" w:eastAsia="仿宋" w:cs="Times New Roman"/>
          <w:sz w:val="24"/>
        </w:rPr>
      </w:pPr>
    </w:p>
    <w:p w14:paraId="234EF1F0">
      <w:pPr>
        <w:spacing w:line="360" w:lineRule="exact"/>
        <w:rPr>
          <w:rFonts w:ascii="仿宋" w:hAnsi="仿宋" w:eastAsia="仿宋" w:cs="Times New Roman"/>
          <w:sz w:val="24"/>
        </w:rPr>
      </w:pPr>
      <w:r>
        <w:rPr>
          <w:rFonts w:hint="eastAsia" w:ascii="仿宋" w:hAnsi="仿宋" w:eastAsia="仿宋" w:cs="Times New Roman"/>
          <w:sz w:val="24"/>
        </w:rPr>
        <w:t xml:space="preserve">甲方：中国电信[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19A99664">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461C2B0E">
      <w:pPr>
        <w:spacing w:line="360" w:lineRule="exact"/>
        <w:rPr>
          <w:rFonts w:ascii="仿宋" w:hAnsi="仿宋" w:eastAsia="仿宋" w:cs="Times New Roman"/>
          <w:sz w:val="24"/>
        </w:rPr>
      </w:pPr>
      <w:r>
        <w:rPr>
          <w:rFonts w:hint="eastAsia" w:ascii="仿宋" w:hAnsi="仿宋" w:eastAsia="仿宋" w:cs="Times New Roman"/>
          <w:sz w:val="24"/>
        </w:rPr>
        <w:t>或授权代表：</w:t>
      </w:r>
    </w:p>
    <w:p w14:paraId="1038935D">
      <w:pPr>
        <w:spacing w:line="360" w:lineRule="exact"/>
        <w:rPr>
          <w:rFonts w:ascii="仿宋" w:hAnsi="仿宋" w:eastAsia="仿宋" w:cs="Times New Roman"/>
          <w:sz w:val="24"/>
        </w:rPr>
      </w:pPr>
    </w:p>
    <w:p w14:paraId="5554AC4D">
      <w:pPr>
        <w:spacing w:line="360" w:lineRule="exact"/>
        <w:rPr>
          <w:rFonts w:ascii="仿宋" w:hAnsi="仿宋" w:eastAsia="仿宋" w:cs="Times New Roman"/>
          <w:sz w:val="24"/>
        </w:rPr>
      </w:pPr>
    </w:p>
    <w:p w14:paraId="2D98AFDA">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665D6C90">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552B6EB2">
      <w:pPr>
        <w:spacing w:line="360" w:lineRule="exact"/>
        <w:rPr>
          <w:rFonts w:ascii="仿宋" w:hAnsi="仿宋" w:eastAsia="仿宋" w:cs="Times New Roman"/>
          <w:sz w:val="24"/>
        </w:rPr>
      </w:pPr>
      <w:r>
        <w:rPr>
          <w:rFonts w:hint="eastAsia" w:ascii="仿宋" w:hAnsi="仿宋" w:eastAsia="仿宋" w:cs="Times New Roman"/>
          <w:sz w:val="24"/>
        </w:rPr>
        <w:t>或授权代表：</w:t>
      </w:r>
    </w:p>
    <w:p w14:paraId="31500724">
      <w:pPr>
        <w:spacing w:line="360" w:lineRule="exact"/>
        <w:rPr>
          <w:rFonts w:ascii="仿宋" w:hAnsi="仿宋" w:eastAsia="仿宋"/>
          <w:color w:val="000000"/>
        </w:rPr>
      </w:pPr>
    </w:p>
    <w:p w14:paraId="67B501D6">
      <w:pPr>
        <w:spacing w:line="360" w:lineRule="exact"/>
        <w:ind w:left="4620" w:leftChars="2200"/>
        <w:jc w:val="left"/>
        <w:rPr>
          <w:rFonts w:ascii="仿宋" w:hAnsi="仿宋" w:eastAsia="仿宋"/>
          <w:sz w:val="24"/>
        </w:rPr>
      </w:pPr>
    </w:p>
    <w:p w14:paraId="326CE02F">
      <w:pPr>
        <w:ind w:firstLine="422" w:firstLineChars="176"/>
        <w:jc w:val="left"/>
        <w:rPr>
          <w:rFonts w:ascii="仿宋" w:hAnsi="仿宋" w:eastAsia="仿宋"/>
          <w:b/>
          <w:bCs/>
          <w:sz w:val="24"/>
        </w:rPr>
      </w:pPr>
    </w:p>
    <w:p w14:paraId="5AFA366C">
      <w:pPr>
        <w:rPr>
          <w:rFonts w:hint="eastAsia"/>
          <w:sz w:val="28"/>
          <w:szCs w:val="28"/>
        </w:rPr>
      </w:pPr>
      <w:bookmarkStart w:id="683" w:name="_Toc11642"/>
      <w:bookmarkStart w:id="684" w:name="_Toc30472"/>
      <w:bookmarkStart w:id="685" w:name="_Toc9613"/>
    </w:p>
    <w:p w14:paraId="6CD3933E">
      <w:pPr>
        <w:pStyle w:val="3"/>
        <w:bidi w:val="0"/>
        <w:jc w:val="center"/>
        <w:rPr>
          <w:sz w:val="28"/>
          <w:szCs w:val="28"/>
        </w:rPr>
      </w:pPr>
      <w:bookmarkStart w:id="686" w:name="_Toc11975"/>
      <w:bookmarkStart w:id="687" w:name="_Toc24002"/>
      <w:bookmarkStart w:id="688" w:name="_Toc8948"/>
      <w:r>
        <w:rPr>
          <w:rFonts w:hint="eastAsia"/>
          <w:sz w:val="28"/>
          <w:szCs w:val="28"/>
        </w:rPr>
        <w:t>第五章 技术规范书</w:t>
      </w:r>
      <w:bookmarkEnd w:id="635"/>
      <w:bookmarkEnd w:id="636"/>
      <w:bookmarkEnd w:id="637"/>
      <w:bookmarkEnd w:id="638"/>
      <w:bookmarkEnd w:id="639"/>
      <w:bookmarkEnd w:id="640"/>
      <w:bookmarkEnd w:id="641"/>
      <w:bookmarkEnd w:id="683"/>
      <w:bookmarkEnd w:id="684"/>
      <w:bookmarkEnd w:id="685"/>
      <w:bookmarkEnd w:id="686"/>
      <w:bookmarkEnd w:id="687"/>
      <w:bookmarkEnd w:id="688"/>
    </w:p>
    <w:p w14:paraId="4D2B6BB2">
      <w:pPr>
        <w:pStyle w:val="35"/>
        <w:spacing w:line="240" w:lineRule="auto"/>
        <w:ind w:left="31680" w:firstLine="31680"/>
        <w:rPr>
          <w:rFonts w:ascii="宋体"/>
          <w:sz w:val="32"/>
          <w:szCs w:val="32"/>
        </w:rPr>
      </w:pPr>
      <w:bookmarkStart w:id="689" w:name="_PictureBullets"/>
      <w:bookmarkEnd w:id="689"/>
      <w:bookmarkStart w:id="690" w:name="_Toc38008075"/>
      <w:bookmarkStart w:id="691" w:name="_Toc1695"/>
    </w:p>
    <w:p w14:paraId="71D2D2C8">
      <w:pPr>
        <w:pStyle w:val="35"/>
        <w:spacing w:line="240" w:lineRule="auto"/>
        <w:ind w:left="31680" w:firstLine="31680"/>
        <w:rPr>
          <w:rFonts w:ascii="宋体"/>
          <w:sz w:val="32"/>
          <w:szCs w:val="32"/>
        </w:rPr>
      </w:pPr>
    </w:p>
    <w:p w14:paraId="28628793">
      <w:pPr>
        <w:pStyle w:val="21"/>
        <w:ind w:left="-4" w:firstLine="31680"/>
        <w:rPr>
          <w:rFonts w:ascii="宋体"/>
        </w:rPr>
      </w:pPr>
    </w:p>
    <w:p w14:paraId="5DDED410">
      <w:pPr>
        <w:pStyle w:val="21"/>
        <w:ind w:left="-4" w:firstLine="31680"/>
        <w:rPr>
          <w:rFonts w:ascii="宋体"/>
        </w:rPr>
      </w:pPr>
    </w:p>
    <w:p w14:paraId="6AE69586">
      <w:pPr>
        <w:pStyle w:val="21"/>
        <w:ind w:left="-4" w:firstLine="31680"/>
        <w:rPr>
          <w:rFonts w:ascii="宋体"/>
        </w:rPr>
      </w:pPr>
    </w:p>
    <w:p w14:paraId="0BE74379">
      <w:pPr>
        <w:pStyle w:val="21"/>
        <w:tabs>
          <w:tab w:val="left" w:pos="1680"/>
        </w:tabs>
        <w:ind w:left="-4" w:firstLine="31680"/>
        <w:rPr>
          <w:rFonts w:ascii="宋体"/>
        </w:rPr>
      </w:pPr>
    </w:p>
    <w:p w14:paraId="1006B99D">
      <w:pPr>
        <w:pStyle w:val="21"/>
        <w:tabs>
          <w:tab w:val="left" w:pos="1680"/>
        </w:tabs>
        <w:ind w:left="-4" w:firstLine="31680"/>
        <w:rPr>
          <w:rFonts w:ascii="宋体"/>
        </w:rPr>
      </w:pPr>
    </w:p>
    <w:p w14:paraId="127F0A6A">
      <w:pPr>
        <w:pStyle w:val="51"/>
        <w:ind w:firstLine="0"/>
        <w:rPr>
          <w:rFonts w:ascii="宋体"/>
        </w:rPr>
      </w:pPr>
    </w:p>
    <w:p w14:paraId="602DBDFF">
      <w:pPr>
        <w:pStyle w:val="51"/>
        <w:ind w:firstLine="0"/>
        <w:rPr>
          <w:rFonts w:ascii="宋体"/>
        </w:rPr>
      </w:pPr>
    </w:p>
    <w:p w14:paraId="745FAA0D">
      <w:pPr>
        <w:pStyle w:val="51"/>
        <w:ind w:firstLine="0"/>
      </w:pPr>
    </w:p>
    <w:p w14:paraId="73D258C1">
      <w:pPr>
        <w:pStyle w:val="51"/>
        <w:ind w:firstLine="0"/>
      </w:pPr>
    </w:p>
    <w:p w14:paraId="34396DCB">
      <w:pPr>
        <w:pStyle w:val="51"/>
        <w:ind w:firstLine="0"/>
      </w:pPr>
    </w:p>
    <w:p w14:paraId="76E18C17">
      <w:pPr>
        <w:pStyle w:val="51"/>
        <w:ind w:firstLine="0"/>
        <w:rPr>
          <w:rFonts w:ascii="华文中宋" w:hAnsi="华文中宋" w:eastAsia="华文中宋"/>
          <w:sz w:val="32"/>
          <w:szCs w:val="32"/>
        </w:rPr>
        <w:sectPr>
          <w:headerReference r:id="rId11" w:type="first"/>
          <w:footerReference r:id="rId13" w:type="first"/>
          <w:headerReference r:id="rId10" w:type="even"/>
          <w:footerReference r:id="rId12" w:type="even"/>
          <w:pgSz w:w="11907" w:h="16840"/>
          <w:pgMar w:top="1440" w:right="1418" w:bottom="1440" w:left="1985" w:header="851" w:footer="992" w:gutter="0"/>
          <w:pgNumType w:fmt="decimal"/>
          <w:cols w:space="425" w:num="1"/>
          <w:docGrid w:type="linesAndChars" w:linePitch="312" w:charSpace="0"/>
        </w:sectPr>
      </w:pPr>
    </w:p>
    <w:p w14:paraId="3575ABBF">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692" w:name="_Toc18179"/>
      <w:bookmarkStart w:id="693" w:name="_Toc6525"/>
      <w:r>
        <w:rPr>
          <w:rFonts w:hint="eastAsia" w:ascii="宋体" w:hAnsi="宋体" w:eastAsia="宋体" w:cs="宋体"/>
          <w:b/>
          <w:bCs/>
          <w:kern w:val="0"/>
          <w:sz w:val="21"/>
          <w:szCs w:val="21"/>
          <w:lang w:val="en-US" w:eastAsia="zh-CN" w:bidi="ar-SA"/>
        </w:rPr>
        <w:t>1总则</w:t>
      </w:r>
      <w:bookmarkEnd w:id="692"/>
      <w:bookmarkEnd w:id="693"/>
    </w:p>
    <w:p w14:paraId="3E372D43">
      <w:pPr>
        <w:keepNext/>
        <w:keepLines/>
        <w:widowControl w:val="0"/>
        <w:spacing w:before="260" w:after="260" w:line="413" w:lineRule="auto"/>
        <w:jc w:val="both"/>
        <w:outlineLvl w:val="2"/>
        <w:rPr>
          <w:rFonts w:hint="eastAsia" w:ascii="宋体" w:hAnsi="宋体" w:eastAsia="宋体" w:cs="宋体"/>
          <w:b/>
          <w:kern w:val="2"/>
          <w:sz w:val="21"/>
          <w:szCs w:val="21"/>
          <w:lang w:val="en-US" w:eastAsia="zh-CN" w:bidi="ar-SA"/>
        </w:rPr>
      </w:pPr>
      <w:bookmarkStart w:id="694" w:name="_Toc12209"/>
      <w:bookmarkStart w:id="695" w:name="_Toc20422"/>
      <w:r>
        <w:rPr>
          <w:rFonts w:hint="eastAsia" w:ascii="宋体" w:hAnsi="宋体" w:eastAsia="宋体" w:cs="宋体"/>
          <w:b/>
          <w:kern w:val="2"/>
          <w:sz w:val="21"/>
          <w:szCs w:val="21"/>
          <w:lang w:val="en-US" w:eastAsia="zh-CN" w:bidi="ar-SA"/>
        </w:rPr>
        <w:t>1.1概述</w:t>
      </w:r>
      <w:bookmarkEnd w:id="694"/>
      <w:bookmarkEnd w:id="695"/>
    </w:p>
    <w:p w14:paraId="1AA5AB57">
      <w:pPr>
        <w:rPr>
          <w:rFonts w:hint="eastAsia" w:ascii="宋体" w:hAnsi="宋体" w:eastAsia="宋体" w:cs="宋体"/>
          <w:color w:val="000000"/>
          <w:sz w:val="21"/>
          <w:szCs w:val="21"/>
        </w:rPr>
      </w:pPr>
      <w:r>
        <w:rPr>
          <w:rFonts w:hint="eastAsia" w:ascii="宋体" w:hAnsi="宋体" w:eastAsia="宋体" w:cs="宋体"/>
          <w:color w:val="000000"/>
          <w:sz w:val="21"/>
          <w:szCs w:val="21"/>
        </w:rPr>
        <w:t>1、本文件是中国电信股份有限公司遵义分公司（以下简称甲方）为</w:t>
      </w:r>
      <w:r>
        <w:rPr>
          <w:rFonts w:hint="eastAsia" w:ascii="宋体" w:hAnsi="宋体" w:eastAsia="宋体" w:cs="宋体"/>
          <w:sz w:val="21"/>
          <w:szCs w:val="21"/>
          <w:lang w:val="en-US" w:eastAsia="zh-CN"/>
        </w:rPr>
        <w:t>中间件框架</w:t>
      </w:r>
      <w:r>
        <w:rPr>
          <w:rFonts w:hint="eastAsia" w:ascii="宋体" w:hAnsi="宋体" w:eastAsia="宋体" w:cs="宋体"/>
          <w:sz w:val="21"/>
          <w:szCs w:val="21"/>
        </w:rPr>
        <w:t>采购项目</w:t>
      </w:r>
      <w:r>
        <w:rPr>
          <w:rFonts w:hint="eastAsia" w:ascii="宋体" w:hAnsi="宋体" w:eastAsia="宋体" w:cs="宋体"/>
          <w:color w:val="000000"/>
          <w:sz w:val="21"/>
          <w:szCs w:val="21"/>
        </w:rPr>
        <w:t>制定的技术规范书，提供本项目的公司（以下称乙方）应对技术规范书中的各项要求做出详细答复。</w:t>
      </w:r>
    </w:p>
    <w:p w14:paraId="64BA42FD">
      <w:pPr>
        <w:rPr>
          <w:rFonts w:hint="eastAsia" w:ascii="宋体" w:hAnsi="宋体" w:eastAsia="宋体" w:cs="宋体"/>
          <w:color w:val="000000"/>
          <w:sz w:val="21"/>
          <w:szCs w:val="21"/>
        </w:rPr>
      </w:pPr>
      <w:r>
        <w:rPr>
          <w:rFonts w:hint="eastAsia" w:ascii="宋体" w:hAnsi="宋体" w:eastAsia="宋体" w:cs="宋体"/>
          <w:color w:val="000000"/>
          <w:sz w:val="21"/>
          <w:szCs w:val="21"/>
        </w:rPr>
        <w:t>2、本技术规范书给出了</w:t>
      </w:r>
      <w:r>
        <w:rPr>
          <w:rFonts w:hint="eastAsia" w:ascii="宋体" w:hAnsi="宋体" w:eastAsia="宋体" w:cs="宋体"/>
          <w:sz w:val="21"/>
          <w:szCs w:val="21"/>
          <w:lang w:val="en-US" w:eastAsia="zh-CN"/>
        </w:rPr>
        <w:t>中间件</w:t>
      </w:r>
      <w:r>
        <w:rPr>
          <w:rFonts w:hint="eastAsia" w:ascii="宋体" w:hAnsi="宋体" w:eastAsia="宋体" w:cs="宋体"/>
          <w:color w:val="000000"/>
          <w:sz w:val="21"/>
          <w:szCs w:val="21"/>
        </w:rPr>
        <w:t>的各项要求，以供乙方编制技术建议书及商务报价之用。乙方应按照本技术规范书要求并结合自己所能提供的服务，给出详细的技术建议书。</w:t>
      </w:r>
    </w:p>
    <w:p w14:paraId="27362845">
      <w:pPr>
        <w:rPr>
          <w:rFonts w:hint="eastAsia" w:ascii="宋体" w:hAnsi="宋体" w:eastAsia="宋体" w:cs="宋体"/>
          <w:color w:val="000000"/>
          <w:sz w:val="21"/>
          <w:szCs w:val="21"/>
        </w:rPr>
      </w:pPr>
      <w:r>
        <w:rPr>
          <w:rFonts w:hint="eastAsia" w:ascii="宋体" w:hAnsi="宋体" w:eastAsia="宋体" w:cs="宋体"/>
          <w:color w:val="000000"/>
          <w:sz w:val="21"/>
          <w:szCs w:val="21"/>
        </w:rPr>
        <w:t>3、本技术规范书编制依据及相关要求如下：</w:t>
      </w:r>
    </w:p>
    <w:p w14:paraId="3BA54F92">
      <w:pPr>
        <w:rPr>
          <w:rFonts w:hint="eastAsia" w:ascii="宋体" w:hAnsi="宋体" w:eastAsia="宋体" w:cs="宋体"/>
          <w:color w:val="000000"/>
          <w:sz w:val="21"/>
          <w:szCs w:val="21"/>
        </w:rPr>
      </w:pPr>
      <w:r>
        <w:rPr>
          <w:rFonts w:hint="eastAsia" w:ascii="宋体" w:hAnsi="宋体" w:eastAsia="宋体" w:cs="宋体"/>
          <w:color w:val="000000"/>
          <w:sz w:val="21"/>
          <w:szCs w:val="21"/>
        </w:rPr>
        <w:t>国标、行业标准、企业标准等，对以上规范的扩展定义及版本升级，乙方应予以支持，另外：</w:t>
      </w:r>
    </w:p>
    <w:p w14:paraId="484EE9BE">
      <w:pPr>
        <w:rPr>
          <w:rFonts w:hint="eastAsia" w:ascii="宋体" w:hAnsi="宋体" w:eastAsia="宋体" w:cs="宋体"/>
          <w:color w:val="000000"/>
          <w:sz w:val="21"/>
          <w:szCs w:val="21"/>
        </w:rPr>
      </w:pPr>
      <w:r>
        <w:rPr>
          <w:rFonts w:hint="eastAsia" w:ascii="宋体" w:hAnsi="宋体" w:eastAsia="宋体" w:cs="宋体"/>
          <w:color w:val="000000"/>
          <w:sz w:val="21"/>
          <w:szCs w:val="21"/>
        </w:rPr>
        <w:t>（1）若乙方需提供额外服务和自己的专用标准，应在其技术建议书中具体说明，并附上相应的详细技术资料。</w:t>
      </w:r>
    </w:p>
    <w:p w14:paraId="1ED495DA">
      <w:pPr>
        <w:rPr>
          <w:rFonts w:hint="eastAsia" w:ascii="宋体" w:hAnsi="宋体" w:eastAsia="宋体" w:cs="宋体"/>
          <w:color w:val="000000"/>
          <w:sz w:val="21"/>
          <w:szCs w:val="21"/>
        </w:rPr>
      </w:pPr>
      <w:r>
        <w:rPr>
          <w:rFonts w:hint="eastAsia" w:ascii="宋体" w:hAnsi="宋体" w:eastAsia="宋体" w:cs="宋体"/>
          <w:color w:val="000000"/>
          <w:sz w:val="21"/>
          <w:szCs w:val="21"/>
        </w:rPr>
        <w:t>（2）此规范书中未说明，但相关标准（如ISO、ITU-T（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"https://baike.baidu.com/item/%E5%9B%BD%E9%99%85%E7%94%B5%E4%BF%A1%E8%81%94%E7%9B%9F" \t "_blank"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国际电信联盟</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电信标准分局）、国标、通信行业标准等）已有建议和要求的服务性能和功能的条款，应符合相应的最新标准与建议。</w:t>
      </w:r>
    </w:p>
    <w:p w14:paraId="19484B96">
      <w:pPr>
        <w:rPr>
          <w:rFonts w:hint="eastAsia" w:ascii="宋体" w:hAnsi="宋体" w:eastAsia="宋体" w:cs="宋体"/>
          <w:color w:val="000000"/>
          <w:sz w:val="21"/>
          <w:szCs w:val="21"/>
        </w:rPr>
      </w:pPr>
      <w:r>
        <w:rPr>
          <w:rFonts w:hint="eastAsia" w:ascii="宋体" w:hAnsi="宋体" w:eastAsia="宋体" w:cs="宋体"/>
          <w:color w:val="000000"/>
          <w:sz w:val="21"/>
          <w:szCs w:val="21"/>
        </w:rPr>
        <w:t>4、乙方对于规范书的疑问可以通过书面材料在本项目澄清时限内与甲方联系，甲方将以书面材料给予答复。</w:t>
      </w:r>
    </w:p>
    <w:p w14:paraId="04D435B7">
      <w:pPr>
        <w:rPr>
          <w:rFonts w:hint="eastAsia" w:ascii="宋体" w:hAnsi="宋体" w:eastAsia="宋体" w:cs="宋体"/>
          <w:color w:val="000000"/>
          <w:sz w:val="21"/>
          <w:szCs w:val="21"/>
        </w:rPr>
      </w:pPr>
      <w:r>
        <w:rPr>
          <w:rFonts w:hint="eastAsia" w:ascii="宋体" w:hAnsi="宋体" w:eastAsia="宋体" w:cs="宋体"/>
          <w:color w:val="000000"/>
          <w:sz w:val="21"/>
          <w:szCs w:val="21"/>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5E2F71F1">
      <w:pPr>
        <w:rPr>
          <w:rFonts w:hint="eastAsia" w:ascii="宋体" w:hAnsi="宋体" w:eastAsia="宋体" w:cs="宋体"/>
          <w:color w:val="000000"/>
          <w:sz w:val="21"/>
          <w:szCs w:val="21"/>
        </w:rPr>
      </w:pPr>
      <w:r>
        <w:rPr>
          <w:rFonts w:hint="eastAsia" w:ascii="宋体" w:hAnsi="宋体" w:eastAsia="宋体" w:cs="宋体"/>
          <w:color w:val="000000"/>
          <w:sz w:val="21"/>
          <w:szCs w:val="21"/>
        </w:rPr>
        <w:t>6、本技术规范书在内容或技术指标上如果存在错误（包括印刷错误），乙方可在技术建议书中提出，经双方确认后可对该错误内容或技术指标进行修正。</w:t>
      </w:r>
    </w:p>
    <w:p w14:paraId="1B88F83E">
      <w:pPr>
        <w:rPr>
          <w:rFonts w:hint="eastAsia" w:ascii="宋体" w:hAnsi="宋体" w:eastAsia="宋体" w:cs="宋体"/>
          <w:color w:val="000000"/>
          <w:sz w:val="21"/>
          <w:szCs w:val="21"/>
        </w:rPr>
      </w:pPr>
      <w:r>
        <w:rPr>
          <w:rFonts w:hint="eastAsia" w:ascii="宋体" w:hAnsi="宋体" w:eastAsia="宋体" w:cs="宋体"/>
          <w:color w:val="000000"/>
          <w:sz w:val="21"/>
          <w:szCs w:val="21"/>
        </w:rPr>
        <w:t>7、乙方在参与本项目中，对于甲方披露和提供的所有信息（包括本规范书）应作为商业秘密对待并予以保护，未经甲方授权不得将任何信息泄漏给第三方，否则甲方有权追究乙方的责任。</w:t>
      </w:r>
    </w:p>
    <w:p w14:paraId="354BCC8C">
      <w:pPr>
        <w:rPr>
          <w:rFonts w:hint="eastAsia" w:ascii="宋体" w:hAnsi="宋体" w:eastAsia="宋体" w:cs="宋体"/>
          <w:color w:val="000000"/>
          <w:sz w:val="21"/>
          <w:szCs w:val="21"/>
        </w:rPr>
      </w:pPr>
      <w:r>
        <w:rPr>
          <w:rFonts w:hint="eastAsia" w:ascii="宋体" w:hAnsi="宋体" w:eastAsia="宋体" w:cs="宋体"/>
          <w:color w:val="000000"/>
          <w:sz w:val="21"/>
          <w:szCs w:val="21"/>
        </w:rPr>
        <w:t>8、所有由乙方提供的产品（由乙方提供的解决方案中所涉及到的所有项目包括的服务等）所引发的知识产权纠纷由乙方负责，甲方对此不承担任何责任。</w:t>
      </w:r>
    </w:p>
    <w:p w14:paraId="7B3AD8D2">
      <w:pPr>
        <w:rPr>
          <w:rFonts w:hint="eastAsia" w:ascii="宋体" w:hAnsi="宋体" w:eastAsia="宋体" w:cs="宋体"/>
          <w:sz w:val="21"/>
          <w:szCs w:val="21"/>
        </w:rPr>
      </w:pPr>
    </w:p>
    <w:p w14:paraId="6609E8F0">
      <w:pPr>
        <w:keepNext/>
        <w:keepLines/>
        <w:widowControl w:val="0"/>
        <w:tabs>
          <w:tab w:val="left" w:pos="0"/>
        </w:tabs>
        <w:spacing w:before="260" w:after="260" w:line="416" w:lineRule="auto"/>
        <w:ind w:firstLine="211" w:firstLineChars="100"/>
        <w:jc w:val="both"/>
        <w:outlineLvl w:val="1"/>
        <w:rPr>
          <w:rFonts w:hint="eastAsia" w:ascii="宋体" w:hAnsi="宋体" w:eastAsia="宋体" w:cs="宋体"/>
          <w:b/>
          <w:bCs/>
          <w:color w:val="000000"/>
          <w:kern w:val="0"/>
          <w:sz w:val="21"/>
          <w:szCs w:val="21"/>
          <w:lang w:val="en-US" w:eastAsia="zh-CN" w:bidi="ar-SA"/>
        </w:rPr>
      </w:pPr>
      <w:bookmarkStart w:id="696" w:name="_Toc14446"/>
      <w:bookmarkStart w:id="697" w:name="_Toc206818246"/>
      <w:bookmarkStart w:id="698" w:name="_Toc19638"/>
      <w:bookmarkStart w:id="699" w:name="_Toc477415384"/>
      <w:bookmarkStart w:id="700" w:name="_Toc292143839"/>
      <w:bookmarkStart w:id="701" w:name="_Toc144199754"/>
      <w:r>
        <w:rPr>
          <w:rFonts w:hint="eastAsia" w:ascii="宋体" w:hAnsi="宋体" w:eastAsia="宋体" w:cs="宋体"/>
          <w:b/>
          <w:bCs/>
          <w:color w:val="000000"/>
          <w:kern w:val="0"/>
          <w:sz w:val="21"/>
          <w:szCs w:val="21"/>
          <w:lang w:val="en-US" w:eastAsia="zh-CN" w:bidi="ar-SA"/>
        </w:rPr>
        <w:t>2对乙方技术应答文件要求</w:t>
      </w:r>
      <w:bookmarkEnd w:id="696"/>
      <w:bookmarkEnd w:id="697"/>
      <w:bookmarkEnd w:id="698"/>
      <w:bookmarkEnd w:id="699"/>
      <w:bookmarkEnd w:id="700"/>
      <w:bookmarkEnd w:id="701"/>
    </w:p>
    <w:p w14:paraId="6B57DDB7">
      <w:pPr>
        <w:rPr>
          <w:rFonts w:hint="eastAsia" w:ascii="宋体" w:hAnsi="宋体" w:eastAsia="宋体" w:cs="宋体"/>
          <w:color w:val="000000"/>
          <w:sz w:val="21"/>
          <w:szCs w:val="21"/>
        </w:rPr>
      </w:pPr>
      <w:r>
        <w:rPr>
          <w:rFonts w:hint="eastAsia" w:ascii="宋体" w:hAnsi="宋体" w:eastAsia="宋体" w:cs="宋体"/>
          <w:color w:val="000000"/>
          <w:sz w:val="21"/>
          <w:szCs w:val="21"/>
        </w:rPr>
        <w:t>乙方所反馈的技术应答文件，应包括以下几部分：</w:t>
      </w:r>
    </w:p>
    <w:p w14:paraId="250C704D">
      <w:pPr>
        <w:rPr>
          <w:rFonts w:hint="eastAsia" w:ascii="宋体" w:hAnsi="宋体" w:eastAsia="宋体" w:cs="宋体"/>
          <w:color w:val="000000"/>
          <w:sz w:val="21"/>
          <w:szCs w:val="21"/>
        </w:rPr>
      </w:pPr>
      <w:r>
        <w:rPr>
          <w:rFonts w:hint="eastAsia" w:ascii="宋体" w:hAnsi="宋体" w:eastAsia="宋体" w:cs="宋体"/>
          <w:color w:val="000000"/>
          <w:sz w:val="21"/>
          <w:szCs w:val="21"/>
        </w:rPr>
        <w:t>（1）技术规范书点对点应答书；（2）技术建议书。</w:t>
      </w:r>
    </w:p>
    <w:p w14:paraId="1326648E">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702" w:name="_Toc28400"/>
      <w:bookmarkStart w:id="703" w:name="_Toc477415387"/>
      <w:bookmarkStart w:id="704" w:name="_Toc4192"/>
      <w:bookmarkStart w:id="705" w:name="_Toc292143842"/>
      <w:r>
        <w:rPr>
          <w:rFonts w:hint="eastAsia" w:ascii="宋体" w:hAnsi="宋体" w:eastAsia="宋体" w:cs="宋体"/>
          <w:b/>
          <w:color w:val="000000"/>
          <w:kern w:val="2"/>
          <w:sz w:val="21"/>
          <w:szCs w:val="21"/>
          <w:lang w:val="en-US" w:eastAsia="zh-CN" w:bidi="ar-SA"/>
        </w:rPr>
        <w:t>2.1其它要求</w:t>
      </w:r>
      <w:bookmarkEnd w:id="702"/>
      <w:bookmarkEnd w:id="703"/>
      <w:bookmarkEnd w:id="704"/>
      <w:bookmarkEnd w:id="705"/>
    </w:p>
    <w:p w14:paraId="73F2DFBC">
      <w:pPr>
        <w:rPr>
          <w:rFonts w:hint="eastAsia" w:ascii="宋体" w:hAnsi="宋体" w:eastAsia="宋体" w:cs="宋体"/>
          <w:color w:val="000000"/>
          <w:sz w:val="21"/>
          <w:szCs w:val="21"/>
        </w:rPr>
      </w:pPr>
      <w:r>
        <w:rPr>
          <w:rFonts w:hint="eastAsia" w:ascii="宋体" w:hAnsi="宋体" w:eastAsia="宋体" w:cs="宋体"/>
          <w:color w:val="000000"/>
          <w:sz w:val="21"/>
          <w:szCs w:val="21"/>
        </w:rPr>
        <w:t>乙方在进行本项目所涉及的服务的配置方案设计时应遵循以下原则：（1）乙方应以技术先进、经济合理，有利于今后发展的原则进行配置。（2）根据甲方的建议和要求，乙方应向甲方提供优化的配置方案。</w:t>
      </w:r>
    </w:p>
    <w:p w14:paraId="6DD91897">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706" w:name="_Toc24853"/>
      <w:bookmarkStart w:id="707" w:name="_Toc477415388"/>
      <w:bookmarkStart w:id="708" w:name="_Toc206818249"/>
      <w:bookmarkStart w:id="709" w:name="_Toc30079"/>
      <w:bookmarkStart w:id="710" w:name="_Toc144199757"/>
      <w:r>
        <w:rPr>
          <w:rFonts w:hint="eastAsia" w:ascii="宋体" w:hAnsi="宋体" w:eastAsia="宋体" w:cs="宋体"/>
          <w:b/>
          <w:color w:val="000000"/>
          <w:kern w:val="2"/>
          <w:sz w:val="21"/>
          <w:szCs w:val="21"/>
          <w:lang w:val="en-US" w:eastAsia="zh-CN" w:bidi="ar-SA"/>
        </w:rPr>
        <w:t>2.2报价要求</w:t>
      </w:r>
      <w:bookmarkEnd w:id="706"/>
      <w:bookmarkEnd w:id="707"/>
      <w:bookmarkEnd w:id="708"/>
      <w:bookmarkEnd w:id="709"/>
      <w:bookmarkEnd w:id="710"/>
    </w:p>
    <w:p w14:paraId="1029FBBE">
      <w:pPr>
        <w:rPr>
          <w:rFonts w:hint="eastAsia" w:ascii="宋体" w:hAnsi="宋体" w:eastAsia="宋体" w:cs="宋体"/>
          <w:color w:val="000000"/>
          <w:sz w:val="21"/>
          <w:szCs w:val="21"/>
        </w:rPr>
      </w:pPr>
      <w:r>
        <w:rPr>
          <w:rFonts w:hint="eastAsia" w:ascii="宋体" w:hAnsi="宋体" w:eastAsia="宋体" w:cs="宋体"/>
          <w:color w:val="000000"/>
          <w:sz w:val="21"/>
          <w:szCs w:val="21"/>
        </w:rPr>
        <w:t>1、本期服务以人民币为单位报价。</w:t>
      </w:r>
    </w:p>
    <w:p w14:paraId="4005CFEB">
      <w:pPr>
        <w:rPr>
          <w:rFonts w:hint="eastAsia" w:ascii="宋体" w:hAnsi="宋体" w:eastAsia="宋体" w:cs="宋体"/>
          <w:color w:val="000000"/>
          <w:sz w:val="21"/>
          <w:szCs w:val="21"/>
        </w:rPr>
      </w:pPr>
      <w:r>
        <w:rPr>
          <w:rFonts w:hint="eastAsia" w:ascii="宋体" w:hAnsi="宋体" w:eastAsia="宋体" w:cs="宋体"/>
          <w:color w:val="000000"/>
          <w:sz w:val="21"/>
          <w:szCs w:val="21"/>
        </w:rPr>
        <w:t>2、本项目所需相关服务的报价，应包含技术服务费、资料费、税费、管理费、培训费等一切费用。</w:t>
      </w:r>
    </w:p>
    <w:p w14:paraId="44687643">
      <w:pPr>
        <w:keepNext/>
        <w:keepLines/>
        <w:widowControl w:val="0"/>
        <w:tabs>
          <w:tab w:val="left" w:pos="0"/>
        </w:tabs>
        <w:spacing w:before="260" w:after="260" w:line="416" w:lineRule="auto"/>
        <w:jc w:val="both"/>
        <w:outlineLvl w:val="1"/>
        <w:rPr>
          <w:rFonts w:hint="eastAsia" w:ascii="宋体" w:hAnsi="宋体" w:eastAsia="宋体" w:cs="宋体"/>
          <w:b/>
          <w:bCs/>
          <w:color w:val="000000"/>
          <w:kern w:val="0"/>
          <w:sz w:val="21"/>
          <w:szCs w:val="21"/>
          <w:lang w:val="en-US" w:eastAsia="zh-CN" w:bidi="ar-SA"/>
        </w:rPr>
      </w:pPr>
      <w:bookmarkStart w:id="711" w:name="_Toc22321"/>
      <w:bookmarkStart w:id="712" w:name="_Toc29211"/>
      <w:r>
        <w:rPr>
          <w:rFonts w:hint="eastAsia" w:ascii="宋体" w:hAnsi="宋体" w:eastAsia="宋体" w:cs="宋体"/>
          <w:b/>
          <w:bCs/>
          <w:color w:val="000000"/>
          <w:kern w:val="0"/>
          <w:sz w:val="21"/>
          <w:szCs w:val="21"/>
          <w:lang w:val="en-US" w:eastAsia="zh-CN" w:bidi="ar-SA"/>
        </w:rPr>
        <w:t>3概述</w:t>
      </w:r>
      <w:bookmarkEnd w:id="711"/>
      <w:bookmarkEnd w:id="712"/>
    </w:p>
    <w:p w14:paraId="38B29240">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713" w:name="_Toc29402"/>
      <w:bookmarkStart w:id="714" w:name="_Toc14107"/>
      <w:r>
        <w:rPr>
          <w:rFonts w:hint="eastAsia" w:ascii="宋体" w:hAnsi="宋体" w:eastAsia="宋体" w:cs="宋体"/>
          <w:b/>
          <w:kern w:val="2"/>
          <w:sz w:val="21"/>
          <w:szCs w:val="21"/>
          <w:lang w:val="en-US" w:eastAsia="zh-CN" w:bidi="ar-SA"/>
        </w:rPr>
        <w:t>3.1项目背景</w:t>
      </w:r>
      <w:bookmarkEnd w:id="713"/>
      <w:bookmarkEnd w:id="714"/>
    </w:p>
    <w:p w14:paraId="0FCDBA49">
      <w:pPr>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遵义市作为首批国家智慧试点城市，遵义市大数据发展管理局根据《贵州省推进“一云一网一平台”建设工作方案》，积极推动“云上遵义”建设，并提出在“云上遵义”建设信创政务云需求，为遵义市各个政府部门提供安全可信的云资源服务。为了抓住信创发展机遇，遵义电信按照省公司要求建设信创云资源池，为了满足租户信创上云业务需求，需要采购</w:t>
      </w:r>
      <w:r>
        <w:rPr>
          <w:rFonts w:hint="eastAsia" w:ascii="宋体" w:hAnsi="宋体" w:eastAsia="宋体" w:cs="宋体"/>
          <w:color w:val="000000"/>
          <w:sz w:val="21"/>
          <w:szCs w:val="21"/>
          <w:lang w:val="en-US" w:eastAsia="zh-CN"/>
        </w:rPr>
        <w:t>中间件</w:t>
      </w:r>
      <w:r>
        <w:rPr>
          <w:rFonts w:hint="eastAsia" w:ascii="宋体" w:hAnsi="宋体" w:eastAsia="宋体" w:cs="宋体"/>
          <w:color w:val="000000"/>
          <w:sz w:val="21"/>
          <w:szCs w:val="21"/>
        </w:rPr>
        <w:t>进行部署。</w:t>
      </w:r>
    </w:p>
    <w:p w14:paraId="62D6969C">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715" w:name="_Toc22168"/>
      <w:bookmarkStart w:id="716" w:name="_Toc8143"/>
      <w:r>
        <w:rPr>
          <w:rFonts w:hint="eastAsia" w:ascii="宋体" w:hAnsi="宋体" w:eastAsia="宋体" w:cs="宋体"/>
          <w:b/>
          <w:kern w:val="2"/>
          <w:sz w:val="21"/>
          <w:szCs w:val="21"/>
          <w:lang w:val="en-US" w:eastAsia="zh-CN" w:bidi="ar-SA"/>
        </w:rPr>
        <w:t>3.2项目采购规模、内容及服务范围</w:t>
      </w:r>
      <w:bookmarkEnd w:id="715"/>
      <w:bookmarkEnd w:id="716"/>
    </w:p>
    <w:p w14:paraId="767F7776">
      <w:pPr>
        <w:numPr>
          <w:ilvl w:val="0"/>
          <w:numId w:val="0"/>
        </w:num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（一）按产品类型划分为2个标包；共计采购预估金额2849509.7元人民币（含税），采购服务期限12个月。具体划分如下：</w:t>
      </w:r>
    </w:p>
    <w:p w14:paraId="7CFBDB43">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标包1:预估金额2156505.56元(含税)。</w:t>
      </w:r>
    </w:p>
    <w:p w14:paraId="574E81F4">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标包2:预估金额693004.14元(含税)。</w:t>
      </w:r>
    </w:p>
    <w:p w14:paraId="54BA0E6B">
      <w:pPr>
        <w:ind w:firstLine="422" w:firstLineChars="200"/>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注：本项目允许投标人同时中标的最多标包数为【2】个。</w:t>
      </w:r>
    </w:p>
    <w:p w14:paraId="005C703F">
      <w:pPr>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内容包含：</w:t>
      </w:r>
      <w:r>
        <w:rPr>
          <w:rFonts w:hint="eastAsia" w:ascii="宋体" w:hAnsi="宋体" w:eastAsia="宋体" w:cs="宋体"/>
          <w:color w:val="000000"/>
          <w:sz w:val="21"/>
          <w:szCs w:val="21"/>
          <w:lang w:val="en-US" w:eastAsia="zh-CN"/>
        </w:rPr>
        <w:t>中间件框架采购。采购市场主流中间件授权，使云平台具备提供正版中间件的能力。</w:t>
      </w:r>
    </w:p>
    <w:p w14:paraId="2C5CE8C8">
      <w:pPr>
        <w:keepNext/>
        <w:keepLines/>
        <w:widowControl w:val="0"/>
        <w:spacing w:before="280" w:after="290" w:line="376" w:lineRule="auto"/>
        <w:jc w:val="both"/>
        <w:outlineLvl w:val="4"/>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3.2.1采购产品技术要求</w:t>
      </w:r>
    </w:p>
    <w:p w14:paraId="43460A6C">
      <w:pPr>
        <w:ind w:firstLine="482"/>
        <w:rPr>
          <w:rFonts w:hint="eastAsia" w:ascii="宋体" w:hAnsi="宋体" w:eastAsia="宋体" w:cs="宋体"/>
          <w:b/>
          <w:sz w:val="21"/>
          <w:szCs w:val="21"/>
        </w:rPr>
      </w:pPr>
      <w:r>
        <w:rPr>
          <w:rFonts w:hint="eastAsia" w:ascii="宋体" w:hAnsi="宋体" w:eastAsia="宋体" w:cs="宋体"/>
          <w:b/>
          <w:sz w:val="21"/>
          <w:szCs w:val="21"/>
        </w:rPr>
        <w:t>具体</w:t>
      </w:r>
      <w:r>
        <w:rPr>
          <w:rFonts w:hint="eastAsia" w:ascii="宋体" w:hAnsi="宋体" w:eastAsia="宋体" w:cs="宋体"/>
          <w:b/>
          <w:sz w:val="21"/>
          <w:szCs w:val="21"/>
          <w:lang w:val="en-US" w:eastAsia="zh-CN"/>
        </w:rPr>
        <w:t>采购</w:t>
      </w:r>
      <w:r>
        <w:rPr>
          <w:rFonts w:hint="eastAsia" w:ascii="宋体" w:hAnsi="宋体" w:eastAsia="宋体" w:cs="宋体"/>
          <w:b/>
          <w:sz w:val="21"/>
          <w:szCs w:val="21"/>
        </w:rPr>
        <w:t>清单如下：</w:t>
      </w:r>
    </w:p>
    <w:tbl>
      <w:tblPr>
        <w:tblStyle w:val="8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447"/>
        <w:gridCol w:w="1994"/>
        <w:gridCol w:w="2504"/>
        <w:gridCol w:w="447"/>
        <w:gridCol w:w="447"/>
        <w:gridCol w:w="469"/>
        <w:gridCol w:w="880"/>
        <w:gridCol w:w="884"/>
      </w:tblGrid>
      <w:tr w14:paraId="4CAF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0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717" w:name="_Toc477415393"/>
            <w:r>
              <w:rPr>
                <w:rFonts w:hint="eastAsia" w:ascii="宋体" w:hAnsi="宋体" w:eastAsia="宋体" w:cs="宋体"/>
                <w:i w:val="0"/>
                <w:iCs w:val="0"/>
                <w:color w:val="000000"/>
                <w:kern w:val="0"/>
                <w:sz w:val="21"/>
                <w:szCs w:val="21"/>
                <w:u w:val="none"/>
                <w:lang w:val="en-US" w:eastAsia="zh-CN" w:bidi="ar"/>
              </w:rPr>
              <w:t>序号</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C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产品类型</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8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6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2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C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2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交货期（</w:t>
            </w:r>
            <w:r>
              <w:rPr>
                <w:rFonts w:hint="eastAsia" w:ascii="宋体" w:hAnsi="宋体" w:cs="宋体"/>
                <w:i w:val="0"/>
                <w:iCs w:val="0"/>
                <w:color w:val="000000"/>
                <w:kern w:val="0"/>
                <w:sz w:val="21"/>
                <w:szCs w:val="21"/>
                <w:u w:val="none"/>
                <w:lang w:val="en-US" w:eastAsia="zh-CN" w:bidi="ar"/>
              </w:rPr>
              <w:t>工作日</w:t>
            </w:r>
            <w:r>
              <w:rPr>
                <w:rFonts w:hint="eastAsia" w:ascii="宋体" w:hAnsi="宋体" w:eastAsia="宋体" w:cs="宋体"/>
                <w:i w:val="0"/>
                <w:iCs w:val="0"/>
                <w:color w:val="000000"/>
                <w:kern w:val="0"/>
                <w:sz w:val="21"/>
                <w:szCs w:val="21"/>
                <w:u w:val="none"/>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9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质保期（月）</w:t>
            </w:r>
          </w:p>
        </w:tc>
      </w:tr>
      <w:tr w14:paraId="60E6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ED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6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中间件2</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9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中间件2（应用服务器软件企业版）</w:t>
            </w: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EF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中间件软件须为原厂正版授权；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授权方式：终身授权；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授权对象：中国电信股份有限公司遵义分公司；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产品为最新版本；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详见《技术规格书》</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C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6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2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A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121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12</w:t>
            </w:r>
          </w:p>
        </w:tc>
      </w:tr>
      <w:tr w14:paraId="1FB7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1530">
            <w:pPr>
              <w:jc w:val="center"/>
              <w:rPr>
                <w:rFonts w:hint="eastAsia" w:ascii="宋体" w:hAnsi="宋体" w:eastAsia="宋体" w:cs="宋体"/>
                <w:i w:val="0"/>
                <w:iCs w:val="0"/>
                <w:color w:val="000000"/>
                <w:sz w:val="21"/>
                <w:szCs w:val="21"/>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C8DC">
            <w:pPr>
              <w:jc w:val="center"/>
              <w:rPr>
                <w:rFonts w:hint="eastAsia" w:ascii="宋体" w:hAnsi="宋体" w:eastAsia="宋体" w:cs="宋体"/>
                <w:i w:val="0"/>
                <w:iCs w:val="0"/>
                <w:color w:val="000000"/>
                <w:sz w:val="21"/>
                <w:szCs w:val="21"/>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中间件2（负载均衡软件）</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2930">
            <w:pPr>
              <w:jc w:val="center"/>
              <w:rPr>
                <w:rFonts w:hint="eastAsia" w:ascii="宋体" w:hAnsi="宋体" w:eastAsia="宋体" w:cs="宋体"/>
                <w:i w:val="0"/>
                <w:iCs w:val="0"/>
                <w:color w:val="000000"/>
                <w:sz w:val="21"/>
                <w:szCs w:val="21"/>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1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6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3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9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12</w:t>
            </w:r>
          </w:p>
        </w:tc>
      </w:tr>
      <w:tr w14:paraId="6C3A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E362">
            <w:pPr>
              <w:jc w:val="center"/>
              <w:rPr>
                <w:rFonts w:hint="eastAsia" w:ascii="宋体" w:hAnsi="宋体" w:eastAsia="宋体" w:cs="宋体"/>
                <w:i w:val="0"/>
                <w:iCs w:val="0"/>
                <w:color w:val="000000"/>
                <w:sz w:val="21"/>
                <w:szCs w:val="21"/>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0561">
            <w:pPr>
              <w:jc w:val="center"/>
              <w:rPr>
                <w:rFonts w:hint="eastAsia" w:ascii="宋体" w:hAnsi="宋体" w:eastAsia="宋体" w:cs="宋体"/>
                <w:i w:val="0"/>
                <w:iCs w:val="0"/>
                <w:color w:val="000000"/>
                <w:sz w:val="21"/>
                <w:szCs w:val="21"/>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3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中间件2（内存数据缓存软件）</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5AFF">
            <w:pPr>
              <w:jc w:val="center"/>
              <w:rPr>
                <w:rFonts w:hint="eastAsia" w:ascii="宋体" w:hAnsi="宋体" w:eastAsia="宋体" w:cs="宋体"/>
                <w:i w:val="0"/>
                <w:iCs w:val="0"/>
                <w:color w:val="000000"/>
                <w:sz w:val="21"/>
                <w:szCs w:val="21"/>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8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7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6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1A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12</w:t>
            </w:r>
          </w:p>
        </w:tc>
      </w:tr>
      <w:tr w14:paraId="023F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2E1B">
            <w:pPr>
              <w:jc w:val="center"/>
              <w:rPr>
                <w:rFonts w:hint="eastAsia" w:ascii="宋体" w:hAnsi="宋体" w:eastAsia="宋体" w:cs="宋体"/>
                <w:i w:val="0"/>
                <w:iCs w:val="0"/>
                <w:color w:val="000000"/>
                <w:sz w:val="21"/>
                <w:szCs w:val="21"/>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CB81">
            <w:pPr>
              <w:jc w:val="center"/>
              <w:rPr>
                <w:rFonts w:hint="eastAsia" w:ascii="宋体" w:hAnsi="宋体" w:eastAsia="宋体" w:cs="宋体"/>
                <w:i w:val="0"/>
                <w:iCs w:val="0"/>
                <w:color w:val="000000"/>
                <w:sz w:val="21"/>
                <w:szCs w:val="21"/>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5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中间件2（分布式消息队列软件）</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5A86">
            <w:pPr>
              <w:jc w:val="center"/>
              <w:rPr>
                <w:rFonts w:hint="eastAsia" w:ascii="宋体" w:hAnsi="宋体" w:eastAsia="宋体" w:cs="宋体"/>
                <w:i w:val="0"/>
                <w:iCs w:val="0"/>
                <w:color w:val="000000"/>
                <w:sz w:val="21"/>
                <w:szCs w:val="21"/>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E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F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6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F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9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12</w:t>
            </w:r>
          </w:p>
        </w:tc>
      </w:tr>
    </w:tbl>
    <w:p w14:paraId="3A51F3B1">
      <w:pPr>
        <w:keepNext/>
        <w:keepLines/>
        <w:widowControl w:val="0"/>
        <w:spacing w:before="260" w:after="260" w:line="413" w:lineRule="auto"/>
        <w:ind w:firstLine="211" w:firstLineChars="100"/>
        <w:jc w:val="both"/>
        <w:outlineLvl w:val="2"/>
        <w:rPr>
          <w:rFonts w:hint="eastAsia" w:ascii="宋体" w:hAnsi="宋体" w:eastAsia="宋体" w:cs="宋体"/>
          <w:b/>
          <w:bCs/>
          <w:color w:val="auto"/>
          <w:sz w:val="21"/>
          <w:szCs w:val="21"/>
          <w:highlight w:val="none"/>
          <w:lang w:val="en-US" w:eastAsia="zh-CN"/>
        </w:rPr>
      </w:pPr>
      <w:bookmarkStart w:id="718" w:name="_Toc13596"/>
      <w:bookmarkStart w:id="719" w:name="_Toc17931"/>
      <w:r>
        <w:rPr>
          <w:rFonts w:hint="eastAsia" w:ascii="宋体" w:hAnsi="宋体" w:eastAsia="宋体" w:cs="宋体"/>
          <w:b/>
          <w:kern w:val="2"/>
          <w:sz w:val="21"/>
          <w:szCs w:val="21"/>
          <w:lang w:val="en-US" w:eastAsia="zh-CN" w:bidi="ar-SA"/>
        </w:rPr>
        <w:t>3.3</w:t>
      </w:r>
      <w:bookmarkEnd w:id="717"/>
      <w:r>
        <w:rPr>
          <w:rFonts w:hint="eastAsia" w:ascii="宋体" w:hAnsi="宋体" w:eastAsia="宋体" w:cs="宋体"/>
          <w:b/>
          <w:kern w:val="2"/>
          <w:sz w:val="21"/>
          <w:szCs w:val="21"/>
          <w:lang w:val="en-US" w:eastAsia="zh-CN" w:bidi="ar-SA"/>
        </w:rPr>
        <w:t>技术规格书</w:t>
      </w:r>
      <w:bookmarkEnd w:id="718"/>
      <w:bookmarkEnd w:id="719"/>
    </w:p>
    <w:p w14:paraId="263138EE">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bCs/>
          <w:kern w:val="44"/>
          <w:sz w:val="21"/>
          <w:szCs w:val="21"/>
          <w:lang w:val="en-US" w:eastAsia="zh-CN" w:bidi="ar-SA"/>
        </w:rPr>
      </w:pPr>
      <w:bookmarkStart w:id="720" w:name="_Toc1342"/>
      <w:bookmarkStart w:id="721" w:name="_Toc7199"/>
      <w:r>
        <w:rPr>
          <w:rFonts w:hint="eastAsia" w:ascii="宋体" w:hAnsi="宋体" w:eastAsia="宋体" w:cs="宋体"/>
          <w:b w:val="0"/>
          <w:bCs w:val="0"/>
          <w:color w:val="000000"/>
          <w:kern w:val="44"/>
          <w:sz w:val="21"/>
          <w:szCs w:val="21"/>
          <w:lang w:val="en-US" w:eastAsia="zh-CN" w:bidi="ar-SA"/>
        </w:rPr>
        <w:t>3.3.1应用服务器软件企业版指标要求</w:t>
      </w:r>
      <w:bookmarkEnd w:id="720"/>
      <w:bookmarkEnd w:id="721"/>
      <w:r>
        <w:rPr>
          <w:rFonts w:hint="eastAsia" w:ascii="宋体" w:hAnsi="宋体" w:eastAsia="宋体" w:cs="宋体"/>
          <w:b w:val="0"/>
          <w:bCs w:val="0"/>
          <w:color w:val="000000"/>
          <w:kern w:val="44"/>
          <w:sz w:val="21"/>
          <w:szCs w:val="21"/>
          <w:lang w:val="en-US" w:eastAsia="zh-CN" w:bidi="ar-SA"/>
        </w:rPr>
        <w:t xml:space="preserve"> </w:t>
      </w:r>
    </w:p>
    <w:tbl>
      <w:tblPr>
        <w:tblStyle w:val="8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850"/>
        <w:gridCol w:w="7396"/>
      </w:tblGrid>
      <w:tr w14:paraId="28AF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noWrap w:val="0"/>
            <w:vAlign w:val="center"/>
          </w:tcPr>
          <w:p w14:paraId="3801A326">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850" w:type="dxa"/>
            <w:noWrap w:val="0"/>
            <w:vAlign w:val="center"/>
          </w:tcPr>
          <w:p w14:paraId="3E62A834">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指标项</w:t>
            </w:r>
          </w:p>
        </w:tc>
        <w:tc>
          <w:tcPr>
            <w:tcW w:w="7396" w:type="dxa"/>
            <w:noWrap w:val="0"/>
            <w:vAlign w:val="center"/>
          </w:tcPr>
          <w:p w14:paraId="7D2AC6B7">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指标要求</w:t>
            </w:r>
          </w:p>
        </w:tc>
      </w:tr>
      <w:tr w14:paraId="4C62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restart"/>
            <w:noWrap w:val="0"/>
            <w:vAlign w:val="center"/>
          </w:tcPr>
          <w:p w14:paraId="50A15DED">
            <w:pPr>
              <w:widowControl/>
              <w:jc w:val="center"/>
              <w:rPr>
                <w:rFonts w:hint="eastAsia" w:ascii="宋体" w:hAnsi="宋体" w:eastAsia="宋体" w:cs="宋体"/>
                <w:color w:val="auto"/>
                <w:kern w:val="0"/>
                <w:sz w:val="21"/>
                <w:szCs w:val="21"/>
              </w:rPr>
            </w:pPr>
          </w:p>
        </w:tc>
        <w:tc>
          <w:tcPr>
            <w:tcW w:w="850" w:type="dxa"/>
            <w:vMerge w:val="restart"/>
            <w:noWrap w:val="0"/>
            <w:vAlign w:val="center"/>
          </w:tcPr>
          <w:p w14:paraId="5D7A577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总体性要求</w:t>
            </w:r>
          </w:p>
        </w:tc>
        <w:tc>
          <w:tcPr>
            <w:tcW w:w="7396" w:type="dxa"/>
            <w:noWrap w:val="0"/>
            <w:vAlign w:val="center"/>
          </w:tcPr>
          <w:p w14:paraId="75F68096">
            <w:pPr>
              <w:widowControl/>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产品同时通过Jakarta EE8.0、Jakarta EE9.0、Jakarta EE9.1等系列的标准规范认证，分别逐个提供官网网址及官网认证截图证明。</w:t>
            </w:r>
          </w:p>
        </w:tc>
      </w:tr>
      <w:tr w14:paraId="3D7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continue"/>
            <w:noWrap w:val="0"/>
            <w:vAlign w:val="center"/>
          </w:tcPr>
          <w:p w14:paraId="161134F4">
            <w:pPr>
              <w:widowControl/>
              <w:jc w:val="center"/>
              <w:rPr>
                <w:rFonts w:hint="eastAsia" w:ascii="宋体" w:hAnsi="宋体" w:eastAsia="宋体" w:cs="宋体"/>
                <w:color w:val="auto"/>
                <w:kern w:val="0"/>
                <w:sz w:val="21"/>
                <w:szCs w:val="21"/>
              </w:rPr>
            </w:pPr>
          </w:p>
        </w:tc>
        <w:tc>
          <w:tcPr>
            <w:tcW w:w="850" w:type="dxa"/>
            <w:vMerge w:val="continue"/>
            <w:noWrap w:val="0"/>
            <w:vAlign w:val="center"/>
          </w:tcPr>
          <w:p w14:paraId="6065835B">
            <w:pPr>
              <w:widowControl/>
              <w:jc w:val="left"/>
              <w:rPr>
                <w:rFonts w:hint="eastAsia" w:ascii="宋体" w:hAnsi="宋体" w:eastAsia="宋体" w:cs="宋体"/>
                <w:color w:val="auto"/>
                <w:kern w:val="0"/>
                <w:sz w:val="21"/>
                <w:szCs w:val="21"/>
              </w:rPr>
            </w:pPr>
          </w:p>
        </w:tc>
        <w:tc>
          <w:tcPr>
            <w:tcW w:w="7396" w:type="dxa"/>
            <w:noWrap w:val="0"/>
            <w:vAlign w:val="center"/>
          </w:tcPr>
          <w:p w14:paraId="0C4333EF">
            <w:pPr>
              <w:widowControl/>
              <w:jc w:val="left"/>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产品</w:t>
            </w:r>
            <w:r>
              <w:rPr>
                <w:rFonts w:hint="eastAsia" w:ascii="宋体" w:hAnsi="宋体" w:eastAsia="宋体" w:cs="宋体"/>
                <w:color w:val="auto"/>
                <w:sz w:val="21"/>
                <w:szCs w:val="21"/>
                <w:u w:val="none"/>
                <w:lang w:val="en-US" w:eastAsia="zh-CN" w:bidi="ar"/>
              </w:rPr>
              <w:t>通过了Q/KXY MI002 2022《云原生能力成熟度模型 第5部分：中间件》标准的弹性、可移植性、可维护性、可观测性、高可用性、开放性和安全性的检验，达到云原生中间件成熟度评估的4级要求。</w:t>
            </w:r>
          </w:p>
        </w:tc>
      </w:tr>
      <w:tr w14:paraId="6D22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continue"/>
            <w:noWrap w:val="0"/>
            <w:vAlign w:val="center"/>
          </w:tcPr>
          <w:p w14:paraId="2B036E65">
            <w:pPr>
              <w:widowControl/>
              <w:jc w:val="center"/>
              <w:rPr>
                <w:rFonts w:hint="eastAsia" w:ascii="宋体" w:hAnsi="宋体" w:eastAsia="宋体" w:cs="宋体"/>
                <w:color w:val="auto"/>
                <w:kern w:val="0"/>
                <w:sz w:val="21"/>
                <w:szCs w:val="21"/>
              </w:rPr>
            </w:pPr>
          </w:p>
        </w:tc>
        <w:tc>
          <w:tcPr>
            <w:tcW w:w="850" w:type="dxa"/>
            <w:vMerge w:val="continue"/>
            <w:noWrap w:val="0"/>
            <w:vAlign w:val="center"/>
          </w:tcPr>
          <w:p w14:paraId="0394C6E1">
            <w:pPr>
              <w:widowControl/>
              <w:jc w:val="left"/>
              <w:rPr>
                <w:rFonts w:hint="eastAsia" w:ascii="宋体" w:hAnsi="宋体" w:eastAsia="宋体" w:cs="宋体"/>
                <w:color w:val="auto"/>
                <w:kern w:val="0"/>
                <w:sz w:val="21"/>
                <w:szCs w:val="21"/>
              </w:rPr>
            </w:pPr>
          </w:p>
        </w:tc>
        <w:tc>
          <w:tcPr>
            <w:tcW w:w="7396" w:type="dxa"/>
            <w:noWrap w:val="0"/>
            <w:vAlign w:val="center"/>
          </w:tcPr>
          <w:p w14:paraId="67148562">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★为适应应用系统不停机升级更新，支持WEB应用多版本共存，新的会话访问应用的新版本，旧的会话访问应用的旧版；</w:t>
            </w:r>
            <w:r>
              <w:rPr>
                <w:rFonts w:hint="eastAsia" w:ascii="宋体" w:hAnsi="宋体" w:eastAsia="宋体" w:cs="宋体"/>
                <w:b w:val="0"/>
                <w:bCs w:val="0"/>
                <w:color w:val="auto"/>
                <w:sz w:val="21"/>
                <w:szCs w:val="21"/>
                <w:lang w:val="en-US" w:eastAsia="zh-CN"/>
              </w:rPr>
              <w:t>须提供需</w:t>
            </w:r>
            <w:r>
              <w:rPr>
                <w:rFonts w:hint="eastAsia" w:ascii="宋体" w:hAnsi="宋体" w:eastAsia="宋体" w:cs="宋体"/>
                <w:b w:val="0"/>
                <w:bCs w:val="0"/>
                <w:color w:val="auto"/>
                <w:sz w:val="21"/>
                <w:szCs w:val="21"/>
              </w:rPr>
              <w:t>提供产品截图</w:t>
            </w:r>
            <w:r>
              <w:rPr>
                <w:rFonts w:hint="eastAsia" w:ascii="宋体" w:hAnsi="宋体" w:eastAsia="宋体" w:cs="宋体"/>
                <w:b w:val="0"/>
                <w:bCs w:val="0"/>
                <w:color w:val="auto"/>
                <w:sz w:val="21"/>
                <w:szCs w:val="21"/>
                <w:lang w:val="en-US" w:eastAsia="zh-CN"/>
              </w:rPr>
              <w:t>及具有CMA或CNAS标识的检测机构出具有效期内的测试报告</w:t>
            </w:r>
            <w:r>
              <w:rPr>
                <w:rFonts w:hint="eastAsia" w:ascii="宋体" w:hAnsi="宋体" w:eastAsia="宋体" w:cs="宋体"/>
                <w:b w:val="0"/>
                <w:bCs w:val="0"/>
                <w:color w:val="auto"/>
                <w:sz w:val="21"/>
                <w:szCs w:val="21"/>
              </w:rPr>
              <w:t>。</w:t>
            </w:r>
          </w:p>
        </w:tc>
      </w:tr>
      <w:tr w14:paraId="2331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continue"/>
            <w:noWrap w:val="0"/>
            <w:vAlign w:val="center"/>
          </w:tcPr>
          <w:p w14:paraId="48EF5A30">
            <w:pPr>
              <w:widowControl/>
              <w:jc w:val="center"/>
              <w:rPr>
                <w:rFonts w:hint="eastAsia" w:ascii="宋体" w:hAnsi="宋体" w:eastAsia="宋体" w:cs="宋体"/>
                <w:color w:val="auto"/>
                <w:kern w:val="0"/>
                <w:sz w:val="21"/>
                <w:szCs w:val="21"/>
              </w:rPr>
            </w:pPr>
          </w:p>
        </w:tc>
        <w:tc>
          <w:tcPr>
            <w:tcW w:w="850" w:type="dxa"/>
            <w:vMerge w:val="continue"/>
            <w:noWrap w:val="0"/>
            <w:vAlign w:val="center"/>
          </w:tcPr>
          <w:p w14:paraId="46CA4A98">
            <w:pPr>
              <w:widowControl/>
              <w:jc w:val="left"/>
              <w:rPr>
                <w:rFonts w:hint="eastAsia" w:ascii="宋体" w:hAnsi="宋体" w:eastAsia="宋体" w:cs="宋体"/>
                <w:color w:val="auto"/>
                <w:kern w:val="0"/>
                <w:sz w:val="21"/>
                <w:szCs w:val="21"/>
              </w:rPr>
            </w:pPr>
          </w:p>
        </w:tc>
        <w:tc>
          <w:tcPr>
            <w:tcW w:w="7396" w:type="dxa"/>
            <w:noWrap w:val="0"/>
            <w:vAlign w:val="center"/>
          </w:tcPr>
          <w:p w14:paraId="7B1C5942">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★中间件产品对第三方开发框架兼容性好，支持多种主流开发框架如spring、struts、cxf、axis、Velocity、IBATIS、hibernate等，</w:t>
            </w:r>
            <w:r>
              <w:rPr>
                <w:rFonts w:hint="eastAsia" w:ascii="宋体" w:hAnsi="宋体" w:cs="宋体"/>
                <w:b w:val="0"/>
                <w:bCs w:val="0"/>
                <w:color w:val="auto"/>
                <w:sz w:val="21"/>
                <w:szCs w:val="21"/>
                <w:lang w:val="en-US" w:eastAsia="zh-CN"/>
              </w:rPr>
              <w:t>须</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CMA或</w:t>
            </w:r>
            <w:r>
              <w:rPr>
                <w:rFonts w:hint="eastAsia" w:ascii="宋体" w:hAnsi="宋体" w:eastAsia="宋体" w:cs="宋体"/>
                <w:b w:val="0"/>
                <w:bCs w:val="0"/>
                <w:color w:val="auto"/>
                <w:sz w:val="21"/>
                <w:szCs w:val="21"/>
              </w:rPr>
              <w:t>CNAS认定的第三方机构出具的</w:t>
            </w:r>
            <w:r>
              <w:rPr>
                <w:rFonts w:hint="eastAsia" w:ascii="宋体" w:hAnsi="宋体" w:eastAsia="宋体" w:cs="宋体"/>
                <w:b w:val="0"/>
                <w:bCs w:val="0"/>
                <w:color w:val="auto"/>
                <w:sz w:val="21"/>
                <w:szCs w:val="21"/>
                <w:lang w:val="en-US" w:eastAsia="zh-CN"/>
              </w:rPr>
              <w:t>有效期内的</w:t>
            </w:r>
            <w:r>
              <w:rPr>
                <w:rFonts w:hint="eastAsia" w:ascii="宋体" w:hAnsi="宋体" w:eastAsia="宋体" w:cs="宋体"/>
                <w:b w:val="0"/>
                <w:bCs w:val="0"/>
                <w:color w:val="auto"/>
                <w:sz w:val="21"/>
                <w:szCs w:val="21"/>
              </w:rPr>
              <w:t>测试报告。</w:t>
            </w:r>
          </w:p>
        </w:tc>
      </w:tr>
      <w:tr w14:paraId="326F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restart"/>
            <w:noWrap w:val="0"/>
            <w:vAlign w:val="center"/>
          </w:tcPr>
          <w:p w14:paraId="2ABA2DA9">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vMerge w:val="restart"/>
            <w:noWrap w:val="0"/>
            <w:vAlign w:val="center"/>
          </w:tcPr>
          <w:p w14:paraId="135CBDE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功能要求</w:t>
            </w:r>
          </w:p>
        </w:tc>
        <w:tc>
          <w:tcPr>
            <w:tcW w:w="7396" w:type="dxa"/>
            <w:noWrap w:val="0"/>
            <w:vAlign w:val="center"/>
          </w:tcPr>
          <w:p w14:paraId="520F92C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产品需广泛兼容适配</w:t>
            </w:r>
            <w:r>
              <w:rPr>
                <w:rFonts w:hint="eastAsia" w:ascii="宋体" w:hAnsi="宋体" w:eastAsia="宋体" w:cs="宋体"/>
                <w:color w:val="auto"/>
                <w:kern w:val="0"/>
                <w:sz w:val="21"/>
                <w:szCs w:val="21"/>
                <w:lang w:val="en-US" w:eastAsia="zh-CN"/>
              </w:rPr>
              <w:t>国内外主流厂商软硬件，支持</w:t>
            </w:r>
            <w:r>
              <w:rPr>
                <w:rFonts w:hint="eastAsia" w:ascii="宋体" w:hAnsi="宋体" w:eastAsia="宋体" w:cs="宋体"/>
                <w:color w:val="auto"/>
                <w:kern w:val="0"/>
                <w:sz w:val="21"/>
                <w:szCs w:val="21"/>
              </w:rPr>
              <w:t>国产主流软硬件平台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兼容国产CPU架构：鲲鹏、飞腾、海光、兆芯、龙芯、申威及X86_64等；兼容国内外主流</w:t>
            </w:r>
            <w:r>
              <w:rPr>
                <w:rFonts w:hint="eastAsia" w:ascii="宋体" w:hAnsi="宋体" w:eastAsia="宋体" w:cs="宋体"/>
                <w:color w:val="auto"/>
                <w:kern w:val="0"/>
                <w:sz w:val="21"/>
                <w:szCs w:val="21"/>
              </w:rPr>
              <w:t>操作系统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麒麟、</w:t>
            </w:r>
            <w:r>
              <w:rPr>
                <w:rFonts w:hint="eastAsia" w:ascii="宋体" w:hAnsi="宋体" w:eastAsia="宋体" w:cs="宋体"/>
                <w:color w:val="auto"/>
                <w:kern w:val="0"/>
                <w:sz w:val="21"/>
                <w:szCs w:val="21"/>
                <w:lang w:val="en-US" w:eastAsia="zh-CN"/>
              </w:rPr>
              <w:t>统信及其他常用Linux、Unix等</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支持多种主流国产</w:t>
            </w:r>
            <w:r>
              <w:rPr>
                <w:rFonts w:hint="eastAsia" w:ascii="宋体" w:hAnsi="宋体" w:eastAsia="宋体" w:cs="宋体"/>
                <w:color w:val="auto"/>
                <w:kern w:val="0"/>
                <w:sz w:val="21"/>
                <w:szCs w:val="21"/>
              </w:rPr>
              <w:t>数据库：达梦、人大金仓、神州通用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南大通用</w:t>
            </w:r>
            <w:r>
              <w:rPr>
                <w:rFonts w:hint="eastAsia" w:ascii="宋体" w:hAnsi="宋体" w:eastAsia="宋体" w:cs="宋体"/>
                <w:color w:val="auto"/>
                <w:kern w:val="0"/>
                <w:sz w:val="21"/>
                <w:szCs w:val="21"/>
              </w:rPr>
              <w:t>等。</w:t>
            </w:r>
          </w:p>
        </w:tc>
      </w:tr>
      <w:tr w14:paraId="5873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continue"/>
            <w:noWrap w:val="0"/>
            <w:vAlign w:val="center"/>
          </w:tcPr>
          <w:p w14:paraId="270F29BC">
            <w:pPr>
              <w:jc w:val="center"/>
              <w:rPr>
                <w:rFonts w:hint="eastAsia" w:ascii="宋体" w:hAnsi="宋体" w:eastAsia="宋体" w:cs="宋体"/>
                <w:color w:val="auto"/>
                <w:kern w:val="0"/>
                <w:sz w:val="21"/>
                <w:szCs w:val="21"/>
              </w:rPr>
            </w:pPr>
          </w:p>
        </w:tc>
        <w:tc>
          <w:tcPr>
            <w:tcW w:w="850" w:type="dxa"/>
            <w:vMerge w:val="continue"/>
            <w:noWrap w:val="0"/>
            <w:vAlign w:val="center"/>
          </w:tcPr>
          <w:p w14:paraId="72E518E5">
            <w:pPr>
              <w:widowControl/>
              <w:jc w:val="left"/>
              <w:rPr>
                <w:rFonts w:hint="eastAsia" w:ascii="宋体" w:hAnsi="宋体" w:eastAsia="宋体" w:cs="宋体"/>
                <w:color w:val="auto"/>
                <w:kern w:val="0"/>
                <w:sz w:val="21"/>
                <w:szCs w:val="21"/>
              </w:rPr>
            </w:pPr>
          </w:p>
        </w:tc>
        <w:tc>
          <w:tcPr>
            <w:tcW w:w="7396" w:type="dxa"/>
            <w:noWrap w:val="0"/>
            <w:vAlign w:val="center"/>
          </w:tcPr>
          <w:p w14:paraId="289E2F2C">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★中间件产品提供良好的事务管理支持能力，可以显示正在执行的事务列表与事务状态及事务耗时，并可选择取消一个运行中的事务；</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rPr>
              <w:t>提供产品截图及</w:t>
            </w:r>
            <w:r>
              <w:rPr>
                <w:rFonts w:hint="eastAsia" w:ascii="宋体" w:hAnsi="宋体" w:eastAsia="宋体" w:cs="宋体"/>
                <w:b w:val="0"/>
                <w:bCs w:val="0"/>
                <w:color w:val="auto"/>
                <w:sz w:val="21"/>
                <w:szCs w:val="21"/>
                <w:lang w:val="en-US" w:eastAsia="zh-CN"/>
              </w:rPr>
              <w:t>CMA或</w:t>
            </w:r>
            <w:r>
              <w:rPr>
                <w:rFonts w:hint="eastAsia" w:ascii="宋体" w:hAnsi="宋体" w:eastAsia="宋体" w:cs="宋体"/>
                <w:b w:val="0"/>
                <w:bCs w:val="0"/>
                <w:color w:val="auto"/>
                <w:sz w:val="21"/>
                <w:szCs w:val="21"/>
              </w:rPr>
              <w:t>CNAS认定的第三方机构出具的</w:t>
            </w:r>
            <w:r>
              <w:rPr>
                <w:rFonts w:hint="eastAsia" w:ascii="宋体" w:hAnsi="宋体" w:eastAsia="宋体" w:cs="宋体"/>
                <w:b w:val="0"/>
                <w:bCs w:val="0"/>
                <w:color w:val="auto"/>
                <w:sz w:val="21"/>
                <w:szCs w:val="21"/>
                <w:lang w:val="en-US" w:eastAsia="zh-CN"/>
              </w:rPr>
              <w:t>有效期内的</w:t>
            </w:r>
            <w:r>
              <w:rPr>
                <w:rFonts w:hint="eastAsia" w:ascii="宋体" w:hAnsi="宋体" w:eastAsia="宋体" w:cs="宋体"/>
                <w:b w:val="0"/>
                <w:bCs w:val="0"/>
                <w:color w:val="auto"/>
                <w:sz w:val="21"/>
                <w:szCs w:val="21"/>
              </w:rPr>
              <w:t>测试报告</w:t>
            </w:r>
            <w:r>
              <w:rPr>
                <w:rFonts w:hint="eastAsia" w:ascii="宋体" w:hAnsi="宋体" w:eastAsia="宋体" w:cs="宋体"/>
                <w:color w:val="auto"/>
                <w:sz w:val="21"/>
                <w:szCs w:val="21"/>
              </w:rPr>
              <w:t>。</w:t>
            </w:r>
          </w:p>
        </w:tc>
      </w:tr>
      <w:tr w14:paraId="0353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9" w:type="dxa"/>
            <w:vMerge w:val="continue"/>
            <w:noWrap w:val="0"/>
            <w:vAlign w:val="center"/>
          </w:tcPr>
          <w:p w14:paraId="2F0E7F29">
            <w:pPr>
              <w:jc w:val="center"/>
              <w:rPr>
                <w:rFonts w:hint="eastAsia" w:ascii="宋体" w:hAnsi="宋体" w:eastAsia="宋体" w:cs="宋体"/>
                <w:color w:val="auto"/>
                <w:kern w:val="0"/>
                <w:sz w:val="21"/>
                <w:szCs w:val="21"/>
              </w:rPr>
            </w:pPr>
          </w:p>
        </w:tc>
        <w:tc>
          <w:tcPr>
            <w:tcW w:w="850" w:type="dxa"/>
            <w:vMerge w:val="continue"/>
            <w:noWrap w:val="0"/>
            <w:vAlign w:val="center"/>
          </w:tcPr>
          <w:p w14:paraId="23E1271E">
            <w:pPr>
              <w:widowControl/>
              <w:jc w:val="left"/>
              <w:rPr>
                <w:rFonts w:hint="eastAsia" w:ascii="宋体" w:hAnsi="宋体" w:eastAsia="宋体" w:cs="宋体"/>
                <w:color w:val="auto"/>
                <w:kern w:val="0"/>
                <w:sz w:val="21"/>
                <w:szCs w:val="21"/>
              </w:rPr>
            </w:pPr>
          </w:p>
        </w:tc>
        <w:tc>
          <w:tcPr>
            <w:tcW w:w="7396" w:type="dxa"/>
            <w:noWrap w:val="0"/>
            <w:vAlign w:val="center"/>
          </w:tcPr>
          <w:p w14:paraId="28C82056">
            <w:pPr>
              <w:rPr>
                <w:rFonts w:hint="eastAsia" w:ascii="宋体" w:hAnsi="宋体" w:eastAsia="宋体" w:cs="宋体"/>
                <w:color w:val="auto"/>
                <w:kern w:val="0"/>
                <w:sz w:val="21"/>
                <w:szCs w:val="21"/>
              </w:rPr>
            </w:pPr>
            <w:r>
              <w:rPr>
                <w:rStyle w:val="159"/>
                <w:rFonts w:hint="eastAsia" w:ascii="宋体" w:hAnsi="宋体" w:eastAsia="宋体" w:cs="宋体"/>
                <w:color w:val="auto"/>
                <w:sz w:val="21"/>
                <w:szCs w:val="21"/>
                <w:lang w:val="en-US" w:eastAsia="zh-CN" w:bidi="ar"/>
              </w:rPr>
              <w:t>产品能为上层应用提供Web服务容器、EJB容器、应用部署、应用热更新、组件集群、数据连接服务、支持应用生命周期监听、可视化的补丁管理、商用密码以及管理监控等基本功能。</w:t>
            </w:r>
          </w:p>
        </w:tc>
      </w:tr>
      <w:tr w14:paraId="3834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59FB34FA">
            <w:pPr>
              <w:jc w:val="center"/>
              <w:rPr>
                <w:rFonts w:hint="eastAsia" w:ascii="宋体" w:hAnsi="宋体" w:eastAsia="宋体" w:cs="宋体"/>
                <w:color w:val="auto"/>
                <w:kern w:val="0"/>
                <w:sz w:val="21"/>
                <w:szCs w:val="21"/>
              </w:rPr>
            </w:pPr>
          </w:p>
        </w:tc>
        <w:tc>
          <w:tcPr>
            <w:tcW w:w="850" w:type="dxa"/>
            <w:vMerge w:val="continue"/>
            <w:noWrap w:val="0"/>
            <w:vAlign w:val="center"/>
          </w:tcPr>
          <w:p w14:paraId="38BF6A0C">
            <w:pPr>
              <w:widowControl/>
              <w:jc w:val="left"/>
              <w:rPr>
                <w:rFonts w:hint="eastAsia" w:ascii="宋体" w:hAnsi="宋体" w:eastAsia="宋体" w:cs="宋体"/>
                <w:color w:val="auto"/>
                <w:kern w:val="0"/>
                <w:sz w:val="21"/>
                <w:szCs w:val="21"/>
              </w:rPr>
            </w:pPr>
          </w:p>
        </w:tc>
        <w:tc>
          <w:tcPr>
            <w:tcW w:w="7396" w:type="dxa"/>
            <w:noWrap w:val="0"/>
            <w:vAlign w:val="center"/>
          </w:tcPr>
          <w:p w14:paraId="25363F5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为实现对部分老版本应用系统的兼容支持，产品需支持JavaServer Faces（JSF）标准功能框架，且同时支持在JSF中，可执行动态方法，中间件产品需要提供相关的支持方法及组件模块，</w:t>
            </w:r>
            <w:r>
              <w:rPr>
                <w:rFonts w:hint="eastAsia" w:ascii="宋体" w:hAnsi="宋体" w:cs="宋体"/>
                <w:color w:val="auto"/>
                <w:kern w:val="0"/>
                <w:sz w:val="21"/>
                <w:szCs w:val="21"/>
                <w:lang w:val="en-US" w:eastAsia="zh-CN"/>
              </w:rPr>
              <w:t>须</w:t>
            </w:r>
            <w:r>
              <w:rPr>
                <w:rFonts w:hint="eastAsia" w:ascii="宋体" w:hAnsi="宋体" w:eastAsia="宋体" w:cs="宋体"/>
                <w:color w:val="auto"/>
                <w:kern w:val="0"/>
                <w:sz w:val="21"/>
                <w:szCs w:val="21"/>
              </w:rPr>
              <w:t>提供</w:t>
            </w:r>
            <w:r>
              <w:rPr>
                <w:rFonts w:hint="eastAsia" w:ascii="宋体" w:hAnsi="宋体" w:cs="宋体"/>
                <w:color w:val="auto"/>
                <w:kern w:val="0"/>
                <w:sz w:val="21"/>
                <w:szCs w:val="21"/>
                <w:lang w:val="en-US" w:eastAsia="zh-CN"/>
              </w:rPr>
              <w:t>产品功能截图证明材料</w:t>
            </w:r>
            <w:r>
              <w:rPr>
                <w:rFonts w:hint="eastAsia" w:ascii="宋体" w:hAnsi="宋体" w:eastAsia="宋体" w:cs="宋体"/>
                <w:color w:val="auto"/>
                <w:kern w:val="0"/>
                <w:sz w:val="21"/>
                <w:szCs w:val="21"/>
              </w:rPr>
              <w:t>。</w:t>
            </w:r>
          </w:p>
        </w:tc>
      </w:tr>
      <w:tr w14:paraId="6B29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74024340">
            <w:pPr>
              <w:jc w:val="center"/>
              <w:rPr>
                <w:rFonts w:hint="eastAsia" w:ascii="宋体" w:hAnsi="宋体" w:eastAsia="宋体" w:cs="宋体"/>
                <w:color w:val="auto"/>
                <w:kern w:val="0"/>
                <w:sz w:val="21"/>
                <w:szCs w:val="21"/>
              </w:rPr>
            </w:pPr>
          </w:p>
        </w:tc>
        <w:tc>
          <w:tcPr>
            <w:tcW w:w="850" w:type="dxa"/>
            <w:vMerge w:val="continue"/>
            <w:noWrap w:val="0"/>
            <w:vAlign w:val="center"/>
          </w:tcPr>
          <w:p w14:paraId="2AF192ED">
            <w:pPr>
              <w:widowControl/>
              <w:jc w:val="left"/>
              <w:rPr>
                <w:rFonts w:hint="eastAsia" w:ascii="宋体" w:hAnsi="宋体" w:eastAsia="宋体" w:cs="宋体"/>
                <w:color w:val="auto"/>
                <w:kern w:val="0"/>
                <w:sz w:val="21"/>
                <w:szCs w:val="21"/>
              </w:rPr>
            </w:pPr>
          </w:p>
        </w:tc>
        <w:tc>
          <w:tcPr>
            <w:tcW w:w="7396" w:type="dxa"/>
            <w:noWrap w:val="0"/>
            <w:vAlign w:val="center"/>
          </w:tcPr>
          <w:p w14:paraId="12F7487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产品需提供完善的公共类管理策略，在实现共享库管理的基础上，也同时需要提供独特的、具备类装载隔离策略及装置模块。</w:t>
            </w:r>
          </w:p>
        </w:tc>
      </w:tr>
      <w:tr w14:paraId="6722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5366A1CC">
            <w:pPr>
              <w:jc w:val="center"/>
              <w:rPr>
                <w:rFonts w:hint="eastAsia" w:ascii="宋体" w:hAnsi="宋体" w:eastAsia="宋体" w:cs="宋体"/>
                <w:color w:val="auto"/>
                <w:kern w:val="0"/>
                <w:sz w:val="21"/>
                <w:szCs w:val="21"/>
              </w:rPr>
            </w:pPr>
          </w:p>
        </w:tc>
        <w:tc>
          <w:tcPr>
            <w:tcW w:w="850" w:type="dxa"/>
            <w:vMerge w:val="continue"/>
            <w:noWrap w:val="0"/>
            <w:vAlign w:val="center"/>
          </w:tcPr>
          <w:p w14:paraId="76BEA43E">
            <w:pPr>
              <w:widowControl/>
              <w:jc w:val="left"/>
              <w:rPr>
                <w:rFonts w:hint="eastAsia" w:ascii="宋体" w:hAnsi="宋体" w:eastAsia="宋体" w:cs="宋体"/>
                <w:color w:val="auto"/>
                <w:kern w:val="0"/>
                <w:sz w:val="21"/>
                <w:szCs w:val="21"/>
              </w:rPr>
            </w:pPr>
          </w:p>
        </w:tc>
        <w:tc>
          <w:tcPr>
            <w:tcW w:w="7396" w:type="dxa"/>
            <w:noWrap w:val="0"/>
            <w:vAlign w:val="center"/>
          </w:tcPr>
          <w:p w14:paraId="429F6BE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为保证上层应用在EJB集群环境下稳定运行，优先选用使用了EJB集群的失败恢复处理方法国家专利技术的产品并提供证明材料。</w:t>
            </w:r>
          </w:p>
        </w:tc>
      </w:tr>
      <w:tr w14:paraId="75C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4E997CE9">
            <w:pPr>
              <w:jc w:val="center"/>
              <w:rPr>
                <w:rFonts w:hint="eastAsia" w:ascii="宋体" w:hAnsi="宋体" w:eastAsia="宋体" w:cs="宋体"/>
                <w:color w:val="auto"/>
                <w:kern w:val="0"/>
                <w:sz w:val="21"/>
                <w:szCs w:val="21"/>
              </w:rPr>
            </w:pPr>
          </w:p>
        </w:tc>
        <w:tc>
          <w:tcPr>
            <w:tcW w:w="850" w:type="dxa"/>
            <w:vMerge w:val="continue"/>
            <w:noWrap w:val="0"/>
            <w:vAlign w:val="center"/>
          </w:tcPr>
          <w:p w14:paraId="31290F6D">
            <w:pPr>
              <w:widowControl/>
              <w:jc w:val="left"/>
              <w:rPr>
                <w:rFonts w:hint="eastAsia" w:ascii="宋体" w:hAnsi="宋体" w:eastAsia="宋体" w:cs="宋体"/>
                <w:color w:val="auto"/>
                <w:kern w:val="0"/>
                <w:sz w:val="21"/>
                <w:szCs w:val="21"/>
              </w:rPr>
            </w:pPr>
          </w:p>
        </w:tc>
        <w:tc>
          <w:tcPr>
            <w:tcW w:w="7396" w:type="dxa"/>
            <w:noWrap w:val="0"/>
            <w:vAlign w:val="center"/>
          </w:tcPr>
          <w:p w14:paraId="7EE5CCA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提供基于Web方式的JVM信息监控、类加载查看与SQL执行跟踪等功能，</w:t>
            </w:r>
            <w:r>
              <w:rPr>
                <w:rFonts w:hint="eastAsia" w:ascii="宋体" w:hAnsi="宋体" w:cs="宋体"/>
                <w:color w:val="auto"/>
                <w:kern w:val="0"/>
                <w:sz w:val="21"/>
                <w:szCs w:val="21"/>
                <w:lang w:val="en-US" w:eastAsia="zh-CN"/>
              </w:rPr>
              <w:t>须</w:t>
            </w:r>
            <w:r>
              <w:rPr>
                <w:rFonts w:hint="eastAsia" w:ascii="宋体" w:hAnsi="宋体" w:eastAsia="宋体" w:cs="宋体"/>
                <w:color w:val="auto"/>
                <w:kern w:val="0"/>
                <w:sz w:val="21"/>
                <w:szCs w:val="21"/>
              </w:rPr>
              <w:t>提供截图证明。</w:t>
            </w:r>
          </w:p>
        </w:tc>
      </w:tr>
      <w:tr w14:paraId="4C74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509" w:type="dxa"/>
            <w:noWrap w:val="0"/>
            <w:vAlign w:val="center"/>
          </w:tcPr>
          <w:p w14:paraId="6C00AF70">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noWrap w:val="0"/>
            <w:vAlign w:val="center"/>
          </w:tcPr>
          <w:p w14:paraId="00615FD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性能要求</w:t>
            </w:r>
          </w:p>
        </w:tc>
        <w:tc>
          <w:tcPr>
            <w:tcW w:w="7396" w:type="dxa"/>
            <w:noWrap w:val="0"/>
            <w:vAlign w:val="center"/>
          </w:tcPr>
          <w:p w14:paraId="4095B82B">
            <w:pPr>
              <w:jc w:val="left"/>
              <w:rPr>
                <w:rFonts w:hint="eastAsia" w:ascii="宋体" w:hAnsi="宋体" w:eastAsia="宋体" w:cs="宋体"/>
                <w:color w:val="auto"/>
                <w:kern w:val="0"/>
                <w:sz w:val="21"/>
                <w:szCs w:val="21"/>
                <w:lang w:val="en-US" w:eastAsia="zh-CN"/>
              </w:rPr>
            </w:pPr>
            <w:r>
              <w:rPr>
                <w:rFonts w:hint="eastAsia" w:ascii="宋体" w:hAnsi="宋体" w:eastAsia="宋体" w:cs="宋体"/>
                <w:b/>
                <w:bCs/>
                <w:color w:val="auto"/>
                <w:sz w:val="21"/>
                <w:szCs w:val="21"/>
              </w:rPr>
              <w:t>★</w:t>
            </w:r>
            <w:r>
              <w:rPr>
                <w:rFonts w:hint="eastAsia" w:ascii="宋体" w:hAnsi="宋体" w:eastAsia="宋体" w:cs="宋体"/>
                <w:b w:val="0"/>
                <w:bCs w:val="0"/>
                <w:color w:val="auto"/>
                <w:sz w:val="21"/>
                <w:szCs w:val="21"/>
              </w:rPr>
              <w:t>在国产环境下满足至少90万在线用户访问能力，并且长时间运行稳定,要求系统持续进行加压负载测试达到90万个以上并发连接数，服务节点吞吐量不低于20TPS/S，平均响应时间不高于16ms，事务通过率达 98%以上</w:t>
            </w:r>
            <w:r>
              <w:rPr>
                <w:rFonts w:hint="eastAsia" w:ascii="宋体" w:hAnsi="宋体" w:eastAsia="宋体" w:cs="宋体"/>
                <w:b w:val="0"/>
                <w:bCs w:val="0"/>
                <w:color w:val="auto"/>
                <w:kern w:val="0"/>
                <w:sz w:val="21"/>
                <w:szCs w:val="21"/>
                <w:highlight w:val="none"/>
                <w:lang w:val="en-US" w:eastAsia="zh-CN"/>
              </w:rPr>
              <w:t>，提供截图证明。</w:t>
            </w:r>
          </w:p>
        </w:tc>
      </w:tr>
      <w:tr w14:paraId="3C6F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9" w:type="dxa"/>
            <w:vMerge w:val="restart"/>
            <w:noWrap w:val="0"/>
            <w:vAlign w:val="center"/>
          </w:tcPr>
          <w:p w14:paraId="4498B685">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850" w:type="dxa"/>
            <w:vMerge w:val="restart"/>
            <w:noWrap w:val="0"/>
            <w:vAlign w:val="center"/>
          </w:tcPr>
          <w:p w14:paraId="6AEC1A13">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安全要求</w:t>
            </w:r>
          </w:p>
        </w:tc>
        <w:tc>
          <w:tcPr>
            <w:tcW w:w="7396" w:type="dxa"/>
            <w:noWrap w:val="0"/>
            <w:vAlign w:val="center"/>
          </w:tcPr>
          <w:p w14:paraId="3CDC2D4E">
            <w:pPr>
              <w:jc w:val="left"/>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bidi="ar"/>
              </w:rPr>
              <w:t>产品标准和技术要求符合GM/T 0028《密码模块安全技术要求》并能提供</w:t>
            </w:r>
            <w:r>
              <w:rPr>
                <w:rFonts w:hint="eastAsia" w:ascii="宋体" w:hAnsi="宋体" w:cs="宋体"/>
                <w:color w:val="auto"/>
                <w:sz w:val="21"/>
                <w:szCs w:val="21"/>
                <w:u w:val="none"/>
                <w:lang w:val="en-US" w:eastAsia="zh-CN" w:bidi="ar"/>
              </w:rPr>
              <w:t>相应的</w:t>
            </w:r>
            <w:r>
              <w:rPr>
                <w:rFonts w:hint="eastAsia" w:ascii="宋体" w:hAnsi="宋体" w:eastAsia="宋体" w:cs="宋体"/>
                <w:color w:val="auto"/>
                <w:sz w:val="21"/>
                <w:szCs w:val="21"/>
                <w:u w:val="none"/>
                <w:lang w:val="en-US" w:eastAsia="zh-CN" w:bidi="ar"/>
              </w:rPr>
              <w:t>认证证书。</w:t>
            </w:r>
          </w:p>
        </w:tc>
      </w:tr>
      <w:tr w14:paraId="33DA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vMerge w:val="continue"/>
            <w:noWrap w:val="0"/>
            <w:vAlign w:val="center"/>
          </w:tcPr>
          <w:p w14:paraId="63FC80F9">
            <w:pPr>
              <w:jc w:val="center"/>
              <w:rPr>
                <w:rFonts w:hint="eastAsia" w:ascii="宋体" w:hAnsi="宋体" w:eastAsia="宋体" w:cs="宋体"/>
                <w:color w:val="auto"/>
                <w:kern w:val="0"/>
                <w:sz w:val="21"/>
                <w:szCs w:val="21"/>
                <w:lang w:val="en-US" w:eastAsia="zh-CN"/>
              </w:rPr>
            </w:pPr>
          </w:p>
        </w:tc>
        <w:tc>
          <w:tcPr>
            <w:tcW w:w="850" w:type="dxa"/>
            <w:vMerge w:val="continue"/>
            <w:noWrap w:val="0"/>
            <w:vAlign w:val="center"/>
          </w:tcPr>
          <w:p w14:paraId="262F69FE">
            <w:pPr>
              <w:widowControl/>
              <w:jc w:val="left"/>
              <w:rPr>
                <w:rFonts w:hint="eastAsia" w:ascii="宋体" w:hAnsi="宋体" w:eastAsia="宋体" w:cs="宋体"/>
                <w:color w:val="auto"/>
                <w:kern w:val="0"/>
                <w:sz w:val="21"/>
                <w:szCs w:val="21"/>
                <w:lang w:val="en-US" w:eastAsia="zh-CN"/>
              </w:rPr>
            </w:pPr>
          </w:p>
        </w:tc>
        <w:tc>
          <w:tcPr>
            <w:tcW w:w="7396" w:type="dxa"/>
            <w:noWrap w:val="0"/>
            <w:vAlign w:val="center"/>
          </w:tcPr>
          <w:p w14:paraId="6D2AABAF">
            <w:pPr>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产品具有访问控制功能，实现等保三员功能，制定系统管理员、安全保密管理员和安全审计员，负责系统的管理、审计工作。</w:t>
            </w:r>
            <w:r>
              <w:rPr>
                <w:rFonts w:hint="eastAsia" w:ascii="宋体" w:hAnsi="宋体" w:cs="宋体"/>
                <w:color w:val="auto"/>
                <w:kern w:val="0"/>
                <w:sz w:val="21"/>
                <w:szCs w:val="21"/>
                <w:lang w:val="en-US" w:eastAsia="zh-CN"/>
              </w:rPr>
              <w:t>须</w:t>
            </w:r>
            <w:r>
              <w:rPr>
                <w:rFonts w:hint="eastAsia" w:ascii="宋体" w:hAnsi="宋体" w:eastAsia="宋体" w:cs="宋体"/>
                <w:color w:val="auto"/>
                <w:kern w:val="0"/>
                <w:sz w:val="21"/>
                <w:szCs w:val="21"/>
              </w:rPr>
              <w:t>提供产品界面截图。</w:t>
            </w:r>
          </w:p>
        </w:tc>
      </w:tr>
    </w:tbl>
    <w:p w14:paraId="4307F073">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bCs/>
          <w:kern w:val="44"/>
          <w:sz w:val="21"/>
          <w:szCs w:val="21"/>
          <w:lang w:val="en-US" w:eastAsia="zh-CN" w:bidi="ar-SA"/>
        </w:rPr>
      </w:pPr>
      <w:bookmarkStart w:id="722" w:name="_Toc3087"/>
      <w:bookmarkStart w:id="723" w:name="_Toc31005"/>
      <w:r>
        <w:rPr>
          <w:rFonts w:hint="eastAsia" w:ascii="宋体" w:hAnsi="宋体" w:eastAsia="宋体" w:cs="宋体"/>
          <w:b w:val="0"/>
          <w:bCs w:val="0"/>
          <w:color w:val="000000"/>
          <w:kern w:val="44"/>
          <w:sz w:val="21"/>
          <w:szCs w:val="21"/>
          <w:lang w:val="en-US" w:eastAsia="zh-CN" w:bidi="ar-SA"/>
        </w:rPr>
        <w:t>3.3.2负载均衡软件指标要求</w:t>
      </w:r>
      <w:bookmarkEnd w:id="722"/>
      <w:bookmarkEnd w:id="723"/>
      <w:r>
        <w:rPr>
          <w:rFonts w:hint="eastAsia" w:ascii="宋体" w:hAnsi="宋体" w:eastAsia="宋体" w:cs="宋体"/>
          <w:b w:val="0"/>
          <w:bCs w:val="0"/>
          <w:color w:val="000000"/>
          <w:kern w:val="44"/>
          <w:sz w:val="21"/>
          <w:szCs w:val="21"/>
          <w:lang w:val="en-US" w:eastAsia="zh-CN" w:bidi="ar-SA"/>
        </w:rPr>
        <w:t xml:space="preserve"> </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27"/>
        <w:gridCol w:w="7198"/>
      </w:tblGrid>
      <w:tr w14:paraId="43EE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94" w:type="dxa"/>
            <w:noWrap w:val="0"/>
            <w:vAlign w:val="center"/>
          </w:tcPr>
          <w:p w14:paraId="65CE63D8">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827" w:type="dxa"/>
            <w:noWrap w:val="0"/>
            <w:vAlign w:val="center"/>
          </w:tcPr>
          <w:p w14:paraId="10137510">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指标项</w:t>
            </w:r>
          </w:p>
        </w:tc>
        <w:tc>
          <w:tcPr>
            <w:tcW w:w="7198" w:type="dxa"/>
            <w:noWrap w:val="0"/>
            <w:vAlign w:val="center"/>
          </w:tcPr>
          <w:p w14:paraId="3BDBBD12">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指标要求</w:t>
            </w:r>
          </w:p>
        </w:tc>
      </w:tr>
      <w:tr w14:paraId="3F84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94" w:type="dxa"/>
            <w:vMerge w:val="restart"/>
            <w:noWrap w:val="0"/>
            <w:vAlign w:val="center"/>
          </w:tcPr>
          <w:p w14:paraId="68963A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27" w:type="dxa"/>
            <w:vMerge w:val="restart"/>
            <w:noWrap w:val="0"/>
            <w:vAlign w:val="center"/>
          </w:tcPr>
          <w:p w14:paraId="132D1FE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总体性要求</w:t>
            </w:r>
          </w:p>
        </w:tc>
        <w:tc>
          <w:tcPr>
            <w:tcW w:w="7198" w:type="dxa"/>
            <w:noWrap w:val="0"/>
            <w:vAlign w:val="center"/>
          </w:tcPr>
          <w:p w14:paraId="5DC43157">
            <w:pPr>
              <w:widowControl/>
              <w:jc w:val="lef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产品自主可控，拥有完全自主知识产权。提供产品软件的著作权登记证书。</w:t>
            </w:r>
          </w:p>
        </w:tc>
      </w:tr>
      <w:tr w14:paraId="5A85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94" w:type="dxa"/>
            <w:vMerge w:val="continue"/>
            <w:noWrap w:val="0"/>
            <w:vAlign w:val="center"/>
          </w:tcPr>
          <w:p w14:paraId="196BEDB3">
            <w:pPr>
              <w:widowControl/>
              <w:jc w:val="center"/>
              <w:rPr>
                <w:rFonts w:hint="eastAsia" w:ascii="宋体" w:hAnsi="宋体" w:eastAsia="宋体" w:cs="宋体"/>
                <w:color w:val="auto"/>
                <w:kern w:val="0"/>
                <w:sz w:val="21"/>
                <w:szCs w:val="21"/>
              </w:rPr>
            </w:pPr>
          </w:p>
        </w:tc>
        <w:tc>
          <w:tcPr>
            <w:tcW w:w="827" w:type="dxa"/>
            <w:vMerge w:val="continue"/>
            <w:noWrap w:val="0"/>
            <w:vAlign w:val="center"/>
          </w:tcPr>
          <w:p w14:paraId="180CB8AE">
            <w:pPr>
              <w:widowControl/>
              <w:jc w:val="left"/>
              <w:rPr>
                <w:rFonts w:hint="eastAsia" w:ascii="宋体" w:hAnsi="宋体" w:eastAsia="宋体" w:cs="宋体"/>
                <w:color w:val="auto"/>
                <w:kern w:val="0"/>
                <w:sz w:val="21"/>
                <w:szCs w:val="21"/>
              </w:rPr>
            </w:pPr>
          </w:p>
        </w:tc>
        <w:tc>
          <w:tcPr>
            <w:tcW w:w="7198" w:type="dxa"/>
            <w:noWrap w:val="0"/>
            <w:vAlign w:val="center"/>
          </w:tcPr>
          <w:p w14:paraId="45AC3C2A">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★为全面满足云原生环境中间件的运行和统一管理运维技术能力要求，产品提供厂商具备成熟的中间件平台化管理能力。</w:t>
            </w:r>
          </w:p>
        </w:tc>
      </w:tr>
      <w:tr w14:paraId="6018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94" w:type="dxa"/>
            <w:vMerge w:val="continue"/>
            <w:noWrap w:val="0"/>
            <w:vAlign w:val="center"/>
          </w:tcPr>
          <w:p w14:paraId="02717EC3">
            <w:pPr>
              <w:widowControl/>
              <w:jc w:val="center"/>
              <w:rPr>
                <w:rFonts w:hint="eastAsia" w:ascii="宋体" w:hAnsi="宋体" w:eastAsia="宋体" w:cs="宋体"/>
                <w:color w:val="auto"/>
                <w:kern w:val="0"/>
                <w:sz w:val="21"/>
                <w:szCs w:val="21"/>
              </w:rPr>
            </w:pPr>
          </w:p>
        </w:tc>
        <w:tc>
          <w:tcPr>
            <w:tcW w:w="827" w:type="dxa"/>
            <w:vMerge w:val="continue"/>
            <w:noWrap w:val="0"/>
            <w:vAlign w:val="center"/>
          </w:tcPr>
          <w:p w14:paraId="0F2534B1">
            <w:pPr>
              <w:widowControl/>
              <w:jc w:val="left"/>
              <w:rPr>
                <w:rFonts w:hint="eastAsia" w:ascii="宋体" w:hAnsi="宋体" w:eastAsia="宋体" w:cs="宋体"/>
                <w:color w:val="auto"/>
                <w:kern w:val="0"/>
                <w:sz w:val="21"/>
                <w:szCs w:val="21"/>
              </w:rPr>
            </w:pPr>
          </w:p>
        </w:tc>
        <w:tc>
          <w:tcPr>
            <w:tcW w:w="7198" w:type="dxa"/>
            <w:noWrap w:val="0"/>
            <w:vAlign w:val="center"/>
          </w:tcPr>
          <w:p w14:paraId="7E7E5B6E">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支持访问安全策略，包括：限制客户端地址、IP黑白名单、referer黑白名单、user-agent黑白名单。</w:t>
            </w:r>
          </w:p>
        </w:tc>
      </w:tr>
      <w:tr w14:paraId="592B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94" w:type="dxa"/>
            <w:vMerge w:val="restart"/>
            <w:noWrap w:val="0"/>
            <w:vAlign w:val="center"/>
          </w:tcPr>
          <w:p w14:paraId="64DD65DF">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27" w:type="dxa"/>
            <w:vMerge w:val="restart"/>
            <w:noWrap w:val="0"/>
            <w:vAlign w:val="center"/>
          </w:tcPr>
          <w:p w14:paraId="63E93A0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功能要求</w:t>
            </w:r>
          </w:p>
        </w:tc>
        <w:tc>
          <w:tcPr>
            <w:tcW w:w="7198" w:type="dxa"/>
            <w:noWrap w:val="0"/>
            <w:vAlign w:val="center"/>
          </w:tcPr>
          <w:p w14:paraId="04EAAE8A">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产品需广泛兼容适配国内外主流厂商软硬件，兼容国产CPU架构：飞腾、海光等；兼容国内主流国产操作系统：麒麟、统信等。</w:t>
            </w:r>
          </w:p>
        </w:tc>
      </w:tr>
      <w:tr w14:paraId="5530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94" w:type="dxa"/>
            <w:vMerge w:val="continue"/>
            <w:noWrap w:val="0"/>
            <w:vAlign w:val="center"/>
          </w:tcPr>
          <w:p w14:paraId="1AAF5ACF">
            <w:pPr>
              <w:jc w:val="center"/>
              <w:rPr>
                <w:rFonts w:hint="eastAsia" w:ascii="宋体" w:hAnsi="宋体" w:eastAsia="宋体" w:cs="宋体"/>
                <w:color w:val="auto"/>
                <w:kern w:val="0"/>
                <w:sz w:val="21"/>
                <w:szCs w:val="21"/>
              </w:rPr>
            </w:pPr>
          </w:p>
        </w:tc>
        <w:tc>
          <w:tcPr>
            <w:tcW w:w="827" w:type="dxa"/>
            <w:vMerge w:val="continue"/>
            <w:noWrap w:val="0"/>
            <w:vAlign w:val="center"/>
          </w:tcPr>
          <w:p w14:paraId="671768D8">
            <w:pPr>
              <w:widowControl/>
              <w:jc w:val="left"/>
              <w:rPr>
                <w:rFonts w:hint="eastAsia" w:ascii="宋体" w:hAnsi="宋体" w:eastAsia="宋体" w:cs="宋体"/>
                <w:color w:val="auto"/>
                <w:kern w:val="0"/>
                <w:sz w:val="21"/>
                <w:szCs w:val="21"/>
              </w:rPr>
            </w:pPr>
          </w:p>
        </w:tc>
        <w:tc>
          <w:tcPr>
            <w:tcW w:w="7198" w:type="dxa"/>
            <w:noWrap w:val="0"/>
            <w:vAlign w:val="center"/>
          </w:tcPr>
          <w:p w14:paraId="5833AADC">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 HTTP、HTTPS 、gRPC、MQTT、Websocket、PHP FastCGI等协议的代理，能够应对互联网、移动互联网、物联网等复杂环境下的应用集群负载均衡的需求。</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lang w:val="en-US" w:eastAsia="zh-CN"/>
              </w:rPr>
              <w:t>提供CMA或CNAS认定的第三方机构出具的有效期内的测试报告。</w:t>
            </w:r>
          </w:p>
        </w:tc>
      </w:tr>
      <w:tr w14:paraId="12FC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94" w:type="dxa"/>
            <w:vMerge w:val="continue"/>
            <w:noWrap w:val="0"/>
            <w:vAlign w:val="center"/>
          </w:tcPr>
          <w:p w14:paraId="34E293F4">
            <w:pPr>
              <w:jc w:val="center"/>
              <w:rPr>
                <w:rFonts w:hint="eastAsia" w:ascii="宋体" w:hAnsi="宋体" w:eastAsia="宋体" w:cs="宋体"/>
                <w:color w:val="auto"/>
                <w:kern w:val="0"/>
                <w:sz w:val="21"/>
                <w:szCs w:val="21"/>
              </w:rPr>
            </w:pPr>
          </w:p>
        </w:tc>
        <w:tc>
          <w:tcPr>
            <w:tcW w:w="827" w:type="dxa"/>
            <w:vMerge w:val="continue"/>
            <w:noWrap w:val="0"/>
            <w:vAlign w:val="center"/>
          </w:tcPr>
          <w:p w14:paraId="24E774BA">
            <w:pPr>
              <w:widowControl/>
              <w:jc w:val="left"/>
              <w:rPr>
                <w:rFonts w:hint="eastAsia" w:ascii="宋体" w:hAnsi="宋体" w:eastAsia="宋体" w:cs="宋体"/>
                <w:color w:val="auto"/>
                <w:kern w:val="0"/>
                <w:sz w:val="21"/>
                <w:szCs w:val="21"/>
              </w:rPr>
            </w:pPr>
          </w:p>
        </w:tc>
        <w:tc>
          <w:tcPr>
            <w:tcW w:w="7198" w:type="dxa"/>
            <w:noWrap w:val="0"/>
            <w:vAlign w:val="center"/>
          </w:tcPr>
          <w:p w14:paraId="15258EA8">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支持负载均衡上游的动态配置，以及一键接入第三方服务发现组件，可支撑应用服务规模动态伸缩和高可用的场景。</w:t>
            </w:r>
          </w:p>
        </w:tc>
      </w:tr>
      <w:tr w14:paraId="25B7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94" w:type="dxa"/>
            <w:vMerge w:val="continue"/>
            <w:noWrap w:val="0"/>
            <w:vAlign w:val="center"/>
          </w:tcPr>
          <w:p w14:paraId="734E218F">
            <w:pPr>
              <w:jc w:val="center"/>
              <w:rPr>
                <w:rFonts w:hint="eastAsia" w:ascii="宋体" w:hAnsi="宋体" w:eastAsia="宋体" w:cs="宋体"/>
                <w:color w:val="auto"/>
                <w:kern w:val="0"/>
                <w:sz w:val="21"/>
                <w:szCs w:val="21"/>
              </w:rPr>
            </w:pPr>
          </w:p>
        </w:tc>
        <w:tc>
          <w:tcPr>
            <w:tcW w:w="827" w:type="dxa"/>
            <w:vMerge w:val="continue"/>
            <w:noWrap w:val="0"/>
            <w:vAlign w:val="center"/>
          </w:tcPr>
          <w:p w14:paraId="6D129B9E">
            <w:pPr>
              <w:widowControl/>
              <w:jc w:val="left"/>
              <w:rPr>
                <w:rFonts w:hint="eastAsia" w:ascii="宋体" w:hAnsi="宋体" w:eastAsia="宋体" w:cs="宋体"/>
                <w:color w:val="auto"/>
                <w:kern w:val="0"/>
                <w:sz w:val="21"/>
                <w:szCs w:val="21"/>
              </w:rPr>
            </w:pPr>
          </w:p>
        </w:tc>
        <w:tc>
          <w:tcPr>
            <w:tcW w:w="7198" w:type="dxa"/>
            <w:noWrap w:val="0"/>
            <w:vAlign w:val="center"/>
          </w:tcPr>
          <w:p w14:paraId="7B9623A5">
            <w:pPr>
              <w:widowControl/>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支持修改上游返回的body内容，支持字符串匹配或正则表达式进行内容替换。</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lang w:val="en-US" w:eastAsia="zh-CN"/>
              </w:rPr>
              <w:t>提供加盖CMA或CNAS章的第三方测试报告扫描件。</w:t>
            </w:r>
          </w:p>
        </w:tc>
      </w:tr>
      <w:tr w14:paraId="24C3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94" w:type="dxa"/>
            <w:vMerge w:val="continue"/>
            <w:noWrap w:val="0"/>
            <w:vAlign w:val="center"/>
          </w:tcPr>
          <w:p w14:paraId="62AB756E">
            <w:pPr>
              <w:jc w:val="center"/>
              <w:rPr>
                <w:rFonts w:hint="eastAsia" w:ascii="宋体" w:hAnsi="宋体" w:eastAsia="宋体" w:cs="宋体"/>
                <w:color w:val="auto"/>
                <w:kern w:val="0"/>
                <w:sz w:val="21"/>
                <w:szCs w:val="21"/>
              </w:rPr>
            </w:pPr>
          </w:p>
        </w:tc>
        <w:tc>
          <w:tcPr>
            <w:tcW w:w="827" w:type="dxa"/>
            <w:vMerge w:val="continue"/>
            <w:noWrap w:val="0"/>
            <w:vAlign w:val="center"/>
          </w:tcPr>
          <w:p w14:paraId="45D0A3B6">
            <w:pPr>
              <w:widowControl/>
              <w:jc w:val="left"/>
              <w:rPr>
                <w:rFonts w:hint="eastAsia" w:ascii="宋体" w:hAnsi="宋体" w:eastAsia="宋体" w:cs="宋体"/>
                <w:color w:val="auto"/>
                <w:kern w:val="0"/>
                <w:sz w:val="21"/>
                <w:szCs w:val="21"/>
              </w:rPr>
            </w:pPr>
          </w:p>
        </w:tc>
        <w:tc>
          <w:tcPr>
            <w:tcW w:w="7198" w:type="dxa"/>
            <w:noWrap w:val="0"/>
            <w:vAlign w:val="center"/>
          </w:tcPr>
          <w:p w14:paraId="18B8179F">
            <w:pPr>
              <w:widowControl/>
              <w:jc w:val="left"/>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支持流量控制，包括限制请求数量、限制请求速率与限制请求连接数。</w:t>
            </w:r>
            <w:r>
              <w:rPr>
                <w:rFonts w:hint="eastAsia" w:ascii="宋体" w:hAnsi="宋体" w:cs="宋体"/>
                <w:i w:val="0"/>
                <w:iCs w:val="0"/>
                <w:color w:val="auto"/>
                <w:kern w:val="0"/>
                <w:sz w:val="21"/>
                <w:szCs w:val="21"/>
                <w:u w:val="none"/>
                <w:lang w:val="en-US" w:eastAsia="zh-CN" w:bidi="ar"/>
              </w:rPr>
              <w:t>须</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CMA或</w:t>
            </w:r>
            <w:r>
              <w:rPr>
                <w:rFonts w:hint="eastAsia" w:ascii="宋体" w:hAnsi="宋体" w:eastAsia="宋体" w:cs="宋体"/>
                <w:b w:val="0"/>
                <w:bCs w:val="0"/>
                <w:color w:val="auto"/>
                <w:sz w:val="21"/>
                <w:szCs w:val="21"/>
              </w:rPr>
              <w:t>CNAS认定的第三方机构出具的</w:t>
            </w:r>
            <w:r>
              <w:rPr>
                <w:rFonts w:hint="eastAsia" w:ascii="宋体" w:hAnsi="宋体" w:eastAsia="宋体" w:cs="宋体"/>
                <w:b w:val="0"/>
                <w:bCs w:val="0"/>
                <w:color w:val="auto"/>
                <w:sz w:val="21"/>
                <w:szCs w:val="21"/>
                <w:lang w:val="en-US" w:eastAsia="zh-CN"/>
              </w:rPr>
              <w:t>有效期内的</w:t>
            </w:r>
            <w:r>
              <w:rPr>
                <w:rFonts w:hint="eastAsia" w:ascii="宋体" w:hAnsi="宋体" w:eastAsia="宋体" w:cs="宋体"/>
                <w:b w:val="0"/>
                <w:bCs w:val="0"/>
                <w:color w:val="auto"/>
                <w:sz w:val="21"/>
                <w:szCs w:val="21"/>
              </w:rPr>
              <w:t>测试报告</w:t>
            </w:r>
            <w:r>
              <w:rPr>
                <w:rFonts w:hint="eastAsia" w:ascii="宋体" w:hAnsi="宋体" w:eastAsia="宋体" w:cs="宋体"/>
                <w:i w:val="0"/>
                <w:iCs w:val="0"/>
                <w:color w:val="auto"/>
                <w:kern w:val="0"/>
                <w:sz w:val="21"/>
                <w:szCs w:val="21"/>
                <w:u w:val="none"/>
                <w:lang w:val="en-US" w:eastAsia="zh-CN" w:bidi="ar"/>
              </w:rPr>
              <w:t>。</w:t>
            </w:r>
          </w:p>
        </w:tc>
      </w:tr>
      <w:tr w14:paraId="4A42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94" w:type="dxa"/>
            <w:vMerge w:val="continue"/>
            <w:noWrap w:val="0"/>
            <w:vAlign w:val="center"/>
          </w:tcPr>
          <w:p w14:paraId="483191D2">
            <w:pPr>
              <w:jc w:val="center"/>
              <w:rPr>
                <w:rFonts w:hint="eastAsia" w:ascii="宋体" w:hAnsi="宋体" w:eastAsia="宋体" w:cs="宋体"/>
                <w:color w:val="auto"/>
                <w:kern w:val="0"/>
                <w:sz w:val="21"/>
                <w:szCs w:val="21"/>
              </w:rPr>
            </w:pPr>
          </w:p>
        </w:tc>
        <w:tc>
          <w:tcPr>
            <w:tcW w:w="827" w:type="dxa"/>
            <w:vMerge w:val="continue"/>
            <w:noWrap w:val="0"/>
            <w:vAlign w:val="center"/>
          </w:tcPr>
          <w:p w14:paraId="3BCDEA0A">
            <w:pPr>
              <w:widowControl/>
              <w:jc w:val="left"/>
              <w:rPr>
                <w:rFonts w:hint="eastAsia" w:ascii="宋体" w:hAnsi="宋体" w:eastAsia="宋体" w:cs="宋体"/>
                <w:color w:val="auto"/>
                <w:kern w:val="0"/>
                <w:sz w:val="21"/>
                <w:szCs w:val="21"/>
              </w:rPr>
            </w:pPr>
          </w:p>
        </w:tc>
        <w:tc>
          <w:tcPr>
            <w:tcW w:w="7198" w:type="dxa"/>
            <w:noWrap w:val="0"/>
            <w:vAlign w:val="center"/>
          </w:tcPr>
          <w:p w14:paraId="5E228D81">
            <w:pPr>
              <w:widowControl/>
              <w:jc w:val="left"/>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支持REST API方式对路由、上游、服务进行创建、修改、删除与查询。</w:t>
            </w:r>
          </w:p>
        </w:tc>
      </w:tr>
      <w:tr w14:paraId="2A58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94" w:type="dxa"/>
            <w:vMerge w:val="continue"/>
            <w:noWrap w:val="0"/>
            <w:vAlign w:val="center"/>
          </w:tcPr>
          <w:p w14:paraId="3EFBAAAD">
            <w:pPr>
              <w:jc w:val="center"/>
              <w:rPr>
                <w:rFonts w:hint="eastAsia" w:ascii="宋体" w:hAnsi="宋体" w:eastAsia="宋体" w:cs="宋体"/>
                <w:color w:val="auto"/>
                <w:kern w:val="0"/>
                <w:sz w:val="21"/>
                <w:szCs w:val="21"/>
              </w:rPr>
            </w:pPr>
          </w:p>
        </w:tc>
        <w:tc>
          <w:tcPr>
            <w:tcW w:w="827" w:type="dxa"/>
            <w:vMerge w:val="continue"/>
            <w:noWrap w:val="0"/>
            <w:vAlign w:val="center"/>
          </w:tcPr>
          <w:p w14:paraId="154944DA">
            <w:pPr>
              <w:widowControl/>
              <w:jc w:val="left"/>
              <w:rPr>
                <w:rFonts w:hint="eastAsia" w:ascii="宋体" w:hAnsi="宋体" w:eastAsia="宋体" w:cs="宋体"/>
                <w:color w:val="auto"/>
                <w:kern w:val="0"/>
                <w:sz w:val="21"/>
                <w:szCs w:val="21"/>
              </w:rPr>
            </w:pPr>
          </w:p>
        </w:tc>
        <w:tc>
          <w:tcPr>
            <w:tcW w:w="7198" w:type="dxa"/>
            <w:noWrap w:val="0"/>
            <w:vAlign w:val="center"/>
          </w:tcPr>
          <w:p w14:paraId="4A84B08D">
            <w:pPr>
              <w:widowControl/>
              <w:jc w:val="left"/>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支持域名、URL正则、URL通配等路由匹配模式。</w:t>
            </w:r>
          </w:p>
        </w:tc>
      </w:tr>
      <w:tr w14:paraId="0D11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94" w:type="dxa"/>
            <w:noWrap w:val="0"/>
            <w:vAlign w:val="center"/>
          </w:tcPr>
          <w:p w14:paraId="3B4B05BA">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27" w:type="dxa"/>
            <w:noWrap w:val="0"/>
            <w:vAlign w:val="center"/>
          </w:tcPr>
          <w:p w14:paraId="75F3332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性能要求</w:t>
            </w:r>
          </w:p>
        </w:tc>
        <w:tc>
          <w:tcPr>
            <w:tcW w:w="7198" w:type="dxa"/>
            <w:noWrap w:val="0"/>
            <w:vAlign w:val="center"/>
          </w:tcPr>
          <w:p w14:paraId="51FC1367">
            <w:pPr>
              <w:jc w:val="left"/>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具备可视化图形管理控制台，可对负载均衡器动态配置，提供产品截图。</w:t>
            </w:r>
          </w:p>
        </w:tc>
      </w:tr>
      <w:tr w14:paraId="7EFC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94" w:type="dxa"/>
            <w:vMerge w:val="restart"/>
            <w:noWrap w:val="0"/>
            <w:vAlign w:val="center"/>
          </w:tcPr>
          <w:p w14:paraId="057716FD">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827" w:type="dxa"/>
            <w:vMerge w:val="restart"/>
            <w:noWrap w:val="0"/>
            <w:vAlign w:val="center"/>
          </w:tcPr>
          <w:p w14:paraId="44749765">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安全要求</w:t>
            </w:r>
          </w:p>
        </w:tc>
        <w:tc>
          <w:tcPr>
            <w:tcW w:w="7198" w:type="dxa"/>
            <w:noWrap w:val="0"/>
            <w:vAlign w:val="center"/>
          </w:tcPr>
          <w:p w14:paraId="212F6FDF">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提供SSL加密访问功能，支持国密算法，启用SSL加密，在传输层对网络连接进行加密，提升通信数据安全性</w:t>
            </w:r>
            <w:r>
              <w:rPr>
                <w:rFonts w:hint="eastAsia" w:ascii="宋体" w:hAnsi="宋体" w:eastAsia="宋体" w:cs="宋体"/>
                <w:color w:val="auto"/>
                <w:sz w:val="21"/>
                <w:szCs w:val="21"/>
                <w:u w:val="none"/>
                <w:lang w:val="en-US" w:eastAsia="zh-CN" w:bidi="ar"/>
              </w:rPr>
              <w:t>。</w:t>
            </w:r>
          </w:p>
        </w:tc>
      </w:tr>
      <w:tr w14:paraId="08CA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94" w:type="dxa"/>
            <w:vMerge w:val="continue"/>
            <w:noWrap w:val="0"/>
            <w:vAlign w:val="center"/>
          </w:tcPr>
          <w:p w14:paraId="51A96B6B">
            <w:pPr>
              <w:jc w:val="center"/>
              <w:rPr>
                <w:rFonts w:hint="eastAsia" w:ascii="宋体" w:hAnsi="宋体" w:eastAsia="宋体" w:cs="宋体"/>
                <w:color w:val="auto"/>
                <w:kern w:val="0"/>
                <w:sz w:val="21"/>
                <w:szCs w:val="21"/>
                <w:lang w:val="en-US" w:eastAsia="zh-CN"/>
              </w:rPr>
            </w:pPr>
          </w:p>
        </w:tc>
        <w:tc>
          <w:tcPr>
            <w:tcW w:w="827" w:type="dxa"/>
            <w:vMerge w:val="continue"/>
            <w:noWrap w:val="0"/>
            <w:vAlign w:val="center"/>
          </w:tcPr>
          <w:p w14:paraId="2B9D6528">
            <w:pPr>
              <w:widowControl/>
              <w:jc w:val="left"/>
              <w:rPr>
                <w:rFonts w:hint="eastAsia" w:ascii="宋体" w:hAnsi="宋体" w:eastAsia="宋体" w:cs="宋体"/>
                <w:color w:val="auto"/>
                <w:kern w:val="0"/>
                <w:sz w:val="21"/>
                <w:szCs w:val="21"/>
                <w:lang w:val="en-US" w:eastAsia="zh-CN"/>
              </w:rPr>
            </w:pPr>
          </w:p>
        </w:tc>
        <w:tc>
          <w:tcPr>
            <w:tcW w:w="7198" w:type="dxa"/>
            <w:noWrap w:val="0"/>
            <w:vAlign w:val="center"/>
          </w:tcPr>
          <w:p w14:paraId="4650D839">
            <w:pPr>
              <w:jc w:val="left"/>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支持轮询、带权轮询、一致性哈希、指数加权平均负载均衡算法。</w:t>
            </w:r>
          </w:p>
        </w:tc>
      </w:tr>
      <w:tr w14:paraId="20E5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94" w:type="dxa"/>
            <w:vMerge w:val="continue"/>
            <w:noWrap w:val="0"/>
            <w:vAlign w:val="center"/>
          </w:tcPr>
          <w:p w14:paraId="6F48FE18">
            <w:pPr>
              <w:jc w:val="center"/>
              <w:rPr>
                <w:rFonts w:hint="eastAsia" w:ascii="宋体" w:hAnsi="宋体" w:eastAsia="宋体" w:cs="宋体"/>
                <w:color w:val="auto"/>
                <w:kern w:val="0"/>
                <w:sz w:val="21"/>
                <w:szCs w:val="21"/>
                <w:lang w:val="en-US" w:eastAsia="zh-CN"/>
              </w:rPr>
            </w:pPr>
            <w:bookmarkStart w:id="724" w:name="_Toc29576"/>
            <w:bookmarkStart w:id="725" w:name="_Toc29422"/>
          </w:p>
        </w:tc>
        <w:tc>
          <w:tcPr>
            <w:tcW w:w="827" w:type="dxa"/>
            <w:vMerge w:val="continue"/>
            <w:noWrap w:val="0"/>
            <w:vAlign w:val="center"/>
          </w:tcPr>
          <w:p w14:paraId="6681C0FB">
            <w:pPr>
              <w:widowControl/>
              <w:jc w:val="left"/>
              <w:rPr>
                <w:rFonts w:hint="eastAsia" w:ascii="宋体" w:hAnsi="宋体" w:eastAsia="宋体" w:cs="宋体"/>
                <w:color w:val="auto"/>
                <w:kern w:val="0"/>
                <w:sz w:val="21"/>
                <w:szCs w:val="21"/>
                <w:lang w:val="en-US" w:eastAsia="zh-CN"/>
              </w:rPr>
            </w:pPr>
          </w:p>
        </w:tc>
        <w:tc>
          <w:tcPr>
            <w:tcW w:w="7198" w:type="dxa"/>
            <w:noWrap w:val="0"/>
            <w:vAlign w:val="center"/>
          </w:tcPr>
          <w:p w14:paraId="52DDC671">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000000"/>
                <w:kern w:val="0"/>
                <w:sz w:val="18"/>
                <w:szCs w:val="18"/>
                <w:lang w:bidi="ar"/>
              </w:rPr>
              <w:t>★</w:t>
            </w:r>
            <w:r>
              <w:rPr>
                <w:rFonts w:hint="eastAsia" w:ascii="宋体" w:hAnsi="宋体" w:eastAsia="宋体" w:cs="宋体"/>
                <w:color w:val="auto"/>
                <w:sz w:val="21"/>
                <w:szCs w:val="21"/>
                <w:lang w:val="en-US" w:eastAsia="zh-CN"/>
              </w:rPr>
              <w:t>10为保障产品安全性，避免存在潜在的安全漏洞和弱点，产品经过安全测试，提供相应的《安全测评报告》。</w:t>
            </w:r>
          </w:p>
        </w:tc>
      </w:tr>
    </w:tbl>
    <w:p w14:paraId="14F706CA">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bCs/>
          <w:kern w:val="44"/>
          <w:sz w:val="21"/>
          <w:szCs w:val="21"/>
          <w:lang w:val="en-US" w:eastAsia="zh-CN" w:bidi="ar-SA"/>
        </w:rPr>
      </w:pPr>
      <w:r>
        <w:rPr>
          <w:rFonts w:hint="eastAsia" w:ascii="宋体" w:hAnsi="宋体" w:eastAsia="宋体" w:cs="宋体"/>
          <w:b w:val="0"/>
          <w:bCs w:val="0"/>
          <w:color w:val="000000"/>
          <w:kern w:val="44"/>
          <w:sz w:val="21"/>
          <w:szCs w:val="21"/>
          <w:lang w:val="en-US" w:eastAsia="zh-CN" w:bidi="ar-SA"/>
        </w:rPr>
        <w:t>3.3.3内存数据缓存软件指标要求</w:t>
      </w:r>
      <w:bookmarkEnd w:id="724"/>
      <w:bookmarkEnd w:id="725"/>
      <w:r>
        <w:rPr>
          <w:rFonts w:hint="eastAsia" w:ascii="宋体" w:hAnsi="宋体" w:eastAsia="宋体" w:cs="宋体"/>
          <w:b w:val="0"/>
          <w:bCs w:val="0"/>
          <w:color w:val="000000"/>
          <w:kern w:val="44"/>
          <w:sz w:val="21"/>
          <w:szCs w:val="21"/>
          <w:lang w:val="en-US" w:eastAsia="zh-CN" w:bidi="ar-SA"/>
        </w:rPr>
        <w:t xml:space="preserve"> </w:t>
      </w:r>
    </w:p>
    <w:tbl>
      <w:tblPr>
        <w:tblStyle w:val="8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850"/>
        <w:gridCol w:w="7396"/>
      </w:tblGrid>
      <w:tr w14:paraId="6709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509" w:type="dxa"/>
            <w:noWrap w:val="0"/>
            <w:vAlign w:val="center"/>
          </w:tcPr>
          <w:p w14:paraId="1AF994EB">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850" w:type="dxa"/>
            <w:noWrap w:val="0"/>
            <w:vAlign w:val="center"/>
          </w:tcPr>
          <w:p w14:paraId="46019166">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指标项</w:t>
            </w:r>
          </w:p>
        </w:tc>
        <w:tc>
          <w:tcPr>
            <w:tcW w:w="7396" w:type="dxa"/>
            <w:noWrap w:val="0"/>
            <w:vAlign w:val="center"/>
          </w:tcPr>
          <w:p w14:paraId="59BFDD06">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指标要求</w:t>
            </w:r>
          </w:p>
        </w:tc>
      </w:tr>
      <w:tr w14:paraId="5564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restart"/>
            <w:noWrap w:val="0"/>
            <w:vAlign w:val="center"/>
          </w:tcPr>
          <w:p w14:paraId="1B0EFB25">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850" w:type="dxa"/>
            <w:vMerge w:val="restart"/>
            <w:noWrap w:val="0"/>
            <w:vAlign w:val="center"/>
          </w:tcPr>
          <w:p w14:paraId="05B04898">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总体性要求</w:t>
            </w:r>
          </w:p>
        </w:tc>
        <w:tc>
          <w:tcPr>
            <w:tcW w:w="7396" w:type="dxa"/>
            <w:noWrap w:val="0"/>
            <w:vAlign w:val="center"/>
          </w:tcPr>
          <w:p w14:paraId="5110C2C3">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lang w:val="en-US" w:eastAsia="zh-CN"/>
              </w:rPr>
              <w:t>产品自主可控，拥有完全自主知识产权。提供产品软件的著作权登记证书。</w:t>
            </w:r>
          </w:p>
        </w:tc>
      </w:tr>
      <w:tr w14:paraId="3822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continue"/>
            <w:noWrap w:val="0"/>
            <w:vAlign w:val="center"/>
          </w:tcPr>
          <w:p w14:paraId="648302C4">
            <w:pPr>
              <w:widowControl/>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56C8FFA1">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39F2B69B">
            <w:pPr>
              <w:widowControl/>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bidi="ar"/>
              </w:rPr>
              <w:t>支持Redis协议，</w:t>
            </w:r>
            <w:r>
              <w:rPr>
                <w:rFonts w:hint="eastAsia" w:ascii="宋体" w:hAnsi="宋体" w:cs="宋体"/>
                <w:b w:val="0"/>
                <w:bCs w:val="0"/>
                <w:color w:val="auto"/>
                <w:kern w:val="0"/>
                <w:sz w:val="21"/>
                <w:szCs w:val="21"/>
                <w:lang w:val="en-US" w:eastAsia="zh-CN" w:bidi="ar"/>
              </w:rPr>
              <w:t>须</w:t>
            </w: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val="en-US" w:eastAsia="zh-CN"/>
              </w:rPr>
              <w:t>CMA或</w:t>
            </w:r>
            <w:r>
              <w:rPr>
                <w:rFonts w:hint="eastAsia" w:ascii="宋体" w:hAnsi="宋体" w:eastAsia="宋体" w:cs="宋体"/>
                <w:b w:val="0"/>
                <w:bCs w:val="0"/>
                <w:color w:val="auto"/>
                <w:sz w:val="21"/>
                <w:szCs w:val="21"/>
              </w:rPr>
              <w:t>CNAS认定的第三方机构出具的</w:t>
            </w:r>
            <w:r>
              <w:rPr>
                <w:rFonts w:hint="eastAsia" w:ascii="宋体" w:hAnsi="宋体" w:eastAsia="宋体" w:cs="宋体"/>
                <w:b w:val="0"/>
                <w:bCs w:val="0"/>
                <w:color w:val="auto"/>
                <w:sz w:val="21"/>
                <w:szCs w:val="21"/>
                <w:lang w:val="en-US" w:eastAsia="zh-CN"/>
              </w:rPr>
              <w:t>有效期内的</w:t>
            </w:r>
            <w:r>
              <w:rPr>
                <w:rFonts w:hint="eastAsia" w:ascii="宋体" w:hAnsi="宋体" w:eastAsia="宋体" w:cs="宋体"/>
                <w:b w:val="0"/>
                <w:bCs w:val="0"/>
                <w:color w:val="auto"/>
                <w:sz w:val="21"/>
                <w:szCs w:val="21"/>
              </w:rPr>
              <w:t>测试报告</w:t>
            </w:r>
            <w:r>
              <w:rPr>
                <w:rFonts w:hint="eastAsia" w:ascii="宋体" w:hAnsi="宋体" w:eastAsia="宋体" w:cs="宋体"/>
                <w:b w:val="0"/>
                <w:bCs w:val="0"/>
                <w:color w:val="auto"/>
                <w:kern w:val="0"/>
                <w:sz w:val="21"/>
                <w:szCs w:val="21"/>
                <w:lang w:eastAsia="zh-CN" w:bidi="ar"/>
              </w:rPr>
              <w:t>。</w:t>
            </w:r>
          </w:p>
        </w:tc>
      </w:tr>
      <w:tr w14:paraId="4521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continue"/>
            <w:noWrap w:val="0"/>
            <w:vAlign w:val="center"/>
          </w:tcPr>
          <w:p w14:paraId="5B23902C">
            <w:pPr>
              <w:widowControl/>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75C6485E">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73EE7F41">
            <w:pPr>
              <w:widowControl/>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bidi="ar"/>
              </w:rPr>
              <w:t>支持数据访问限制，限制用户可访问的数据，利用正则表达式匹配</w:t>
            </w:r>
            <w:r>
              <w:rPr>
                <w:rFonts w:hint="eastAsia" w:ascii="宋体" w:hAnsi="宋体" w:eastAsia="宋体" w:cs="宋体"/>
                <w:b w:val="0"/>
                <w:bCs w:val="0"/>
                <w:color w:val="auto"/>
                <w:kern w:val="0"/>
                <w:sz w:val="21"/>
                <w:szCs w:val="21"/>
                <w:lang w:eastAsia="zh-CN" w:bidi="ar"/>
              </w:rPr>
              <w:t>。</w:t>
            </w:r>
          </w:p>
        </w:tc>
      </w:tr>
      <w:tr w14:paraId="4DA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continue"/>
            <w:noWrap w:val="0"/>
            <w:vAlign w:val="center"/>
          </w:tcPr>
          <w:p w14:paraId="7730C478">
            <w:pPr>
              <w:widowControl/>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30223B91">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49EEDC9C">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bidi="ar"/>
              </w:rPr>
              <w:t>支持resp2/resp3协议</w:t>
            </w:r>
            <w:r>
              <w:rPr>
                <w:rFonts w:hint="eastAsia" w:ascii="宋体" w:hAnsi="宋体" w:eastAsia="宋体" w:cs="宋体"/>
                <w:b w:val="0"/>
                <w:bCs w:val="0"/>
                <w:color w:val="auto"/>
                <w:kern w:val="0"/>
                <w:sz w:val="21"/>
                <w:szCs w:val="21"/>
                <w:lang w:eastAsia="zh-CN" w:bidi="ar"/>
              </w:rPr>
              <w:t>，</w:t>
            </w:r>
            <w:r>
              <w:rPr>
                <w:rFonts w:hint="eastAsia" w:ascii="宋体" w:hAnsi="宋体" w:cs="宋体"/>
                <w:b w:val="0"/>
                <w:bCs w:val="0"/>
                <w:color w:val="auto"/>
                <w:kern w:val="0"/>
                <w:sz w:val="21"/>
                <w:szCs w:val="21"/>
                <w:lang w:val="en-US" w:eastAsia="zh-CN" w:bidi="ar"/>
              </w:rPr>
              <w:t>须</w:t>
            </w:r>
            <w:r>
              <w:rPr>
                <w:rFonts w:hint="eastAsia" w:ascii="宋体" w:hAnsi="宋体" w:eastAsia="宋体" w:cs="宋体"/>
                <w:b w:val="0"/>
                <w:bCs w:val="0"/>
                <w:color w:val="auto"/>
                <w:kern w:val="0"/>
                <w:sz w:val="21"/>
                <w:szCs w:val="21"/>
                <w:lang w:val="en-US" w:eastAsia="zh-CN" w:bidi="ar"/>
              </w:rPr>
              <w:t>提供截图证明。</w:t>
            </w:r>
          </w:p>
        </w:tc>
      </w:tr>
      <w:tr w14:paraId="7A7B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restart"/>
            <w:noWrap w:val="0"/>
            <w:vAlign w:val="center"/>
          </w:tcPr>
          <w:p w14:paraId="684BE3C9">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850" w:type="dxa"/>
            <w:vMerge w:val="restart"/>
            <w:noWrap w:val="0"/>
            <w:vAlign w:val="center"/>
          </w:tcPr>
          <w:p w14:paraId="202AC687">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功能要求</w:t>
            </w:r>
          </w:p>
        </w:tc>
        <w:tc>
          <w:tcPr>
            <w:tcW w:w="7396" w:type="dxa"/>
            <w:noWrap w:val="0"/>
            <w:vAlign w:val="center"/>
          </w:tcPr>
          <w:p w14:paraId="75040B74">
            <w:pPr>
              <w:widowControl/>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提供可视化web管控台，支持用户登录、租户管理、用户管理、授权管理、服务管理、告警管理、节点管理、机器管理、配置管理、自动部署、任务中心、操作历史功能</w:t>
            </w:r>
            <w:r>
              <w:rPr>
                <w:rFonts w:hint="eastAsia" w:ascii="宋体" w:hAnsi="宋体" w:eastAsia="宋体" w:cs="宋体"/>
                <w:b w:val="0"/>
                <w:bCs w:val="0"/>
                <w:color w:val="auto"/>
                <w:kern w:val="0"/>
                <w:sz w:val="21"/>
                <w:szCs w:val="21"/>
                <w:lang w:eastAsia="zh-CN"/>
              </w:rPr>
              <w:t>。</w:t>
            </w:r>
          </w:p>
        </w:tc>
      </w:tr>
      <w:tr w14:paraId="7E1D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continue"/>
            <w:noWrap w:val="0"/>
            <w:vAlign w:val="center"/>
          </w:tcPr>
          <w:p w14:paraId="491A8A57">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16804B01">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6436505B">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支持主从、哨兵、集群等高可用部署模式，主从、哨兵模式支持与Redis节点混合部署使用。</w:t>
            </w:r>
          </w:p>
        </w:tc>
      </w:tr>
      <w:tr w14:paraId="017A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9" w:type="dxa"/>
            <w:vMerge w:val="continue"/>
            <w:noWrap w:val="0"/>
            <w:vAlign w:val="center"/>
          </w:tcPr>
          <w:p w14:paraId="3F559BF2">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2F675261">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3763991A">
            <w:pP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支持缓存节点的扩容能力，可在web管控台界面实现增加新的主节点（集群模式），从节点或者哨兵节点。</w:t>
            </w:r>
          </w:p>
        </w:tc>
      </w:tr>
      <w:tr w14:paraId="0011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025BDF72">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12ADE753">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1CBC475F">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支持多活模式，多个主节点能同时读写数据，并进行数据相互同步以及数据冲突消解。</w:t>
            </w:r>
          </w:p>
        </w:tc>
      </w:tr>
      <w:tr w14:paraId="1848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411BC4DF">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1846DD7B">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3DC8F0F0">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bidi="ar"/>
              </w:rPr>
              <w:t>支持云原生helm和operator部署方式</w:t>
            </w:r>
          </w:p>
        </w:tc>
      </w:tr>
      <w:tr w14:paraId="327C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7CF0B912">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0B69992B">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7B589E7B">
            <w:pPr>
              <w:widowControl/>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bidi="ar"/>
              </w:rPr>
              <w:t>支持异地多活模式，多中心同时写入、实时同步，并实现数据冲突消解，保证数据正确性</w:t>
            </w:r>
            <w:r>
              <w:rPr>
                <w:rFonts w:hint="eastAsia" w:ascii="宋体" w:hAnsi="宋体" w:eastAsia="宋体" w:cs="宋体"/>
                <w:b w:val="0"/>
                <w:bCs w:val="0"/>
                <w:color w:val="auto"/>
                <w:kern w:val="0"/>
                <w:sz w:val="21"/>
                <w:szCs w:val="21"/>
                <w:lang w:eastAsia="zh-CN" w:bidi="ar"/>
              </w:rPr>
              <w:t>，</w:t>
            </w:r>
            <w:r>
              <w:rPr>
                <w:rFonts w:hint="eastAsia" w:ascii="宋体" w:hAnsi="宋体" w:cs="宋体"/>
                <w:b w:val="0"/>
                <w:bCs w:val="0"/>
                <w:color w:val="auto"/>
                <w:kern w:val="0"/>
                <w:sz w:val="21"/>
                <w:szCs w:val="21"/>
                <w:lang w:val="en-US" w:eastAsia="zh-CN" w:bidi="ar"/>
              </w:rPr>
              <w:t>须</w:t>
            </w:r>
            <w:r>
              <w:rPr>
                <w:rFonts w:hint="eastAsia" w:ascii="宋体" w:hAnsi="宋体" w:eastAsia="宋体" w:cs="宋体"/>
                <w:b w:val="0"/>
                <w:bCs w:val="0"/>
                <w:color w:val="auto"/>
                <w:kern w:val="0"/>
                <w:sz w:val="21"/>
                <w:szCs w:val="21"/>
                <w:lang w:val="en-US" w:eastAsia="zh-CN" w:bidi="ar"/>
              </w:rPr>
              <w:t>提供截图证明。</w:t>
            </w:r>
          </w:p>
        </w:tc>
      </w:tr>
      <w:tr w14:paraId="0504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5A1D0D1F">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3FFCA129">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360927A9">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bidi="ar"/>
              </w:rPr>
              <w:t>支持节点状态告警和基于多种监控指标规则自定义告警触发条件，如已用内存、常驻内存、当前保持的连接等</w:t>
            </w:r>
          </w:p>
        </w:tc>
      </w:tr>
      <w:tr w14:paraId="231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9" w:type="dxa"/>
            <w:noWrap w:val="0"/>
            <w:vAlign w:val="center"/>
          </w:tcPr>
          <w:p w14:paraId="50F7BB38">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850" w:type="dxa"/>
            <w:noWrap w:val="0"/>
            <w:vAlign w:val="center"/>
          </w:tcPr>
          <w:p w14:paraId="6D7C05A4">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性能要求</w:t>
            </w:r>
          </w:p>
        </w:tc>
        <w:tc>
          <w:tcPr>
            <w:tcW w:w="7396" w:type="dxa"/>
            <w:noWrap w:val="0"/>
            <w:vAlign w:val="center"/>
          </w:tcPr>
          <w:p w14:paraId="23DB7E84">
            <w:pPr>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bidi="ar"/>
              </w:rPr>
              <w:t>支持多工作线程，多事件循环模型</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在同等计算规格运行环境下</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t>单节点吞吐量指标达到Redis 6.0及以上版本</w:t>
            </w:r>
            <w:r>
              <w:rPr>
                <w:rFonts w:hint="eastAsia" w:ascii="宋体" w:hAnsi="宋体" w:eastAsia="宋体" w:cs="宋体"/>
                <w:b w:val="0"/>
                <w:bCs w:val="0"/>
                <w:color w:val="auto"/>
                <w:kern w:val="0"/>
                <w:sz w:val="21"/>
                <w:szCs w:val="21"/>
                <w:lang w:val="en-US" w:eastAsia="zh-CN" w:bidi="ar"/>
              </w:rPr>
              <w:t>该指标值</w:t>
            </w:r>
            <w:r>
              <w:rPr>
                <w:rFonts w:hint="eastAsia" w:ascii="宋体" w:hAnsi="宋体" w:eastAsia="宋体" w:cs="宋体"/>
                <w:b w:val="0"/>
                <w:bCs w:val="0"/>
                <w:color w:val="auto"/>
                <w:kern w:val="0"/>
                <w:sz w:val="21"/>
                <w:szCs w:val="21"/>
                <w:lang w:bidi="ar"/>
              </w:rPr>
              <w:t>2倍以上</w:t>
            </w:r>
            <w:r>
              <w:rPr>
                <w:rFonts w:hint="eastAsia" w:ascii="宋体" w:hAnsi="宋体" w:eastAsia="宋体" w:cs="宋体"/>
                <w:b w:val="0"/>
                <w:bCs w:val="0"/>
                <w:color w:val="auto"/>
                <w:kern w:val="0"/>
                <w:sz w:val="21"/>
                <w:szCs w:val="21"/>
                <w:lang w:eastAsia="zh-CN" w:bidi="ar"/>
              </w:rPr>
              <w:t>，</w:t>
            </w:r>
            <w:r>
              <w:rPr>
                <w:rFonts w:hint="eastAsia" w:ascii="宋体" w:hAnsi="宋体" w:cs="宋体"/>
                <w:b w:val="0"/>
                <w:bCs w:val="0"/>
                <w:color w:val="auto"/>
                <w:kern w:val="0"/>
                <w:sz w:val="21"/>
                <w:szCs w:val="21"/>
                <w:lang w:val="en-US" w:eastAsia="zh-CN"/>
              </w:rPr>
              <w:t>须</w:t>
            </w:r>
            <w:r>
              <w:rPr>
                <w:rFonts w:hint="eastAsia" w:ascii="宋体" w:hAnsi="宋体" w:eastAsia="宋体" w:cs="宋体"/>
                <w:b w:val="0"/>
                <w:bCs w:val="0"/>
                <w:color w:val="auto"/>
                <w:kern w:val="0"/>
                <w:sz w:val="21"/>
                <w:szCs w:val="21"/>
              </w:rPr>
              <w:t>提供产品界面截图</w:t>
            </w:r>
            <w:r>
              <w:rPr>
                <w:rFonts w:hint="eastAsia" w:ascii="宋体" w:hAnsi="宋体" w:eastAsia="宋体" w:cs="宋体"/>
                <w:b w:val="0"/>
                <w:bCs w:val="0"/>
                <w:color w:val="auto"/>
                <w:kern w:val="0"/>
                <w:sz w:val="21"/>
                <w:szCs w:val="21"/>
                <w:lang w:eastAsia="zh-CN" w:bidi="ar"/>
              </w:rPr>
              <w:t>。</w:t>
            </w:r>
          </w:p>
        </w:tc>
      </w:tr>
      <w:tr w14:paraId="4881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9" w:type="dxa"/>
            <w:vMerge w:val="restart"/>
            <w:noWrap w:val="0"/>
            <w:vAlign w:val="center"/>
          </w:tcPr>
          <w:p w14:paraId="589A99F9">
            <w:pPr>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850" w:type="dxa"/>
            <w:vMerge w:val="restart"/>
            <w:noWrap w:val="0"/>
            <w:vAlign w:val="center"/>
          </w:tcPr>
          <w:p w14:paraId="1D4CDD00">
            <w:pPr>
              <w:widowControl/>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安全要求</w:t>
            </w:r>
          </w:p>
        </w:tc>
        <w:tc>
          <w:tcPr>
            <w:tcW w:w="7396" w:type="dxa"/>
            <w:noWrap w:val="0"/>
            <w:vAlign w:val="center"/>
          </w:tcPr>
          <w:p w14:paraId="24A04CB7">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bidi="ar"/>
              </w:rPr>
              <w:t>支持管控台数据备份与恢复</w:t>
            </w:r>
          </w:p>
        </w:tc>
      </w:tr>
      <w:tr w14:paraId="163E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9" w:type="dxa"/>
            <w:vMerge w:val="continue"/>
            <w:noWrap w:val="0"/>
            <w:vAlign w:val="center"/>
          </w:tcPr>
          <w:p w14:paraId="2B641C14">
            <w:pPr>
              <w:jc w:val="center"/>
              <w:rPr>
                <w:rFonts w:hint="eastAsia" w:ascii="宋体" w:hAnsi="宋体" w:eastAsia="宋体" w:cs="宋体"/>
                <w:b w:val="0"/>
                <w:bCs w:val="0"/>
                <w:color w:val="auto"/>
                <w:kern w:val="0"/>
                <w:sz w:val="21"/>
                <w:szCs w:val="21"/>
                <w:lang w:val="en-US" w:eastAsia="zh-CN"/>
              </w:rPr>
            </w:pPr>
          </w:p>
        </w:tc>
        <w:tc>
          <w:tcPr>
            <w:tcW w:w="850" w:type="dxa"/>
            <w:vMerge w:val="continue"/>
            <w:noWrap w:val="0"/>
            <w:vAlign w:val="center"/>
          </w:tcPr>
          <w:p w14:paraId="3DE93A7E">
            <w:pPr>
              <w:widowControl/>
              <w:jc w:val="left"/>
              <w:rPr>
                <w:rFonts w:hint="eastAsia" w:ascii="宋体" w:hAnsi="宋体" w:eastAsia="宋体" w:cs="宋体"/>
                <w:b w:val="0"/>
                <w:bCs w:val="0"/>
                <w:color w:val="auto"/>
                <w:kern w:val="0"/>
                <w:sz w:val="21"/>
                <w:szCs w:val="21"/>
                <w:lang w:val="en-US" w:eastAsia="zh-CN"/>
              </w:rPr>
            </w:pPr>
          </w:p>
        </w:tc>
        <w:tc>
          <w:tcPr>
            <w:tcW w:w="7396" w:type="dxa"/>
            <w:noWrap w:val="0"/>
            <w:vAlign w:val="center"/>
          </w:tcPr>
          <w:p w14:paraId="0C1E49C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bidi="ar"/>
              </w:rPr>
              <w:t>支持SSL传输加密方式</w:t>
            </w:r>
            <w:r>
              <w:rPr>
                <w:rFonts w:hint="eastAsia" w:ascii="宋体" w:hAnsi="宋体" w:eastAsia="宋体" w:cs="宋体"/>
                <w:b w:val="0"/>
                <w:bCs w:val="0"/>
                <w:color w:val="auto"/>
                <w:kern w:val="0"/>
                <w:sz w:val="21"/>
                <w:szCs w:val="21"/>
                <w:lang w:eastAsia="zh-CN" w:bidi="ar"/>
              </w:rPr>
              <w:t>，</w:t>
            </w:r>
            <w:r>
              <w:rPr>
                <w:rFonts w:hint="eastAsia" w:ascii="宋体" w:hAnsi="宋体" w:cs="宋体"/>
                <w:b w:val="0"/>
                <w:bCs w:val="0"/>
                <w:color w:val="auto"/>
                <w:kern w:val="0"/>
                <w:sz w:val="21"/>
                <w:szCs w:val="21"/>
                <w:lang w:val="en-US" w:eastAsia="zh-CN" w:bidi="ar"/>
              </w:rPr>
              <w:t>须</w:t>
            </w:r>
            <w:r>
              <w:rPr>
                <w:rFonts w:hint="eastAsia" w:ascii="宋体" w:hAnsi="宋体" w:eastAsia="宋体" w:cs="宋体"/>
                <w:b w:val="0"/>
                <w:bCs w:val="0"/>
                <w:color w:val="auto"/>
                <w:kern w:val="0"/>
                <w:sz w:val="21"/>
                <w:szCs w:val="21"/>
                <w:lang w:val="en-US" w:eastAsia="zh-CN" w:bidi="ar"/>
              </w:rPr>
              <w:t>提供截图证明。</w:t>
            </w:r>
          </w:p>
        </w:tc>
      </w:tr>
    </w:tbl>
    <w:p w14:paraId="3827E9F2">
      <w:pPr>
        <w:keepNext/>
        <w:keepLines/>
        <w:pageBreakBefore w:val="0"/>
        <w:widowControl w:val="0"/>
        <w:numPr>
          <w:ilvl w:val="0"/>
          <w:numId w:val="0"/>
        </w:numPr>
        <w:tabs>
          <w:tab w:val="left" w:pos="0"/>
        </w:tabs>
        <w:kinsoku/>
        <w:wordWrap/>
        <w:overflowPunct/>
        <w:topLinePunct w:val="0"/>
        <w:autoSpaceDE/>
        <w:autoSpaceDN/>
        <w:bidi w:val="0"/>
        <w:adjustRightInd/>
        <w:snapToGrid/>
        <w:spacing w:before="340" w:after="330" w:line="360" w:lineRule="auto"/>
        <w:ind w:left="402" w:leftChars="0"/>
        <w:jc w:val="both"/>
        <w:textAlignment w:val="auto"/>
        <w:outlineLvl w:val="0"/>
        <w:rPr>
          <w:rFonts w:hint="eastAsia" w:ascii="宋体" w:hAnsi="宋体" w:eastAsia="宋体" w:cs="宋体"/>
          <w:b/>
          <w:bCs/>
          <w:kern w:val="44"/>
          <w:sz w:val="21"/>
          <w:szCs w:val="21"/>
          <w:lang w:val="en-US" w:eastAsia="zh-CN" w:bidi="ar-SA"/>
        </w:rPr>
      </w:pPr>
      <w:bookmarkStart w:id="726" w:name="_Toc18106"/>
      <w:bookmarkStart w:id="727" w:name="_Toc734"/>
      <w:r>
        <w:rPr>
          <w:rFonts w:hint="eastAsia" w:ascii="宋体" w:hAnsi="宋体" w:eastAsia="宋体" w:cs="宋体"/>
          <w:b w:val="0"/>
          <w:bCs w:val="0"/>
          <w:color w:val="000000"/>
          <w:kern w:val="44"/>
          <w:sz w:val="21"/>
          <w:szCs w:val="21"/>
          <w:lang w:val="en-US" w:eastAsia="zh-CN" w:bidi="ar-SA"/>
        </w:rPr>
        <w:t>3.3.4分布式消息队列软件指标要求</w:t>
      </w:r>
      <w:bookmarkEnd w:id="726"/>
      <w:bookmarkEnd w:id="727"/>
      <w:r>
        <w:rPr>
          <w:rFonts w:hint="eastAsia" w:ascii="宋体" w:hAnsi="宋体" w:eastAsia="宋体" w:cs="宋体"/>
          <w:b w:val="0"/>
          <w:bCs w:val="0"/>
          <w:color w:val="000000"/>
          <w:kern w:val="44"/>
          <w:sz w:val="21"/>
          <w:szCs w:val="21"/>
          <w:lang w:val="en-US" w:eastAsia="zh-CN" w:bidi="ar-SA"/>
        </w:rPr>
        <w:t xml:space="preserve"> </w:t>
      </w:r>
    </w:p>
    <w:tbl>
      <w:tblPr>
        <w:tblStyle w:val="8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850"/>
        <w:gridCol w:w="7396"/>
      </w:tblGrid>
      <w:tr w14:paraId="4EA4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noWrap w:val="0"/>
            <w:vAlign w:val="center"/>
          </w:tcPr>
          <w:p w14:paraId="2F179FF9">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850" w:type="dxa"/>
            <w:noWrap w:val="0"/>
            <w:vAlign w:val="center"/>
          </w:tcPr>
          <w:p w14:paraId="51238274">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指标项</w:t>
            </w:r>
          </w:p>
        </w:tc>
        <w:tc>
          <w:tcPr>
            <w:tcW w:w="7396" w:type="dxa"/>
            <w:noWrap w:val="0"/>
            <w:vAlign w:val="center"/>
          </w:tcPr>
          <w:p w14:paraId="6EA08DE1">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指标要求</w:t>
            </w:r>
          </w:p>
        </w:tc>
      </w:tr>
      <w:tr w14:paraId="7D6B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restart"/>
            <w:noWrap w:val="0"/>
            <w:vAlign w:val="center"/>
          </w:tcPr>
          <w:p w14:paraId="0A949599">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850" w:type="dxa"/>
            <w:vMerge w:val="restart"/>
            <w:noWrap w:val="0"/>
            <w:vAlign w:val="center"/>
          </w:tcPr>
          <w:p w14:paraId="75386EA7">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总体性要求</w:t>
            </w:r>
          </w:p>
        </w:tc>
        <w:tc>
          <w:tcPr>
            <w:tcW w:w="7396" w:type="dxa"/>
            <w:noWrap w:val="0"/>
            <w:vAlign w:val="center"/>
          </w:tcPr>
          <w:p w14:paraId="7C63DF59">
            <w:pPr>
              <w:widowControl/>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产品为自主研发的国产分布式消息中间件产品，需提供3年以上版本的软件著作权登记证书证明。</w:t>
            </w:r>
          </w:p>
        </w:tc>
      </w:tr>
      <w:tr w14:paraId="69FE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continue"/>
            <w:noWrap w:val="0"/>
            <w:vAlign w:val="center"/>
          </w:tcPr>
          <w:p w14:paraId="2FAA3944">
            <w:pPr>
              <w:widowControl/>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3D3C1E1B">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4D1BF6DF">
            <w:pPr>
              <w:widowControl/>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产品生产厂商具有高水平研发创新能力。</w:t>
            </w:r>
          </w:p>
        </w:tc>
      </w:tr>
      <w:tr w14:paraId="109E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9" w:type="dxa"/>
            <w:vMerge w:val="continue"/>
            <w:noWrap w:val="0"/>
            <w:vAlign w:val="center"/>
          </w:tcPr>
          <w:p w14:paraId="49940B3F">
            <w:pPr>
              <w:widowControl/>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4342B1E4">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6DDA139A">
            <w:pPr>
              <w:widowControl/>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产品生产厂商能提供基于自研算法的中间件知识智能问答服务。</w:t>
            </w:r>
          </w:p>
        </w:tc>
      </w:tr>
      <w:tr w14:paraId="12C3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restart"/>
            <w:noWrap w:val="0"/>
            <w:vAlign w:val="center"/>
          </w:tcPr>
          <w:p w14:paraId="6F086461">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850" w:type="dxa"/>
            <w:vMerge w:val="restart"/>
            <w:noWrap w:val="0"/>
            <w:vAlign w:val="center"/>
          </w:tcPr>
          <w:p w14:paraId="328E0526">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功能要求</w:t>
            </w:r>
          </w:p>
        </w:tc>
        <w:tc>
          <w:tcPr>
            <w:tcW w:w="7396" w:type="dxa"/>
            <w:noWrap w:val="0"/>
            <w:vAlign w:val="center"/>
          </w:tcPr>
          <w:p w14:paraId="637210DC">
            <w:pPr>
              <w:widowControl/>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sz w:val="21"/>
                <w:szCs w:val="21"/>
                <w:lang w:val="en-US" w:eastAsia="zh-CN"/>
              </w:rPr>
              <w:t>产品支持消息轨迹查询，可查询消息生产、存储和消费三个环节的消息处理情况，</w:t>
            </w:r>
            <w:r>
              <w:rPr>
                <w:rFonts w:hint="eastAsia" w:ascii="宋体" w:hAnsi="宋体" w:eastAsia="宋体" w:cs="宋体"/>
                <w:b w:val="0"/>
                <w:bCs w:val="0"/>
                <w:color w:val="auto"/>
                <w:sz w:val="21"/>
                <w:szCs w:val="21"/>
              </w:rPr>
              <w:t>提供产品功能截图</w:t>
            </w:r>
            <w:r>
              <w:rPr>
                <w:rFonts w:hint="eastAsia" w:ascii="宋体" w:hAnsi="宋体" w:eastAsia="宋体" w:cs="宋体"/>
                <w:b w:val="0"/>
                <w:bCs w:val="0"/>
                <w:color w:val="auto"/>
                <w:sz w:val="21"/>
                <w:szCs w:val="21"/>
                <w:lang w:eastAsia="zh-CN"/>
              </w:rPr>
              <w:t>。</w:t>
            </w:r>
          </w:p>
        </w:tc>
      </w:tr>
      <w:tr w14:paraId="0598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9" w:type="dxa"/>
            <w:vMerge w:val="continue"/>
            <w:noWrap w:val="0"/>
            <w:vAlign w:val="center"/>
          </w:tcPr>
          <w:p w14:paraId="02DBABD4">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65AF76C4">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6EC1461F">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sz w:val="21"/>
                <w:szCs w:val="21"/>
                <w:u w:val="none"/>
                <w:lang w:val="en-US" w:eastAsia="zh-CN" w:bidi="ar"/>
              </w:rPr>
              <w:t>产品</w:t>
            </w:r>
            <w:r>
              <w:rPr>
                <w:rFonts w:hint="eastAsia" w:ascii="宋体" w:hAnsi="宋体" w:eastAsia="宋体" w:cs="宋体"/>
                <w:b w:val="0"/>
                <w:bCs w:val="0"/>
                <w:i w:val="0"/>
                <w:iCs w:val="0"/>
                <w:color w:val="auto"/>
                <w:kern w:val="0"/>
                <w:sz w:val="21"/>
                <w:szCs w:val="21"/>
                <w:u w:val="none"/>
                <w:lang w:val="en-US" w:eastAsia="zh-CN" w:bidi="ar"/>
              </w:rPr>
              <w:t>支持作为一体化消息平台管理主流开源消息中间件，包括RocketMQ、Kakfa、RabbitMQ、MQTT消息中间件等，</w:t>
            </w:r>
            <w:r>
              <w:rPr>
                <w:rFonts w:hint="eastAsia" w:ascii="宋体" w:hAnsi="宋体" w:cs="宋体"/>
                <w:b w:val="0"/>
                <w:bCs w:val="0"/>
                <w:i w:val="0"/>
                <w:iCs w:val="0"/>
                <w:color w:val="auto"/>
                <w:kern w:val="0"/>
                <w:sz w:val="21"/>
                <w:szCs w:val="21"/>
                <w:u w:val="none"/>
                <w:lang w:val="en-US" w:eastAsia="zh-CN" w:bidi="ar"/>
              </w:rPr>
              <w:t>须</w:t>
            </w:r>
            <w:r>
              <w:rPr>
                <w:rFonts w:hint="eastAsia" w:ascii="宋体" w:hAnsi="宋体" w:eastAsia="宋体" w:cs="宋体"/>
                <w:b w:val="0"/>
                <w:bCs w:val="0"/>
                <w:color w:val="auto"/>
                <w:sz w:val="21"/>
                <w:szCs w:val="21"/>
              </w:rPr>
              <w:t>提供产品功能截图</w:t>
            </w:r>
            <w:r>
              <w:rPr>
                <w:rFonts w:hint="eastAsia" w:ascii="宋体" w:hAnsi="宋体" w:eastAsia="宋体" w:cs="宋体"/>
                <w:b w:val="0"/>
                <w:bCs w:val="0"/>
                <w:color w:val="auto"/>
                <w:sz w:val="21"/>
                <w:szCs w:val="21"/>
                <w:u w:val="none"/>
                <w:lang w:val="en-US" w:eastAsia="zh-CN" w:bidi="ar"/>
              </w:rPr>
              <w:t>。</w:t>
            </w:r>
          </w:p>
        </w:tc>
      </w:tr>
      <w:tr w14:paraId="077D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9" w:type="dxa"/>
            <w:vMerge w:val="continue"/>
            <w:noWrap w:val="0"/>
            <w:vAlign w:val="center"/>
          </w:tcPr>
          <w:p w14:paraId="0EF28E3F">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61FE93DF">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049520B8">
            <w:pPr>
              <w:rPr>
                <w:rFonts w:hint="eastAsia" w:ascii="宋体" w:hAnsi="宋体" w:eastAsia="宋体" w:cs="宋体"/>
                <w:b w:val="0"/>
                <w:bCs w:val="0"/>
                <w:color w:val="auto"/>
                <w:kern w:val="0"/>
                <w:sz w:val="21"/>
                <w:szCs w:val="21"/>
              </w:rPr>
            </w:pPr>
            <w:r>
              <w:rPr>
                <w:rFonts w:hint="eastAsia" w:ascii="宋体" w:hAnsi="宋体" w:eastAsia="宋体" w:cs="宋体"/>
                <w:b w:val="0"/>
                <w:bCs w:val="0"/>
                <w:i w:val="0"/>
                <w:iCs w:val="0"/>
                <w:color w:val="auto"/>
                <w:kern w:val="0"/>
                <w:sz w:val="21"/>
                <w:szCs w:val="21"/>
                <w:u w:val="none"/>
                <w:lang w:val="en-US" w:eastAsia="zh-CN" w:bidi="ar"/>
              </w:rPr>
              <w:t>支持多种消息订阅模式，包括独占、灾备、共享、按key共享等模式</w:t>
            </w:r>
          </w:p>
        </w:tc>
      </w:tr>
      <w:tr w14:paraId="63C5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41D8FB95">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51CBA8BF">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1EE07E07">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为保证数据高可用，产品应支持跨集群间数据复制，多副本存储、多级存储等功能</w:t>
            </w:r>
          </w:p>
        </w:tc>
      </w:tr>
      <w:tr w14:paraId="7642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5A20DD37">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7B0BC120">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72EAF8DF">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i w:val="0"/>
                <w:iCs w:val="0"/>
                <w:color w:val="auto"/>
                <w:kern w:val="0"/>
                <w:sz w:val="21"/>
                <w:szCs w:val="21"/>
                <w:u w:val="none"/>
                <w:lang w:val="en-US" w:eastAsia="zh-CN" w:bidi="ar"/>
              </w:rPr>
              <w:t>支持多主题订阅、正则主题订阅。</w:t>
            </w:r>
          </w:p>
        </w:tc>
      </w:tr>
      <w:tr w14:paraId="5C1B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1B71E598">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30DBAF83">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21BE0E1F">
            <w:pPr>
              <w:widowControl/>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支持同步发送、异步发送、批量发送、消息压缩。</w:t>
            </w:r>
          </w:p>
        </w:tc>
      </w:tr>
      <w:tr w14:paraId="2DC9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09" w:type="dxa"/>
            <w:vMerge w:val="continue"/>
            <w:noWrap w:val="0"/>
            <w:vAlign w:val="center"/>
          </w:tcPr>
          <w:p w14:paraId="0A25932B">
            <w:pPr>
              <w:jc w:val="center"/>
              <w:rPr>
                <w:rFonts w:hint="eastAsia" w:ascii="宋体" w:hAnsi="宋体" w:eastAsia="宋体" w:cs="宋体"/>
                <w:b w:val="0"/>
                <w:bCs w:val="0"/>
                <w:color w:val="auto"/>
                <w:kern w:val="0"/>
                <w:sz w:val="21"/>
                <w:szCs w:val="21"/>
              </w:rPr>
            </w:pPr>
          </w:p>
        </w:tc>
        <w:tc>
          <w:tcPr>
            <w:tcW w:w="850" w:type="dxa"/>
            <w:vMerge w:val="continue"/>
            <w:noWrap w:val="0"/>
            <w:vAlign w:val="center"/>
          </w:tcPr>
          <w:p w14:paraId="236364D6">
            <w:pPr>
              <w:widowControl/>
              <w:jc w:val="left"/>
              <w:rPr>
                <w:rFonts w:hint="eastAsia" w:ascii="宋体" w:hAnsi="宋体" w:eastAsia="宋体" w:cs="宋体"/>
                <w:b w:val="0"/>
                <w:bCs w:val="0"/>
                <w:color w:val="auto"/>
                <w:kern w:val="0"/>
                <w:sz w:val="21"/>
                <w:szCs w:val="21"/>
              </w:rPr>
            </w:pPr>
          </w:p>
        </w:tc>
        <w:tc>
          <w:tcPr>
            <w:tcW w:w="7396" w:type="dxa"/>
            <w:noWrap w:val="0"/>
            <w:vAlign w:val="center"/>
          </w:tcPr>
          <w:p w14:paraId="4E6E00DE">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★支持JMS1.1、2.0协议规范，支持JMS优先级队列。</w:t>
            </w:r>
          </w:p>
        </w:tc>
      </w:tr>
      <w:tr w14:paraId="465C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09" w:type="dxa"/>
            <w:noWrap w:val="0"/>
            <w:vAlign w:val="center"/>
          </w:tcPr>
          <w:p w14:paraId="182A67DC">
            <w:pPr>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850" w:type="dxa"/>
            <w:noWrap w:val="0"/>
            <w:vAlign w:val="center"/>
          </w:tcPr>
          <w:p w14:paraId="4A7FD3BB">
            <w:pPr>
              <w:widowControl/>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性能要求</w:t>
            </w:r>
          </w:p>
        </w:tc>
        <w:tc>
          <w:tcPr>
            <w:tcW w:w="7396" w:type="dxa"/>
            <w:noWrap w:val="0"/>
            <w:vAlign w:val="center"/>
          </w:tcPr>
          <w:p w14:paraId="3B9E06A8">
            <w:pPr>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lang w:val="en-US" w:eastAsia="zh-CN"/>
              </w:rPr>
              <w:t>产品在国产运行环境性能表现优异，在16核/32G内存配置规格的单机计算服务器节点，1KB消息收发性能指标TPS&gt;400000。</w:t>
            </w:r>
          </w:p>
        </w:tc>
      </w:tr>
      <w:tr w14:paraId="557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09" w:type="dxa"/>
            <w:vMerge w:val="restart"/>
            <w:noWrap w:val="0"/>
            <w:vAlign w:val="center"/>
          </w:tcPr>
          <w:p w14:paraId="41FBACDE">
            <w:pPr>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850" w:type="dxa"/>
            <w:vMerge w:val="restart"/>
            <w:noWrap w:val="0"/>
            <w:vAlign w:val="center"/>
          </w:tcPr>
          <w:p w14:paraId="6C668C39">
            <w:pPr>
              <w:widowControl/>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安全要求</w:t>
            </w:r>
          </w:p>
        </w:tc>
        <w:tc>
          <w:tcPr>
            <w:tcW w:w="7396" w:type="dxa"/>
            <w:noWrap w:val="0"/>
            <w:vAlign w:val="center"/>
          </w:tcPr>
          <w:p w14:paraId="3F06BA22">
            <w:pPr>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sz w:val="21"/>
                <w:szCs w:val="21"/>
                <w:u w:val="none"/>
                <w:lang w:val="en-US" w:eastAsia="zh-CN"/>
              </w:rPr>
              <w:t>支持SM2/SM3/SM4 国家商用密码算法，支持国密证书加密。</w:t>
            </w:r>
          </w:p>
        </w:tc>
      </w:tr>
      <w:tr w14:paraId="03C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09" w:type="dxa"/>
            <w:vMerge w:val="continue"/>
            <w:noWrap w:val="0"/>
            <w:vAlign w:val="center"/>
          </w:tcPr>
          <w:p w14:paraId="5286F20D">
            <w:pPr>
              <w:jc w:val="center"/>
              <w:rPr>
                <w:rFonts w:hint="eastAsia" w:ascii="宋体" w:hAnsi="宋体" w:eastAsia="宋体" w:cs="宋体"/>
                <w:b w:val="0"/>
                <w:bCs w:val="0"/>
                <w:color w:val="auto"/>
                <w:kern w:val="0"/>
                <w:sz w:val="21"/>
                <w:szCs w:val="21"/>
                <w:lang w:val="en-US" w:eastAsia="zh-CN"/>
              </w:rPr>
            </w:pPr>
          </w:p>
        </w:tc>
        <w:tc>
          <w:tcPr>
            <w:tcW w:w="850" w:type="dxa"/>
            <w:vMerge w:val="continue"/>
            <w:noWrap w:val="0"/>
            <w:vAlign w:val="center"/>
          </w:tcPr>
          <w:p w14:paraId="70812197">
            <w:pPr>
              <w:widowControl/>
              <w:jc w:val="left"/>
              <w:rPr>
                <w:rFonts w:hint="eastAsia" w:ascii="宋体" w:hAnsi="宋体" w:eastAsia="宋体" w:cs="宋体"/>
                <w:b w:val="0"/>
                <w:bCs w:val="0"/>
                <w:color w:val="auto"/>
                <w:kern w:val="0"/>
                <w:sz w:val="21"/>
                <w:szCs w:val="21"/>
                <w:lang w:val="en-US" w:eastAsia="zh-CN"/>
              </w:rPr>
            </w:pPr>
          </w:p>
        </w:tc>
        <w:tc>
          <w:tcPr>
            <w:tcW w:w="7396" w:type="dxa"/>
            <w:noWrap w:val="0"/>
            <w:vAlign w:val="center"/>
          </w:tcPr>
          <w:p w14:paraId="0E3B29D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支持客户端黑白名单配置</w:t>
            </w:r>
            <w:r>
              <w:rPr>
                <w:rFonts w:hint="eastAsia" w:ascii="宋体" w:hAnsi="宋体" w:eastAsia="宋体" w:cs="宋体"/>
                <w:b w:val="0"/>
                <w:bCs w:val="0"/>
                <w:i w:val="0"/>
                <w:iCs w:val="0"/>
                <w:color w:val="auto"/>
                <w:kern w:val="0"/>
                <w:sz w:val="21"/>
                <w:szCs w:val="21"/>
                <w:u w:val="none"/>
                <w:lang w:val="en-US" w:eastAsia="zh-CN" w:bidi="ar"/>
              </w:rPr>
              <w:t>。</w:t>
            </w:r>
          </w:p>
        </w:tc>
      </w:tr>
    </w:tbl>
    <w:p w14:paraId="34ACF1AD">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3.3.2 项目进度、维保期及验收等相关服务要求</w:t>
      </w:r>
    </w:p>
    <w:p w14:paraId="629463BC">
      <w:pPr>
        <w:tabs>
          <w:tab w:val="left" w:pos="0"/>
        </w:tabs>
        <w:rPr>
          <w:rFonts w:hint="eastAsia" w:ascii="宋体" w:hAnsi="宋体" w:eastAsia="宋体" w:cs="宋体"/>
          <w:b/>
          <w:bCs/>
          <w:snapToGrid w:val="0"/>
          <w:sz w:val="21"/>
          <w:szCs w:val="21"/>
        </w:rPr>
      </w:pPr>
      <w:bookmarkStart w:id="728" w:name="_Toc314789076"/>
      <w:bookmarkStart w:id="729" w:name="_Toc477415430"/>
      <w:bookmarkStart w:id="730" w:name="_Toc322003395"/>
      <w:bookmarkStart w:id="731" w:name="_Toc257188334"/>
      <w:bookmarkStart w:id="732" w:name="_Toc405818849"/>
      <w:bookmarkStart w:id="733" w:name="_Toc402351838"/>
      <w:r>
        <w:rPr>
          <w:rFonts w:hint="eastAsia" w:ascii="宋体" w:hAnsi="宋体" w:eastAsia="宋体" w:cs="宋体"/>
          <w:b/>
          <w:bCs/>
          <w:snapToGrid w:val="0"/>
          <w:sz w:val="21"/>
          <w:szCs w:val="21"/>
        </w:rPr>
        <w:t>3.3.2.1</w:t>
      </w:r>
      <w:bookmarkEnd w:id="728"/>
      <w:bookmarkEnd w:id="729"/>
      <w:bookmarkEnd w:id="730"/>
      <w:bookmarkEnd w:id="731"/>
      <w:bookmarkEnd w:id="732"/>
      <w:bookmarkEnd w:id="733"/>
      <w:r>
        <w:rPr>
          <w:rFonts w:hint="eastAsia" w:ascii="宋体" w:hAnsi="宋体" w:eastAsia="宋体" w:cs="宋体"/>
          <w:b/>
          <w:bCs/>
          <w:snapToGrid w:val="0"/>
          <w:sz w:val="21"/>
          <w:szCs w:val="21"/>
        </w:rPr>
        <w:t>项目进度</w:t>
      </w:r>
    </w:p>
    <w:p w14:paraId="60C2C87A">
      <w:pPr>
        <w:ind w:firstLine="420" w:firstLineChars="200"/>
        <w:rPr>
          <w:rFonts w:hint="eastAsia" w:ascii="宋体" w:hAnsi="宋体" w:eastAsia="宋体" w:cs="宋体"/>
          <w:sz w:val="21"/>
          <w:szCs w:val="21"/>
        </w:rPr>
      </w:pPr>
      <w:r>
        <w:rPr>
          <w:rFonts w:hint="eastAsia" w:ascii="宋体" w:hAnsi="宋体" w:eastAsia="宋体" w:cs="宋体"/>
          <w:sz w:val="21"/>
          <w:szCs w:val="21"/>
        </w:rPr>
        <w:t>合同签订之日起，乙方接收到甲方订单后30个工作日内完成软件的部署交付。</w:t>
      </w:r>
    </w:p>
    <w:p w14:paraId="5B8E14FB">
      <w:pPr>
        <w:numPr>
          <w:ilvl w:val="3"/>
          <w:numId w:val="0"/>
        </w:numPr>
        <w:tabs>
          <w:tab w:val="left" w:pos="0"/>
        </w:tabs>
        <w:rPr>
          <w:rFonts w:hint="eastAsia" w:ascii="宋体" w:hAnsi="宋体" w:eastAsia="宋体" w:cs="宋体"/>
          <w:b/>
          <w:bCs/>
          <w:sz w:val="21"/>
          <w:szCs w:val="21"/>
        </w:rPr>
      </w:pPr>
      <w:bookmarkStart w:id="734" w:name="_Toc477415431"/>
      <w:bookmarkStart w:id="735" w:name="_Toc402351839"/>
      <w:bookmarkStart w:id="736" w:name="_Toc257188335"/>
      <w:bookmarkStart w:id="737" w:name="_Toc314789077"/>
      <w:bookmarkStart w:id="738" w:name="_Toc322003396"/>
      <w:bookmarkStart w:id="739" w:name="_Toc405818850"/>
      <w:r>
        <w:rPr>
          <w:rFonts w:hint="eastAsia" w:ascii="宋体" w:hAnsi="宋体" w:eastAsia="宋体" w:cs="宋体"/>
          <w:b/>
          <w:bCs/>
          <w:snapToGrid w:val="0"/>
          <w:sz w:val="21"/>
          <w:szCs w:val="21"/>
        </w:rPr>
        <w:t>3.3.2.2 服务地点</w:t>
      </w:r>
    </w:p>
    <w:p w14:paraId="5B2A338A">
      <w:pPr>
        <w:widowControl w:val="0"/>
        <w:ind w:firstLine="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贵州省遵义市红花岗区</w:t>
      </w:r>
    </w:p>
    <w:bookmarkEnd w:id="734"/>
    <w:bookmarkEnd w:id="735"/>
    <w:bookmarkEnd w:id="736"/>
    <w:bookmarkEnd w:id="737"/>
    <w:bookmarkEnd w:id="738"/>
    <w:bookmarkEnd w:id="739"/>
    <w:p w14:paraId="3E1D5545">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3.3.3保修期</w:t>
      </w:r>
    </w:p>
    <w:p w14:paraId="7B87C937">
      <w:pPr>
        <w:pStyle w:val="101"/>
        <w:adjustRightInd w:val="0"/>
        <w:snapToGrid w:val="0"/>
        <w:spacing w:line="440" w:lineRule="exact"/>
        <w:ind w:left="425" w:firstLine="0" w:firstLineChars="0"/>
        <w:rPr>
          <w:rFonts w:hint="eastAsia" w:cs="宋体" w:asciiTheme="minorEastAsia" w:hAnsiTheme="minorEastAsia" w:eastAsiaTheme="minorEastAsia"/>
          <w:kern w:val="0"/>
          <w:szCs w:val="21"/>
          <w:highlight w:val="none"/>
          <w:lang w:val="en-US" w:eastAsia="zh-CN"/>
        </w:rPr>
      </w:pPr>
      <w:r>
        <w:rPr>
          <w:rFonts w:hint="eastAsia" w:ascii="宋体" w:hAnsi="宋体" w:eastAsia="宋体" w:cs="宋体"/>
          <w:sz w:val="21"/>
          <w:szCs w:val="21"/>
        </w:rPr>
        <w:t>保修期：</w:t>
      </w:r>
      <w:r>
        <w:rPr>
          <w:rFonts w:hint="eastAsia" w:cs="宋体" w:asciiTheme="minorEastAsia" w:hAnsiTheme="minorEastAsia" w:eastAsiaTheme="minorEastAsia"/>
          <w:kern w:val="0"/>
          <w:szCs w:val="21"/>
          <w:highlight w:val="none"/>
          <w:lang w:val="en-US" w:eastAsia="zh-CN"/>
        </w:rPr>
        <w:t>软件保修期为12个月，自项目正式验收合格之日起计算。</w:t>
      </w:r>
    </w:p>
    <w:p w14:paraId="6775765D">
      <w:pPr>
        <w:widowControl/>
        <w:spacing w:before="105" w:after="105"/>
        <w:ind w:firstLine="420" w:firstLineChars="200"/>
        <w:rPr>
          <w:rFonts w:hint="eastAsia" w:ascii="宋体" w:hAnsi="宋体" w:eastAsia="宋体" w:cs="宋体"/>
          <w:b/>
          <w:bCs/>
          <w:snapToGrid w:val="0"/>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应保证所提供产品授权方式为终身授权，授权对象为</w:t>
      </w:r>
      <w:r>
        <w:rPr>
          <w:rFonts w:hint="eastAsia" w:ascii="宋体" w:hAnsi="宋体" w:eastAsia="宋体" w:cs="宋体"/>
          <w:sz w:val="21"/>
          <w:szCs w:val="21"/>
          <w:lang w:val="en-US" w:eastAsia="zh-CN"/>
        </w:rPr>
        <w:t>中国电信股份有限公司遵义分公司，甲方可自行分配或更换授权给不同的项目使用</w:t>
      </w:r>
      <w:r>
        <w:rPr>
          <w:rFonts w:hint="eastAsia" w:ascii="宋体" w:hAnsi="宋体" w:eastAsia="宋体" w:cs="宋体"/>
          <w:sz w:val="21"/>
          <w:szCs w:val="21"/>
        </w:rPr>
        <w:t>。乙方负责提供激活方式，甲方予以必要的配合。</w:t>
      </w:r>
    </w:p>
    <w:p w14:paraId="15FC2EDD">
      <w:pPr>
        <w:numPr>
          <w:ilvl w:val="3"/>
          <w:numId w:val="0"/>
        </w:numPr>
        <w:tabs>
          <w:tab w:val="left" w:pos="0"/>
        </w:tabs>
        <w:ind w:left="24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3.3.3.1安装调测</w:t>
      </w:r>
    </w:p>
    <w:p w14:paraId="2FA5A974">
      <w:pPr>
        <w:rPr>
          <w:rFonts w:hint="eastAsia" w:ascii="宋体" w:hAnsi="宋体" w:eastAsia="宋体" w:cs="宋体"/>
          <w:b/>
          <w:bCs/>
          <w:snapToGrid w:val="0"/>
          <w:sz w:val="21"/>
          <w:szCs w:val="21"/>
        </w:rPr>
      </w:pPr>
      <w:r>
        <w:rPr>
          <w:rFonts w:hint="eastAsia" w:ascii="宋体" w:hAnsi="宋体" w:eastAsia="宋体" w:cs="宋体"/>
          <w:b/>
          <w:bCs/>
          <w:snapToGrid w:val="0"/>
          <w:sz w:val="21"/>
          <w:szCs w:val="21"/>
        </w:rPr>
        <w:t>服务规范</w:t>
      </w:r>
    </w:p>
    <w:p w14:paraId="30266DB8">
      <w:pPr>
        <w:ind w:firstLine="211" w:firstLineChars="10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1.安装指南</w:t>
      </w:r>
    </w:p>
    <w:p w14:paraId="6384B2E3">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bookmarkStart w:id="740" w:name="_Toc477415427"/>
      <w:r>
        <w:rPr>
          <w:rFonts w:hint="eastAsia" w:ascii="宋体" w:hAnsi="宋体" w:eastAsia="宋体" w:cs="宋体"/>
          <w:sz w:val="21"/>
          <w:szCs w:val="21"/>
        </w:rPr>
        <w:t>环境准备：供应商需提供详细的系统安装前准备工作指南，包括硬件兼容性列表、最低配置要求（CPU、内存、硬盘空间等）、网络设置建议及必要的外围设备支持情况。</w:t>
      </w:r>
    </w:p>
    <w:p w14:paraId="0CACF95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安装介质：提供官方正版的操作系统安装镜像文件，并确保其可通过光盘、USB驱动器等多种方式启动安装过程。同时，应附带所有必需的驱动程序和补丁更新包。</w:t>
      </w:r>
    </w:p>
    <w:p w14:paraId="5CE4D5C6">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自动化部署：支持大规模自动化部署工具或脚本，能够实现无人值守批量安装，适用于不同规模的企业级应用环境。</w:t>
      </w:r>
    </w:p>
    <w:p w14:paraId="7DEBFB5F">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多语言支持：在安装过程中提供简体中文及其他指定语言选项，方便用户根据自身需求选择界面语言。</w:t>
      </w:r>
    </w:p>
    <w:p w14:paraId="2396B09A">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自定义安装选项：允许用户根据实际需要选择性安装组件和服务，以优化系统性能并节省资源。</w:t>
      </w:r>
    </w:p>
    <w:p w14:paraId="40F56A9F">
      <w:pPr>
        <w:numPr>
          <w:ilvl w:val="3"/>
          <w:numId w:val="0"/>
        </w:numPr>
        <w:tabs>
          <w:tab w:val="left" w:pos="0"/>
        </w:tabs>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2.调试与测试</w:t>
      </w:r>
    </w:p>
    <w:p w14:paraId="30203C72">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初始设置向导：提供直观易用的新手引导流程，帮助管理员快速完成基本系统配置</w:t>
      </w:r>
      <w:r>
        <w:rPr>
          <w:rFonts w:hint="eastAsia" w:ascii="宋体" w:hAnsi="宋体" w:eastAsia="宋体" w:cs="宋体"/>
          <w:sz w:val="21"/>
          <w:szCs w:val="21"/>
          <w:lang w:eastAsia="zh-CN"/>
        </w:rPr>
        <w:t>。</w:t>
      </w:r>
    </w:p>
    <w:p w14:paraId="30067233">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系统优化指导：给出针对特定应用场景下的系统优化建议，例如服务器角色配置、数据库服务调优、虚拟化技术支持等。</w:t>
      </w:r>
    </w:p>
    <w:p w14:paraId="3259724E">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安全加固措施：详细介绍如何开启防火墙、关闭不必要的服务端口、定期更新安全补丁等基础安全防护步骤。</w:t>
      </w:r>
    </w:p>
    <w:p w14:paraId="557BDE4F">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备份恢复策略：制定详尽的数据备份计划和灾难恢复方案，确保业务连续性和数据安全性。</w:t>
      </w:r>
    </w:p>
    <w:p w14:paraId="24746784">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集成测试：对已安装的操作系统进行全面的功能性测试，验证各项功能模块是否正常运作，并与现有IT基础设施无缝对接。</w:t>
      </w:r>
    </w:p>
    <w:p w14:paraId="796128FE">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项目安装、调试完成，</w:t>
      </w:r>
      <w:r>
        <w:rPr>
          <w:rFonts w:hint="eastAsia" w:ascii="宋体" w:hAnsi="宋体" w:eastAsia="宋体" w:cs="宋体"/>
          <w:sz w:val="21"/>
          <w:szCs w:val="21"/>
          <w:lang w:val="en-US" w:eastAsia="zh-CN"/>
        </w:rPr>
        <w:t>由甲方</w:t>
      </w:r>
      <w:r>
        <w:rPr>
          <w:rFonts w:hint="eastAsia" w:ascii="宋体" w:hAnsi="宋体" w:eastAsia="宋体" w:cs="宋体"/>
          <w:sz w:val="21"/>
          <w:szCs w:val="21"/>
        </w:rPr>
        <w:t>进行统一验收。系统验收合格的条件必须至少满足以下要求：已提供了合同要求的货物和资料；性能测试时出现的问题已被解决。</w:t>
      </w:r>
    </w:p>
    <w:p w14:paraId="6F36BCB8">
      <w:pPr>
        <w:keepNext w:val="0"/>
        <w:keepLines w:val="0"/>
        <w:pageBreakBefore w:val="0"/>
        <w:widowControl w:val="0"/>
        <w:numPr>
          <w:ilvl w:val="3"/>
          <w:numId w:val="0"/>
        </w:numPr>
        <w:tabs>
          <w:tab w:val="left" w:pos="0"/>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验收过程中，</w:t>
      </w:r>
      <w:r>
        <w:rPr>
          <w:rFonts w:hint="eastAsia" w:ascii="宋体" w:hAnsi="宋体" w:eastAsia="宋体" w:cs="宋体"/>
          <w:sz w:val="21"/>
          <w:szCs w:val="21"/>
          <w:lang w:val="en-US" w:eastAsia="zh-CN"/>
        </w:rPr>
        <w:t>甲方</w:t>
      </w:r>
      <w:r>
        <w:rPr>
          <w:rFonts w:hint="eastAsia" w:ascii="宋体" w:hAnsi="宋体" w:eastAsia="宋体" w:cs="宋体"/>
          <w:sz w:val="21"/>
          <w:szCs w:val="21"/>
        </w:rPr>
        <w:t>有权对项目内的产品对照招标参数要求及投标文件产品技术响应参数进行检测。</w:t>
      </w:r>
    </w:p>
    <w:p w14:paraId="58C1DC98">
      <w:pPr>
        <w:numPr>
          <w:ilvl w:val="3"/>
          <w:numId w:val="0"/>
        </w:numPr>
        <w:tabs>
          <w:tab w:val="left" w:pos="0"/>
        </w:tabs>
        <w:rPr>
          <w:rFonts w:hint="eastAsia" w:ascii="宋体" w:hAnsi="宋体" w:eastAsia="宋体" w:cs="宋体"/>
          <w:sz w:val="21"/>
          <w:szCs w:val="21"/>
        </w:rPr>
      </w:pPr>
      <w:r>
        <w:rPr>
          <w:rFonts w:hint="eastAsia" w:ascii="宋体" w:hAnsi="宋体" w:eastAsia="宋体" w:cs="宋体"/>
          <w:b/>
          <w:bCs/>
          <w:snapToGrid w:val="0"/>
          <w:sz w:val="21"/>
          <w:szCs w:val="21"/>
        </w:rPr>
        <w:t>3.3.3</w:t>
      </w:r>
      <w:r>
        <w:rPr>
          <w:rFonts w:hint="eastAsia" w:ascii="宋体" w:hAnsi="宋体" w:eastAsia="宋体" w:cs="宋体"/>
          <w:b/>
          <w:bCs/>
          <w:sz w:val="21"/>
          <w:szCs w:val="21"/>
        </w:rPr>
        <w:t>.2验收标准</w:t>
      </w:r>
      <w:r>
        <w:rPr>
          <w:rFonts w:hint="eastAsia" w:ascii="宋体" w:hAnsi="宋体" w:eastAsia="宋体" w:cs="宋体"/>
          <w:b/>
          <w:bCs/>
          <w:color w:val="FF0000"/>
          <w:sz w:val="21"/>
          <w:szCs w:val="21"/>
        </w:rPr>
        <w:t xml:space="preserve"> </w:t>
      </w:r>
      <w:bookmarkEnd w:id="740"/>
    </w:p>
    <w:p w14:paraId="591C28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甲方对乙方提交的货物依据招标文件上的技术规格要求、乙方投标时的技术响应承诺和国家有关质量标准进行现场初步验收，功能、说明书符合招标文件技术要求和投标技术响应的，给予签收，初步验收不合格的不予签收。货到后，甲方需在五个工作日内验收。</w:t>
      </w:r>
    </w:p>
    <w:p w14:paraId="51FC96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（2）乙方交货前应对产品作出全面检查和对验收文件进行整理，并列出清单，作为甲方收货验收和使用的技术条件依据，检验的结果应随货物交甲方。</w:t>
      </w:r>
    </w:p>
    <w:p w14:paraId="1A29C0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（3）甲方对乙方提供的货物在使用前进行调试时，乙方需负责安装并培训甲方的使用操作人员，并协助甲方一起调试，直到符合技术要求，甲方才做最终验收。</w:t>
      </w:r>
    </w:p>
    <w:p w14:paraId="4E46DAB8">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3.3.4 技术服务和技术培训</w:t>
      </w:r>
    </w:p>
    <w:p w14:paraId="720A27DF">
      <w:pPr>
        <w:rPr>
          <w:rFonts w:hint="eastAsia" w:ascii="宋体" w:hAnsi="宋体" w:eastAsia="宋体" w:cs="宋体"/>
          <w:b/>
          <w:bCs/>
          <w:sz w:val="21"/>
          <w:szCs w:val="21"/>
        </w:rPr>
      </w:pPr>
      <w:r>
        <w:rPr>
          <w:rFonts w:hint="eastAsia" w:ascii="宋体" w:hAnsi="宋体" w:eastAsia="宋体" w:cs="宋体"/>
          <w:b/>
          <w:bCs/>
          <w:sz w:val="21"/>
          <w:szCs w:val="21"/>
        </w:rPr>
        <w:t>3.3.4.1技术服务</w:t>
      </w:r>
    </w:p>
    <w:p w14:paraId="1A9B84EA">
      <w:pPr>
        <w:adjustRightInd w:val="0"/>
        <w:ind w:firstLine="420" w:firstLineChars="200"/>
        <w:rPr>
          <w:rFonts w:hint="eastAsia" w:ascii="宋体" w:hAnsi="宋体" w:eastAsia="宋体" w:cs="宋体"/>
          <w:sz w:val="21"/>
          <w:szCs w:val="21"/>
        </w:rPr>
      </w:pPr>
      <w:bookmarkStart w:id="741" w:name="_Toc527633476"/>
      <w:bookmarkStart w:id="742" w:name="_Toc477415435"/>
      <w:bookmarkStart w:id="743" w:name="_Toc24530458"/>
      <w:bookmarkStart w:id="744" w:name="_Toc343680581"/>
      <w:bookmarkStart w:id="745" w:name="_Toc508586985"/>
      <w:r>
        <w:rPr>
          <w:rFonts w:hint="eastAsia" w:ascii="宋体" w:hAnsi="宋体" w:eastAsia="宋体" w:cs="宋体"/>
          <w:sz w:val="21"/>
          <w:szCs w:val="21"/>
        </w:rPr>
        <w:t>1、技术支持</w:t>
      </w:r>
    </w:p>
    <w:p w14:paraId="5BF72A75">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7X24小时电话技术支持</w:t>
      </w:r>
    </w:p>
    <w:p w14:paraId="7469A953">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工作时间(周一到周五上午8:00到晚上6:00)远程调试支持</w:t>
      </w:r>
    </w:p>
    <w:p w14:paraId="3E7B82D1">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每年不限服务次数</w:t>
      </w:r>
    </w:p>
    <w:p w14:paraId="26C26EBD">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出现紧急系统故障要求供应商8小时内派人到场并修复故障，无法修复需提供解决方案。</w:t>
      </w:r>
      <w:bookmarkStart w:id="746" w:name="_Toc56527724"/>
      <w:bookmarkStart w:id="747" w:name="_Toc92228202"/>
      <w:bookmarkStart w:id="748" w:name="_Toc25822544"/>
      <w:bookmarkStart w:id="749" w:name="_Toc952"/>
    </w:p>
    <w:p w14:paraId="2DF4EF3F">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2、定期巡检服务</w:t>
      </w:r>
      <w:bookmarkEnd w:id="746"/>
      <w:bookmarkEnd w:id="747"/>
      <w:bookmarkEnd w:id="748"/>
      <w:bookmarkEnd w:id="749"/>
    </w:p>
    <w:p w14:paraId="4A0C396B">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本项目服务期内定期组织技术力量对已经部署的备份服务进行巡检，发现问题并解决问题，同时形成巡检报告交</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单位留存。</w:t>
      </w:r>
    </w:p>
    <w:p w14:paraId="5BCDDD32">
      <w:pPr>
        <w:adjustRightIn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3、恢复演练服务</w:t>
      </w:r>
    </w:p>
    <w:p w14:paraId="78F93078">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在本项目的服务期内按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单位要求定期抽取已经备份的任务进行数据恢复测试，以验证备份数据的可用性，并提交相应的报告交我单位留存。</w:t>
      </w:r>
    </w:p>
    <w:p w14:paraId="061AB833">
      <w:pPr>
        <w:numPr>
          <w:ilvl w:val="0"/>
          <w:numId w:val="89"/>
        </w:num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软件定时更新服务</w:t>
      </w:r>
    </w:p>
    <w:p w14:paraId="11C82691">
      <w:pPr>
        <w:numPr>
          <w:ilvl w:val="0"/>
          <w:numId w:val="0"/>
        </w:numPr>
        <w:ind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乙方需提供至少每季度一次的常规更新服务，包括但不限于功能改进、性能优化及安全补丁。对于紧急安全漏洞，应在发现后72小时内提供修复方案或补丁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需定期进行更新升级，漏洞修复。所有提供的更新和修复必须确保与现有</w:t>
      </w:r>
      <w:r>
        <w:rPr>
          <w:rFonts w:hint="eastAsia" w:ascii="宋体" w:hAnsi="宋体" w:cs="宋体"/>
          <w:color w:val="auto"/>
          <w:sz w:val="21"/>
          <w:szCs w:val="21"/>
          <w:lang w:val="en-US" w:eastAsia="zh-CN"/>
        </w:rPr>
        <w:t>中间件</w:t>
      </w:r>
      <w:r>
        <w:rPr>
          <w:rFonts w:hint="eastAsia" w:ascii="宋体" w:hAnsi="宋体" w:eastAsia="宋体" w:cs="宋体"/>
          <w:color w:val="auto"/>
          <w:sz w:val="21"/>
          <w:szCs w:val="21"/>
          <w:lang w:val="en-US" w:eastAsia="zh-CN"/>
        </w:rPr>
        <w:t>版本以及第三方软件的兼容性。乙方需提前测试并提供相应的兼容性声明。</w:t>
      </w:r>
    </w:p>
    <w:p w14:paraId="5A0FDF35">
      <w:pPr>
        <w:adjustRightInd w:val="0"/>
        <w:rPr>
          <w:rFonts w:hint="eastAsia" w:ascii="宋体" w:hAnsi="宋体" w:eastAsia="宋体" w:cs="宋体"/>
          <w:b/>
          <w:bCs/>
          <w:sz w:val="21"/>
          <w:szCs w:val="21"/>
        </w:rPr>
      </w:pPr>
      <w:bookmarkStart w:id="750" w:name="OLE_LINK14"/>
      <w:r>
        <w:rPr>
          <w:rFonts w:hint="eastAsia" w:ascii="宋体" w:hAnsi="宋体" w:eastAsia="宋体" w:cs="宋体"/>
          <w:b/>
          <w:bCs/>
          <w:sz w:val="21"/>
          <w:szCs w:val="21"/>
        </w:rPr>
        <w:t>3.3.4.2技术培训</w:t>
      </w:r>
      <w:bookmarkEnd w:id="741"/>
      <w:bookmarkEnd w:id="742"/>
      <w:bookmarkEnd w:id="743"/>
      <w:bookmarkEnd w:id="744"/>
      <w:bookmarkEnd w:id="745"/>
    </w:p>
    <w:bookmarkEnd w:id="750"/>
    <w:p w14:paraId="3C934BF9">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乙方应负责对甲方的管理、操作、维护人员的技术培训，培训内容包括但不仅限于：</w:t>
      </w:r>
    </w:p>
    <w:p w14:paraId="71AEEE41">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（1）对本项目所提供</w:t>
      </w:r>
      <w:r>
        <w:rPr>
          <w:rFonts w:hint="eastAsia" w:ascii="宋体" w:hAnsi="宋体" w:eastAsia="宋体" w:cs="宋体"/>
          <w:sz w:val="21"/>
          <w:szCs w:val="21"/>
          <w:lang w:val="en-US" w:eastAsia="zh-CN"/>
        </w:rPr>
        <w:t>中间件</w:t>
      </w:r>
      <w:r>
        <w:rPr>
          <w:rFonts w:hint="eastAsia" w:ascii="宋体" w:hAnsi="宋体" w:eastAsia="宋体" w:cs="宋体"/>
          <w:sz w:val="21"/>
          <w:szCs w:val="21"/>
        </w:rPr>
        <w:t>的安装、调试培训，并提供相应的培训资料。</w:t>
      </w:r>
    </w:p>
    <w:p w14:paraId="73748DAC">
      <w:pPr>
        <w:tabs>
          <w:tab w:val="left" w:pos="2160"/>
        </w:tabs>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（2）对本项目所提供</w:t>
      </w:r>
      <w:r>
        <w:rPr>
          <w:rFonts w:hint="eastAsia" w:ascii="宋体" w:hAnsi="宋体" w:eastAsia="宋体" w:cs="宋体"/>
          <w:sz w:val="21"/>
          <w:szCs w:val="21"/>
          <w:lang w:val="en-US" w:eastAsia="zh-CN"/>
        </w:rPr>
        <w:t>中间件</w:t>
      </w:r>
      <w:r>
        <w:rPr>
          <w:rFonts w:hint="eastAsia" w:ascii="宋体" w:hAnsi="宋体" w:eastAsia="宋体" w:cs="宋体"/>
          <w:sz w:val="21"/>
          <w:szCs w:val="21"/>
        </w:rPr>
        <w:t>的操作培训，并提供相应的培训资料。</w:t>
      </w:r>
    </w:p>
    <w:p w14:paraId="3D3744D4">
      <w:pPr>
        <w:adjustRightInd w:val="0"/>
        <w:ind w:left="-4" w:firstLine="420" w:firstLineChars="200"/>
        <w:rPr>
          <w:rFonts w:hint="eastAsia" w:ascii="宋体" w:hAnsi="宋体" w:eastAsia="宋体" w:cs="宋体"/>
          <w:sz w:val="21"/>
          <w:szCs w:val="21"/>
        </w:rPr>
      </w:pPr>
      <w:r>
        <w:rPr>
          <w:rFonts w:hint="eastAsia" w:ascii="宋体" w:hAnsi="宋体" w:eastAsia="宋体" w:cs="宋体"/>
          <w:sz w:val="21"/>
          <w:szCs w:val="21"/>
        </w:rPr>
        <w:t>（3）对本项目所提供</w:t>
      </w:r>
      <w:r>
        <w:rPr>
          <w:rFonts w:hint="eastAsia" w:ascii="宋体" w:hAnsi="宋体" w:eastAsia="宋体" w:cs="宋体"/>
          <w:sz w:val="21"/>
          <w:szCs w:val="21"/>
          <w:lang w:val="en-US" w:eastAsia="zh-CN"/>
        </w:rPr>
        <w:t>中间件</w:t>
      </w:r>
      <w:r>
        <w:rPr>
          <w:rFonts w:hint="eastAsia" w:ascii="宋体" w:hAnsi="宋体" w:eastAsia="宋体" w:cs="宋体"/>
          <w:sz w:val="21"/>
          <w:szCs w:val="21"/>
        </w:rPr>
        <w:t>维护培训，并提供相应的培训资料，满足甲方能独立进行本项目所提供服务的维护需要。</w:t>
      </w:r>
    </w:p>
    <w:p w14:paraId="2A0AB5C1">
      <w:pPr>
        <w:adjustRightInd w:val="0"/>
        <w:rPr>
          <w:rFonts w:hint="eastAsia" w:ascii="宋体" w:hAnsi="宋体" w:eastAsia="宋体" w:cs="宋体"/>
          <w:b/>
          <w:bCs/>
          <w:sz w:val="21"/>
          <w:szCs w:val="21"/>
        </w:rPr>
      </w:pPr>
      <w:bookmarkStart w:id="751" w:name="_Toc236556281"/>
      <w:bookmarkStart w:id="752" w:name="_Toc244681349"/>
      <w:bookmarkStart w:id="753" w:name="_Toc211758002"/>
      <w:bookmarkStart w:id="754" w:name="_Toc193597851"/>
      <w:bookmarkStart w:id="755" w:name="_Toc101257004"/>
      <w:bookmarkStart w:id="756" w:name="_Toc212279674"/>
      <w:bookmarkStart w:id="757" w:name="_Toc198708785"/>
      <w:bookmarkStart w:id="758" w:name="_Toc146092618"/>
      <w:bookmarkStart w:id="759" w:name="_Toc211758134"/>
      <w:bookmarkStart w:id="760" w:name="_Toc101251920"/>
      <w:bookmarkStart w:id="761" w:name="_Toc210280727"/>
      <w:bookmarkStart w:id="762" w:name="_Toc244681377"/>
      <w:bookmarkStart w:id="763" w:name="_Toc206818258"/>
      <w:bookmarkStart w:id="764" w:name="_Toc167271976"/>
      <w:r>
        <w:rPr>
          <w:rFonts w:hint="eastAsia" w:ascii="宋体" w:hAnsi="宋体" w:eastAsia="宋体" w:cs="宋体"/>
          <w:b/>
          <w:bCs/>
          <w:sz w:val="21"/>
          <w:szCs w:val="21"/>
        </w:rPr>
        <w:t>3.3.4.3技术资料</w:t>
      </w:r>
    </w:p>
    <w:p w14:paraId="503F4A38">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乙方提供的书面技术资料应能满足</w:t>
      </w:r>
      <w:r>
        <w:rPr>
          <w:rFonts w:hint="eastAsia" w:ascii="宋体" w:hAnsi="宋体" w:eastAsia="宋体" w:cs="宋体"/>
          <w:sz w:val="21"/>
          <w:szCs w:val="21"/>
          <w:lang w:val="en-US" w:eastAsia="zh-CN"/>
        </w:rPr>
        <w:t>操作系统</w:t>
      </w:r>
      <w:r>
        <w:rPr>
          <w:rFonts w:hint="eastAsia" w:ascii="宋体" w:hAnsi="宋体" w:eastAsia="宋体" w:cs="宋体"/>
          <w:sz w:val="21"/>
          <w:szCs w:val="21"/>
        </w:rPr>
        <w:t>正常运行所需的管理、运营及维护的全套文件。乙方提供的技术资料至少应包括：</w:t>
      </w:r>
    </w:p>
    <w:p w14:paraId="77811AC3">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技术手册（安装、调测、操作、维护、故障排除等）</w:t>
      </w:r>
    </w:p>
    <w:p w14:paraId="12283CE7">
      <w:pPr>
        <w:adjustRightInd w:val="0"/>
        <w:ind w:firstLine="420" w:firstLineChars="200"/>
        <w:rPr>
          <w:rFonts w:hint="eastAsia" w:ascii="宋体" w:hAnsi="宋体" w:eastAsia="宋体" w:cs="宋体"/>
          <w:sz w:val="21"/>
          <w:szCs w:val="21"/>
        </w:rPr>
      </w:pPr>
      <w:r>
        <w:rPr>
          <w:rFonts w:hint="eastAsia" w:ascii="宋体" w:hAnsi="宋体" w:eastAsia="宋体" w:cs="宋体"/>
          <w:sz w:val="21"/>
          <w:szCs w:val="21"/>
        </w:rPr>
        <w:t>用户使用手册</w:t>
      </w:r>
      <w:bookmarkStart w:id="765" w:name="_Toc4417"/>
    </w:p>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14:paraId="1C70D20E">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766" w:name="_Toc5896"/>
      <w:bookmarkStart w:id="767" w:name="_Toc25626"/>
      <w:r>
        <w:rPr>
          <w:rFonts w:hint="eastAsia" w:ascii="宋体" w:hAnsi="宋体" w:eastAsia="宋体" w:cs="宋体"/>
          <w:b/>
          <w:bCs/>
          <w:kern w:val="0"/>
          <w:sz w:val="21"/>
          <w:szCs w:val="21"/>
          <w:lang w:val="en-US" w:eastAsia="zh-CN" w:bidi="ar-SA"/>
        </w:rPr>
        <w:t>4.付款约定</w:t>
      </w:r>
      <w:bookmarkEnd w:id="766"/>
      <w:bookmarkEnd w:id="767"/>
    </w:p>
    <w:p w14:paraId="3A45BAB9">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甲乙双方框架合同签订后，合同订单金额由甲方下单并验收合格后且甲方收到乙方下列全部单据后[30]个工作日内，向乙方支付该笔订单[99]% 的款项 ：</w:t>
      </w:r>
    </w:p>
    <w:p w14:paraId="4F86BABA">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1BEC0955">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3D4F1C93">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(3)项目验收报告原件一份。</w:t>
      </w:r>
    </w:p>
    <w:p w14:paraId="30148857">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维保期满后，甲方收到乙方提供的下列全部单据后[30]个工作日内，甲方向乙方支付该笔订单剩余 [1 ]%的款项：</w:t>
      </w:r>
    </w:p>
    <w:p w14:paraId="6FA8956F">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0ED80865">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74B11E9D">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(3)保修期满证书原件</w:t>
      </w:r>
    </w:p>
    <w:p w14:paraId="16A0381E">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768" w:name="_Toc6712"/>
      <w:bookmarkStart w:id="769" w:name="_Toc25421"/>
      <w:r>
        <w:rPr>
          <w:rFonts w:hint="eastAsia" w:ascii="宋体" w:hAnsi="宋体" w:eastAsia="宋体" w:cs="宋体"/>
          <w:b/>
          <w:bCs/>
          <w:kern w:val="0"/>
          <w:sz w:val="21"/>
          <w:szCs w:val="21"/>
          <w:lang w:val="en-US" w:eastAsia="zh-CN" w:bidi="ar-SA"/>
        </w:rPr>
        <w:t>6.合同特别条款</w:t>
      </w:r>
      <w:bookmarkEnd w:id="768"/>
      <w:bookmarkEnd w:id="769"/>
    </w:p>
    <w:p w14:paraId="05C732BD">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p w14:paraId="02390477">
      <w:pPr>
        <w:widowControl w:val="0"/>
        <w:ind w:firstLine="0" w:firstLineChars="0"/>
        <w:jc w:val="both"/>
        <w:rPr>
          <w:rFonts w:hint="eastAsia" w:ascii="宋体" w:hAnsi="宋体" w:eastAsia="宋体" w:cs="宋体"/>
          <w:kern w:val="2"/>
          <w:sz w:val="21"/>
          <w:szCs w:val="21"/>
          <w:lang w:val="en-US" w:eastAsia="zh-CN" w:bidi="ar-SA"/>
        </w:rPr>
      </w:pPr>
    </w:p>
    <w:p w14:paraId="659A8207">
      <w:pPr>
        <w:pStyle w:val="222"/>
        <w:rPr>
          <w:rFonts w:hint="eastAsia" w:ascii="宋体" w:hAnsi="宋体" w:eastAsia="宋体" w:cs="宋体"/>
          <w:color w:val="auto"/>
          <w:sz w:val="21"/>
          <w:szCs w:val="21"/>
        </w:rPr>
      </w:pPr>
    </w:p>
    <w:p w14:paraId="1F2FDEB4">
      <w:pPr>
        <w:pStyle w:val="222"/>
        <w:rPr>
          <w:rFonts w:hint="eastAsia" w:ascii="宋体" w:hAnsi="宋体" w:eastAsia="宋体" w:cs="宋体"/>
          <w:color w:val="auto"/>
          <w:sz w:val="21"/>
          <w:szCs w:val="21"/>
        </w:rPr>
      </w:pPr>
    </w:p>
    <w:p w14:paraId="33083CEB">
      <w:pPr>
        <w:pStyle w:val="21"/>
        <w:ind w:firstLine="560"/>
        <w:rPr>
          <w:rFonts w:hint="eastAsia" w:ascii="宋体" w:hAnsi="宋体" w:eastAsia="宋体" w:cs="宋体"/>
          <w:color w:val="auto"/>
          <w:sz w:val="21"/>
          <w:szCs w:val="21"/>
          <w:highlight w:val="none"/>
        </w:rPr>
      </w:pPr>
    </w:p>
    <w:p w14:paraId="6DE66BA1">
      <w:pPr>
        <w:ind w:firstLine="0" w:firstLineChars="0"/>
        <w:rPr>
          <w:rFonts w:hint="eastAsia" w:ascii="宋体" w:hAnsi="宋体" w:eastAsia="宋体" w:cs="宋体"/>
          <w:color w:val="auto"/>
          <w:sz w:val="21"/>
          <w:szCs w:val="21"/>
          <w:highlight w:val="none"/>
        </w:rPr>
      </w:pPr>
    </w:p>
    <w:p w14:paraId="38FF3FFA">
      <w:pPr>
        <w:rPr>
          <w:rFonts w:ascii="仿宋_GB2312" w:hAnsi="仿宋" w:eastAsia="仿宋_GB2312" w:cs="仿宋"/>
          <w:b/>
          <w:bCs/>
          <w:color w:val="auto"/>
          <w:sz w:val="28"/>
          <w:szCs w:val="28"/>
        </w:rPr>
      </w:pPr>
      <w:r>
        <w:rPr>
          <w:rFonts w:hint="eastAsia" w:ascii="宋体" w:hAnsi="宋体" w:eastAsia="宋体" w:cs="宋体"/>
          <w:color w:val="auto"/>
          <w:sz w:val="21"/>
          <w:szCs w:val="21"/>
          <w:highlight w:val="none"/>
        </w:rPr>
        <w:br w:type="page"/>
      </w:r>
    </w:p>
    <w:p w14:paraId="478C6DBC">
      <w:pPr>
        <w:spacing w:line="416" w:lineRule="auto"/>
        <w:ind w:firstLine="560" w:firstLineChars="200"/>
        <w:rPr>
          <w:rFonts w:ascii="仿宋" w:hAnsi="仿宋" w:eastAsia="仿宋" w:cs="仿宋"/>
          <w:color w:val="auto"/>
          <w:sz w:val="28"/>
          <w:szCs w:val="36"/>
        </w:rPr>
      </w:pPr>
    </w:p>
    <w:p w14:paraId="4DD94BFD">
      <w:pPr>
        <w:pStyle w:val="100"/>
        <w:numPr>
          <w:ilvl w:val="0"/>
          <w:numId w:val="90"/>
        </w:numPr>
        <w:spacing w:before="240" w:after="120"/>
        <w:rPr>
          <w:rFonts w:cs="宋体" w:asciiTheme="minorEastAsia" w:hAnsiTheme="minorEastAsia" w:eastAsiaTheme="minorEastAsia"/>
          <w:b/>
          <w:bCs w:val="0"/>
          <w:color w:val="auto"/>
          <w:kern w:val="0"/>
          <w:sz w:val="28"/>
          <w:szCs w:val="28"/>
          <w:highlight w:val="none"/>
        </w:rPr>
      </w:pPr>
      <w:r>
        <w:rPr>
          <w:rFonts w:hint="eastAsia" w:cs="宋体" w:asciiTheme="minorEastAsia" w:hAnsiTheme="minorEastAsia" w:eastAsiaTheme="minorEastAsia"/>
          <w:b/>
          <w:bCs w:val="0"/>
          <w:color w:val="auto"/>
          <w:kern w:val="0"/>
          <w:sz w:val="28"/>
          <w:szCs w:val="28"/>
          <w:highlight w:val="none"/>
        </w:rPr>
        <w:t xml:space="preserve"> </w:t>
      </w:r>
      <w:bookmarkStart w:id="770" w:name="_Toc28954"/>
      <w:bookmarkStart w:id="771" w:name="_Toc1208"/>
      <w:bookmarkStart w:id="772" w:name="_Toc4443"/>
      <w:bookmarkStart w:id="773" w:name="_Toc6791"/>
      <w:bookmarkStart w:id="774" w:name="_Toc20696"/>
      <w:bookmarkStart w:id="775" w:name="_Toc32529"/>
      <w:bookmarkStart w:id="776" w:name="_Toc27008"/>
      <w:bookmarkStart w:id="777" w:name="_Toc21419"/>
      <w:bookmarkStart w:id="778" w:name="_Toc22437"/>
      <w:bookmarkStart w:id="779" w:name="_Toc11974"/>
      <w:r>
        <w:rPr>
          <w:rFonts w:hint="eastAsia" w:cs="宋体" w:asciiTheme="minorEastAsia" w:hAnsiTheme="minorEastAsia" w:eastAsiaTheme="minorEastAsia"/>
          <w:b/>
          <w:bCs w:val="0"/>
          <w:color w:val="auto"/>
          <w:kern w:val="0"/>
          <w:sz w:val="28"/>
          <w:szCs w:val="28"/>
          <w:highlight w:val="none"/>
        </w:rPr>
        <w:t>投标文件格式</w:t>
      </w:r>
      <w:bookmarkEnd w:id="642"/>
      <w:bookmarkEnd w:id="643"/>
      <w:bookmarkEnd w:id="644"/>
      <w:bookmarkEnd w:id="690"/>
      <w:bookmarkEnd w:id="691"/>
      <w:bookmarkEnd w:id="770"/>
      <w:bookmarkEnd w:id="771"/>
      <w:bookmarkEnd w:id="772"/>
      <w:bookmarkEnd w:id="773"/>
      <w:bookmarkEnd w:id="774"/>
      <w:bookmarkEnd w:id="775"/>
      <w:bookmarkEnd w:id="776"/>
      <w:bookmarkEnd w:id="777"/>
      <w:bookmarkEnd w:id="778"/>
      <w:bookmarkEnd w:id="779"/>
    </w:p>
    <w:p w14:paraId="6BFD47CF">
      <w:pPr>
        <w:pStyle w:val="101"/>
        <w:widowControl w:val="0"/>
        <w:numPr>
          <w:ilvl w:val="0"/>
          <w:numId w:val="0"/>
        </w:numPr>
        <w:tabs>
          <w:tab w:val="left" w:pos="567"/>
        </w:tabs>
        <w:adjustRightInd w:val="0"/>
        <w:snapToGrid w:val="0"/>
        <w:spacing w:line="440" w:lineRule="exact"/>
        <w:jc w:val="both"/>
        <w:rPr>
          <w:rFonts w:cs="宋体" w:asciiTheme="minorEastAsia" w:hAnsiTheme="minorEastAsia" w:eastAsiaTheme="minorEastAsia"/>
          <w:color w:val="auto"/>
          <w:szCs w:val="21"/>
          <w:highlight w:val="none"/>
        </w:rPr>
      </w:pPr>
    </w:p>
    <w:p w14:paraId="3837327E">
      <w:pP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br w:type="page"/>
      </w:r>
    </w:p>
    <w:p w14:paraId="3B4B5E8A">
      <w:pPr>
        <w:pStyle w:val="101"/>
        <w:tabs>
          <w:tab w:val="left" w:pos="567"/>
          <w:tab w:val="left" w:pos="795"/>
        </w:tabs>
        <w:adjustRightInd w:val="0"/>
        <w:snapToGrid w:val="0"/>
        <w:spacing w:line="440" w:lineRule="exact"/>
        <w:ind w:firstLine="0" w:firstLineChars="0"/>
        <w:jc w:val="left"/>
        <w:rPr>
          <w:rFonts w:ascii="宋体" w:hAnsi="宋体"/>
          <w:b/>
          <w:color w:val="auto"/>
          <w:szCs w:val="21"/>
        </w:rPr>
      </w:pPr>
      <w:r>
        <w:rPr>
          <w:rFonts w:hint="eastAsia" w:ascii="宋体" w:hAnsi="宋体"/>
          <w:b/>
          <w:color w:val="auto"/>
          <w:szCs w:val="21"/>
        </w:rPr>
        <w:t>第一分册 商务投标文件</w:t>
      </w:r>
    </w:p>
    <w:p w14:paraId="65C349CC">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商务投标文件封面</w:t>
      </w:r>
    </w:p>
    <w:p w14:paraId="5A7E3572">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初步评审索引表</w:t>
      </w:r>
    </w:p>
    <w:p w14:paraId="603FED7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商务及服务评审索引表</w:t>
      </w:r>
    </w:p>
    <w:p w14:paraId="7631601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4</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投标专用印章授权函（如有）</w:t>
      </w:r>
    </w:p>
    <w:p w14:paraId="3D814D8C">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投标函</w:t>
      </w:r>
    </w:p>
    <w:p w14:paraId="479E624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法定代表人/负责人身份证明</w:t>
      </w:r>
    </w:p>
    <w:p w14:paraId="0BEDF8E8">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7</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法定代表人/负责人授权委托书</w:t>
      </w:r>
    </w:p>
    <w:p w14:paraId="1F590A36">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廉洁投标承诺书</w:t>
      </w:r>
    </w:p>
    <w:p w14:paraId="78182AA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近【五】年发生的诉讼及仲裁情况</w:t>
      </w:r>
    </w:p>
    <w:p w14:paraId="2F558C3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招标代理服务费支付承诺函</w:t>
      </w:r>
    </w:p>
    <w:p w14:paraId="1360F35C">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11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不得存在情形承诺</w:t>
      </w:r>
    </w:p>
    <w:p w14:paraId="55A6748F">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12.开具增值税专用发票承诺</w:t>
      </w:r>
    </w:p>
    <w:p w14:paraId="3AA0CB14">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13</w:t>
      </w:r>
      <w:r>
        <w:rPr>
          <w:rFonts w:hint="eastAsia" w:ascii="宋体" w:hAnsi="宋体" w:eastAsia="宋体" w:cs="宋体"/>
          <w:b w:val="0"/>
          <w:color w:val="auto"/>
          <w:kern w:val="2"/>
          <w:sz w:val="21"/>
          <w:szCs w:val="21"/>
          <w:lang w:val="en-US" w:eastAsia="zh-CN" w:bidi="ar-SA"/>
        </w:rPr>
        <w:t>.特定关系信息收集表</w:t>
      </w:r>
    </w:p>
    <w:p w14:paraId="7A24C63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14.</w:t>
      </w:r>
      <w:r>
        <w:rPr>
          <w:rFonts w:hint="eastAsia" w:ascii="宋体" w:hAnsi="宋体" w:cs="宋体"/>
          <w:color w:val="auto"/>
          <w:szCs w:val="21"/>
        </w:rPr>
        <w:t>资格审查资料</w:t>
      </w:r>
    </w:p>
    <w:p w14:paraId="25FDDBBF">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投标人控股及管理关系情况申报表</w:t>
      </w:r>
    </w:p>
    <w:p w14:paraId="11EF8704">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16</w:t>
      </w:r>
      <w:r>
        <w:rPr>
          <w:rFonts w:hint="eastAsia" w:ascii="宋体" w:hAnsi="宋体" w:eastAsia="宋体" w:cs="宋体"/>
          <w:b w:val="0"/>
          <w:color w:val="auto"/>
          <w:kern w:val="2"/>
          <w:sz w:val="21"/>
          <w:szCs w:val="21"/>
          <w:lang w:val="en-US" w:eastAsia="zh-CN" w:bidi="ar-SA"/>
        </w:rPr>
        <w:t>.商务条款偏离表</w:t>
      </w:r>
    </w:p>
    <w:p w14:paraId="1B1DCAF8">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合同条款偏离表</w:t>
      </w:r>
    </w:p>
    <w:p w14:paraId="1FD1A316">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投标人须知前附表偏离表</w:t>
      </w:r>
    </w:p>
    <w:p w14:paraId="62BCC044">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19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网络</w:t>
      </w:r>
      <w:r>
        <w:rPr>
          <w:rFonts w:hint="eastAsia" w:ascii="宋体" w:hAnsi="宋体" w:cs="宋体"/>
          <w:color w:val="auto"/>
          <w:szCs w:val="21"/>
          <w:lang w:val="en-US" w:eastAsia="zh-CN"/>
        </w:rPr>
        <w:t>及</w:t>
      </w:r>
      <w:r>
        <w:rPr>
          <w:rFonts w:hint="eastAsia" w:ascii="宋体" w:hAnsi="宋体" w:cs="宋体"/>
          <w:color w:val="auto"/>
          <w:szCs w:val="21"/>
        </w:rPr>
        <w:t>信息安全承诺书</w:t>
      </w:r>
    </w:p>
    <w:p w14:paraId="3762FC81">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开源软件、第三方软件清单及合法获取开源软件、第三方软件使用权的证明</w:t>
      </w:r>
    </w:p>
    <w:p w14:paraId="3AF4AB62">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销售/转许可同意函</w:t>
      </w:r>
    </w:p>
    <w:p w14:paraId="58EB10E9">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22</w:t>
      </w:r>
      <w:r>
        <w:rPr>
          <w:rFonts w:hint="eastAsia" w:ascii="宋体" w:hAnsi="宋体" w:eastAsia="宋体" w:cs="宋体"/>
          <w:b w:val="0"/>
          <w:color w:val="auto"/>
          <w:kern w:val="2"/>
          <w:sz w:val="21"/>
          <w:szCs w:val="21"/>
          <w:lang w:val="en-US" w:eastAsia="zh-CN" w:bidi="ar-SA"/>
        </w:rPr>
        <w:t>.</w:t>
      </w:r>
      <w:r>
        <w:rPr>
          <w:rFonts w:hint="eastAsia" w:ascii="宋体" w:hAnsi="宋体" w:cs="宋体"/>
          <w:b w:val="0"/>
          <w:color w:val="auto"/>
          <w:kern w:val="2"/>
          <w:sz w:val="21"/>
          <w:szCs w:val="21"/>
          <w:lang w:val="en-US" w:eastAsia="zh-CN" w:bidi="ar-SA"/>
        </w:rPr>
        <w:t>投标保函</w:t>
      </w:r>
    </w:p>
    <w:p w14:paraId="69BA2E35">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23</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基本开户银行情况</w:t>
      </w:r>
    </w:p>
    <w:p w14:paraId="3B25CF4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24</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业绩情况表</w:t>
      </w:r>
    </w:p>
    <w:p w14:paraId="7A258FB0">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社会保险经办机构出具的投标人为职工缴纳社会保险的单位缴费信息记录</w:t>
      </w:r>
    </w:p>
    <w:p w14:paraId="57D312B8">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cs="宋体"/>
          <w:color w:val="auto"/>
          <w:szCs w:val="21"/>
        </w:rPr>
      </w:pPr>
      <w:r>
        <w:rPr>
          <w:rFonts w:hint="eastAsia" w:ascii="宋体" w:hAnsi="宋体" w:cs="宋体"/>
          <w:b w:val="0"/>
          <w:color w:val="auto"/>
          <w:kern w:val="2"/>
          <w:sz w:val="21"/>
          <w:szCs w:val="21"/>
          <w:lang w:val="en-US" w:eastAsia="zh-CN" w:bidi="ar-SA"/>
        </w:rPr>
        <w:t>26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知识产权不侵权承诺函</w:t>
      </w:r>
    </w:p>
    <w:p w14:paraId="0716962A">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27.供应链数字化配合说明</w:t>
      </w:r>
    </w:p>
    <w:p w14:paraId="4FAF8D15">
      <w:pPr>
        <w:pStyle w:val="101"/>
        <w:tabs>
          <w:tab w:val="left" w:pos="567"/>
          <w:tab w:val="left" w:pos="795"/>
        </w:tabs>
        <w:adjustRightInd w:val="0"/>
        <w:snapToGrid w:val="0"/>
        <w:spacing w:line="440" w:lineRule="exact"/>
        <w:ind w:firstLine="0" w:firstLineChars="0"/>
        <w:jc w:val="left"/>
        <w:rPr>
          <w:rFonts w:ascii="宋体" w:hAnsi="宋体" w:cs="宋体"/>
          <w:b/>
          <w:color w:val="auto"/>
          <w:szCs w:val="21"/>
        </w:rPr>
      </w:pPr>
      <w:r>
        <w:rPr>
          <w:rFonts w:hint="eastAsia" w:ascii="宋体" w:hAnsi="宋体" w:cs="宋体"/>
          <w:b/>
          <w:color w:val="auto"/>
          <w:szCs w:val="21"/>
        </w:rPr>
        <w:t>第二分册 技术投标文件</w:t>
      </w:r>
    </w:p>
    <w:p w14:paraId="3DF8C292">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28</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技术投标文件封面</w:t>
      </w:r>
    </w:p>
    <w:p w14:paraId="01E2133B">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29</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服务</w:t>
      </w:r>
      <w:r>
        <w:rPr>
          <w:rFonts w:hint="eastAsia" w:ascii="宋体" w:hAnsi="宋体" w:cs="宋体"/>
          <w:color w:val="auto"/>
          <w:szCs w:val="21"/>
        </w:rPr>
        <w:t>评审索引表</w:t>
      </w:r>
    </w:p>
    <w:p w14:paraId="1DAA4CCD">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30</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规范书</w:t>
      </w:r>
      <w:r>
        <w:rPr>
          <w:rFonts w:hint="eastAsia" w:ascii="宋体" w:hAnsi="宋体" w:cs="宋体"/>
          <w:color w:val="auto"/>
          <w:szCs w:val="21"/>
        </w:rPr>
        <w:t>偏离表</w:t>
      </w:r>
    </w:p>
    <w:p w14:paraId="10208DEB">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31</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w:t>
      </w:r>
      <w:r>
        <w:rPr>
          <w:rFonts w:hint="eastAsia" w:ascii="宋体" w:hAnsi="宋体" w:cs="宋体"/>
          <w:color w:val="auto"/>
          <w:szCs w:val="21"/>
          <w:lang w:val="en-US" w:eastAsia="zh-CN"/>
        </w:rPr>
        <w:t>规范书</w:t>
      </w:r>
      <w:r>
        <w:rPr>
          <w:rFonts w:hint="eastAsia" w:ascii="宋体" w:hAnsi="宋体" w:cs="宋体"/>
          <w:color w:val="auto"/>
          <w:szCs w:val="21"/>
        </w:rPr>
        <w:t>点对点应答</w:t>
      </w:r>
    </w:p>
    <w:p w14:paraId="2C6D660F">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32</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技术建议书</w:t>
      </w:r>
    </w:p>
    <w:p w14:paraId="1F13D77D">
      <w:pPr>
        <w:pStyle w:val="101"/>
        <w:numPr>
          <w:ilvl w:val="0"/>
          <w:numId w:val="0"/>
        </w:numPr>
        <w:tabs>
          <w:tab w:val="left" w:pos="567"/>
        </w:tabs>
        <w:topLinePunct w:val="0"/>
        <w:adjustRightInd w:val="0"/>
        <w:snapToGrid w:val="0"/>
        <w:spacing w:line="440" w:lineRule="exact"/>
        <w:ind w:left="425" w:leftChars="0" w:hanging="425" w:firstLineChars="0"/>
        <w:rPr>
          <w:rFonts w:hint="eastAsia" w:ascii="宋体" w:hAnsi="宋体" w:eastAsia="宋体" w:cs="宋体"/>
          <w:b w:val="0"/>
          <w:color w:val="auto"/>
          <w:kern w:val="2"/>
          <w:sz w:val="21"/>
          <w:szCs w:val="21"/>
          <w:lang w:val="en-US" w:eastAsia="zh-CN" w:bidi="ar-SA"/>
        </w:rPr>
      </w:pPr>
      <w:r>
        <w:rPr>
          <w:rFonts w:hint="eastAsia" w:ascii="宋体" w:hAnsi="宋体" w:cs="宋体"/>
          <w:b w:val="0"/>
          <w:color w:val="auto"/>
          <w:kern w:val="2"/>
          <w:sz w:val="21"/>
          <w:szCs w:val="21"/>
          <w:lang w:val="en-US" w:eastAsia="zh-CN" w:bidi="ar-SA"/>
        </w:rPr>
        <w:t>33</w:t>
      </w:r>
      <w:r>
        <w:rPr>
          <w:rFonts w:hint="eastAsia" w:ascii="宋体" w:hAnsi="宋体" w:eastAsia="宋体" w:cs="宋体"/>
          <w:b w:val="0"/>
          <w:color w:val="auto"/>
          <w:kern w:val="2"/>
          <w:sz w:val="21"/>
          <w:szCs w:val="21"/>
          <w:lang w:val="en-US" w:eastAsia="zh-CN" w:bidi="ar-SA"/>
        </w:rPr>
        <w:t>.技术规范书中明确要求投标人提供的其他相关文件</w:t>
      </w:r>
    </w:p>
    <w:p w14:paraId="6FBD7C12">
      <w:pPr>
        <w:pStyle w:val="101"/>
        <w:numPr>
          <w:ilvl w:val="0"/>
          <w:numId w:val="0"/>
        </w:numPr>
        <w:tabs>
          <w:tab w:val="left" w:pos="567"/>
        </w:tabs>
        <w:topLinePunct w:val="0"/>
        <w:adjustRightInd w:val="0"/>
        <w:snapToGrid w:val="0"/>
        <w:spacing w:line="440" w:lineRule="exact"/>
        <w:ind w:left="425" w:leftChars="0" w:hanging="425" w:firstLine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34.外部组件软件成分信息清单模版</w:t>
      </w:r>
    </w:p>
    <w:p w14:paraId="42938FA5">
      <w:pPr>
        <w:pStyle w:val="101"/>
        <w:tabs>
          <w:tab w:val="left" w:pos="567"/>
          <w:tab w:val="left" w:pos="795"/>
        </w:tabs>
        <w:adjustRightInd w:val="0"/>
        <w:snapToGrid w:val="0"/>
        <w:spacing w:line="440" w:lineRule="exact"/>
        <w:ind w:firstLine="0" w:firstLineChars="0"/>
        <w:jc w:val="left"/>
        <w:rPr>
          <w:rFonts w:ascii="宋体" w:hAnsi="宋体" w:cs="宋体"/>
          <w:b/>
          <w:color w:val="auto"/>
          <w:szCs w:val="21"/>
        </w:rPr>
      </w:pPr>
      <w:r>
        <w:rPr>
          <w:rFonts w:hint="eastAsia" w:ascii="宋体" w:hAnsi="宋体" w:cs="宋体"/>
          <w:b/>
          <w:color w:val="auto"/>
          <w:szCs w:val="21"/>
        </w:rPr>
        <w:t>第三分册 报价文件</w:t>
      </w:r>
    </w:p>
    <w:p w14:paraId="2C43866E">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35</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报价文件封面</w:t>
      </w:r>
    </w:p>
    <w:p w14:paraId="59BAF6A9">
      <w:pPr>
        <w:pStyle w:val="101"/>
        <w:numPr>
          <w:ilvl w:val="0"/>
          <w:numId w:val="0"/>
        </w:numPr>
        <w:tabs>
          <w:tab w:val="left" w:pos="567"/>
        </w:tabs>
        <w:topLinePunct w:val="0"/>
        <w:adjustRightInd w:val="0"/>
        <w:snapToGrid w:val="0"/>
        <w:spacing w:line="440" w:lineRule="exact"/>
        <w:ind w:left="425" w:leftChars="0" w:hanging="425" w:firstLineChars="0"/>
        <w:rPr>
          <w:rFonts w:ascii="宋体" w:hAnsi="宋体" w:cs="宋体"/>
          <w:color w:val="auto"/>
          <w:szCs w:val="21"/>
        </w:rPr>
      </w:pPr>
      <w:r>
        <w:rPr>
          <w:rFonts w:hint="eastAsia" w:ascii="宋体" w:hAnsi="宋体" w:cs="宋体"/>
          <w:b w:val="0"/>
          <w:color w:val="auto"/>
          <w:kern w:val="2"/>
          <w:sz w:val="21"/>
          <w:szCs w:val="21"/>
          <w:lang w:val="en-US" w:eastAsia="zh-CN" w:bidi="ar-SA"/>
        </w:rPr>
        <w:t>36</w:t>
      </w:r>
      <w:r>
        <w:rPr>
          <w:rFonts w:hint="eastAsia" w:ascii="宋体" w:hAnsi="宋体" w:eastAsia="宋体" w:cs="宋体"/>
          <w:b w:val="0"/>
          <w:color w:val="auto"/>
          <w:kern w:val="2"/>
          <w:sz w:val="21"/>
          <w:szCs w:val="21"/>
          <w:lang w:val="en-US" w:eastAsia="zh-CN" w:bidi="ar-SA"/>
        </w:rPr>
        <w:t>.</w:t>
      </w:r>
      <w:r>
        <w:rPr>
          <w:rFonts w:hint="eastAsia" w:ascii="宋体" w:hAnsi="宋体" w:cs="宋体"/>
          <w:color w:val="auto"/>
          <w:szCs w:val="21"/>
        </w:rPr>
        <w:t>投标一览表</w:t>
      </w:r>
    </w:p>
    <w:p w14:paraId="0FF10100">
      <w:pP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br w:type="page"/>
      </w:r>
    </w:p>
    <w:p w14:paraId="2D7E11D6">
      <w:pPr>
        <w:pStyle w:val="101"/>
        <w:widowControl w:val="0"/>
        <w:numPr>
          <w:ilvl w:val="0"/>
          <w:numId w:val="0"/>
        </w:numPr>
        <w:tabs>
          <w:tab w:val="left" w:pos="567"/>
        </w:tabs>
        <w:adjustRightInd w:val="0"/>
        <w:snapToGrid w:val="0"/>
        <w:spacing w:line="440" w:lineRule="exact"/>
        <w:jc w:val="both"/>
        <w:rPr>
          <w:rFonts w:cs="宋体" w:asciiTheme="minorEastAsia" w:hAnsiTheme="minorEastAsia" w:eastAsiaTheme="minorEastAsia"/>
          <w:color w:val="auto"/>
          <w:szCs w:val="21"/>
          <w:highlight w:val="none"/>
        </w:rPr>
        <w:sectPr>
          <w:pgSz w:w="11906" w:h="16838"/>
          <w:pgMar w:top="1440" w:right="1800" w:bottom="1440" w:left="1800" w:header="851" w:footer="992" w:gutter="0"/>
          <w:pgNumType w:fmt="decimal"/>
          <w:cols w:space="425" w:num="1"/>
          <w:docGrid w:type="lines" w:linePitch="312" w:charSpace="0"/>
        </w:sectPr>
      </w:pPr>
    </w:p>
    <w:p w14:paraId="64CF2C25">
      <w:pPr>
        <w:pStyle w:val="81"/>
        <w:tabs>
          <w:tab w:val="left" w:pos="588"/>
        </w:tabs>
        <w:snapToGrid w:val="0"/>
        <w:spacing w:before="120" w:after="120" w:line="440" w:lineRule="exact"/>
        <w:jc w:val="left"/>
        <w:rPr>
          <w:rFonts w:asciiTheme="minorEastAsia" w:hAnsiTheme="minorEastAsia" w:eastAsiaTheme="minorEastAsia"/>
          <w:color w:val="auto"/>
          <w:sz w:val="24"/>
          <w:szCs w:val="24"/>
          <w:highlight w:val="none"/>
        </w:rPr>
      </w:pPr>
      <w:bookmarkStart w:id="780" w:name="_Toc6108"/>
      <w:bookmarkStart w:id="781" w:name="_Toc24914"/>
      <w:bookmarkStart w:id="782" w:name="_Toc28678"/>
      <w:bookmarkStart w:id="783" w:name="_Toc2450"/>
      <w:bookmarkStart w:id="784" w:name="_Toc413"/>
      <w:bookmarkStart w:id="785" w:name="_Toc2698"/>
      <w:bookmarkStart w:id="786" w:name="_Toc38008076"/>
      <w:bookmarkStart w:id="787" w:name="_Toc557"/>
      <w:bookmarkStart w:id="788" w:name="_Toc27352"/>
      <w:bookmarkStart w:id="789" w:name="_Toc30665"/>
      <w:bookmarkStart w:id="790" w:name="_Toc15607"/>
      <w:bookmarkStart w:id="791" w:name="_Toc28853"/>
      <w:bookmarkStart w:id="792" w:name="_Toc475472670"/>
      <w:bookmarkStart w:id="793" w:name="_Hlk167299890"/>
      <w:bookmarkStart w:id="794" w:name="OLE_LINK10"/>
      <w:r>
        <w:rPr>
          <w:rFonts w:hint="eastAsia" w:asciiTheme="minorEastAsia" w:hAnsiTheme="minorEastAsia" w:eastAsiaTheme="minorEastAsia"/>
          <w:color w:val="auto"/>
          <w:sz w:val="24"/>
          <w:szCs w:val="24"/>
          <w:highlight w:val="none"/>
        </w:rPr>
        <w:t>第一分册 商务投标文件</w:t>
      </w:r>
      <w:bookmarkEnd w:id="780"/>
      <w:bookmarkEnd w:id="781"/>
      <w:bookmarkEnd w:id="782"/>
      <w:bookmarkEnd w:id="783"/>
      <w:bookmarkEnd w:id="784"/>
      <w:bookmarkEnd w:id="785"/>
      <w:bookmarkEnd w:id="786"/>
      <w:bookmarkEnd w:id="787"/>
      <w:bookmarkEnd w:id="788"/>
      <w:bookmarkEnd w:id="789"/>
      <w:bookmarkEnd w:id="790"/>
      <w:bookmarkEnd w:id="791"/>
    </w:p>
    <w:p w14:paraId="787B912E">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color w:val="auto"/>
          <w:sz w:val="24"/>
          <w:szCs w:val="24"/>
        </w:rPr>
      </w:pPr>
      <w:bookmarkStart w:id="795" w:name="_Toc1762"/>
      <w:bookmarkStart w:id="796" w:name="_Toc30766"/>
      <w:bookmarkStart w:id="797" w:name="_Toc1269"/>
      <w:bookmarkStart w:id="798" w:name="_Toc8583"/>
      <w:bookmarkStart w:id="799" w:name="_Toc18950"/>
      <w:bookmarkStart w:id="800" w:name="_Toc19336"/>
      <w:bookmarkStart w:id="801" w:name="_Toc26294"/>
      <w:bookmarkStart w:id="802" w:name="_Toc31674"/>
      <w:bookmarkStart w:id="803" w:name="_Toc28815"/>
      <w:bookmarkStart w:id="804" w:name="_Toc7542"/>
      <w:bookmarkStart w:id="805" w:name="_Toc22240"/>
      <w:bookmarkStart w:id="806" w:name="_Toc38008077"/>
      <w:r>
        <w:rPr>
          <w:rFonts w:hint="eastAsia" w:cs="Times New Roman" w:asciiTheme="minorEastAsia" w:hAnsiTheme="minorEastAsia" w:eastAsiaTheme="minorEastAsia"/>
          <w:b/>
          <w:bCs/>
          <w:color w:val="auto"/>
          <w:kern w:val="2"/>
          <w:sz w:val="24"/>
          <w:szCs w:val="24"/>
          <w:lang w:val="en-US" w:eastAsia="zh-CN" w:bidi="ar-SA"/>
        </w:rPr>
        <w:t>1.</w:t>
      </w:r>
      <w:r>
        <w:rPr>
          <w:rFonts w:hint="eastAsia" w:asciiTheme="minorEastAsia" w:hAnsiTheme="minorEastAsia" w:eastAsiaTheme="minorEastAsia"/>
          <w:color w:val="auto"/>
          <w:sz w:val="24"/>
          <w:szCs w:val="24"/>
        </w:rPr>
        <w:t>商务投标文件封面</w:t>
      </w:r>
      <w:bookmarkEnd w:id="792"/>
      <w:bookmarkEnd w:id="795"/>
      <w:bookmarkEnd w:id="796"/>
      <w:bookmarkEnd w:id="797"/>
      <w:bookmarkEnd w:id="798"/>
      <w:bookmarkEnd w:id="799"/>
      <w:bookmarkEnd w:id="800"/>
      <w:bookmarkEnd w:id="801"/>
      <w:bookmarkEnd w:id="802"/>
      <w:bookmarkEnd w:id="803"/>
      <w:bookmarkEnd w:id="804"/>
      <w:bookmarkEnd w:id="805"/>
      <w:bookmarkEnd w:id="806"/>
    </w:p>
    <w:bookmarkEnd w:id="793"/>
    <w:p w14:paraId="46E7B011">
      <w:pPr>
        <w:spacing w:after="120" w:line="360" w:lineRule="atLeast"/>
        <w:jc w:val="center"/>
        <w:rPr>
          <w:rFonts w:cs="宋体" w:asciiTheme="minorEastAsia" w:hAnsiTheme="minorEastAsia" w:eastAsiaTheme="minorEastAsia"/>
          <w:color w:val="auto"/>
          <w:sz w:val="32"/>
          <w:szCs w:val="32"/>
          <w:highlight w:val="none"/>
          <w:u w:val="single"/>
        </w:rPr>
      </w:pPr>
    </w:p>
    <w:p w14:paraId="4D2A5F8B">
      <w:pPr>
        <w:spacing w:after="120" w:line="360" w:lineRule="atLeast"/>
        <w:jc w:val="center"/>
        <w:rPr>
          <w:rFonts w:hint="eastAsia" w:ascii="宋体" w:hAnsi="宋体"/>
          <w:color w:val="auto"/>
          <w:sz w:val="28"/>
          <w:szCs w:val="28"/>
        </w:rPr>
      </w:pPr>
    </w:p>
    <w:p w14:paraId="7E87F915">
      <w:pPr>
        <w:spacing w:after="120" w:line="360" w:lineRule="atLeast"/>
        <w:jc w:val="center"/>
        <w:rPr>
          <w:rFonts w:hint="eastAsia" w:ascii="宋体" w:hAnsi="宋体"/>
          <w:color w:val="auto"/>
          <w:sz w:val="28"/>
          <w:szCs w:val="28"/>
        </w:rPr>
      </w:pPr>
    </w:p>
    <w:p w14:paraId="305CB3E0">
      <w:pPr>
        <w:spacing w:after="120" w:line="360" w:lineRule="atLeast"/>
        <w:jc w:val="center"/>
        <w:rPr>
          <w:rFonts w:cs="宋体" w:asciiTheme="minorEastAsia" w:hAnsiTheme="minorEastAsia" w:eastAsiaTheme="minorEastAsia"/>
          <w:color w:val="auto"/>
          <w:sz w:val="32"/>
          <w:szCs w:val="32"/>
          <w:highlight w:val="none"/>
          <w:u w:val="single"/>
        </w:rPr>
      </w:pPr>
      <w:r>
        <w:rPr>
          <w:rFonts w:hint="eastAsia" w:ascii="宋体" w:hAnsi="宋体"/>
          <w:color w:val="auto"/>
          <w:sz w:val="28"/>
          <w:szCs w:val="28"/>
        </w:rPr>
        <w:t>（项目名称）</w:t>
      </w:r>
    </w:p>
    <w:p w14:paraId="0540FB67">
      <w:pPr>
        <w:jc w:val="center"/>
        <w:rPr>
          <w:rFonts w:cs="宋体" w:asciiTheme="minorEastAsia" w:hAnsiTheme="minorEastAsia" w:eastAsiaTheme="minorEastAsia"/>
          <w:color w:val="auto"/>
          <w:szCs w:val="21"/>
          <w:highlight w:val="none"/>
        </w:rPr>
      </w:pPr>
    </w:p>
    <w:p w14:paraId="58CC92C8">
      <w:pPr>
        <w:spacing w:after="120"/>
        <w:jc w:val="center"/>
        <w:rPr>
          <w:rFonts w:hint="eastAsia" w:cs="宋体" w:asciiTheme="minorEastAsia" w:hAnsiTheme="minorEastAsia" w:eastAsiaTheme="minorEastAsia"/>
          <w:b/>
          <w:color w:val="auto"/>
          <w:sz w:val="36"/>
          <w:szCs w:val="36"/>
          <w:highlight w:val="none"/>
        </w:rPr>
      </w:pPr>
    </w:p>
    <w:p w14:paraId="43B1118F">
      <w:pPr>
        <w:spacing w:after="120"/>
        <w:jc w:val="center"/>
        <w:rPr>
          <w:rFonts w:hint="eastAsia" w:cs="宋体" w:asciiTheme="minorEastAsia" w:hAnsiTheme="minorEastAsia" w:eastAsiaTheme="minorEastAsia"/>
          <w:b/>
          <w:color w:val="auto"/>
          <w:sz w:val="36"/>
          <w:szCs w:val="36"/>
          <w:highlight w:val="none"/>
        </w:rPr>
      </w:pPr>
    </w:p>
    <w:p w14:paraId="70E1509B">
      <w:pPr>
        <w:spacing w:after="120"/>
        <w:jc w:val="center"/>
        <w:rPr>
          <w:rFonts w:hint="eastAsia" w:cs="宋体" w:asciiTheme="minorEastAsia" w:hAnsiTheme="minorEastAsia" w:eastAsiaTheme="minorEastAsia"/>
          <w:b/>
          <w:color w:val="auto"/>
          <w:sz w:val="36"/>
          <w:szCs w:val="36"/>
          <w:highlight w:val="none"/>
        </w:rPr>
      </w:pPr>
    </w:p>
    <w:p w14:paraId="54284961">
      <w:pPr>
        <w:spacing w:after="120"/>
        <w:jc w:val="center"/>
        <w:rPr>
          <w:rFonts w:cs="宋体" w:asciiTheme="minorEastAsia" w:hAnsiTheme="minorEastAsia" w:eastAsiaTheme="minorEastAsia"/>
          <w:b/>
          <w:color w:val="auto"/>
          <w:sz w:val="36"/>
          <w:szCs w:val="36"/>
          <w:highlight w:val="none"/>
        </w:rPr>
      </w:pPr>
      <w:r>
        <w:rPr>
          <w:rFonts w:hint="eastAsia" w:cs="宋体" w:asciiTheme="minorEastAsia" w:hAnsiTheme="minorEastAsia" w:eastAsiaTheme="minorEastAsia"/>
          <w:b/>
          <w:color w:val="auto"/>
          <w:sz w:val="36"/>
          <w:szCs w:val="36"/>
          <w:highlight w:val="none"/>
        </w:rPr>
        <w:t>投标文件【商务投标文件】部分</w:t>
      </w:r>
    </w:p>
    <w:p w14:paraId="168E03C9">
      <w:pPr>
        <w:spacing w:after="120"/>
        <w:jc w:val="center"/>
        <w:rPr>
          <w:rFonts w:cs="宋体" w:asciiTheme="minorEastAsia" w:hAnsiTheme="minorEastAsia" w:eastAsiaTheme="minorEastAsia"/>
          <w:b/>
          <w:color w:val="auto"/>
          <w:sz w:val="32"/>
          <w:szCs w:val="32"/>
          <w:highlight w:val="none"/>
        </w:rPr>
      </w:pPr>
    </w:p>
    <w:p w14:paraId="23382783">
      <w:pPr>
        <w:spacing w:after="120"/>
        <w:jc w:val="center"/>
        <w:rPr>
          <w:rFonts w:cs="宋体" w:asciiTheme="minorEastAsia" w:hAnsiTheme="minorEastAsia" w:eastAsiaTheme="minorEastAsia"/>
          <w:b/>
          <w:color w:val="auto"/>
          <w:sz w:val="32"/>
          <w:szCs w:val="32"/>
          <w:highlight w:val="none"/>
        </w:rPr>
      </w:pPr>
    </w:p>
    <w:p w14:paraId="2555E742">
      <w:pPr>
        <w:spacing w:after="120"/>
        <w:jc w:val="both"/>
        <w:rPr>
          <w:rFonts w:cs="宋体" w:asciiTheme="minorEastAsia" w:hAnsiTheme="minorEastAsia" w:eastAsiaTheme="minorEastAsia"/>
          <w:b/>
          <w:color w:val="auto"/>
          <w:sz w:val="32"/>
          <w:szCs w:val="32"/>
          <w:highlight w:val="none"/>
        </w:rPr>
      </w:pPr>
    </w:p>
    <w:p w14:paraId="6BA96620">
      <w:pPr>
        <w:spacing w:after="120"/>
        <w:jc w:val="center"/>
        <w:rPr>
          <w:rFonts w:cs="宋体" w:asciiTheme="minorEastAsia" w:hAnsiTheme="minorEastAsia" w:eastAsiaTheme="minorEastAsia"/>
          <w:b/>
          <w:color w:val="auto"/>
          <w:sz w:val="32"/>
          <w:szCs w:val="32"/>
          <w:highlight w:val="none"/>
        </w:rPr>
      </w:pPr>
    </w:p>
    <w:p w14:paraId="494F535E">
      <w:pPr>
        <w:spacing w:after="120"/>
        <w:jc w:val="center"/>
        <w:rPr>
          <w:rFonts w:cs="宋体" w:asciiTheme="minorEastAsia" w:hAnsiTheme="minorEastAsia" w:eastAsiaTheme="minorEastAsia"/>
          <w:b/>
          <w:color w:val="auto"/>
          <w:sz w:val="32"/>
          <w:szCs w:val="32"/>
          <w:highlight w:val="none"/>
        </w:rPr>
      </w:pPr>
    </w:p>
    <w:p w14:paraId="2A6047E6">
      <w:pPr>
        <w:spacing w:line="440" w:lineRule="exact"/>
        <w:ind w:firstLine="566" w:firstLineChars="236"/>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投标人名称：</w:t>
      </w:r>
      <w:r>
        <w:rPr>
          <w:rFonts w:hint="eastAsia" w:asciiTheme="minorEastAsia" w:hAnsiTheme="minorEastAsia" w:eastAsiaTheme="minorEastAsia"/>
          <w:color w:val="auto"/>
          <w:sz w:val="24"/>
          <w:szCs w:val="21"/>
          <w:highlight w:val="none"/>
          <w:u w:val="single"/>
        </w:rPr>
        <w:t xml:space="preserve">　　　　　　　　                 </w:t>
      </w:r>
    </w:p>
    <w:p w14:paraId="260D2749">
      <w:pPr>
        <w:adjustRightInd w:val="0"/>
        <w:snapToGrid w:val="0"/>
        <w:spacing w:line="440" w:lineRule="exact"/>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u w:val="single"/>
        </w:rPr>
        <w:t xml:space="preserve">_    __ </w:t>
      </w:r>
      <w:r>
        <w:rPr>
          <w:rFonts w:hint="eastAsia" w:cs="宋体" w:asciiTheme="minorEastAsia" w:hAnsiTheme="minorEastAsia" w:eastAsiaTheme="minorEastAsia"/>
          <w:color w:val="auto"/>
          <w:sz w:val="24"/>
          <w:highlight w:val="none"/>
        </w:rPr>
        <w:t>年</w:t>
      </w:r>
      <w:r>
        <w:rPr>
          <w:rFonts w:cs="宋体" w:asciiTheme="minorEastAsia" w:hAnsiTheme="minorEastAsia" w:eastAsiaTheme="minorEastAsia"/>
          <w:color w:val="auto"/>
          <w:sz w:val="24"/>
          <w:highlight w:val="none"/>
          <w:u w:val="single"/>
        </w:rPr>
        <w:t>_    __</w:t>
      </w:r>
      <w:r>
        <w:rPr>
          <w:rFonts w:hint="eastAsia" w:cs="宋体" w:asciiTheme="minorEastAsia" w:hAnsiTheme="minorEastAsia" w:eastAsiaTheme="minorEastAsia"/>
          <w:color w:val="auto"/>
          <w:sz w:val="24"/>
          <w:highlight w:val="none"/>
        </w:rPr>
        <w:t>月</w:t>
      </w:r>
      <w:r>
        <w:rPr>
          <w:rFonts w:cs="宋体" w:asciiTheme="minorEastAsia" w:hAnsiTheme="minorEastAsia" w:eastAsiaTheme="minorEastAsia"/>
          <w:color w:val="auto"/>
          <w:sz w:val="24"/>
          <w:highlight w:val="none"/>
          <w:u w:val="single"/>
        </w:rPr>
        <w:t>_    __</w:t>
      </w:r>
      <w:r>
        <w:rPr>
          <w:rFonts w:hint="eastAsia" w:cs="宋体" w:asciiTheme="minorEastAsia" w:hAnsiTheme="minorEastAsia" w:eastAsiaTheme="minorEastAsia"/>
          <w:color w:val="auto"/>
          <w:sz w:val="24"/>
          <w:highlight w:val="none"/>
        </w:rPr>
        <w:t>日</w:t>
      </w:r>
    </w:p>
    <w:p w14:paraId="324F2E3A">
      <w:pPr>
        <w:adjustRightInd w:val="0"/>
        <w:snapToGrid w:val="0"/>
        <w:spacing w:line="440" w:lineRule="exact"/>
        <w:jc w:val="center"/>
        <w:rPr>
          <w:rFonts w:cs="宋体" w:asciiTheme="minorEastAsia" w:hAnsiTheme="minorEastAsia" w:eastAsiaTheme="minorEastAsia"/>
          <w:color w:val="auto"/>
          <w:sz w:val="24"/>
          <w:highlight w:val="none"/>
        </w:rPr>
      </w:pPr>
    </w:p>
    <w:p w14:paraId="2F628DED">
      <w:pPr>
        <w:adjustRightInd w:val="0"/>
        <w:snapToGrid w:val="0"/>
        <w:spacing w:line="440" w:lineRule="exact"/>
        <w:jc w:val="center"/>
        <w:rPr>
          <w:rFonts w:cs="宋体" w:asciiTheme="minorEastAsia" w:hAnsiTheme="minorEastAsia" w:eastAsiaTheme="minorEastAsia"/>
          <w:color w:val="auto"/>
          <w:highlight w:val="none"/>
        </w:rPr>
      </w:pPr>
    </w:p>
    <w:p w14:paraId="42EC26AD">
      <w:pPr>
        <w:topLinePunct/>
        <w:spacing w:line="440" w:lineRule="exact"/>
        <w:jc w:val="left"/>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编制要求：投标人可以根据实际情况对本文件进行调整和修改，但应满足集中招标文件对本文件的要求。</w:t>
      </w:r>
    </w:p>
    <w:p w14:paraId="590976D9">
      <w:pPr>
        <w:topLinePunct/>
        <w:spacing w:line="440" w:lineRule="exact"/>
        <w:jc w:val="left"/>
        <w:rPr>
          <w:rFonts w:hint="eastAsia" w:asciiTheme="minorEastAsia" w:hAnsiTheme="minorEastAsia" w:eastAsiaTheme="minorEastAsia"/>
          <w:b/>
          <w:color w:val="auto"/>
          <w:highlight w:val="none"/>
          <w:lang w:eastAsia="zh-CN"/>
        </w:rPr>
        <w:sectPr>
          <w:pgSz w:w="11906" w:h="16838"/>
          <w:pgMar w:top="1440" w:right="1800" w:bottom="1440" w:left="1800" w:header="851" w:footer="992" w:gutter="0"/>
          <w:pgNumType w:fmt="decimal"/>
          <w:cols w:space="425" w:num="1"/>
          <w:docGrid w:type="lines" w:linePitch="312" w:charSpace="0"/>
        </w:sectPr>
      </w:pPr>
    </w:p>
    <w:p w14:paraId="43931526">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07" w:name="_Toc1935"/>
      <w:bookmarkStart w:id="808" w:name="_Toc2183"/>
      <w:bookmarkStart w:id="809" w:name="_Toc31474"/>
      <w:bookmarkStart w:id="810" w:name="_Toc26031"/>
      <w:bookmarkStart w:id="811" w:name="_Toc7009"/>
      <w:bookmarkStart w:id="812" w:name="_Toc899"/>
      <w:bookmarkStart w:id="813" w:name="_Toc27223"/>
      <w:bookmarkStart w:id="814" w:name="_Toc20065"/>
      <w:bookmarkStart w:id="815" w:name="_Toc19253"/>
      <w:bookmarkStart w:id="816" w:name="_Toc24778"/>
      <w:bookmarkStart w:id="817" w:name="_Toc30211"/>
      <w:bookmarkStart w:id="818" w:name="_Hlk167299897"/>
      <w:bookmarkStart w:id="819" w:name="_Toc38008078"/>
      <w:bookmarkStart w:id="820" w:name="_Toc475472671"/>
      <w:bookmarkStart w:id="821" w:name="_Toc438052118"/>
      <w:bookmarkStart w:id="822" w:name="_Toc447265317"/>
      <w:bookmarkStart w:id="823" w:name="_Toc447265603"/>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807"/>
      <w:bookmarkEnd w:id="808"/>
      <w:bookmarkEnd w:id="809"/>
      <w:bookmarkEnd w:id="810"/>
      <w:bookmarkEnd w:id="811"/>
      <w:bookmarkEnd w:id="812"/>
      <w:bookmarkEnd w:id="813"/>
      <w:bookmarkEnd w:id="814"/>
      <w:bookmarkEnd w:id="815"/>
      <w:bookmarkEnd w:id="816"/>
      <w:bookmarkEnd w:id="817"/>
    </w:p>
    <w:bookmarkEnd w:id="818"/>
    <w:p w14:paraId="798FD189">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33446982">
      <w:pPr>
        <w:jc w:val="center"/>
        <w:rPr>
          <w:rFonts w:asciiTheme="minorEastAsia" w:hAnsiTheme="minorEastAsia" w:eastAsiaTheme="minorEastAsia"/>
          <w:b/>
          <w:highlight w:val="none"/>
        </w:rPr>
      </w:pPr>
    </w:p>
    <w:p w14:paraId="12ACFFDD">
      <w:pPr>
        <w:jc w:val="left"/>
        <w:rPr>
          <w:rFonts w:asciiTheme="minorEastAsia" w:hAnsiTheme="minorEastAsia" w:eastAsiaTheme="minorEastAsia"/>
          <w:b/>
          <w:highlight w:val="none"/>
        </w:rPr>
      </w:pPr>
    </w:p>
    <w:tbl>
      <w:tblPr>
        <w:tblStyle w:val="85"/>
        <w:tblW w:w="839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51"/>
        <w:gridCol w:w="1985"/>
        <w:gridCol w:w="1275"/>
        <w:gridCol w:w="1560"/>
      </w:tblGrid>
      <w:tr w14:paraId="41CF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C335DB8">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551" w:type="dxa"/>
            <w:vAlign w:val="center"/>
          </w:tcPr>
          <w:p w14:paraId="250600A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5" w:type="dxa"/>
            <w:vAlign w:val="center"/>
          </w:tcPr>
          <w:p w14:paraId="5A961E20">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275" w:type="dxa"/>
            <w:vAlign w:val="center"/>
          </w:tcPr>
          <w:p w14:paraId="7253C48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60" w:type="dxa"/>
            <w:vAlign w:val="center"/>
          </w:tcPr>
          <w:p w14:paraId="0F3EA0F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0C69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F8169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p>
        </w:tc>
        <w:tc>
          <w:tcPr>
            <w:tcW w:w="2551" w:type="dxa"/>
            <w:vAlign w:val="center"/>
          </w:tcPr>
          <w:p w14:paraId="041D0E1F">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投标人名称</w:t>
            </w:r>
          </w:p>
        </w:tc>
        <w:tc>
          <w:tcPr>
            <w:tcW w:w="1985" w:type="dxa"/>
          </w:tcPr>
          <w:p w14:paraId="72B74D12">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601C21B8">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1171F70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45A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F9CBD5B">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2</w:t>
            </w:r>
          </w:p>
        </w:tc>
        <w:tc>
          <w:tcPr>
            <w:tcW w:w="2551" w:type="dxa"/>
            <w:vAlign w:val="center"/>
          </w:tcPr>
          <w:p w14:paraId="171259D1">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投标函</w:t>
            </w:r>
          </w:p>
        </w:tc>
        <w:tc>
          <w:tcPr>
            <w:tcW w:w="1985" w:type="dxa"/>
          </w:tcPr>
          <w:p w14:paraId="4FED0B1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1046F40A">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7407637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EE7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5D6C425">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3</w:t>
            </w:r>
          </w:p>
        </w:tc>
        <w:tc>
          <w:tcPr>
            <w:tcW w:w="2551" w:type="dxa"/>
            <w:vAlign w:val="center"/>
          </w:tcPr>
          <w:p w14:paraId="2EB62933">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营业执照和资质证书</w:t>
            </w:r>
          </w:p>
        </w:tc>
        <w:tc>
          <w:tcPr>
            <w:tcW w:w="1985" w:type="dxa"/>
          </w:tcPr>
          <w:p w14:paraId="14B998F1">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2DE40510">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6F58920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3C3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87D6239">
            <w:pPr>
              <w:tabs>
                <w:tab w:val="left" w:pos="720"/>
              </w:tabs>
              <w:spacing w:line="360" w:lineRule="auto"/>
              <w:jc w:val="center"/>
              <w:rPr>
                <w:rFonts w:asciiTheme="minorEastAsia" w:hAnsiTheme="minorEastAsia" w:eastAsiaTheme="minorEastAsia"/>
                <w:szCs w:val="21"/>
                <w:highlight w:val="none"/>
              </w:rPr>
            </w:pPr>
            <w:r>
              <w:rPr>
                <w:rFonts w:ascii="宋体" w:hAnsi="宋体"/>
                <w:color w:val="000000" w:themeColor="text1"/>
                <w:szCs w:val="21"/>
                <w:highlight w:val="none"/>
                <w14:textFill>
                  <w14:solidFill>
                    <w14:schemeClr w14:val="tx1"/>
                  </w14:solidFill>
                </w14:textFill>
              </w:rPr>
              <w:t>4</w:t>
            </w:r>
          </w:p>
        </w:tc>
        <w:tc>
          <w:tcPr>
            <w:tcW w:w="2551" w:type="dxa"/>
            <w:vAlign w:val="center"/>
          </w:tcPr>
          <w:p w14:paraId="1566DAB8">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投标文件签字盖章</w:t>
            </w:r>
          </w:p>
        </w:tc>
        <w:tc>
          <w:tcPr>
            <w:tcW w:w="1985" w:type="dxa"/>
          </w:tcPr>
          <w:p w14:paraId="674F8BE0">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4496793">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1041CF8">
            <w:pPr>
              <w:tabs>
                <w:tab w:val="left" w:pos="720"/>
              </w:tabs>
              <w:spacing w:line="360" w:lineRule="auto"/>
              <w:jc w:val="center"/>
              <w:rPr>
                <w:rFonts w:asciiTheme="minorEastAsia" w:hAnsiTheme="minorEastAsia" w:eastAsiaTheme="minorEastAsia"/>
                <w:szCs w:val="21"/>
                <w:highlight w:val="none"/>
              </w:rPr>
            </w:pPr>
          </w:p>
        </w:tc>
      </w:tr>
      <w:tr w14:paraId="348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026" w:type="dxa"/>
            <w:vAlign w:val="center"/>
          </w:tcPr>
          <w:p w14:paraId="328D42CE">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5</w:t>
            </w:r>
          </w:p>
        </w:tc>
        <w:tc>
          <w:tcPr>
            <w:tcW w:w="2551" w:type="dxa"/>
            <w:vAlign w:val="center"/>
          </w:tcPr>
          <w:p w14:paraId="02D82442">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法定代表人/负责人授权书</w:t>
            </w:r>
          </w:p>
        </w:tc>
        <w:tc>
          <w:tcPr>
            <w:tcW w:w="1985" w:type="dxa"/>
          </w:tcPr>
          <w:p w14:paraId="569BAC41">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08C8338">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7A8A5DCC">
            <w:pPr>
              <w:tabs>
                <w:tab w:val="left" w:pos="720"/>
              </w:tabs>
              <w:spacing w:line="360" w:lineRule="auto"/>
              <w:jc w:val="center"/>
              <w:rPr>
                <w:rFonts w:asciiTheme="minorEastAsia" w:hAnsiTheme="minorEastAsia" w:eastAsiaTheme="minorEastAsia"/>
                <w:szCs w:val="21"/>
                <w:highlight w:val="none"/>
              </w:rPr>
            </w:pPr>
          </w:p>
        </w:tc>
      </w:tr>
      <w:tr w14:paraId="667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D26F8C2">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6</w:t>
            </w:r>
          </w:p>
        </w:tc>
        <w:tc>
          <w:tcPr>
            <w:tcW w:w="2551" w:type="dxa"/>
            <w:vAlign w:val="center"/>
          </w:tcPr>
          <w:p w14:paraId="0E95ED8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投标文件格式</w:t>
            </w:r>
          </w:p>
        </w:tc>
        <w:tc>
          <w:tcPr>
            <w:tcW w:w="1985" w:type="dxa"/>
          </w:tcPr>
          <w:p w14:paraId="552CE95F">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5004E935">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D39BDDE">
            <w:pPr>
              <w:tabs>
                <w:tab w:val="left" w:pos="720"/>
              </w:tabs>
              <w:spacing w:line="360" w:lineRule="auto"/>
              <w:jc w:val="center"/>
              <w:rPr>
                <w:rFonts w:asciiTheme="minorEastAsia" w:hAnsiTheme="minorEastAsia" w:eastAsiaTheme="minorEastAsia"/>
                <w:szCs w:val="21"/>
                <w:highlight w:val="none"/>
              </w:rPr>
            </w:pPr>
          </w:p>
        </w:tc>
      </w:tr>
      <w:tr w14:paraId="0FF2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76EB116">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7</w:t>
            </w:r>
          </w:p>
        </w:tc>
        <w:tc>
          <w:tcPr>
            <w:tcW w:w="2551" w:type="dxa"/>
            <w:vAlign w:val="center"/>
          </w:tcPr>
          <w:p w14:paraId="26F9DF1E">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投标保证金</w:t>
            </w:r>
          </w:p>
        </w:tc>
        <w:tc>
          <w:tcPr>
            <w:tcW w:w="1985" w:type="dxa"/>
          </w:tcPr>
          <w:p w14:paraId="5694798A">
            <w:pPr>
              <w:tabs>
                <w:tab w:val="left" w:pos="720"/>
              </w:tabs>
              <w:spacing w:line="360" w:lineRule="auto"/>
              <w:ind w:left="420"/>
              <w:jc w:val="center"/>
              <w:rPr>
                <w:rFonts w:asciiTheme="minorEastAsia" w:hAnsiTheme="minorEastAsia" w:eastAsiaTheme="minorEastAsia"/>
                <w:szCs w:val="21"/>
                <w:highlight w:val="none"/>
              </w:rPr>
            </w:pPr>
          </w:p>
        </w:tc>
        <w:tc>
          <w:tcPr>
            <w:tcW w:w="1275" w:type="dxa"/>
            <w:vAlign w:val="center"/>
          </w:tcPr>
          <w:p w14:paraId="33D15941">
            <w:pPr>
              <w:tabs>
                <w:tab w:val="left" w:pos="720"/>
              </w:tabs>
              <w:spacing w:line="360" w:lineRule="auto"/>
              <w:ind w:left="420"/>
              <w:jc w:val="center"/>
              <w:rPr>
                <w:rFonts w:asciiTheme="minorEastAsia" w:hAnsiTheme="minorEastAsia" w:eastAsiaTheme="minorEastAsia"/>
                <w:szCs w:val="21"/>
                <w:highlight w:val="none"/>
              </w:rPr>
            </w:pPr>
          </w:p>
        </w:tc>
        <w:tc>
          <w:tcPr>
            <w:tcW w:w="1560" w:type="dxa"/>
            <w:vAlign w:val="center"/>
          </w:tcPr>
          <w:p w14:paraId="1F22189A">
            <w:pPr>
              <w:tabs>
                <w:tab w:val="left" w:pos="720"/>
              </w:tabs>
              <w:spacing w:line="360" w:lineRule="auto"/>
              <w:ind w:left="420"/>
              <w:jc w:val="center"/>
              <w:rPr>
                <w:rFonts w:asciiTheme="minorEastAsia" w:hAnsiTheme="minorEastAsia" w:eastAsiaTheme="minorEastAsia"/>
                <w:szCs w:val="21"/>
                <w:highlight w:val="none"/>
              </w:rPr>
            </w:pPr>
          </w:p>
        </w:tc>
      </w:tr>
      <w:tr w14:paraId="3C5E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5D59BB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8</w:t>
            </w:r>
          </w:p>
        </w:tc>
        <w:tc>
          <w:tcPr>
            <w:tcW w:w="2551" w:type="dxa"/>
            <w:vAlign w:val="center"/>
          </w:tcPr>
          <w:p w14:paraId="68B2682D">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资格条件</w:t>
            </w:r>
          </w:p>
        </w:tc>
        <w:tc>
          <w:tcPr>
            <w:tcW w:w="1985" w:type="dxa"/>
          </w:tcPr>
          <w:p w14:paraId="35216F0D">
            <w:pPr>
              <w:tabs>
                <w:tab w:val="left" w:pos="720"/>
              </w:tabs>
              <w:spacing w:line="360" w:lineRule="auto"/>
              <w:ind w:left="420"/>
              <w:jc w:val="center"/>
              <w:rPr>
                <w:rFonts w:asciiTheme="minorEastAsia" w:hAnsiTheme="minorEastAsia" w:eastAsiaTheme="minorEastAsia"/>
                <w:szCs w:val="21"/>
                <w:highlight w:val="none"/>
              </w:rPr>
            </w:pPr>
          </w:p>
        </w:tc>
        <w:tc>
          <w:tcPr>
            <w:tcW w:w="1275" w:type="dxa"/>
            <w:vAlign w:val="center"/>
          </w:tcPr>
          <w:p w14:paraId="06FA0950">
            <w:pPr>
              <w:tabs>
                <w:tab w:val="left" w:pos="720"/>
              </w:tabs>
              <w:spacing w:line="360" w:lineRule="auto"/>
              <w:ind w:left="420"/>
              <w:jc w:val="center"/>
              <w:rPr>
                <w:rFonts w:asciiTheme="minorEastAsia" w:hAnsiTheme="minorEastAsia" w:eastAsiaTheme="minorEastAsia"/>
                <w:szCs w:val="21"/>
                <w:highlight w:val="none"/>
              </w:rPr>
            </w:pPr>
          </w:p>
        </w:tc>
        <w:tc>
          <w:tcPr>
            <w:tcW w:w="1560" w:type="dxa"/>
            <w:vAlign w:val="center"/>
          </w:tcPr>
          <w:p w14:paraId="0BB760E7">
            <w:pPr>
              <w:tabs>
                <w:tab w:val="left" w:pos="720"/>
              </w:tabs>
              <w:spacing w:line="360" w:lineRule="auto"/>
              <w:jc w:val="center"/>
              <w:rPr>
                <w:rFonts w:asciiTheme="minorEastAsia" w:hAnsiTheme="minorEastAsia" w:eastAsiaTheme="minorEastAsia"/>
                <w:szCs w:val="21"/>
                <w:highlight w:val="none"/>
              </w:rPr>
            </w:pPr>
          </w:p>
        </w:tc>
      </w:tr>
      <w:tr w14:paraId="1DAA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C454B0C">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9</w:t>
            </w:r>
          </w:p>
        </w:tc>
        <w:tc>
          <w:tcPr>
            <w:tcW w:w="2551" w:type="dxa"/>
            <w:vAlign w:val="center"/>
          </w:tcPr>
          <w:p w14:paraId="1F8BE83F">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不得存在的情形</w:t>
            </w:r>
          </w:p>
        </w:tc>
        <w:tc>
          <w:tcPr>
            <w:tcW w:w="1985" w:type="dxa"/>
          </w:tcPr>
          <w:p w14:paraId="123034A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65DF3627">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36234BBF">
            <w:pPr>
              <w:tabs>
                <w:tab w:val="left" w:pos="720"/>
              </w:tabs>
              <w:spacing w:line="360" w:lineRule="auto"/>
              <w:jc w:val="center"/>
              <w:rPr>
                <w:rFonts w:asciiTheme="minorEastAsia" w:hAnsiTheme="minorEastAsia" w:eastAsiaTheme="minorEastAsia"/>
                <w:szCs w:val="21"/>
                <w:highlight w:val="none"/>
              </w:rPr>
            </w:pPr>
          </w:p>
        </w:tc>
      </w:tr>
      <w:tr w14:paraId="6615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87EDFCA">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p>
        </w:tc>
        <w:tc>
          <w:tcPr>
            <w:tcW w:w="2551" w:type="dxa"/>
            <w:vAlign w:val="center"/>
          </w:tcPr>
          <w:p w14:paraId="443F5738">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投标有效期</w:t>
            </w:r>
          </w:p>
        </w:tc>
        <w:tc>
          <w:tcPr>
            <w:tcW w:w="1985" w:type="dxa"/>
          </w:tcPr>
          <w:p w14:paraId="3640A76D">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34C1C35B">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B043828">
            <w:pPr>
              <w:tabs>
                <w:tab w:val="left" w:pos="720"/>
              </w:tabs>
              <w:spacing w:line="360" w:lineRule="auto"/>
              <w:jc w:val="center"/>
              <w:rPr>
                <w:rFonts w:asciiTheme="minorEastAsia" w:hAnsiTheme="minorEastAsia" w:eastAsiaTheme="minorEastAsia"/>
                <w:szCs w:val="21"/>
                <w:highlight w:val="none"/>
              </w:rPr>
            </w:pPr>
          </w:p>
        </w:tc>
      </w:tr>
      <w:tr w14:paraId="5AE0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EBA1AFF">
            <w:pPr>
              <w:tabs>
                <w:tab w:val="left" w:pos="720"/>
              </w:tabs>
              <w:spacing w:line="360" w:lineRule="auto"/>
              <w:jc w:val="center"/>
              <w:rPr>
                <w:rFonts w:asciiTheme="minorEastAsia" w:hAnsiTheme="minorEastAsia" w:eastAsiaTheme="minorEastAsia"/>
                <w:szCs w:val="21"/>
                <w:highlight w:val="none"/>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p>
        </w:tc>
        <w:tc>
          <w:tcPr>
            <w:tcW w:w="2551" w:type="dxa"/>
            <w:vAlign w:val="center"/>
          </w:tcPr>
          <w:p w14:paraId="4B35A8C3">
            <w:pPr>
              <w:tabs>
                <w:tab w:val="left" w:pos="720"/>
              </w:tabs>
              <w:spacing w:line="360" w:lineRule="auto"/>
              <w:jc w:val="center"/>
              <w:rPr>
                <w:rFonts w:asciiTheme="minorEastAsia" w:hAnsiTheme="minorEastAsia" w:eastAsia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实质性响应</w:t>
            </w:r>
          </w:p>
        </w:tc>
        <w:tc>
          <w:tcPr>
            <w:tcW w:w="1985" w:type="dxa"/>
          </w:tcPr>
          <w:p w14:paraId="3B497B8B">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45961759">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30F4F0E">
            <w:pPr>
              <w:tabs>
                <w:tab w:val="left" w:pos="720"/>
              </w:tabs>
              <w:spacing w:line="360" w:lineRule="auto"/>
              <w:jc w:val="center"/>
              <w:rPr>
                <w:rFonts w:asciiTheme="minorEastAsia" w:hAnsiTheme="minorEastAsia" w:eastAsiaTheme="minorEastAsia"/>
                <w:szCs w:val="21"/>
                <w:highlight w:val="none"/>
              </w:rPr>
            </w:pPr>
          </w:p>
        </w:tc>
      </w:tr>
      <w:tr w14:paraId="317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6A257ED">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w:t>
            </w:r>
          </w:p>
        </w:tc>
        <w:tc>
          <w:tcPr>
            <w:tcW w:w="2551" w:type="dxa"/>
            <w:vAlign w:val="center"/>
          </w:tcPr>
          <w:p w14:paraId="7ABBF153">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商务报价</w:t>
            </w:r>
          </w:p>
        </w:tc>
        <w:tc>
          <w:tcPr>
            <w:tcW w:w="1985" w:type="dxa"/>
          </w:tcPr>
          <w:p w14:paraId="2C782C38">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779D66C6">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61CAC3FA">
            <w:pPr>
              <w:tabs>
                <w:tab w:val="left" w:pos="720"/>
              </w:tabs>
              <w:spacing w:line="360" w:lineRule="auto"/>
              <w:jc w:val="center"/>
              <w:rPr>
                <w:rFonts w:asciiTheme="minorEastAsia" w:hAnsiTheme="minorEastAsia" w:eastAsiaTheme="minorEastAsia"/>
                <w:szCs w:val="21"/>
                <w:highlight w:val="none"/>
              </w:rPr>
            </w:pPr>
          </w:p>
        </w:tc>
      </w:tr>
      <w:tr w14:paraId="12A6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6BBF90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p>
        </w:tc>
        <w:tc>
          <w:tcPr>
            <w:tcW w:w="2551" w:type="dxa"/>
            <w:vAlign w:val="center"/>
          </w:tcPr>
          <w:p w14:paraId="26D0C651">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廉洁投标承诺书</w:t>
            </w:r>
          </w:p>
        </w:tc>
        <w:tc>
          <w:tcPr>
            <w:tcW w:w="1985" w:type="dxa"/>
          </w:tcPr>
          <w:p w14:paraId="3B9A547F">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2634714E">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0B2977A2">
            <w:pPr>
              <w:tabs>
                <w:tab w:val="left" w:pos="720"/>
              </w:tabs>
              <w:spacing w:line="360" w:lineRule="auto"/>
              <w:jc w:val="center"/>
              <w:rPr>
                <w:rFonts w:asciiTheme="minorEastAsia" w:hAnsiTheme="minorEastAsia" w:eastAsiaTheme="minorEastAsia"/>
                <w:szCs w:val="21"/>
                <w:highlight w:val="none"/>
              </w:rPr>
            </w:pPr>
          </w:p>
        </w:tc>
      </w:tr>
      <w:tr w14:paraId="14A1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CFC2F5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4</w:t>
            </w:r>
          </w:p>
        </w:tc>
        <w:tc>
          <w:tcPr>
            <w:tcW w:w="2551" w:type="dxa"/>
            <w:vAlign w:val="center"/>
          </w:tcPr>
          <w:p w14:paraId="2014196C">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商务及合同条款</w:t>
            </w:r>
          </w:p>
        </w:tc>
        <w:tc>
          <w:tcPr>
            <w:tcW w:w="1985" w:type="dxa"/>
          </w:tcPr>
          <w:p w14:paraId="1242928E">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13584F20">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2E455862">
            <w:pPr>
              <w:tabs>
                <w:tab w:val="left" w:pos="720"/>
              </w:tabs>
              <w:spacing w:line="360" w:lineRule="auto"/>
              <w:jc w:val="center"/>
              <w:rPr>
                <w:rFonts w:asciiTheme="minorEastAsia" w:hAnsiTheme="minorEastAsia" w:eastAsiaTheme="minorEastAsia"/>
                <w:szCs w:val="21"/>
                <w:highlight w:val="none"/>
              </w:rPr>
            </w:pPr>
          </w:p>
        </w:tc>
      </w:tr>
      <w:tr w14:paraId="6E8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F9A03B0">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p>
        </w:tc>
        <w:tc>
          <w:tcPr>
            <w:tcW w:w="2551" w:type="dxa"/>
            <w:vAlign w:val="center"/>
          </w:tcPr>
          <w:p w14:paraId="4484B956">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技术条款</w:t>
            </w:r>
          </w:p>
        </w:tc>
        <w:tc>
          <w:tcPr>
            <w:tcW w:w="1985" w:type="dxa"/>
          </w:tcPr>
          <w:p w14:paraId="259497F2">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7CE2C6D4">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54C086CE">
            <w:pPr>
              <w:tabs>
                <w:tab w:val="left" w:pos="720"/>
              </w:tabs>
              <w:spacing w:line="360" w:lineRule="auto"/>
              <w:jc w:val="center"/>
              <w:rPr>
                <w:rFonts w:asciiTheme="minorEastAsia" w:hAnsiTheme="minorEastAsia" w:eastAsiaTheme="minorEastAsia"/>
                <w:szCs w:val="21"/>
                <w:highlight w:val="none"/>
              </w:rPr>
            </w:pPr>
          </w:p>
        </w:tc>
      </w:tr>
      <w:tr w14:paraId="66AE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98290D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6</w:t>
            </w:r>
          </w:p>
        </w:tc>
        <w:tc>
          <w:tcPr>
            <w:tcW w:w="2551" w:type="dxa"/>
            <w:vAlign w:val="center"/>
          </w:tcPr>
          <w:p w14:paraId="68D91AD5">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其它要求</w:t>
            </w:r>
          </w:p>
        </w:tc>
        <w:tc>
          <w:tcPr>
            <w:tcW w:w="1985" w:type="dxa"/>
          </w:tcPr>
          <w:p w14:paraId="0BB5DC23">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3BCBC646">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5570D2FC">
            <w:pPr>
              <w:tabs>
                <w:tab w:val="left" w:pos="720"/>
              </w:tabs>
              <w:spacing w:line="360" w:lineRule="auto"/>
              <w:jc w:val="center"/>
              <w:rPr>
                <w:rFonts w:asciiTheme="minorEastAsia" w:hAnsiTheme="minorEastAsia" w:eastAsiaTheme="minorEastAsia"/>
                <w:szCs w:val="21"/>
                <w:highlight w:val="none"/>
              </w:rPr>
            </w:pPr>
          </w:p>
        </w:tc>
      </w:tr>
      <w:tr w14:paraId="36D8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38F47B1">
            <w:pPr>
              <w:tabs>
                <w:tab w:val="left" w:pos="720"/>
              </w:tabs>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551" w:type="dxa"/>
            <w:vAlign w:val="center"/>
          </w:tcPr>
          <w:p w14:paraId="79AD4E30">
            <w:pPr>
              <w:tabs>
                <w:tab w:val="left" w:pos="720"/>
              </w:tabs>
              <w:spacing w:line="360" w:lineRule="auto"/>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w:t>
            </w:r>
          </w:p>
        </w:tc>
        <w:tc>
          <w:tcPr>
            <w:tcW w:w="1985" w:type="dxa"/>
          </w:tcPr>
          <w:p w14:paraId="228053CE">
            <w:pPr>
              <w:tabs>
                <w:tab w:val="left" w:pos="720"/>
              </w:tabs>
              <w:spacing w:line="360" w:lineRule="auto"/>
              <w:jc w:val="center"/>
              <w:rPr>
                <w:rFonts w:asciiTheme="minorEastAsia" w:hAnsiTheme="minorEastAsia" w:eastAsiaTheme="minorEastAsia"/>
                <w:szCs w:val="21"/>
                <w:highlight w:val="none"/>
              </w:rPr>
            </w:pPr>
          </w:p>
        </w:tc>
        <w:tc>
          <w:tcPr>
            <w:tcW w:w="1275" w:type="dxa"/>
            <w:vAlign w:val="center"/>
          </w:tcPr>
          <w:p w14:paraId="0B672A1F">
            <w:pPr>
              <w:tabs>
                <w:tab w:val="left" w:pos="720"/>
              </w:tabs>
              <w:spacing w:line="360" w:lineRule="auto"/>
              <w:jc w:val="center"/>
              <w:rPr>
                <w:rFonts w:asciiTheme="minorEastAsia" w:hAnsiTheme="minorEastAsia" w:eastAsiaTheme="minorEastAsia"/>
                <w:szCs w:val="21"/>
                <w:highlight w:val="none"/>
              </w:rPr>
            </w:pPr>
          </w:p>
        </w:tc>
        <w:tc>
          <w:tcPr>
            <w:tcW w:w="1560" w:type="dxa"/>
            <w:vAlign w:val="center"/>
          </w:tcPr>
          <w:p w14:paraId="35219E89">
            <w:pPr>
              <w:tabs>
                <w:tab w:val="left" w:pos="720"/>
              </w:tabs>
              <w:spacing w:line="360" w:lineRule="auto"/>
              <w:jc w:val="center"/>
              <w:rPr>
                <w:rFonts w:asciiTheme="minorEastAsia" w:hAnsiTheme="minorEastAsia" w:eastAsiaTheme="minorEastAsia"/>
                <w:szCs w:val="21"/>
                <w:highlight w:val="none"/>
              </w:rPr>
            </w:pPr>
          </w:p>
        </w:tc>
      </w:tr>
    </w:tbl>
    <w:p w14:paraId="44C2296C">
      <w:pPr>
        <w:widowControl/>
        <w:jc w:val="left"/>
        <w:rPr>
          <w:rFonts w:asciiTheme="minorEastAsia" w:hAnsiTheme="minorEastAsia" w:eastAsiaTheme="minorEastAsia"/>
          <w:b/>
          <w:bCs/>
          <w:sz w:val="24"/>
          <w:highlight w:val="none"/>
        </w:rPr>
      </w:pPr>
    </w:p>
    <w:p w14:paraId="0D596747">
      <w:pPr>
        <w:rPr>
          <w:highlight w:val="none"/>
        </w:rPr>
      </w:pPr>
    </w:p>
    <w:p w14:paraId="3DBFEE0D">
      <w:pPr>
        <w:rPr>
          <w:highlight w:val="none"/>
        </w:rPr>
      </w:pPr>
    </w:p>
    <w:p w14:paraId="38B5747C">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E4D5E77">
      <w:pPr>
        <w:topLinePunct/>
        <w:spacing w:line="440" w:lineRule="exact"/>
        <w:jc w:val="left"/>
        <w:rPr>
          <w:rFonts w:hint="eastAsia" w:asciiTheme="minorEastAsia" w:hAnsiTheme="minorEastAsia" w:eastAsiaTheme="minorEastAsia"/>
          <w:b/>
          <w:highlight w:val="none"/>
          <w:lang w:eastAsia="zh-CN"/>
        </w:rPr>
      </w:pPr>
    </w:p>
    <w:p w14:paraId="58A5E064">
      <w:pPr>
        <w:widowControl/>
        <w:jc w:val="left"/>
        <w:rPr>
          <w:rFonts w:asciiTheme="minorEastAsia" w:hAnsiTheme="minorEastAsia" w:eastAsiaTheme="minorEastAsia"/>
          <w:b/>
          <w:bCs/>
          <w:sz w:val="24"/>
          <w:highlight w:val="none"/>
        </w:rPr>
      </w:pPr>
    </w:p>
    <w:p w14:paraId="4D41FCF2">
      <w:pPr>
        <w:widowControl/>
        <w:jc w:val="left"/>
        <w:rPr>
          <w:rFonts w:asciiTheme="minorEastAsia" w:hAnsiTheme="minorEastAsia" w:eastAsiaTheme="minorEastAsia"/>
          <w:b/>
          <w:bCs/>
          <w:sz w:val="24"/>
          <w:highlight w:val="none"/>
        </w:rPr>
      </w:pPr>
    </w:p>
    <w:p w14:paraId="67D64BA6">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0BF76823">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24" w:name="_Toc12608"/>
      <w:bookmarkStart w:id="825" w:name="_Toc24054"/>
      <w:bookmarkStart w:id="826" w:name="_Toc28403"/>
      <w:bookmarkStart w:id="827" w:name="_Toc6851"/>
      <w:bookmarkStart w:id="828" w:name="_Toc31305"/>
      <w:bookmarkStart w:id="829" w:name="_Toc26802"/>
      <w:bookmarkStart w:id="830" w:name="_Toc1941"/>
      <w:bookmarkStart w:id="831" w:name="_Toc12664"/>
      <w:bookmarkStart w:id="832" w:name="_Toc21007"/>
      <w:bookmarkStart w:id="833" w:name="_Toc26312"/>
      <w:bookmarkStart w:id="834" w:name="_Toc8956"/>
      <w:bookmarkStart w:id="835" w:name="_Hlk167299903"/>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val="en-US" w:eastAsia="zh-CN"/>
        </w:rPr>
        <w:t>及服务</w:t>
      </w:r>
      <w:r>
        <w:rPr>
          <w:rFonts w:hint="eastAsia" w:asciiTheme="minorEastAsia" w:hAnsiTheme="minorEastAsia" w:eastAsiaTheme="minorEastAsia"/>
          <w:sz w:val="24"/>
          <w:szCs w:val="24"/>
          <w:highlight w:val="none"/>
        </w:rPr>
        <w:t>评审索引表</w:t>
      </w:r>
      <w:bookmarkEnd w:id="819"/>
      <w:bookmarkEnd w:id="820"/>
      <w:bookmarkEnd w:id="824"/>
      <w:bookmarkEnd w:id="825"/>
      <w:bookmarkEnd w:id="826"/>
      <w:bookmarkEnd w:id="827"/>
      <w:bookmarkEnd w:id="828"/>
      <w:bookmarkEnd w:id="829"/>
      <w:bookmarkEnd w:id="830"/>
      <w:bookmarkEnd w:id="831"/>
      <w:bookmarkEnd w:id="832"/>
      <w:bookmarkEnd w:id="833"/>
      <w:bookmarkEnd w:id="834"/>
    </w:p>
    <w:bookmarkEnd w:id="835"/>
    <w:p w14:paraId="45766B3A">
      <w:pPr>
        <w:rPr>
          <w:rFonts w:asciiTheme="minorEastAsia" w:hAnsiTheme="minorEastAsia" w:eastAsiaTheme="minorEastAsia"/>
          <w:highlight w:val="none"/>
        </w:rPr>
      </w:pPr>
    </w:p>
    <w:p w14:paraId="1BDEE5D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17B0D9C3">
      <w:pPr>
        <w:jc w:val="center"/>
        <w:rPr>
          <w:rFonts w:asciiTheme="minorEastAsia" w:hAnsiTheme="minorEastAsia" w:eastAsiaTheme="minorEastAsia"/>
          <w:b/>
          <w:highlight w:val="none"/>
        </w:rPr>
      </w:pPr>
    </w:p>
    <w:tbl>
      <w:tblPr>
        <w:tblStyle w:val="85"/>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855"/>
        <w:gridCol w:w="1560"/>
        <w:gridCol w:w="1388"/>
        <w:gridCol w:w="1544"/>
      </w:tblGrid>
      <w:tr w14:paraId="3766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AA57833">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855" w:type="dxa"/>
            <w:vAlign w:val="center"/>
          </w:tcPr>
          <w:p w14:paraId="62320F8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560" w:type="dxa"/>
            <w:vAlign w:val="center"/>
          </w:tcPr>
          <w:p w14:paraId="29FD845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388" w:type="dxa"/>
            <w:vAlign w:val="center"/>
          </w:tcPr>
          <w:p w14:paraId="4F8FF73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44" w:type="dxa"/>
            <w:vAlign w:val="center"/>
          </w:tcPr>
          <w:p w14:paraId="4F3A432D">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32EC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E63A855">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1</w:t>
            </w:r>
          </w:p>
        </w:tc>
        <w:tc>
          <w:tcPr>
            <w:tcW w:w="2855" w:type="dxa"/>
            <w:vAlign w:val="center"/>
          </w:tcPr>
          <w:p w14:paraId="38A90961">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案例与业绩</w:t>
            </w:r>
          </w:p>
        </w:tc>
        <w:tc>
          <w:tcPr>
            <w:tcW w:w="1560" w:type="dxa"/>
          </w:tcPr>
          <w:p w14:paraId="7BD0AA98">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011204E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11E702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CF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9CE3374">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2</w:t>
            </w:r>
          </w:p>
        </w:tc>
        <w:tc>
          <w:tcPr>
            <w:tcW w:w="2855" w:type="dxa"/>
            <w:vAlign w:val="center"/>
          </w:tcPr>
          <w:p w14:paraId="4C1E8E1B">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技术条款满足度</w:t>
            </w:r>
          </w:p>
          <w:p w14:paraId="25194E92">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68395AB6">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4F61A7E0">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7654953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92E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CFC95E1">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3</w:t>
            </w:r>
          </w:p>
        </w:tc>
        <w:tc>
          <w:tcPr>
            <w:tcW w:w="2855" w:type="dxa"/>
            <w:vAlign w:val="center"/>
          </w:tcPr>
          <w:p w14:paraId="5AB9A6F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投标文件应答和制作情况</w:t>
            </w:r>
          </w:p>
          <w:p w14:paraId="72EBA9F7">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01D931B0">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6DEE55A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46DD826">
            <w:pPr>
              <w:tabs>
                <w:tab w:val="left" w:pos="720"/>
              </w:tabs>
              <w:spacing w:line="360" w:lineRule="auto"/>
              <w:jc w:val="center"/>
              <w:rPr>
                <w:rFonts w:asciiTheme="minorEastAsia" w:hAnsiTheme="minorEastAsia" w:eastAsiaTheme="minorEastAsia"/>
                <w:szCs w:val="21"/>
                <w:highlight w:val="none"/>
              </w:rPr>
            </w:pPr>
          </w:p>
        </w:tc>
      </w:tr>
      <w:tr w14:paraId="300A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trPr>
        <w:tc>
          <w:tcPr>
            <w:tcW w:w="987" w:type="dxa"/>
            <w:vAlign w:val="center"/>
          </w:tcPr>
          <w:p w14:paraId="73E5C426">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4</w:t>
            </w:r>
          </w:p>
        </w:tc>
        <w:tc>
          <w:tcPr>
            <w:tcW w:w="2855" w:type="dxa"/>
            <w:vAlign w:val="center"/>
          </w:tcPr>
          <w:p w14:paraId="3964E297">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服务团队覆盖、服务人员数量、原厂服务能力</w:t>
            </w:r>
          </w:p>
          <w:p w14:paraId="0821E2D1">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A237D2B">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77EF56C9">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4A81A1E9">
            <w:pPr>
              <w:tabs>
                <w:tab w:val="left" w:pos="720"/>
              </w:tabs>
              <w:spacing w:line="360" w:lineRule="auto"/>
              <w:jc w:val="center"/>
              <w:rPr>
                <w:rFonts w:asciiTheme="minorEastAsia" w:hAnsiTheme="minorEastAsia" w:eastAsiaTheme="minorEastAsia"/>
                <w:szCs w:val="21"/>
                <w:highlight w:val="none"/>
              </w:rPr>
            </w:pPr>
          </w:p>
        </w:tc>
      </w:tr>
      <w:tr w14:paraId="7954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2C3119C">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5</w:t>
            </w:r>
          </w:p>
        </w:tc>
        <w:tc>
          <w:tcPr>
            <w:tcW w:w="2855" w:type="dxa"/>
            <w:vAlign w:val="center"/>
          </w:tcPr>
          <w:p w14:paraId="26DAA6E7">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服务与支持</w:t>
            </w:r>
          </w:p>
          <w:p w14:paraId="2E44E840">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16A10221">
            <w:pPr>
              <w:tabs>
                <w:tab w:val="left" w:pos="720"/>
              </w:tabs>
              <w:spacing w:line="360" w:lineRule="auto"/>
              <w:jc w:val="center"/>
              <w:rPr>
                <w:rFonts w:asciiTheme="minorEastAsia" w:hAnsiTheme="minorEastAsia" w:eastAsiaTheme="minorEastAsia"/>
                <w:szCs w:val="21"/>
                <w:highlight w:val="none"/>
              </w:rPr>
            </w:pPr>
          </w:p>
        </w:tc>
        <w:tc>
          <w:tcPr>
            <w:tcW w:w="1388" w:type="dxa"/>
            <w:vAlign w:val="center"/>
          </w:tcPr>
          <w:p w14:paraId="2E100B5D">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C88AD4A">
            <w:pPr>
              <w:tabs>
                <w:tab w:val="left" w:pos="720"/>
              </w:tabs>
              <w:spacing w:line="360" w:lineRule="auto"/>
              <w:jc w:val="center"/>
              <w:rPr>
                <w:rFonts w:asciiTheme="minorEastAsia" w:hAnsiTheme="minorEastAsia" w:eastAsiaTheme="minorEastAsia"/>
                <w:szCs w:val="21"/>
                <w:highlight w:val="none"/>
              </w:rPr>
            </w:pPr>
          </w:p>
        </w:tc>
      </w:tr>
      <w:tr w14:paraId="6B3F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B726FA0">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6</w:t>
            </w:r>
          </w:p>
        </w:tc>
        <w:tc>
          <w:tcPr>
            <w:tcW w:w="2855" w:type="dxa"/>
            <w:vAlign w:val="center"/>
          </w:tcPr>
          <w:p w14:paraId="38607131">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交付满足度</w:t>
            </w:r>
          </w:p>
          <w:p w14:paraId="08449558">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4D1F883">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DF4D318">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02A730A">
            <w:pPr>
              <w:tabs>
                <w:tab w:val="left" w:pos="720"/>
              </w:tabs>
              <w:spacing w:line="360" w:lineRule="auto"/>
              <w:ind w:left="420"/>
              <w:jc w:val="center"/>
              <w:rPr>
                <w:rFonts w:asciiTheme="minorEastAsia" w:hAnsiTheme="minorEastAsia" w:eastAsiaTheme="minorEastAsia"/>
                <w:szCs w:val="21"/>
                <w:highlight w:val="none"/>
              </w:rPr>
            </w:pPr>
          </w:p>
        </w:tc>
      </w:tr>
      <w:tr w14:paraId="5A3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EF391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855" w:type="dxa"/>
            <w:vAlign w:val="center"/>
          </w:tcPr>
          <w:p w14:paraId="5C50503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供应链数字化供需协同</w:t>
            </w:r>
          </w:p>
        </w:tc>
        <w:tc>
          <w:tcPr>
            <w:tcW w:w="1560" w:type="dxa"/>
          </w:tcPr>
          <w:p w14:paraId="490127E2">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2D21D9D1">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A5DFE4A">
            <w:pPr>
              <w:tabs>
                <w:tab w:val="left" w:pos="720"/>
              </w:tabs>
              <w:spacing w:line="360" w:lineRule="auto"/>
              <w:ind w:left="420"/>
              <w:jc w:val="center"/>
              <w:rPr>
                <w:rFonts w:asciiTheme="minorEastAsia" w:hAnsiTheme="minorEastAsia" w:eastAsiaTheme="minorEastAsia"/>
                <w:szCs w:val="21"/>
                <w:highlight w:val="none"/>
              </w:rPr>
            </w:pPr>
          </w:p>
        </w:tc>
      </w:tr>
      <w:tr w14:paraId="625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1FC3E7C9">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3C9E4646">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5E5EF87C">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5799802A">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16353D61">
            <w:pPr>
              <w:tabs>
                <w:tab w:val="left" w:pos="720"/>
              </w:tabs>
              <w:spacing w:line="360" w:lineRule="auto"/>
              <w:ind w:left="420"/>
              <w:jc w:val="center"/>
              <w:rPr>
                <w:rFonts w:asciiTheme="minorEastAsia" w:hAnsiTheme="minorEastAsia" w:eastAsiaTheme="minorEastAsia"/>
                <w:szCs w:val="21"/>
                <w:highlight w:val="none"/>
              </w:rPr>
            </w:pPr>
          </w:p>
        </w:tc>
      </w:tr>
      <w:tr w14:paraId="007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BF49D56">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283FDA44">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2CDBA6B4">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709BB2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73E2D24">
            <w:pPr>
              <w:tabs>
                <w:tab w:val="left" w:pos="720"/>
              </w:tabs>
              <w:spacing w:line="360" w:lineRule="auto"/>
              <w:ind w:left="420"/>
              <w:jc w:val="center"/>
              <w:rPr>
                <w:rFonts w:asciiTheme="minorEastAsia" w:hAnsiTheme="minorEastAsia" w:eastAsiaTheme="minorEastAsia"/>
                <w:szCs w:val="21"/>
                <w:highlight w:val="none"/>
              </w:rPr>
            </w:pPr>
          </w:p>
        </w:tc>
      </w:tr>
      <w:tr w14:paraId="6E16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0EE360F">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2855" w:type="dxa"/>
            <w:vAlign w:val="center"/>
          </w:tcPr>
          <w:p w14:paraId="1EA3F896">
            <w:pPr>
              <w:tabs>
                <w:tab w:val="left" w:pos="720"/>
              </w:tabs>
              <w:spacing w:line="360" w:lineRule="auto"/>
              <w:ind w:left="-2" w:firstLine="1"/>
              <w:jc w:val="center"/>
              <w:rPr>
                <w:rFonts w:asciiTheme="minorEastAsia" w:hAnsiTheme="minorEastAsia" w:eastAsiaTheme="minorEastAsia"/>
                <w:szCs w:val="21"/>
                <w:highlight w:val="none"/>
              </w:rPr>
            </w:pPr>
          </w:p>
        </w:tc>
        <w:tc>
          <w:tcPr>
            <w:tcW w:w="1560" w:type="dxa"/>
          </w:tcPr>
          <w:p w14:paraId="4A84132A">
            <w:pPr>
              <w:tabs>
                <w:tab w:val="left" w:pos="720"/>
              </w:tabs>
              <w:spacing w:line="360" w:lineRule="auto"/>
              <w:ind w:left="420"/>
              <w:jc w:val="center"/>
              <w:rPr>
                <w:rFonts w:asciiTheme="minorEastAsia" w:hAnsiTheme="minorEastAsia" w:eastAsiaTheme="minorEastAsia"/>
                <w:szCs w:val="21"/>
                <w:highlight w:val="none"/>
              </w:rPr>
            </w:pPr>
          </w:p>
        </w:tc>
        <w:tc>
          <w:tcPr>
            <w:tcW w:w="1388" w:type="dxa"/>
            <w:vAlign w:val="center"/>
          </w:tcPr>
          <w:p w14:paraId="75A689B2">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411D9CA">
            <w:pPr>
              <w:tabs>
                <w:tab w:val="left" w:pos="720"/>
              </w:tabs>
              <w:spacing w:line="360" w:lineRule="auto"/>
              <w:ind w:left="420"/>
              <w:jc w:val="center"/>
              <w:rPr>
                <w:rFonts w:asciiTheme="minorEastAsia" w:hAnsiTheme="minorEastAsia" w:eastAsiaTheme="minorEastAsia"/>
                <w:szCs w:val="21"/>
                <w:highlight w:val="none"/>
              </w:rPr>
            </w:pPr>
          </w:p>
        </w:tc>
      </w:tr>
      <w:bookmarkEnd w:id="821"/>
      <w:bookmarkEnd w:id="822"/>
      <w:bookmarkEnd w:id="823"/>
    </w:tbl>
    <w:p w14:paraId="50094308">
      <w:pPr>
        <w:topLinePunct/>
        <w:spacing w:line="440" w:lineRule="exact"/>
        <w:jc w:val="left"/>
        <w:rPr>
          <w:rFonts w:asciiTheme="minorEastAsia" w:hAnsiTheme="minorEastAsia" w:eastAsiaTheme="minorEastAsia"/>
          <w:b/>
          <w:highlight w:val="none"/>
        </w:rPr>
      </w:pPr>
    </w:p>
    <w:p w14:paraId="7791239D">
      <w:pPr>
        <w:topLinePunct/>
        <w:spacing w:line="440" w:lineRule="exact"/>
        <w:jc w:val="left"/>
        <w:rPr>
          <w:rFonts w:asciiTheme="minorEastAsia" w:hAnsiTheme="minorEastAsia" w:eastAsiaTheme="minorEastAsia"/>
          <w:b/>
          <w:highlight w:val="none"/>
        </w:rPr>
      </w:pPr>
    </w:p>
    <w:p w14:paraId="67C6987E">
      <w:pPr>
        <w:topLinePunct/>
        <w:spacing w:line="440" w:lineRule="exact"/>
        <w:jc w:val="left"/>
        <w:rPr>
          <w:rFonts w:asciiTheme="minorEastAsia" w:hAnsiTheme="minorEastAsia" w:eastAsiaTheme="minorEastAsia"/>
          <w:b/>
          <w:highlight w:val="none"/>
        </w:rPr>
      </w:pPr>
    </w:p>
    <w:p w14:paraId="116F3E50">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47DE5B7">
      <w:pPr>
        <w:topLinePunct/>
        <w:spacing w:line="440" w:lineRule="exact"/>
        <w:jc w:val="left"/>
        <w:rPr>
          <w:rFonts w:hint="eastAsia" w:asciiTheme="minorEastAsia" w:hAnsiTheme="minorEastAsia" w:eastAsiaTheme="minorEastAsia"/>
          <w:b/>
          <w:highlight w:val="none"/>
          <w:lang w:eastAsia="zh-CN"/>
        </w:rPr>
      </w:pPr>
    </w:p>
    <w:p w14:paraId="112A0476">
      <w:pPr>
        <w:topLinePunct/>
        <w:spacing w:line="440" w:lineRule="exact"/>
        <w:jc w:val="left"/>
        <w:rPr>
          <w:rFonts w:asciiTheme="minorEastAsia" w:hAnsiTheme="minorEastAsia" w:eastAsiaTheme="minorEastAsia"/>
          <w:szCs w:val="21"/>
          <w:highlight w:val="none"/>
        </w:rPr>
        <w:sectPr>
          <w:pgSz w:w="11906" w:h="16838"/>
          <w:pgMar w:top="1440" w:right="1800" w:bottom="1440" w:left="1800" w:header="851" w:footer="992" w:gutter="0"/>
          <w:pgNumType w:fmt="decimal"/>
          <w:cols w:space="425" w:num="1"/>
          <w:docGrid w:type="lines" w:linePitch="312" w:charSpace="0"/>
        </w:sectPr>
      </w:pPr>
    </w:p>
    <w:p w14:paraId="1FE414DE">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36" w:name="_Toc17704"/>
      <w:bookmarkStart w:id="837" w:name="_Toc15118"/>
      <w:bookmarkStart w:id="838" w:name="_Toc19868"/>
      <w:bookmarkStart w:id="839" w:name="_Toc38008079"/>
      <w:bookmarkStart w:id="840" w:name="_Toc18763"/>
      <w:bookmarkStart w:id="841" w:name="_Toc1506"/>
      <w:bookmarkStart w:id="842" w:name="_Toc11408"/>
      <w:bookmarkStart w:id="843" w:name="_Toc30540"/>
      <w:bookmarkStart w:id="844" w:name="_Toc20779"/>
      <w:bookmarkStart w:id="845" w:name="_Toc9572"/>
      <w:bookmarkStart w:id="846" w:name="_Toc21330"/>
      <w:bookmarkStart w:id="847" w:name="_Toc2839"/>
      <w:bookmarkStart w:id="848" w:name="_Toc476245699"/>
      <w:bookmarkStart w:id="849" w:name="_Toc475891555"/>
      <w:bookmarkStart w:id="850" w:name="_Toc438052120"/>
      <w:bookmarkStart w:id="851" w:name="_Toc475472672"/>
      <w:bookmarkStart w:id="852" w:name="_Toc38008080"/>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投标专用印章授权函（如有）</w:t>
      </w:r>
      <w:bookmarkEnd w:id="836"/>
      <w:bookmarkEnd w:id="837"/>
      <w:bookmarkEnd w:id="838"/>
      <w:bookmarkEnd w:id="839"/>
      <w:bookmarkEnd w:id="840"/>
      <w:bookmarkEnd w:id="841"/>
      <w:bookmarkEnd w:id="842"/>
      <w:bookmarkEnd w:id="843"/>
      <w:bookmarkEnd w:id="844"/>
      <w:bookmarkEnd w:id="845"/>
      <w:bookmarkEnd w:id="846"/>
      <w:bookmarkEnd w:id="847"/>
    </w:p>
    <w:bookmarkEnd w:id="848"/>
    <w:bookmarkEnd w:id="849"/>
    <w:p w14:paraId="162E667D">
      <w:pPr>
        <w:spacing w:line="400" w:lineRule="exact"/>
        <w:jc w:val="center"/>
        <w:rPr>
          <w:rFonts w:asciiTheme="minorEastAsia" w:hAnsiTheme="minorEastAsia" w:eastAsiaTheme="minorEastAsia"/>
          <w:b/>
          <w:sz w:val="24"/>
          <w:highlight w:val="none"/>
        </w:rPr>
      </w:pPr>
    </w:p>
    <w:p w14:paraId="27410450">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投标专用印章授权函</w:t>
      </w:r>
    </w:p>
    <w:p w14:paraId="0A1C3C26">
      <w:pPr>
        <w:spacing w:line="400" w:lineRule="exact"/>
        <w:jc w:val="center"/>
        <w:rPr>
          <w:rFonts w:asciiTheme="minorEastAsia" w:hAnsiTheme="minorEastAsia" w:eastAsiaTheme="minorEastAsia"/>
          <w:color w:val="000000"/>
          <w:szCs w:val="21"/>
          <w:highlight w:val="none"/>
          <w:u w:val="single"/>
        </w:rPr>
      </w:pPr>
    </w:p>
    <w:p w14:paraId="7C5F6C7D">
      <w:pPr>
        <w:spacing w:line="360" w:lineRule="auto"/>
        <w:rPr>
          <w:rFonts w:asciiTheme="minorEastAsia" w:hAnsiTheme="minorEastAsia" w:eastAsiaTheme="minorEastAsia"/>
          <w:szCs w:val="21"/>
          <w:highlight w:val="none"/>
        </w:rPr>
      </w:pPr>
    </w:p>
    <w:p w14:paraId="737296A6">
      <w:pPr>
        <w:spacing w:line="360" w:lineRule="auto"/>
        <w:rPr>
          <w:rFonts w:asciiTheme="minorEastAsia" w:hAnsiTheme="minorEastAsia" w:eastAsiaTheme="minorEastAsia"/>
          <w:sz w:val="24"/>
          <w:highlight w:val="none"/>
        </w:rPr>
      </w:pPr>
    </w:p>
    <w:p w14:paraId="465BF776">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hint="eastAsia" w:asciiTheme="minorEastAsia" w:hAnsiTheme="minorEastAsia" w:eastAsiaTheme="minorEastAsia"/>
          <w:szCs w:val="21"/>
          <w:highlight w:val="none"/>
          <w:u w:val="single"/>
        </w:rPr>
        <w:t>（采购项目名称）</w:t>
      </w:r>
      <w:r>
        <w:rPr>
          <w:rFonts w:hint="eastAsia" w:asciiTheme="minorEastAsia" w:hAnsiTheme="minorEastAsia" w:eastAsiaTheme="minorEastAsia"/>
          <w:szCs w:val="21"/>
          <w:highlight w:val="none"/>
        </w:rPr>
        <w:t>的资格审查、投标活动中使用“</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290412C8">
      <w:pPr>
        <w:spacing w:line="360" w:lineRule="auto"/>
        <w:ind w:firstLine="420" w:firstLineChars="200"/>
        <w:jc w:val="left"/>
        <w:rPr>
          <w:rFonts w:asciiTheme="minorEastAsia" w:hAnsiTheme="minorEastAsia" w:eastAsiaTheme="minorEastAsia"/>
          <w:szCs w:val="21"/>
          <w:highlight w:val="none"/>
        </w:rPr>
      </w:pPr>
    </w:p>
    <w:p w14:paraId="06E310A8">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5CF206D8">
      <w:pPr>
        <w:ind w:firstLine="422" w:firstLineChars="200"/>
        <w:rPr>
          <w:rFonts w:asciiTheme="minorEastAsia" w:hAnsiTheme="minorEastAsia" w:eastAsiaTheme="minorEastAsia"/>
          <w:b/>
          <w:szCs w:val="21"/>
          <w:highlight w:val="none"/>
        </w:rPr>
      </w:pPr>
    </w:p>
    <w:p w14:paraId="29E51668">
      <w:pPr>
        <w:ind w:firstLine="422" w:firstLineChars="200"/>
        <w:rPr>
          <w:rFonts w:asciiTheme="minorEastAsia" w:hAnsiTheme="minorEastAsia" w:eastAsiaTheme="minorEastAsia"/>
          <w:b/>
          <w:szCs w:val="21"/>
          <w:highlight w:val="none"/>
        </w:rPr>
      </w:pPr>
    </w:p>
    <w:p w14:paraId="49F440C5">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投标人被授权印章：                            </w:t>
      </w:r>
    </w:p>
    <w:p w14:paraId="132986A3">
      <w:pPr>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89535</wp:posOffset>
                </wp:positionV>
                <wp:extent cx="2339975" cy="2339975"/>
                <wp:effectExtent l="0" t="0" r="22225" b="22225"/>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wps:spPr>
                      <wps:txbx>
                        <w:txbxContent>
                          <w:p w14:paraId="567B5C23">
                            <w:r>
                              <w:rPr>
                                <w:rFonts w:hint="eastAsia"/>
                              </w:rPr>
                              <w:t>（在</w:t>
                            </w:r>
                            <w:r>
                              <w:t>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5408;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BiQNsyNgIAAHw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YdBGs1&#10;6rSOu9XuIPsKyj1Jh9A1LY0sbWrAr5w11LAFD182AhVn5q0j+SeD0ajt8GSMxpdDMvDcszr3CCcJ&#10;quCRs247j91UbDzqdU0vDRJdBzdUskonMdtydlkd8qamTOU4DFDb9ed2ivrz05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DBxnXAAAACQEAAA8AAAAAAAAAAQAgAAAAIgAAAGRycy9kb3ducmV2&#10;LnhtbFBLAQIUABQAAAAIAIdO4kBiQNsyNgIAAHwEAAAOAAAAAAAAAAEAIAAAACYBAABkcnMvZTJv&#10;RG9jLnhtbFBLBQYAAAAABgAGAFkBAADOBQAAAAA=&#10;">
                <v:fill on="t" focussize="0,0"/>
                <v:stroke color="#000000" miterlimit="8" joinstyle="miter"/>
                <v:imagedata o:title=""/>
                <o:lock v:ext="edit" aspectratio="f"/>
                <v:textbox>
                  <w:txbxContent>
                    <w:p w14:paraId="567B5C23">
                      <w:r>
                        <w:rPr>
                          <w:rFonts w:hint="eastAsia"/>
                        </w:rPr>
                        <w:t>（在</w:t>
                      </w:r>
                      <w:r>
                        <w:t>此盖章）</w:t>
                      </w:r>
                    </w:p>
                  </w:txbxContent>
                </v:textbox>
              </v:rect>
            </w:pict>
          </mc:Fallback>
        </mc:AlternateContent>
      </w:r>
    </w:p>
    <w:p w14:paraId="1005D27B">
      <w:pPr>
        <w:rPr>
          <w:rFonts w:asciiTheme="minorEastAsia" w:hAnsiTheme="minorEastAsia" w:eastAsiaTheme="minorEastAsia"/>
          <w:szCs w:val="21"/>
          <w:highlight w:val="none"/>
        </w:rPr>
      </w:pPr>
    </w:p>
    <w:p w14:paraId="6E05B6AF">
      <w:pPr>
        <w:rPr>
          <w:rFonts w:asciiTheme="minorEastAsia" w:hAnsiTheme="minorEastAsia" w:eastAsiaTheme="minorEastAsia"/>
          <w:szCs w:val="21"/>
          <w:highlight w:val="none"/>
        </w:rPr>
      </w:pPr>
    </w:p>
    <w:p w14:paraId="0871B006">
      <w:pPr>
        <w:rPr>
          <w:rFonts w:asciiTheme="minorEastAsia" w:hAnsiTheme="minorEastAsia" w:eastAsiaTheme="minorEastAsia"/>
          <w:szCs w:val="21"/>
          <w:highlight w:val="none"/>
        </w:rPr>
      </w:pPr>
    </w:p>
    <w:p w14:paraId="75B2456A">
      <w:pPr>
        <w:rPr>
          <w:rFonts w:asciiTheme="minorEastAsia" w:hAnsiTheme="minorEastAsia" w:eastAsiaTheme="minorEastAsia"/>
          <w:szCs w:val="21"/>
          <w:highlight w:val="none"/>
        </w:rPr>
      </w:pPr>
    </w:p>
    <w:p w14:paraId="7B44B319">
      <w:pPr>
        <w:ind w:firstLine="1259" w:firstLineChars="597"/>
        <w:rPr>
          <w:rFonts w:asciiTheme="minorEastAsia" w:hAnsiTheme="minorEastAsia" w:eastAsiaTheme="minorEastAsia"/>
          <w:b/>
          <w:szCs w:val="21"/>
          <w:highlight w:val="none"/>
        </w:rPr>
      </w:pPr>
    </w:p>
    <w:p w14:paraId="30C72A54">
      <w:pPr>
        <w:ind w:right="18" w:firstLine="4676" w:firstLineChars="2227"/>
        <w:rPr>
          <w:rFonts w:asciiTheme="minorEastAsia" w:hAnsiTheme="minorEastAsia" w:eastAsiaTheme="minorEastAsia"/>
          <w:szCs w:val="21"/>
          <w:highlight w:val="none"/>
        </w:rPr>
      </w:pPr>
    </w:p>
    <w:p w14:paraId="4E24DF49">
      <w:pPr>
        <w:ind w:right="18" w:firstLine="4676" w:firstLineChars="2227"/>
        <w:rPr>
          <w:rFonts w:asciiTheme="minorEastAsia" w:hAnsiTheme="minorEastAsia" w:eastAsiaTheme="minorEastAsia"/>
          <w:szCs w:val="21"/>
          <w:highlight w:val="none"/>
        </w:rPr>
      </w:pPr>
    </w:p>
    <w:p w14:paraId="0AA76C8D">
      <w:pPr>
        <w:ind w:right="18" w:firstLine="4676" w:firstLineChars="2227"/>
        <w:rPr>
          <w:rFonts w:asciiTheme="minorEastAsia" w:hAnsiTheme="minorEastAsia" w:eastAsiaTheme="minorEastAsia"/>
          <w:szCs w:val="21"/>
          <w:highlight w:val="none"/>
        </w:rPr>
      </w:pPr>
    </w:p>
    <w:p w14:paraId="3601864F">
      <w:pPr>
        <w:ind w:right="18" w:firstLine="4676" w:firstLineChars="2227"/>
        <w:rPr>
          <w:rFonts w:asciiTheme="minorEastAsia" w:hAnsiTheme="minorEastAsia" w:eastAsiaTheme="minorEastAsia"/>
          <w:szCs w:val="21"/>
          <w:highlight w:val="none"/>
        </w:rPr>
      </w:pPr>
    </w:p>
    <w:p w14:paraId="77A6CE39">
      <w:pPr>
        <w:ind w:right="18" w:firstLine="4676" w:firstLineChars="2227"/>
        <w:rPr>
          <w:rFonts w:asciiTheme="minorEastAsia" w:hAnsiTheme="minorEastAsia" w:eastAsiaTheme="minorEastAsia"/>
          <w:szCs w:val="21"/>
          <w:highlight w:val="none"/>
        </w:rPr>
      </w:pPr>
    </w:p>
    <w:p w14:paraId="4DAAA27D">
      <w:pPr>
        <w:ind w:right="18" w:firstLine="4676" w:firstLineChars="2227"/>
        <w:rPr>
          <w:rFonts w:asciiTheme="minorEastAsia" w:hAnsiTheme="minorEastAsia" w:eastAsiaTheme="minorEastAsia"/>
          <w:szCs w:val="21"/>
          <w:highlight w:val="none"/>
        </w:rPr>
      </w:pPr>
    </w:p>
    <w:p w14:paraId="5757F1E7">
      <w:pPr>
        <w:ind w:right="18" w:firstLine="4676" w:firstLineChars="2227"/>
        <w:rPr>
          <w:rFonts w:asciiTheme="minorEastAsia" w:hAnsiTheme="minorEastAsia" w:eastAsiaTheme="minorEastAsia"/>
          <w:szCs w:val="21"/>
          <w:highlight w:val="none"/>
        </w:rPr>
      </w:pPr>
    </w:p>
    <w:p w14:paraId="2777FCB6">
      <w:pPr>
        <w:ind w:right="18" w:firstLine="4676" w:firstLineChars="2227"/>
        <w:rPr>
          <w:rFonts w:asciiTheme="minorEastAsia" w:hAnsiTheme="minorEastAsia" w:eastAsiaTheme="minorEastAsia"/>
          <w:szCs w:val="21"/>
          <w:highlight w:val="none"/>
        </w:rPr>
      </w:pPr>
    </w:p>
    <w:p w14:paraId="4BC76D9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（盖单位公章）</w:t>
      </w:r>
    </w:p>
    <w:p w14:paraId="6330D29D">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E1A091B">
      <w:pPr>
        <w:ind w:right="18" w:firstLine="4676" w:firstLineChars="2227"/>
        <w:rPr>
          <w:rFonts w:asciiTheme="minorEastAsia" w:hAnsiTheme="minorEastAsia" w:eastAsiaTheme="minorEastAsia"/>
          <w:szCs w:val="21"/>
          <w:highlight w:val="none"/>
        </w:rPr>
      </w:pPr>
    </w:p>
    <w:p w14:paraId="6D9E4D71">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4A4973BC">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1.本文件仅适用于</w:t>
      </w:r>
      <w:r>
        <w:rPr>
          <w:rFonts w:hint="eastAsia" w:asciiTheme="minorEastAsia" w:hAnsiTheme="minorEastAsia" w:eastAsiaTheme="minorEastAsia"/>
          <w:szCs w:val="21"/>
          <w:highlight w:val="none"/>
        </w:rPr>
        <w:t>要求递交加盖印章扫描件的情形</w:t>
      </w:r>
      <w:r>
        <w:rPr>
          <w:rFonts w:hint="eastAsia" w:asciiTheme="minorEastAsia" w:hAnsiTheme="minorEastAsia" w:eastAsiaTheme="minorEastAsia"/>
          <w:color w:val="000000"/>
          <w:highlight w:val="none"/>
        </w:rPr>
        <w:t>。</w:t>
      </w:r>
    </w:p>
    <w:p w14:paraId="0FCAF93F">
      <w:pPr>
        <w:topLinePunct/>
        <w:spacing w:line="440" w:lineRule="exact"/>
        <w:jc w:val="left"/>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highlight w:val="none"/>
        </w:rPr>
        <w:t>2.</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19D6F670">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411BEF33">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53" w:name="_Toc15048"/>
      <w:bookmarkStart w:id="854" w:name="_Toc9038"/>
      <w:bookmarkStart w:id="855" w:name="_Toc28217"/>
      <w:bookmarkStart w:id="856" w:name="_Toc26931"/>
      <w:bookmarkStart w:id="857" w:name="_Toc4326"/>
      <w:bookmarkStart w:id="858" w:name="_Toc1434"/>
      <w:bookmarkStart w:id="859" w:name="_Toc27943"/>
      <w:bookmarkStart w:id="860" w:name="_Toc28105"/>
      <w:bookmarkStart w:id="861" w:name="_Toc19917"/>
      <w:bookmarkStart w:id="862" w:name="_Toc20019"/>
      <w:bookmarkStart w:id="863" w:name="_Toc25144"/>
      <w:bookmarkStart w:id="864" w:name="_Hlk167299913"/>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rPr>
        <w:t>投标函</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bookmarkEnd w:id="864"/>
    <w:p w14:paraId="4C8FC623">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  标  函</w:t>
      </w:r>
    </w:p>
    <w:p w14:paraId="35C32900">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XX公司[招标人名称]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22BD2B11">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（投标人名称）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hint="eastAsia" w:asciiTheme="minorEastAsia" w:hAnsiTheme="minorEastAsia" w:eastAsiaTheme="minorEastAsia"/>
          <w:szCs w:val="21"/>
          <w:highlight w:val="none"/>
          <w:u w:val="single"/>
        </w:rPr>
        <w:t>（集中招标项目名称</w:t>
      </w:r>
      <w:r>
        <w:rPr>
          <w:rFonts w:hint="eastAsia" w:asciiTheme="minorEastAsia" w:hAnsiTheme="minorEastAsia" w:eastAsiaTheme="minorEastAsia"/>
          <w:szCs w:val="21"/>
          <w:highlight w:val="none"/>
        </w:rPr>
        <w:t>）标包（招标编号：）</w:t>
      </w:r>
      <w:r>
        <w:rPr>
          <w:rFonts w:asciiTheme="minorEastAsia" w:hAnsiTheme="minorEastAsia" w:eastAsiaTheme="minorEastAsia"/>
          <w:szCs w:val="21"/>
          <w:highlight w:val="none"/>
        </w:rPr>
        <w:t>招标文件的全部内容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我方将严格按照招标文件要求递交符合要求的全部投标文件。</w:t>
      </w:r>
    </w:p>
    <w:p w14:paraId="345C95D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695BAA89">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我方的投标文件包含第二章“投标人须知”第3.1款规定的全部内容。</w:t>
      </w:r>
    </w:p>
    <w:p w14:paraId="6E2DB47E">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rPr>
        <w:t>招标文件规定的</w:t>
      </w:r>
      <w:r>
        <w:rPr>
          <w:rFonts w:asciiTheme="minorEastAsia" w:hAnsiTheme="minorEastAsia" w:eastAsiaTheme="minorEastAsia"/>
          <w:szCs w:val="21"/>
          <w:highlight w:val="none"/>
        </w:rPr>
        <w:t>投标有效期内不修改、撤销投标文件。</w:t>
      </w:r>
    </w:p>
    <w:p w14:paraId="00190313">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随同本投标函递交投标保证金一份，金额为人民币</w:t>
      </w:r>
      <w:r>
        <w:rPr>
          <w:rFonts w:ascii="宋体" w:hAnsi="宋体"/>
          <w:color w:val="000000" w:themeColor="text1"/>
          <w:szCs w:val="21"/>
          <w:highlight w:val="none"/>
          <w14:textFill>
            <w14:solidFill>
              <w14:schemeClr w14:val="tx1"/>
            </w14:solidFill>
          </w14:textFill>
        </w:rPr>
        <w:t>（大写</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14:paraId="01067D33">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我方承诺如果在规定的开标时间后，在投标有效期内撤销投标，我方自愿接受招标人做出的不予退还我方投标保证金的决定。</w:t>
      </w:r>
    </w:p>
    <w:p w14:paraId="511ADF6F">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我方在评标过程中根据评标委员会要求提供的符合相关规定的澄清文件，构成投标文件的组成部分。</w:t>
      </w:r>
    </w:p>
    <w:p w14:paraId="6633C0F9">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我方同意提供贵方可能要求的与投标有关的一切数据或者资料，并完全理解贵方不一定接受最低价的投标。</w:t>
      </w:r>
    </w:p>
    <w:p w14:paraId="2884F320">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我方承诺不向第三方透露与招标相关的所有信息。</w:t>
      </w:r>
    </w:p>
    <w:p w14:paraId="78751B27">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rPr>
        <w:t>招标文件第七章。本项承诺自本函签署之日起生效，长期有效，不受投标有效期的约束，其效力独立存在，不可撤销。</w:t>
      </w:r>
    </w:p>
    <w:p w14:paraId="63B9F76F">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如我方中标：</w:t>
      </w:r>
    </w:p>
    <w:p w14:paraId="4C3FA77E">
      <w:pPr>
        <w:pStyle w:val="101"/>
        <w:numPr>
          <w:ilvl w:val="0"/>
          <w:numId w:val="92"/>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我方承诺在收到中标通知书后，在中标通知书规定的期限内与你方签订合同。</w:t>
      </w:r>
    </w:p>
    <w:p w14:paraId="5BBFEA46">
      <w:pPr>
        <w:pStyle w:val="101"/>
        <w:numPr>
          <w:ilvl w:val="0"/>
          <w:numId w:val="92"/>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5E4E9150">
      <w:pPr>
        <w:pStyle w:val="101"/>
        <w:numPr>
          <w:ilvl w:val="0"/>
          <w:numId w:val="92"/>
        </w:numPr>
        <w:tabs>
          <w:tab w:val="left" w:pos="993"/>
        </w:tabs>
        <w:spacing w:line="440" w:lineRule="exact"/>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我方承诺按照招标文件规定递交履约</w:t>
      </w:r>
      <w:r>
        <w:rPr>
          <w:rFonts w:hint="eastAsia" w:asciiTheme="minorEastAsia" w:hAnsiTheme="minorEastAsia" w:eastAsiaTheme="minorEastAsia"/>
          <w:szCs w:val="21"/>
          <w:highlight w:val="none"/>
        </w:rPr>
        <w:t>保证金或履约保函、支付招标代理服务费</w:t>
      </w:r>
      <w:r>
        <w:rPr>
          <w:rFonts w:asciiTheme="minorEastAsia" w:hAnsiTheme="minorEastAsia" w:eastAsiaTheme="minorEastAsia"/>
          <w:szCs w:val="21"/>
          <w:highlight w:val="none"/>
        </w:rPr>
        <w:t>。</w:t>
      </w:r>
    </w:p>
    <w:p w14:paraId="733AE67F">
      <w:pPr>
        <w:pStyle w:val="101"/>
        <w:numPr>
          <w:ilvl w:val="0"/>
          <w:numId w:val="92"/>
        </w:numPr>
        <w:tabs>
          <w:tab w:val="left" w:pos="993"/>
        </w:tabs>
        <w:spacing w:line="440" w:lineRule="exact"/>
        <w:ind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按照招标文件的规定及合同约定履行相关责任和义务,不将中标项目转包、违法分包。</w:t>
      </w:r>
    </w:p>
    <w:p w14:paraId="749218EF">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5B0897E4">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我方在此声明，所递交的投标文件及有关资料内容完整、真实和准确，且不存在第二章“投标人须知”第1.8款规定的任何一种情形。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04C9028A">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：我方承诺按照招标人要求在</w:t>
      </w:r>
      <w:r>
        <w:rPr>
          <w:rFonts w:asciiTheme="minorEastAsia" w:hAnsiTheme="minorEastAsia" w:eastAsiaTheme="minorEastAsia"/>
          <w:szCs w:val="21"/>
          <w:highlight w:val="none"/>
        </w:rPr>
        <w:t>中国电信阳光采购网</w:t>
      </w:r>
      <w:r>
        <w:rPr>
          <w:rFonts w:hint="eastAsia" w:asciiTheme="minorEastAsia" w:hAnsiTheme="minorEastAsia" w:eastAsiaTheme="minorEastAsia"/>
          <w:szCs w:val="21"/>
          <w:highlight w:val="none"/>
        </w:rPr>
        <w:t>进行供应商注册。</w:t>
      </w:r>
    </w:p>
    <w:p w14:paraId="37488D46">
      <w:pPr>
        <w:pStyle w:val="101"/>
        <w:numPr>
          <w:ilvl w:val="3"/>
          <w:numId w:val="91"/>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投标有效期：</w:t>
      </w:r>
      <w:r>
        <w:rPr>
          <w:rFonts w:asciiTheme="minorEastAsia" w:hAnsiTheme="minorEastAsia" w:eastAsiaTheme="minorEastAsia"/>
          <w:szCs w:val="21"/>
          <w:highlight w:val="none"/>
        </w:rPr>
        <w:t>120</w:t>
      </w:r>
      <w:r>
        <w:rPr>
          <w:rFonts w:hint="eastAsia" w:asciiTheme="minorEastAsia" w:hAnsiTheme="minorEastAsia" w:eastAsiaTheme="minorEastAsia"/>
          <w:szCs w:val="21"/>
          <w:highlight w:val="none"/>
        </w:rPr>
        <w:t>天。</w:t>
      </w:r>
    </w:p>
    <w:p w14:paraId="0A53AEB8">
      <w:pPr>
        <w:pStyle w:val="101"/>
        <w:tabs>
          <w:tab w:val="left" w:pos="709"/>
        </w:tabs>
        <w:spacing w:line="440" w:lineRule="exact"/>
        <w:ind w:left="424" w:firstLine="0" w:firstLineChars="0"/>
        <w:rPr>
          <w:rFonts w:asciiTheme="minorEastAsia" w:hAnsiTheme="minorEastAsia" w:eastAsiaTheme="minorEastAsia"/>
          <w:szCs w:val="21"/>
          <w:highlight w:val="none"/>
        </w:rPr>
      </w:pPr>
    </w:p>
    <w:p w14:paraId="372715EA">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039A800">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hint="eastAsia" w:asciiTheme="minorEastAsia" w:hAnsiTheme="minorEastAsia" w:eastAsiaTheme="minorEastAsia"/>
          <w:szCs w:val="21"/>
          <w:highlight w:val="none"/>
          <w:u w:val="single"/>
        </w:rPr>
        <w:t xml:space="preserve">                                     </w:t>
      </w:r>
    </w:p>
    <w:p w14:paraId="106EFD9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邮政编码：</w:t>
      </w:r>
      <w:r>
        <w:rPr>
          <w:rFonts w:hint="eastAsia" w:asciiTheme="minorEastAsia" w:hAnsiTheme="minorEastAsia" w:eastAsiaTheme="minorEastAsia"/>
          <w:szCs w:val="21"/>
          <w:highlight w:val="none"/>
          <w:u w:val="single"/>
        </w:rPr>
        <w:t xml:space="preserve">                                 </w:t>
      </w:r>
    </w:p>
    <w:p w14:paraId="02DA726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hint="eastAsia" w:asciiTheme="minorEastAsia" w:hAnsiTheme="minorEastAsia" w:eastAsiaTheme="minorEastAsia"/>
          <w:szCs w:val="21"/>
          <w:highlight w:val="none"/>
          <w:u w:val="single"/>
        </w:rPr>
        <w:t xml:space="preserve">                                     </w:t>
      </w:r>
    </w:p>
    <w:p w14:paraId="3CFBAF9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C451D85">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0587A007">
      <w:pPr>
        <w:ind w:firstLine="1134" w:firstLineChars="540"/>
        <w:rPr>
          <w:rFonts w:asciiTheme="minorEastAsia" w:hAnsiTheme="minorEastAsia" w:eastAsiaTheme="minorEastAsia"/>
          <w:highlight w:val="none"/>
        </w:rPr>
      </w:pPr>
    </w:p>
    <w:p w14:paraId="2051B1C3">
      <w:pPr>
        <w:ind w:firstLine="2835" w:firstLineChars="1350"/>
        <w:rPr>
          <w:rFonts w:asciiTheme="minorEastAsia" w:hAnsiTheme="minorEastAsia" w:eastAsiaTheme="minorEastAsia"/>
          <w:highlight w:val="none"/>
        </w:rPr>
      </w:pPr>
    </w:p>
    <w:p w14:paraId="1B7C4134">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23AD3166">
      <w:pPr>
        <w:pStyle w:val="81"/>
        <w:numPr>
          <w:ilvl w:val="0"/>
          <w:numId w:val="0"/>
        </w:numPr>
        <w:tabs>
          <w:tab w:val="left" w:pos="588"/>
        </w:tabs>
        <w:snapToGrid w:val="0"/>
        <w:spacing w:before="120" w:after="120" w:line="440" w:lineRule="exact"/>
        <w:ind w:left="635" w:leftChars="0" w:hanging="425" w:firstLineChars="0"/>
        <w:jc w:val="left"/>
        <w:rPr>
          <w:rFonts w:asciiTheme="minorEastAsia" w:hAnsiTheme="minorEastAsia" w:eastAsiaTheme="minorEastAsia"/>
          <w:sz w:val="24"/>
          <w:szCs w:val="24"/>
          <w:highlight w:val="none"/>
        </w:rPr>
      </w:pPr>
      <w:bookmarkStart w:id="865" w:name="_Toc225"/>
      <w:bookmarkStart w:id="866" w:name="_Toc9878"/>
      <w:bookmarkStart w:id="867" w:name="_Toc6010"/>
      <w:bookmarkStart w:id="868" w:name="_Toc3280"/>
      <w:bookmarkStart w:id="869" w:name="_Toc23866"/>
      <w:bookmarkStart w:id="870" w:name="_Toc38008082"/>
      <w:bookmarkStart w:id="871" w:name="_Toc475472674"/>
      <w:bookmarkStart w:id="872" w:name="_Toc8822"/>
      <w:bookmarkStart w:id="873" w:name="_Toc13554"/>
      <w:bookmarkStart w:id="874" w:name="_Toc4819"/>
      <w:bookmarkStart w:id="875" w:name="_Toc18693"/>
      <w:bookmarkStart w:id="876" w:name="_Toc10686"/>
      <w:bookmarkStart w:id="877" w:name="_Toc30440"/>
      <w:bookmarkStart w:id="878" w:name="_Hlk167299926"/>
      <w:r>
        <w:rPr>
          <w:rFonts w:hint="eastAsia" w:cs="Times New Roman" w:asciiTheme="minorEastAsia" w:hAnsiTheme="minorEastAsia" w:eastAsiaTheme="minorEastAsia"/>
          <w:b/>
          <w:bCs/>
          <w:kern w:val="2"/>
          <w:sz w:val="24"/>
          <w:szCs w:val="24"/>
          <w:lang w:val="en-US" w:eastAsia="zh-CN" w:bidi="ar-SA"/>
        </w:rPr>
        <w:t>6.</w:t>
      </w:r>
      <w:r>
        <w:rPr>
          <w:rFonts w:asciiTheme="minorEastAsia" w:hAnsiTheme="minorEastAsia" w:eastAsiaTheme="minorEastAsia"/>
          <w:sz w:val="24"/>
          <w:szCs w:val="24"/>
          <w:highlight w:val="none"/>
        </w:rPr>
        <w:t>法定代表人/负责人身份证明</w:t>
      </w:r>
      <w:bookmarkEnd w:id="865"/>
      <w:bookmarkEnd w:id="866"/>
      <w:bookmarkEnd w:id="867"/>
      <w:bookmarkEnd w:id="868"/>
      <w:bookmarkEnd w:id="869"/>
      <w:bookmarkEnd w:id="870"/>
      <w:bookmarkEnd w:id="871"/>
      <w:bookmarkEnd w:id="872"/>
      <w:bookmarkEnd w:id="873"/>
      <w:bookmarkEnd w:id="874"/>
      <w:bookmarkEnd w:id="875"/>
      <w:bookmarkEnd w:id="876"/>
      <w:bookmarkEnd w:id="877"/>
    </w:p>
    <w:bookmarkEnd w:id="878"/>
    <w:p w14:paraId="3CFA201C">
      <w:pPr>
        <w:jc w:val="center"/>
        <w:rPr>
          <w:rFonts w:cs="宋体" w:asciiTheme="minorEastAsia" w:hAnsiTheme="minorEastAsia" w:eastAsiaTheme="minorEastAsia"/>
          <w:b/>
          <w:sz w:val="24"/>
          <w:highlight w:val="none"/>
        </w:rPr>
      </w:pPr>
    </w:p>
    <w:p w14:paraId="4CC25CC8">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65EB6BFD">
      <w:pPr>
        <w:spacing w:line="440" w:lineRule="exact"/>
        <w:rPr>
          <w:rFonts w:asciiTheme="minorEastAsia" w:hAnsiTheme="minorEastAsia" w:eastAsiaTheme="minorEastAsia"/>
          <w:szCs w:val="21"/>
          <w:highlight w:val="none"/>
        </w:rPr>
      </w:pPr>
    </w:p>
    <w:p w14:paraId="50431BE2">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rPr>
        <w:t>投标</w:t>
      </w:r>
      <w:r>
        <w:rPr>
          <w:rFonts w:asciiTheme="minorEastAsia" w:hAnsiTheme="minorEastAsia" w:eastAsiaTheme="minorEastAsia"/>
          <w:bCs/>
          <w:szCs w:val="21"/>
          <w:highlight w:val="none"/>
        </w:rPr>
        <w:t>人名称：</w:t>
      </w:r>
      <w:r>
        <w:rPr>
          <w:rFonts w:hint="eastAsia" w:asciiTheme="minorEastAsia" w:hAnsiTheme="minorEastAsia" w:eastAsiaTheme="minorEastAsia"/>
          <w:bCs/>
          <w:szCs w:val="21"/>
          <w:highlight w:val="none"/>
          <w:u w:val="single"/>
        </w:rPr>
        <w:t xml:space="preserve">                       </w:t>
      </w:r>
    </w:p>
    <w:p w14:paraId="4C8732B5">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hint="eastAsia" w:asciiTheme="minorEastAsia" w:hAnsiTheme="minorEastAsia" w:eastAsiaTheme="minorEastAsia"/>
          <w:bCs/>
          <w:szCs w:val="21"/>
          <w:highlight w:val="none"/>
          <w:u w:val="single"/>
        </w:rPr>
        <w:t xml:space="preserve">                         </w:t>
      </w:r>
    </w:p>
    <w:p w14:paraId="02F9DE77">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C2AE4EF">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hint="eastAsia" w:asciiTheme="minorEastAsia" w:hAnsiTheme="minorEastAsia" w:eastAsiaTheme="minorEastAsia"/>
          <w:bCs/>
          <w:szCs w:val="21"/>
          <w:highlight w:val="none"/>
          <w:u w:val="single"/>
        </w:rPr>
        <w:t xml:space="preserve">             </w:t>
      </w:r>
    </w:p>
    <w:p w14:paraId="69606821">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hint="eastAsia" w:asciiTheme="minorEastAsia" w:hAnsiTheme="minorEastAsia" w:eastAsiaTheme="minorEastAsia"/>
          <w:bCs/>
          <w:szCs w:val="21"/>
          <w:highlight w:val="none"/>
          <w:u w:val="single"/>
        </w:rPr>
        <w:t xml:space="preserve">          </w:t>
      </w:r>
    </w:p>
    <w:p w14:paraId="45B70779">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[投标人单位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485066A8">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3BA84F80">
      <w:pPr>
        <w:topLinePunct/>
        <w:snapToGrid w:val="0"/>
        <w:spacing w:line="440" w:lineRule="exact"/>
        <w:ind w:firstLine="420" w:firstLineChars="200"/>
        <w:rPr>
          <w:rFonts w:asciiTheme="minorEastAsia" w:hAnsiTheme="minorEastAsia" w:eastAsiaTheme="minorEastAsia"/>
          <w:bCs/>
          <w:szCs w:val="21"/>
          <w:highlight w:val="none"/>
        </w:rPr>
      </w:pPr>
    </w:p>
    <w:p w14:paraId="4B7B9DA6">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附：法定代表人/负责人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42666AFD">
      <w:pPr>
        <w:spacing w:line="500" w:lineRule="exact"/>
        <w:rPr>
          <w:rFonts w:asciiTheme="minorEastAsia" w:hAnsiTheme="minorEastAsia" w:eastAsiaTheme="minorEastAsia"/>
          <w:szCs w:val="21"/>
          <w:highlight w:val="none"/>
        </w:rPr>
      </w:pPr>
    </w:p>
    <w:p w14:paraId="111F98AA">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410166B9">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072257D9">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AIl+NgAAAAKAQAADwAAAAAAAAABACAAAAAiAAAAZHJzL2Rvd25yZXYueG1sUEsBAhQAFAAA&#10;AAgAh07iQCyKqIthAgAAowQAAA4AAAAAAAAAAQAgAAAAJwEAAGRycy9lMm9Eb2MueG1sUEsFBgAA&#10;AAAGAAYAWQEAAPoFAAAAAA==&#10;">
                <v:fill on="t" focussize="0,0"/>
                <v:stroke color="#000000" miterlimit="8" joinstyle="miter"/>
                <v:imagedata o:title=""/>
                <o:lock v:ext="edit" aspectratio="f"/>
                <v:textbox>
                  <w:txbxContent>
                    <w:p w14:paraId="410166B9">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072257D9">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14:paraId="5EB7FB71">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99A87D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E/ScbZgAgAAoQQAAA4AAAAAAAAAAQAgAAAAKAEAAGRycy9lMm9Eb2MueG1sUEsFBgAA&#10;AAAGAAYAWQEAAPoFAAAAAA==&#10;">
                <v:fill on="t" focussize="0,0"/>
                <v:stroke color="#000000" miterlimit="8" joinstyle="miter"/>
                <v:imagedata o:title=""/>
                <o:lock v:ext="edit" aspectratio="f"/>
                <v:textbox>
                  <w:txbxContent>
                    <w:p w14:paraId="5EB7FB71">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99A87DC">
                      <w:pPr>
                        <w:jc w:val="center"/>
                        <w:rPr>
                          <w:szCs w:val="21"/>
                        </w:rPr>
                      </w:pPr>
                      <w:r>
                        <w:rPr>
                          <w:rFonts w:hint="eastAsia"/>
                          <w:szCs w:val="21"/>
                        </w:rPr>
                        <w:t>粘贴处</w:t>
                      </w:r>
                    </w:p>
                  </w:txbxContent>
                </v:textbox>
              </v:shape>
            </w:pict>
          </mc:Fallback>
        </mc:AlternateContent>
      </w:r>
    </w:p>
    <w:p w14:paraId="48DDBB70">
      <w:pPr>
        <w:spacing w:line="500" w:lineRule="exact"/>
        <w:rPr>
          <w:rFonts w:asciiTheme="minorEastAsia" w:hAnsiTheme="minorEastAsia" w:eastAsiaTheme="minorEastAsia"/>
          <w:szCs w:val="21"/>
          <w:highlight w:val="none"/>
        </w:rPr>
      </w:pPr>
    </w:p>
    <w:p w14:paraId="0E11178F">
      <w:pPr>
        <w:spacing w:line="440" w:lineRule="exact"/>
        <w:rPr>
          <w:rFonts w:asciiTheme="minorEastAsia" w:hAnsiTheme="minorEastAsia" w:eastAsiaTheme="minorEastAsia"/>
          <w:szCs w:val="21"/>
          <w:highlight w:val="none"/>
        </w:rPr>
      </w:pPr>
    </w:p>
    <w:p w14:paraId="268C6F41">
      <w:pPr>
        <w:spacing w:line="440" w:lineRule="exact"/>
        <w:rPr>
          <w:rFonts w:asciiTheme="minorEastAsia" w:hAnsiTheme="minorEastAsia" w:eastAsiaTheme="minorEastAsia"/>
          <w:szCs w:val="21"/>
          <w:highlight w:val="none"/>
        </w:rPr>
      </w:pPr>
    </w:p>
    <w:p w14:paraId="7F9DB497">
      <w:pPr>
        <w:spacing w:line="500" w:lineRule="exact"/>
        <w:rPr>
          <w:rFonts w:asciiTheme="minorEastAsia" w:hAnsiTheme="minorEastAsia" w:eastAsiaTheme="minorEastAsia"/>
          <w:szCs w:val="21"/>
          <w:highlight w:val="none"/>
        </w:rPr>
      </w:pPr>
    </w:p>
    <w:p w14:paraId="0A81525A">
      <w:pPr>
        <w:spacing w:line="440" w:lineRule="exact"/>
        <w:rPr>
          <w:rFonts w:asciiTheme="minorEastAsia" w:hAnsiTheme="minorEastAsia" w:eastAsiaTheme="minorEastAsia"/>
          <w:szCs w:val="21"/>
          <w:highlight w:val="none"/>
        </w:rPr>
      </w:pPr>
    </w:p>
    <w:p w14:paraId="7642549B">
      <w:pPr>
        <w:spacing w:line="500" w:lineRule="exact"/>
        <w:rPr>
          <w:rFonts w:asciiTheme="minorEastAsia" w:hAnsiTheme="minorEastAsia" w:eastAsiaTheme="minorEastAsia"/>
          <w:szCs w:val="21"/>
          <w:highlight w:val="none"/>
        </w:rPr>
      </w:pPr>
    </w:p>
    <w:p w14:paraId="76AE0E78">
      <w:pPr>
        <w:spacing w:line="440" w:lineRule="exact"/>
        <w:rPr>
          <w:rFonts w:asciiTheme="minorEastAsia" w:hAnsiTheme="minorEastAsia" w:eastAsiaTheme="minorEastAsia"/>
          <w:szCs w:val="21"/>
          <w:highlight w:val="none"/>
        </w:rPr>
      </w:pPr>
    </w:p>
    <w:p w14:paraId="2C5B9110">
      <w:pPr>
        <w:spacing w:line="440" w:lineRule="exact"/>
        <w:rPr>
          <w:rFonts w:asciiTheme="minorEastAsia" w:hAnsiTheme="minorEastAsia" w:eastAsiaTheme="minorEastAsia"/>
          <w:szCs w:val="21"/>
          <w:highlight w:val="none"/>
        </w:rPr>
      </w:pPr>
    </w:p>
    <w:p w14:paraId="4DEBA35F">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200E37A6">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5FEA7B95">
      <w:pPr>
        <w:rPr>
          <w:rFonts w:asciiTheme="minorEastAsia" w:hAnsiTheme="minorEastAsia" w:eastAsiaTheme="minorEastAsia"/>
          <w:b/>
          <w:highlight w:val="none"/>
        </w:rPr>
      </w:pPr>
    </w:p>
    <w:p w14:paraId="6F9D3C7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p>
    <w:p w14:paraId="4EF818CF">
      <w:pPr>
        <w:bidi w:val="0"/>
        <w:rPr>
          <w:rFonts w:hint="eastAsia"/>
          <w:lang w:val="en-US" w:eastAsia="zh-CN"/>
        </w:rPr>
      </w:pPr>
      <w:bookmarkStart w:id="879" w:name="_Toc25934"/>
      <w:bookmarkStart w:id="880" w:name="_Toc9960"/>
      <w:bookmarkStart w:id="881" w:name="_Toc20409"/>
      <w:bookmarkStart w:id="882" w:name="_Toc14675"/>
    </w:p>
    <w:p w14:paraId="3216083C">
      <w:pPr>
        <w:bidi w:val="0"/>
        <w:rPr>
          <w:rFonts w:hint="eastAsia" w:cs="Times New Roman" w:asciiTheme="minorEastAsia" w:hAnsiTheme="minorEastAsia" w:eastAsiaTheme="minorEastAsia"/>
          <w:b/>
          <w:bCs/>
          <w:kern w:val="2"/>
          <w:sz w:val="24"/>
          <w:szCs w:val="24"/>
          <w:lang w:val="en-US" w:eastAsia="zh-CN" w:bidi="ar-SA"/>
        </w:rPr>
      </w:pPr>
    </w:p>
    <w:p w14:paraId="0086F51E">
      <w:pPr>
        <w:bidi w:val="0"/>
        <w:rPr>
          <w:rFonts w:hint="eastAsia" w:cs="Times New Roman" w:asciiTheme="minorEastAsia" w:hAnsiTheme="minorEastAsia" w:eastAsiaTheme="minorEastAsia"/>
          <w:b/>
          <w:bCs/>
          <w:kern w:val="2"/>
          <w:sz w:val="24"/>
          <w:szCs w:val="24"/>
          <w:lang w:val="en-US" w:eastAsia="zh-CN" w:bidi="ar-SA"/>
        </w:rPr>
      </w:pPr>
    </w:p>
    <w:p w14:paraId="04876108">
      <w:pPr>
        <w:bidi w:val="0"/>
        <w:rPr>
          <w:rFonts w:hint="eastAsia" w:cs="Times New Roman" w:asciiTheme="minorEastAsia" w:hAnsiTheme="minorEastAsia" w:eastAsiaTheme="minorEastAsia"/>
          <w:b/>
          <w:bCs/>
          <w:kern w:val="2"/>
          <w:sz w:val="24"/>
          <w:szCs w:val="24"/>
          <w:lang w:val="en-US" w:eastAsia="zh-CN" w:bidi="ar-SA"/>
        </w:rPr>
      </w:pPr>
    </w:p>
    <w:p w14:paraId="561659D7">
      <w:pPr>
        <w:bidi w:val="0"/>
        <w:rPr>
          <w:rFonts w:hint="eastAsia" w:cs="Times New Roman" w:asciiTheme="minorEastAsia" w:hAnsiTheme="minorEastAsia" w:eastAsiaTheme="minorEastAsia"/>
          <w:b/>
          <w:bCs/>
          <w:kern w:val="2"/>
          <w:sz w:val="24"/>
          <w:szCs w:val="24"/>
          <w:lang w:val="en-US" w:eastAsia="zh-CN" w:bidi="ar-SA"/>
        </w:rPr>
      </w:pPr>
    </w:p>
    <w:p w14:paraId="6628FB4F">
      <w:pPr>
        <w:pStyle w:val="3"/>
        <w:bidi w:val="0"/>
        <w:rPr>
          <w:rFonts w:asciiTheme="minorEastAsia" w:hAnsiTheme="minorEastAsia" w:eastAsiaTheme="minorEastAsia"/>
          <w:sz w:val="24"/>
          <w:szCs w:val="24"/>
          <w:highlight w:val="none"/>
        </w:rPr>
      </w:pPr>
      <w:bookmarkStart w:id="883" w:name="_Toc15805"/>
      <w:bookmarkStart w:id="884" w:name="_Toc20733"/>
      <w:bookmarkStart w:id="885" w:name="_Toc28272"/>
      <w:bookmarkStart w:id="886" w:name="_Toc5937"/>
      <w:bookmarkStart w:id="887" w:name="_Toc11340"/>
      <w:bookmarkStart w:id="888" w:name="_Toc17681"/>
      <w:r>
        <w:rPr>
          <w:rFonts w:hint="eastAsia" w:cs="Times New Roman" w:asciiTheme="minorEastAsia" w:hAnsiTheme="minorEastAsia" w:eastAsiaTheme="minorEastAsia"/>
          <w:b/>
          <w:bCs/>
          <w:kern w:val="2"/>
          <w:sz w:val="24"/>
          <w:szCs w:val="24"/>
          <w:lang w:val="en-US" w:eastAsia="zh-CN" w:bidi="ar-SA"/>
        </w:rPr>
        <w:t>7.</w:t>
      </w:r>
      <w:bookmarkStart w:id="889" w:name="_Toc475472675"/>
      <w:bookmarkStart w:id="890" w:name="_Toc438052122"/>
      <w:bookmarkStart w:id="891" w:name="_Toc23961"/>
      <w:bookmarkStart w:id="892" w:name="_Toc38008083"/>
      <w:r>
        <w:rPr>
          <w:rFonts w:hint="eastAsia" w:asciiTheme="minorEastAsia" w:hAnsiTheme="minorEastAsia" w:eastAsiaTheme="minorEastAsia"/>
          <w:sz w:val="24"/>
          <w:szCs w:val="24"/>
        </w:rPr>
        <w:t>法定代表人/负责人授权委托书</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326BB415">
      <w:pPr>
        <w:jc w:val="center"/>
        <w:rPr>
          <w:rFonts w:cs="宋体" w:asciiTheme="minorEastAsia" w:hAnsiTheme="minorEastAsia" w:eastAsiaTheme="minorEastAsia"/>
          <w:b/>
          <w:sz w:val="24"/>
          <w:highlight w:val="none"/>
        </w:rPr>
      </w:pPr>
    </w:p>
    <w:p w14:paraId="6B9F7DE2">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2FBF3609">
      <w:pPr>
        <w:jc w:val="center"/>
        <w:rPr>
          <w:rFonts w:cs="宋体" w:asciiTheme="minorEastAsia" w:hAnsiTheme="minorEastAsia" w:eastAsiaTheme="minorEastAsia"/>
          <w:b/>
          <w:sz w:val="24"/>
          <w:highlight w:val="none"/>
        </w:rPr>
      </w:pPr>
    </w:p>
    <w:p w14:paraId="3E2895B8">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[投标</w:t>
      </w:r>
      <w:r>
        <w:rPr>
          <w:rFonts w:asciiTheme="minorEastAsia" w:hAnsiTheme="minorEastAsia" w:eastAsiaTheme="minorEastAsia"/>
          <w:szCs w:val="21"/>
          <w:highlight w:val="none"/>
          <w:u w:val="single"/>
        </w:rPr>
        <w:t>人名称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项目[集中招标项目名称]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、递交、撤回、修改投标文件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636DE496">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hint="eastAsia" w:asciiTheme="minorEastAsia" w:hAnsiTheme="minorEastAsia" w:eastAsiaTheme="minorEastAsia"/>
          <w:bCs/>
          <w:szCs w:val="21"/>
          <w:highlight w:val="none"/>
        </w:rPr>
        <w:t>。</w:t>
      </w:r>
    </w:p>
    <w:p w14:paraId="15660CA6">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4BB9E79F">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12F600F4">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0784842D">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投标人</w:t>
      </w:r>
      <w:r>
        <w:rPr>
          <w:rFonts w:hint="eastAsia" w:asciiTheme="minorEastAsia" w:hAnsiTheme="minorEastAsia" w:eastAsiaTheme="minorEastAsia"/>
          <w:bCs/>
          <w:szCs w:val="21"/>
          <w:highlight w:val="none"/>
        </w:rPr>
        <w:t>名称</w:t>
      </w:r>
      <w:r>
        <w:rPr>
          <w:rFonts w:asciiTheme="minorEastAsia" w:hAnsiTheme="minorEastAsia" w:eastAsiaTheme="minorEastAsia"/>
          <w:bCs/>
          <w:szCs w:val="21"/>
          <w:highlight w:val="none"/>
        </w:rPr>
        <w:t>：</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u w:val="single"/>
        </w:rPr>
        <w:t xml:space="preserve"> </w:t>
      </w:r>
    </w:p>
    <w:p w14:paraId="3DBA611D">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法定代表人/负责人</w:t>
      </w:r>
      <w:r>
        <w:rPr>
          <w:rFonts w:hint="eastAsia" w:asciiTheme="minorEastAsia" w:hAnsiTheme="minorEastAsia" w:eastAsiaTheme="minorEastAsia"/>
          <w:bCs/>
          <w:szCs w:val="21"/>
          <w:highlight w:val="none"/>
        </w:rPr>
        <w:t>（签字或盖人名章）</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u w:val="single"/>
        </w:rPr>
        <w:t xml:space="preserve"> </w:t>
      </w:r>
    </w:p>
    <w:p w14:paraId="6672B0B2">
      <w:pPr>
        <w:topLinePunct/>
        <w:snapToGrid w:val="0"/>
        <w:spacing w:line="440" w:lineRule="exact"/>
        <w:ind w:firstLine="2310" w:firstLineChars="11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hint="eastAsia" w:asciiTheme="minorEastAsia" w:hAnsiTheme="minorEastAsia" w:eastAsiaTheme="minorEastAsia"/>
          <w:bCs/>
          <w:szCs w:val="21"/>
          <w:highlight w:val="none"/>
        </w:rPr>
        <w:t>（签字）</w:t>
      </w:r>
      <w:r>
        <w:rPr>
          <w:rFonts w:asciiTheme="minorEastAsia" w:hAnsiTheme="minorEastAsia" w:eastAsiaTheme="minorEastAsia"/>
          <w:bCs/>
          <w:szCs w:val="21"/>
          <w:highlight w:val="none"/>
        </w:rPr>
        <w:t>：</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07961155">
      <w:pPr>
        <w:topLinePunct/>
        <w:snapToGrid w:val="0"/>
        <w:spacing w:line="440" w:lineRule="exact"/>
        <w:ind w:firstLine="2310" w:firstLineChars="11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委托代理人上级领导（姓名）：</w:t>
      </w:r>
      <w:r>
        <w:rPr>
          <w:rFonts w:hint="eastAsia" w:asciiTheme="minorEastAsia" w:hAnsiTheme="minorEastAsia" w:eastAsiaTheme="minorEastAsia"/>
          <w:bCs/>
          <w:szCs w:val="21"/>
          <w:highlight w:val="none"/>
          <w:u w:val="single"/>
        </w:rPr>
        <w:t xml:space="preserve">                         </w:t>
      </w:r>
    </w:p>
    <w:p w14:paraId="415F5443">
      <w:pPr>
        <w:topLinePunct/>
        <w:snapToGrid w:val="0"/>
        <w:spacing w:line="440" w:lineRule="exact"/>
        <w:ind w:firstLine="2310" w:firstLineChars="11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0FCFFFEC">
      <w:pPr>
        <w:topLinePunct/>
        <w:snapToGrid w:val="0"/>
        <w:spacing w:line="440" w:lineRule="exact"/>
        <w:ind w:firstLine="2373" w:firstLineChars="113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_     __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_     __</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_    _ _</w:t>
      </w:r>
      <w:r>
        <w:rPr>
          <w:rFonts w:hint="eastAsia" w:asciiTheme="minorEastAsia" w:hAnsiTheme="minorEastAsia" w:eastAsiaTheme="minorEastAsia"/>
          <w:highlight w:val="none"/>
        </w:rPr>
        <w:t>日</w:t>
      </w:r>
    </w:p>
    <w:p w14:paraId="41414096">
      <w:pPr>
        <w:topLinePunct/>
        <w:snapToGrid w:val="0"/>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4384" behindDoc="0" locked="0" layoutInCell="1" allowOverlap="1">
                <wp:simplePos x="0" y="0"/>
                <wp:positionH relativeFrom="column">
                  <wp:posOffset>2641600</wp:posOffset>
                </wp:positionH>
                <wp:positionV relativeFrom="paragraph">
                  <wp:posOffset>234950</wp:posOffset>
                </wp:positionV>
                <wp:extent cx="3297555" cy="1875790"/>
                <wp:effectExtent l="0" t="0" r="17145" b="1016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16D4C67D">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18.5pt;height:147.7pt;width:259.65pt;z-index:251664384;mso-width-relative:page;mso-height-relative:page;" fillcolor="#FFFFFF" filled="t" stroked="t" coordsize="21600,21600" o:gfxdata="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dhYDLZAAAACgEAAA8AAAAAAAAAAQAgAAAAIgAAAGRycy9kb3ducmV2LnhtbFBLAQIUABQA&#10;AAAIAIdO4kB42MkPYQIAAKEEAAAOAAAAAAAAAAEAIAAAACgBAABkcnMvZTJvRG9jLnhtbFBLBQYA&#10;AAAABgAGAFkBAAD7BQAAAAA=&#10;">
                <v:fill on="t" focussize="0,0"/>
                <v:stroke color="#000000" miterlimit="8" joinstyle="miter"/>
                <v:imagedata o:title=""/>
                <o:lock v:ext="edit" aspectratio="f"/>
                <v:textbox>
                  <w:txbxContent>
                    <w:p w14:paraId="16D4C67D">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3360" behindDoc="0" locked="0" layoutInCell="1" allowOverlap="1">
                <wp:simplePos x="0" y="0"/>
                <wp:positionH relativeFrom="column">
                  <wp:posOffset>-652145</wp:posOffset>
                </wp:positionH>
                <wp:positionV relativeFrom="paragraph">
                  <wp:posOffset>238760</wp:posOffset>
                </wp:positionV>
                <wp:extent cx="3297555" cy="1875790"/>
                <wp:effectExtent l="0" t="0" r="17145" b="1016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1875790"/>
                        </a:xfrm>
                        <a:prstGeom prst="flowChartAlternateProcess">
                          <a:avLst/>
                        </a:prstGeom>
                        <a:solidFill>
                          <a:srgbClr val="FFFFFF"/>
                        </a:solidFill>
                        <a:ln w="9525">
                          <a:solidFill>
                            <a:srgbClr val="000000"/>
                          </a:solidFill>
                          <a:miter lim="800000"/>
                        </a:ln>
                      </wps:spPr>
                      <wps:txbx>
                        <w:txbxContent>
                          <w:p w14:paraId="397350A4">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47.7pt;width:259.65pt;z-index:251663360;mso-width-relative:page;mso-height-relative:page;" fillcolor="#FFFFFF" filled="t" stroked="t" coordsize="21600,21600" o:gfxdata="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cbT39gAAAALAQAADwAAAAAAAAABACAAAAAiAAAAZHJzL2Rvd25yZXYueG1sUEsBAhQAFAAA&#10;AAgAh07iQDhIe/VhAgAAoQQAAA4AAAAAAAAAAQAgAAAAJwEAAGRycy9lMm9Eb2MueG1sUEsFBgAA&#10;AAAGAAYAWQEAAPoFAAAAAA==&#10;">
                <v:fill on="t" focussize="0,0"/>
                <v:stroke color="#000000" miterlimit="8" joinstyle="miter"/>
                <v:imagedata o:title=""/>
                <o:lock v:ext="edit" aspectratio="f"/>
                <v:textbox>
                  <w:txbxContent>
                    <w:p w14:paraId="397350A4">
                      <w:pPr>
                        <w:jc w:val="center"/>
                        <w:rPr>
                          <w:szCs w:val="21"/>
                        </w:rPr>
                      </w:pPr>
                      <w:r>
                        <w:rPr>
                          <w:rFonts w:hint="eastAsia" w:asciiTheme="minorEastAsia" w:hAnsiTheme="minorEastAsia" w:eastAsiaTheme="minorEastAsia"/>
                          <w:bCs/>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22A6DE1">
      <w:pPr>
        <w:spacing w:line="440" w:lineRule="exact"/>
        <w:rPr>
          <w:rFonts w:asciiTheme="minorEastAsia" w:hAnsiTheme="minorEastAsia" w:eastAsiaTheme="minorEastAsia"/>
          <w:szCs w:val="21"/>
          <w:highlight w:val="none"/>
        </w:rPr>
      </w:pPr>
    </w:p>
    <w:p w14:paraId="4399B6F9">
      <w:pPr>
        <w:spacing w:line="500" w:lineRule="exact"/>
        <w:rPr>
          <w:rFonts w:asciiTheme="minorEastAsia" w:hAnsiTheme="minorEastAsia" w:eastAsiaTheme="minorEastAsia"/>
          <w:szCs w:val="21"/>
          <w:highlight w:val="none"/>
        </w:rPr>
      </w:pPr>
    </w:p>
    <w:p w14:paraId="2449AD4C">
      <w:pPr>
        <w:spacing w:line="440" w:lineRule="exact"/>
        <w:rPr>
          <w:rFonts w:asciiTheme="minorEastAsia" w:hAnsiTheme="minorEastAsia" w:eastAsiaTheme="minorEastAsia"/>
          <w:szCs w:val="21"/>
          <w:highlight w:val="none"/>
        </w:rPr>
      </w:pPr>
    </w:p>
    <w:p w14:paraId="3559C376">
      <w:pPr>
        <w:topLinePunct/>
        <w:snapToGrid w:val="0"/>
        <w:spacing w:line="440" w:lineRule="exact"/>
        <w:rPr>
          <w:rFonts w:asciiTheme="minorEastAsia" w:hAnsiTheme="minorEastAsia" w:eastAsiaTheme="minorEastAsia"/>
          <w:highlight w:val="none"/>
        </w:rPr>
      </w:pPr>
    </w:p>
    <w:p w14:paraId="0F84846D">
      <w:pPr>
        <w:topLinePunct/>
        <w:snapToGrid w:val="0"/>
        <w:spacing w:line="440" w:lineRule="exact"/>
        <w:ind w:firstLine="420" w:firstLineChars="200"/>
        <w:rPr>
          <w:rFonts w:asciiTheme="minorEastAsia" w:hAnsiTheme="minorEastAsia" w:eastAsiaTheme="minorEastAsia"/>
          <w:bCs/>
          <w:szCs w:val="21"/>
          <w:highlight w:val="none"/>
        </w:rPr>
      </w:pPr>
    </w:p>
    <w:p w14:paraId="380F247C">
      <w:pPr>
        <w:topLinePunct/>
        <w:spacing w:line="440" w:lineRule="exact"/>
        <w:jc w:val="left"/>
        <w:rPr>
          <w:rFonts w:asciiTheme="minorEastAsia" w:hAnsiTheme="minorEastAsia" w:eastAsiaTheme="minorEastAsia"/>
          <w:b/>
          <w:highlight w:val="none"/>
        </w:rPr>
      </w:pPr>
    </w:p>
    <w:p w14:paraId="03F547D3">
      <w:pPr>
        <w:topLinePunct/>
        <w:spacing w:line="440" w:lineRule="exact"/>
        <w:jc w:val="left"/>
        <w:rPr>
          <w:rFonts w:asciiTheme="minorEastAsia" w:hAnsiTheme="minorEastAsia" w:eastAsiaTheme="minorEastAsia"/>
          <w:b/>
          <w:highlight w:val="none"/>
        </w:rPr>
      </w:pPr>
    </w:p>
    <w:p w14:paraId="68D213A9">
      <w:pPr>
        <w:topLinePunct/>
        <w:spacing w:line="440" w:lineRule="exact"/>
        <w:jc w:val="left"/>
        <w:rPr>
          <w:rFonts w:asciiTheme="minorEastAsia" w:hAnsiTheme="minorEastAsia" w:eastAsiaTheme="minorEastAsia"/>
          <w:b/>
          <w:highlight w:val="none"/>
        </w:rPr>
      </w:pPr>
    </w:p>
    <w:p w14:paraId="4D278579">
      <w:pPr>
        <w:topLinePunct/>
        <w:spacing w:line="440" w:lineRule="exact"/>
        <w:jc w:val="left"/>
        <w:rPr>
          <w:rFonts w:asciiTheme="minorEastAsia" w:hAnsiTheme="minorEastAsia" w:eastAsiaTheme="minorEastAsia"/>
          <w:b/>
          <w:highlight w:val="none"/>
        </w:rPr>
      </w:pPr>
    </w:p>
    <w:p w14:paraId="60DB5676">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536CDAF4">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5F1D21E">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893" w:name="_Toc19667"/>
      <w:bookmarkStart w:id="894" w:name="_Toc475294115"/>
      <w:bookmarkStart w:id="895" w:name="_Toc6798"/>
      <w:bookmarkStart w:id="896" w:name="_Toc30001"/>
      <w:bookmarkStart w:id="897" w:name="_Toc9841"/>
      <w:bookmarkStart w:id="898" w:name="_Toc20813"/>
      <w:bookmarkStart w:id="899" w:name="_Toc24807"/>
      <w:bookmarkStart w:id="900" w:name="_Toc28250"/>
      <w:bookmarkStart w:id="901" w:name="_Toc30651"/>
      <w:bookmarkStart w:id="902" w:name="_Toc15325"/>
      <w:bookmarkStart w:id="903" w:name="_Toc15342"/>
      <w:bookmarkStart w:id="904" w:name="_Toc5343"/>
      <w:bookmarkStart w:id="905" w:name="_Toc475472677"/>
      <w:bookmarkStart w:id="906" w:name="_Toc38008085"/>
      <w:bookmarkStart w:id="907" w:name="_Hlk167299956"/>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rPr>
        <w:t>廉洁投标承诺书</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bookmarkEnd w:id="907"/>
    <w:p w14:paraId="40D732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廉洁投标承诺书</w:t>
      </w:r>
    </w:p>
    <w:p w14:paraId="797D36F6">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致：【XX公司[招标人名称]】：</w:t>
      </w:r>
    </w:p>
    <w:p w14:paraId="2CD10C7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rPr>
        <w:t>招标项目，为保证招投标活动公开、公平、公正，依据国家法律法规和廉洁从业相关规定，现承诺如下：</w:t>
      </w:r>
    </w:p>
    <w:p w14:paraId="15164F85">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不通过受让、租借或者挂靠资质投标，或者以其他方式以他人名义投标；不伪造、变造资质、资格证书或者其他许可证件，提供虚假业绩、奖项、项目负责人等材料投标，</w:t>
      </w:r>
      <w:r>
        <w:rPr>
          <w:rFonts w:hint="eastAsia" w:asciiTheme="minorEastAsia" w:hAnsiTheme="minorEastAsia" w:eastAsiaTheme="minorEastAsia"/>
          <w:szCs w:val="21"/>
          <w:highlight w:val="none"/>
        </w:rPr>
        <w:t>或者以其他方式弄虚作假，骗取中标；</w:t>
      </w:r>
    </w:p>
    <w:p w14:paraId="665AC947">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不与其他投标人相互串通投标或订立攻守同盟；</w:t>
      </w:r>
    </w:p>
    <w:p w14:paraId="59D7D08B">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不与招标人或招标代理机构串通投标；</w:t>
      </w:r>
    </w:p>
    <w:p w14:paraId="07E680AC">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不向招标人、招标代理机构、</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rPr>
        <w:t>评标委员会成员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谋取中标</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2CB8E96B">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不通过非正常渠道探听采购过程中应当保密的信息，包括(潜在)投标人的数量与名称、评标委员会成员名单和联系方式、其他投标人的投标文件、评标情况及中标推荐意见等。</w:t>
      </w:r>
    </w:p>
    <w:p w14:paraId="5DEF8288">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不私下接触招标人、招标代理机构或评标委员会成员，利用人际关系干扰招标投标活动；</w:t>
      </w:r>
    </w:p>
    <w:p w14:paraId="3DA41515">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不在办公场所、招标现场寻衅滋事、无理取闹或以其他手段非法干预、影响招标的过程和结果；</w:t>
      </w:r>
    </w:p>
    <w:p w14:paraId="2A579C78">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或举报，干扰正常招标投标活动</w:t>
      </w:r>
      <w:r>
        <w:rPr>
          <w:rFonts w:hint="eastAsia" w:asciiTheme="minorEastAsia" w:hAnsiTheme="minorEastAsia" w:eastAsiaTheme="minorEastAsia"/>
          <w:szCs w:val="21"/>
          <w:highlight w:val="none"/>
        </w:rPr>
        <w:t>；不毫无根据地散播不实消息，诋毁他人名誉，主观臆断反映问题与诉求；</w:t>
      </w:r>
    </w:p>
    <w:p w14:paraId="05C987F3">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不以低于成本的报价竞标；</w:t>
      </w:r>
    </w:p>
    <w:p w14:paraId="3789D13B">
      <w:pPr>
        <w:numPr>
          <w:ilvl w:val="0"/>
          <w:numId w:val="93"/>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不以其他方式排挤其他投标人的公平竞争；</w:t>
      </w:r>
    </w:p>
    <w:p w14:paraId="587B0F8B">
      <w:pPr>
        <w:numPr>
          <w:ilvl w:val="0"/>
          <w:numId w:val="93"/>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4AF18692">
      <w:pPr>
        <w:numPr>
          <w:ilvl w:val="0"/>
          <w:numId w:val="93"/>
        </w:numPr>
        <w:tabs>
          <w:tab w:val="left" w:pos="709"/>
        </w:tabs>
        <w:topLinePunct/>
        <w:spacing w:line="440" w:lineRule="exac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发现评标专家有违法行为的，及时向行政监督部门报告。</w:t>
      </w:r>
    </w:p>
    <w:p w14:paraId="01C3228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如发生任何违反本承诺的行为，除按法律法规接受处罚外，招标人有权否决我方本次投标、宣布中标无效、暂停甚至取消我方参加招标人后续招标项目的投标资格等。</w:t>
      </w:r>
    </w:p>
    <w:p w14:paraId="1168D792">
      <w:pPr>
        <w:topLinePunct/>
        <w:spacing w:line="440" w:lineRule="exact"/>
        <w:ind w:left="420"/>
        <w:rPr>
          <w:rFonts w:asciiTheme="minorEastAsia" w:hAnsiTheme="minorEastAsia" w:eastAsiaTheme="minorEastAsia"/>
          <w:szCs w:val="21"/>
          <w:highlight w:val="none"/>
        </w:rPr>
      </w:pPr>
    </w:p>
    <w:p w14:paraId="322C3994">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1C64543">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D10FFAE">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56669892">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p>
    <w:p w14:paraId="68CB34FD">
      <w:pPr>
        <w:topLinePunct/>
        <w:spacing w:line="440" w:lineRule="exact"/>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linePitch="312" w:charSpace="0"/>
        </w:sectPr>
      </w:pPr>
    </w:p>
    <w:p w14:paraId="55C142FC">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08" w:name="_Toc38008086"/>
      <w:bookmarkStart w:id="909" w:name="_Toc22860"/>
      <w:bookmarkStart w:id="910" w:name="_Toc1728"/>
      <w:bookmarkStart w:id="911" w:name="_Toc24766"/>
      <w:bookmarkStart w:id="912" w:name="_Toc475472678"/>
      <w:bookmarkStart w:id="913" w:name="_Toc12058"/>
      <w:bookmarkStart w:id="914" w:name="_Toc10984"/>
      <w:bookmarkStart w:id="915" w:name="_Toc28977"/>
      <w:bookmarkStart w:id="916" w:name="_Toc1641"/>
      <w:bookmarkStart w:id="917" w:name="_Toc21276"/>
      <w:bookmarkStart w:id="918" w:name="_Toc475294116"/>
      <w:bookmarkStart w:id="919" w:name="_Toc29014"/>
      <w:bookmarkStart w:id="920" w:name="_Toc7506"/>
      <w:bookmarkStart w:id="921" w:name="_Toc26577"/>
      <w:bookmarkStart w:id="922" w:name="_Toc441224725"/>
      <w:bookmarkStart w:id="923" w:name="_Hlk167299962"/>
      <w:r>
        <w:rPr>
          <w:rFonts w:hint="eastAsia" w:cs="Times New Roman" w:asciiTheme="minorEastAsia" w:hAnsiTheme="minorEastAsia" w:eastAsiaTheme="minorEastAsia"/>
          <w:b/>
          <w:bCs/>
          <w:kern w:val="2"/>
          <w:sz w:val="24"/>
          <w:szCs w:val="24"/>
          <w:lang w:val="en-US" w:eastAsia="zh-CN" w:bidi="ar-SA"/>
        </w:rPr>
        <w:t>9.</w:t>
      </w:r>
      <w:r>
        <w:rPr>
          <w:rFonts w:hint="eastAsia" w:asciiTheme="minorEastAsia" w:hAnsiTheme="minorEastAsia" w:eastAsiaTheme="minorEastAsia"/>
          <w:sz w:val="24"/>
          <w:szCs w:val="24"/>
        </w:rPr>
        <w:t>近【五】年发生的诉讼及仲裁情况</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bookmarkEnd w:id="923"/>
    <w:p w14:paraId="56A7B91E">
      <w:pPr>
        <w:topLinePunct/>
        <w:spacing w:line="44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近【五】年发生的诉讼及仲裁情况</w:t>
      </w:r>
    </w:p>
    <w:p w14:paraId="64BD5BC7">
      <w:pPr>
        <w:rPr>
          <w:rFonts w:asciiTheme="minorEastAsia" w:hAnsiTheme="minorEastAsia" w:eastAsiaTheme="minorEastAsia"/>
          <w:highlight w:val="none"/>
        </w:rPr>
      </w:pPr>
    </w:p>
    <w:p w14:paraId="60016226">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如投标人有诉讼和/或仲裁（包括已结案和尚在进行的诉讼和/或仲裁阶段的案件），且</w:t>
      </w:r>
      <w:r>
        <w:rPr>
          <w:rFonts w:hint="eastAsia" w:asciiTheme="minorEastAsia" w:hAnsiTheme="minorEastAsia" w:eastAsiaTheme="minorEastAsia"/>
          <w:color w:val="000000"/>
          <w:szCs w:val="21"/>
          <w:highlight w:val="none"/>
        </w:rPr>
        <w:t>可能影响履约能力的，</w:t>
      </w:r>
      <w:r>
        <w:rPr>
          <w:rFonts w:hint="eastAsia" w:asciiTheme="minorEastAsia" w:hAnsiTheme="minorEastAsia" w:eastAsiaTheme="minorEastAsia"/>
          <w:szCs w:val="21"/>
          <w:highlight w:val="none"/>
        </w:rPr>
        <w:t>则须向招标人提供诉讼和/或仲裁案件的有关资料及证明，包括原告（诉讼和/或仲裁申请人）、被告（诉讼和/或仲裁被申请人）、诉讼和/或仲裁原因、诉讼和/或仲裁事件、诉讼和/或仲裁金额、诉讼和/或仲裁结果等，并填入下表。</w:t>
      </w:r>
    </w:p>
    <w:p w14:paraId="1367617C">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如投标人无上述情况，则应在第一行“</w:t>
      </w:r>
      <w:r>
        <w:rPr>
          <w:rFonts w:hint="eastAsia" w:cs="Arial" w:asciiTheme="minorEastAsia" w:hAnsiTheme="minorEastAsia" w:eastAsiaTheme="minorEastAsia"/>
          <w:szCs w:val="21"/>
          <w:highlight w:val="none"/>
        </w:rPr>
        <w:t>起诉（仲裁）人</w:t>
      </w:r>
      <w:r>
        <w:rPr>
          <w:rFonts w:hint="eastAsia" w:asciiTheme="minorEastAsia" w:hAnsiTheme="minorEastAsia" w:eastAsiaTheme="minorEastAsia"/>
          <w:szCs w:val="21"/>
          <w:highlight w:val="none"/>
        </w:rPr>
        <w:t>”列填写“不涉及”。</w:t>
      </w:r>
    </w:p>
    <w:tbl>
      <w:tblPr>
        <w:tblStyle w:val="85"/>
        <w:tblW w:w="8336" w:type="dxa"/>
        <w:tblInd w:w="0" w:type="dxa"/>
        <w:tblLayout w:type="fixed"/>
        <w:tblCellMar>
          <w:top w:w="0" w:type="dxa"/>
          <w:left w:w="0" w:type="dxa"/>
          <w:bottom w:w="0" w:type="dxa"/>
          <w:right w:w="0" w:type="dxa"/>
        </w:tblCellMar>
      </w:tblPr>
      <w:tblGrid>
        <w:gridCol w:w="651"/>
        <w:gridCol w:w="800"/>
        <w:gridCol w:w="1207"/>
        <w:gridCol w:w="1450"/>
        <w:gridCol w:w="1490"/>
        <w:gridCol w:w="1044"/>
        <w:gridCol w:w="1044"/>
        <w:gridCol w:w="650"/>
      </w:tblGrid>
      <w:tr w14:paraId="458DD5F9">
        <w:tblPrEx>
          <w:tblCellMar>
            <w:top w:w="0" w:type="dxa"/>
            <w:left w:w="0" w:type="dxa"/>
            <w:bottom w:w="0" w:type="dxa"/>
            <w:right w:w="0" w:type="dxa"/>
          </w:tblCellMar>
        </w:tblPrEx>
        <w:trPr>
          <w:trHeight w:val="899" w:hRule="atLeast"/>
        </w:trPr>
        <w:tc>
          <w:tcPr>
            <w:tcW w:w="6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6B51B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序号</w:t>
            </w:r>
          </w:p>
        </w:tc>
        <w:tc>
          <w:tcPr>
            <w:tcW w:w="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24AD6A">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日期</w:t>
            </w:r>
          </w:p>
        </w:tc>
        <w:tc>
          <w:tcPr>
            <w:tcW w:w="120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E3A1EC">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起诉（仲裁）人</w:t>
            </w:r>
          </w:p>
        </w:tc>
        <w:tc>
          <w:tcPr>
            <w:tcW w:w="14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CBFBE4">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被诉（被仲裁）人</w:t>
            </w:r>
          </w:p>
        </w:tc>
        <w:tc>
          <w:tcPr>
            <w:tcW w:w="14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19F727">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诉讼（仲裁）事件</w:t>
            </w:r>
          </w:p>
        </w:tc>
        <w:tc>
          <w:tcPr>
            <w:tcW w:w="104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35358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诉讼（仲裁）金额</w:t>
            </w:r>
          </w:p>
        </w:tc>
        <w:tc>
          <w:tcPr>
            <w:tcW w:w="104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B1C778">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诉讼（仲裁）结果</w:t>
            </w:r>
          </w:p>
        </w:tc>
        <w:tc>
          <w:tcPr>
            <w:tcW w:w="6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DFCF4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备注</w:t>
            </w:r>
          </w:p>
        </w:tc>
      </w:tr>
      <w:tr w14:paraId="1BFD7C38">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F65BC">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37333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9D39C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62E86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30F79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D4FEC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E07B9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FBC85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03E7BF1F">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7706B">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0FBFD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4B7C4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4416B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B7B86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23313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CBA76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55F77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6F40E7E8">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0B8ED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79369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C130B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AED5B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D7AC3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FE8C1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E518F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84C67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6AB72906">
        <w:tblPrEx>
          <w:tblCellMar>
            <w:top w:w="0" w:type="dxa"/>
            <w:left w:w="0" w:type="dxa"/>
            <w:bottom w:w="0" w:type="dxa"/>
            <w:right w:w="0" w:type="dxa"/>
          </w:tblCellMar>
        </w:tblPrEx>
        <w:trPr>
          <w:trHeight w:val="570" w:hRule="atLeast"/>
        </w:trPr>
        <w:tc>
          <w:tcPr>
            <w:tcW w:w="65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30FA4">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DDAC4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20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6E6C8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7B792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4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3D2C3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A64162">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104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8AF8A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4166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bl>
    <w:p w14:paraId="4878C305">
      <w:pPr>
        <w:spacing w:line="440" w:lineRule="exact"/>
        <w:ind w:right="480" w:firstLine="4800" w:firstLineChars="2000"/>
        <w:rPr>
          <w:rFonts w:asciiTheme="minorEastAsia" w:hAnsiTheme="minorEastAsia" w:eastAsiaTheme="minorEastAsia"/>
          <w:sz w:val="24"/>
          <w:highlight w:val="none"/>
        </w:rPr>
      </w:pPr>
    </w:p>
    <w:p w14:paraId="0AF2BBD9">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5BB8996D">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A1C3EF9">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8ABC572">
      <w:pPr>
        <w:topLinePunct/>
        <w:spacing w:line="440" w:lineRule="exact"/>
        <w:jc w:val="left"/>
        <w:rPr>
          <w:highlight w:val="none"/>
        </w:rPr>
      </w:pPr>
    </w:p>
    <w:p w14:paraId="246D2943">
      <w:pPr>
        <w:topLinePunct/>
        <w:spacing w:line="440" w:lineRule="exact"/>
        <w:jc w:val="left"/>
        <w:rPr>
          <w:highlight w:val="none"/>
        </w:rPr>
      </w:pPr>
    </w:p>
    <w:p w14:paraId="067B3E3A">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7689E118">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24" w:name="_Toc28157"/>
      <w:bookmarkStart w:id="925" w:name="_Toc21748"/>
      <w:bookmarkStart w:id="926" w:name="_Toc12986"/>
      <w:bookmarkStart w:id="927" w:name="_Toc444791972"/>
      <w:bookmarkStart w:id="928" w:name="_Toc38008087"/>
      <w:bookmarkStart w:id="929" w:name="_Toc7956"/>
      <w:bookmarkStart w:id="930" w:name="_Toc475472679"/>
      <w:bookmarkStart w:id="931" w:name="_Toc21488"/>
      <w:bookmarkStart w:id="932" w:name="_Toc1509"/>
      <w:bookmarkStart w:id="933" w:name="_Toc9048"/>
      <w:bookmarkStart w:id="934" w:name="_Toc11059"/>
      <w:bookmarkStart w:id="935" w:name="_Toc6442"/>
      <w:bookmarkStart w:id="936" w:name="_Toc28136"/>
      <w:bookmarkStart w:id="937" w:name="_Toc1842"/>
      <w:bookmarkStart w:id="938" w:name="_Hlk167299967"/>
      <w:r>
        <w:rPr>
          <w:rFonts w:hint="eastAsia" w:cs="Times New Roman" w:asciiTheme="minorEastAsia" w:hAnsiTheme="minorEastAsia" w:eastAsiaTheme="minorEastAsia"/>
          <w:b/>
          <w:bCs/>
          <w:kern w:val="2"/>
          <w:sz w:val="24"/>
          <w:szCs w:val="24"/>
          <w:lang w:val="en-US" w:eastAsia="zh-CN" w:bidi="ar-SA"/>
        </w:rPr>
        <w:t>10.</w:t>
      </w:r>
      <w:r>
        <w:rPr>
          <w:rFonts w:hint="eastAsia" w:asciiTheme="minorEastAsia" w:hAnsiTheme="minorEastAsia" w:eastAsiaTheme="minorEastAsia"/>
          <w:sz w:val="24"/>
          <w:szCs w:val="24"/>
        </w:rPr>
        <w:t>招标代理服务费支付承诺函</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bookmarkEnd w:id="938"/>
    <w:p w14:paraId="0538A9B3">
      <w:pPr>
        <w:ind w:firstLine="420" w:firstLineChars="200"/>
        <w:rPr>
          <w:rFonts w:asciiTheme="minorEastAsia" w:hAnsiTheme="minorEastAsia" w:eastAsiaTheme="minorEastAsia"/>
          <w:szCs w:val="21"/>
          <w:highlight w:val="none"/>
        </w:rPr>
      </w:pPr>
    </w:p>
    <w:p w14:paraId="6604052A">
      <w:pPr>
        <w:jc w:val="center"/>
        <w:rPr>
          <w:rFonts w:asciiTheme="minorEastAsia" w:hAnsiTheme="minorEastAsia" w:eastAsiaTheme="minorEastAsia"/>
          <w:b/>
          <w:sz w:val="24"/>
          <w:highlight w:val="none"/>
        </w:rPr>
      </w:pPr>
      <w:bookmarkStart w:id="939" w:name="_Toc231704287"/>
      <w:r>
        <w:rPr>
          <w:rFonts w:hint="eastAsia" w:asciiTheme="minorEastAsia" w:hAnsiTheme="minorEastAsia" w:eastAsiaTheme="minorEastAsia"/>
          <w:b/>
          <w:sz w:val="24"/>
          <w:highlight w:val="none"/>
        </w:rPr>
        <w:t>招标代理服务费支付承诺函</w:t>
      </w:r>
      <w:bookmarkEnd w:id="939"/>
    </w:p>
    <w:p w14:paraId="204D6F4D">
      <w:pPr>
        <w:ind w:firstLine="422" w:firstLineChars="200"/>
        <w:jc w:val="center"/>
        <w:rPr>
          <w:rFonts w:asciiTheme="minorEastAsia" w:hAnsiTheme="minorEastAsia" w:eastAsiaTheme="minorEastAsia"/>
          <w:b/>
          <w:szCs w:val="21"/>
          <w:highlight w:val="none"/>
        </w:rPr>
      </w:pPr>
    </w:p>
    <w:p w14:paraId="319C2FB2">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（招标代理机构名称）：</w:t>
      </w:r>
    </w:p>
    <w:p w14:paraId="0F110176">
      <w:pPr>
        <w:spacing w:line="480" w:lineRule="exact"/>
        <w:ind w:firstLine="480" w:firstLineChars="229"/>
        <w:rPr>
          <w:rFonts w:asciiTheme="minorEastAsia" w:hAnsiTheme="minorEastAsia" w:eastAsiaTheme="minorEastAsia"/>
          <w:szCs w:val="21"/>
          <w:highlight w:val="none"/>
        </w:rPr>
      </w:pPr>
    </w:p>
    <w:p w14:paraId="205D40E8">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项目名称）招标项目的投标人。我方承诺，如我公司中标，我公司将按投标人须知第9条的要求，向贵公司支付招标代理服务费。我公司将承担因我方支付招标代理服务费不及时或不支付招标代理服务费而造成的贵方各项损失，包括但不限于违约金、赔偿损失等。</w:t>
      </w:r>
    </w:p>
    <w:p w14:paraId="0F26067C">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14123CFC">
      <w:pPr>
        <w:spacing w:line="480" w:lineRule="exact"/>
        <w:rPr>
          <w:rFonts w:asciiTheme="minorEastAsia" w:hAnsiTheme="minorEastAsia" w:eastAsiaTheme="minorEastAsia"/>
          <w:szCs w:val="21"/>
          <w:highlight w:val="none"/>
        </w:rPr>
      </w:pPr>
    </w:p>
    <w:p w14:paraId="0978813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6153F378">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78B18AC">
      <w:pPr>
        <w:topLinePunct/>
        <w:spacing w:line="440" w:lineRule="exact"/>
        <w:ind w:left="422" w:hanging="422" w:hangingChars="201"/>
        <w:jc w:val="left"/>
        <w:rPr>
          <w:highlight w:val="none"/>
        </w:rPr>
      </w:pPr>
    </w:p>
    <w:p w14:paraId="305B046B">
      <w:pPr>
        <w:topLinePunct/>
        <w:spacing w:line="440" w:lineRule="exact"/>
        <w:ind w:left="422" w:hanging="422" w:hangingChars="201"/>
        <w:jc w:val="left"/>
        <w:rPr>
          <w:highlight w:val="none"/>
        </w:rPr>
      </w:pPr>
    </w:p>
    <w:p w14:paraId="57F5FFEB">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77BF2538">
      <w:pPr>
        <w:numPr>
          <w:ilvl w:val="0"/>
          <w:numId w:val="94"/>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C8BF8EB">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40" w:name="_Toc31708"/>
      <w:bookmarkStart w:id="941" w:name="_Toc8407"/>
      <w:bookmarkStart w:id="942" w:name="_Toc13476"/>
      <w:bookmarkStart w:id="943" w:name="_Toc19028"/>
      <w:bookmarkStart w:id="944" w:name="_Toc155873894"/>
      <w:bookmarkStart w:id="945" w:name="_Toc2029"/>
      <w:bookmarkStart w:id="946" w:name="_Toc6358"/>
      <w:bookmarkStart w:id="947" w:name="_Toc17103"/>
      <w:bookmarkStart w:id="948" w:name="_Toc25287"/>
      <w:bookmarkStart w:id="949" w:name="_Toc6731"/>
      <w:bookmarkStart w:id="950" w:name="_Toc5268"/>
      <w:bookmarkStart w:id="951" w:name="_Hlk167299974"/>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rPr>
        <w:t>不得存在情形承诺</w:t>
      </w:r>
      <w:bookmarkEnd w:id="940"/>
      <w:bookmarkEnd w:id="941"/>
      <w:bookmarkEnd w:id="942"/>
      <w:bookmarkEnd w:id="943"/>
      <w:bookmarkEnd w:id="944"/>
      <w:bookmarkEnd w:id="945"/>
      <w:bookmarkEnd w:id="946"/>
      <w:bookmarkEnd w:id="947"/>
      <w:bookmarkEnd w:id="948"/>
      <w:bookmarkEnd w:id="949"/>
      <w:bookmarkEnd w:id="950"/>
    </w:p>
    <w:bookmarkEnd w:id="951"/>
    <w:p w14:paraId="16EEC49B">
      <w:pPr>
        <w:jc w:val="center"/>
        <w:rPr>
          <w:highlight w:val="none"/>
        </w:rPr>
      </w:pPr>
      <w:r>
        <w:rPr>
          <w:rFonts w:hint="eastAsia"/>
          <w:highlight w:val="none"/>
        </w:rPr>
        <w:t>不得存在情形承诺</w:t>
      </w:r>
    </w:p>
    <w:p w14:paraId="365F474D">
      <w:pPr>
        <w:rPr>
          <w:rFonts w:hint="eastAsia" w:eastAsia="宋体"/>
          <w:highlight w:val="none"/>
          <w:lang w:eastAsia="zh-CN"/>
        </w:rPr>
      </w:pPr>
      <w:r>
        <w:rPr>
          <w:rFonts w:hint="eastAsia"/>
          <w:highlight w:val="none"/>
        </w:rPr>
        <w:t xml:space="preserve">致： </w:t>
      </w:r>
      <w:r>
        <w:rPr>
          <w:rFonts w:hint="eastAsia"/>
          <w:highlight w:val="none"/>
          <w:lang w:eastAsia="zh-CN"/>
        </w:rPr>
        <w:t>中国电信股份有限公司遵义分公司</w:t>
      </w:r>
    </w:p>
    <w:p w14:paraId="2941580E">
      <w:pPr>
        <w:rPr>
          <w:highlight w:val="none"/>
        </w:rPr>
      </w:pPr>
      <w:r>
        <w:rPr>
          <w:rFonts w:hint="eastAsia"/>
          <w:highlight w:val="none"/>
        </w:rPr>
        <w:t>我公司承诺，不存在下列情形之一：</w:t>
      </w:r>
    </w:p>
    <w:p w14:paraId="592CF837">
      <w:pPr>
        <w:rPr>
          <w:rFonts w:hint="eastAsia"/>
          <w:highlight w:val="none"/>
        </w:rPr>
      </w:pPr>
      <w:r>
        <w:rPr>
          <w:rFonts w:hint="eastAsia"/>
          <w:highlight w:val="none"/>
        </w:rPr>
        <w:t>（1）为采购人不具有独立法人资格的附属机构（单位）；</w:t>
      </w:r>
    </w:p>
    <w:p w14:paraId="24FD3B0D">
      <w:pPr>
        <w:rPr>
          <w:rFonts w:hint="eastAsia"/>
          <w:highlight w:val="none"/>
        </w:rPr>
      </w:pPr>
      <w:r>
        <w:rPr>
          <w:rFonts w:hint="eastAsia"/>
          <w:highlight w:val="none"/>
        </w:rPr>
        <w:t>（2）被依法暂停或取消投标/响应资格的；</w:t>
      </w:r>
    </w:p>
    <w:p w14:paraId="09CF804E">
      <w:pPr>
        <w:rPr>
          <w:rFonts w:hint="eastAsia"/>
          <w:highlight w:val="none"/>
        </w:rPr>
      </w:pPr>
      <w:r>
        <w:rPr>
          <w:rFonts w:hint="eastAsia"/>
          <w:highlight w:val="none"/>
        </w:rPr>
        <w:t xml:space="preserve">（3）被责令停产停业、暂扣或者吊销许可证、暂扣或者吊销执照； </w:t>
      </w:r>
    </w:p>
    <w:p w14:paraId="2E97C09F">
      <w:pPr>
        <w:rPr>
          <w:rFonts w:hint="eastAsia"/>
          <w:highlight w:val="none"/>
        </w:rPr>
      </w:pPr>
      <w:r>
        <w:rPr>
          <w:rFonts w:hint="eastAsia"/>
          <w:highlight w:val="none"/>
        </w:rPr>
        <w:t xml:space="preserve">（4）进入清算程序，或被宣告破产，或其他丧失履约能力的情形； </w:t>
      </w:r>
    </w:p>
    <w:p w14:paraId="63E6C756">
      <w:pPr>
        <w:rPr>
          <w:rFonts w:hint="eastAsia"/>
          <w:highlight w:val="none"/>
        </w:rPr>
      </w:pPr>
      <w:r>
        <w:rPr>
          <w:rFonts w:hint="eastAsia"/>
          <w:highlight w:val="none"/>
        </w:rPr>
        <w:t>（5）在最近三年内[响应截止时间前36个月]被相关行业主管部门或司法机关认定骗取中标/成交、严重违约、重大工程质量或者安全问题的；</w:t>
      </w:r>
    </w:p>
    <w:p w14:paraId="66254344">
      <w:pPr>
        <w:rPr>
          <w:rFonts w:hint="eastAsia"/>
          <w:highlight w:val="none"/>
        </w:rPr>
      </w:pPr>
      <w:r>
        <w:rPr>
          <w:rFonts w:hint="eastAsia"/>
          <w:highlight w:val="none"/>
        </w:rPr>
        <w:t>（6）在最近五年内[响应截止时间前60个月]被判处单位行贿罪，且行贿行为与采购活动相关的（以“中国裁判文书网”的生效判决为准）；</w:t>
      </w:r>
    </w:p>
    <w:p w14:paraId="2569FE57">
      <w:pPr>
        <w:rPr>
          <w:rFonts w:hint="eastAsia"/>
          <w:highlight w:val="none"/>
        </w:rPr>
      </w:pPr>
      <w:r>
        <w:rPr>
          <w:rFonts w:hint="eastAsia"/>
          <w:highlight w:val="none"/>
        </w:rPr>
        <w:t>（7）在最近五年内[响应截止时间前60个月]被判处合同诈骗罪的（以“中国裁判文书网”的生效判决为准）；</w:t>
      </w:r>
    </w:p>
    <w:p w14:paraId="7F7735D4">
      <w:pPr>
        <w:rPr>
          <w:rFonts w:hint="eastAsia"/>
          <w:highlight w:val="none"/>
        </w:rPr>
      </w:pPr>
      <w:r>
        <w:rPr>
          <w:rFonts w:hint="eastAsia"/>
          <w:highlight w:val="none"/>
        </w:rPr>
        <w:t>（8）被最高人民法院在“信用中国”网站（www.creditchina.gov.cn）或各级信用信息共享平台中列入失信被执行人名单，已执行完毕或不再执行的除外；</w:t>
      </w:r>
    </w:p>
    <w:p w14:paraId="50538EAA">
      <w:pPr>
        <w:rPr>
          <w:rFonts w:hint="eastAsia"/>
          <w:highlight w:val="none"/>
        </w:rPr>
      </w:pPr>
      <w:r>
        <w:rPr>
          <w:rFonts w:hint="eastAsia"/>
          <w:highlight w:val="none"/>
        </w:rPr>
        <w:t>（9）为本招标项目提供过设计、编制技术规范和其他文件的咨询服务；</w:t>
      </w:r>
    </w:p>
    <w:p w14:paraId="6CBD9E5F">
      <w:pPr>
        <w:rPr>
          <w:rFonts w:hint="eastAsia"/>
          <w:highlight w:val="none"/>
        </w:rPr>
      </w:pPr>
      <w:r>
        <w:rPr>
          <w:rFonts w:hint="eastAsia"/>
          <w:highlight w:val="none"/>
        </w:rPr>
        <w:t>（10）为本工程项目的相关监理人，或者与本工程项目的相关监理人存在隶属关系或者其他利害关系；</w:t>
      </w:r>
    </w:p>
    <w:p w14:paraId="0B5578CF">
      <w:pPr>
        <w:rPr>
          <w:rFonts w:hint="eastAsia"/>
          <w:highlight w:val="none"/>
        </w:rPr>
      </w:pPr>
      <w:r>
        <w:rPr>
          <w:rFonts w:hint="eastAsia"/>
          <w:highlight w:val="none"/>
        </w:rPr>
        <w:t>（11）为本招标项目的代建人；</w:t>
      </w:r>
    </w:p>
    <w:p w14:paraId="09A2C1EC">
      <w:pPr>
        <w:rPr>
          <w:rFonts w:hint="eastAsia"/>
          <w:highlight w:val="none"/>
        </w:rPr>
      </w:pPr>
      <w:r>
        <w:rPr>
          <w:rFonts w:hint="eastAsia"/>
          <w:highlight w:val="none"/>
        </w:rPr>
        <w:t>（12）为本招标项目的采购代理机构；</w:t>
      </w:r>
    </w:p>
    <w:p w14:paraId="7F5ADF5E">
      <w:pPr>
        <w:rPr>
          <w:rFonts w:hint="eastAsia"/>
          <w:highlight w:val="none"/>
        </w:rPr>
      </w:pPr>
      <w:r>
        <w:rPr>
          <w:rFonts w:hint="eastAsia"/>
          <w:highlight w:val="none"/>
        </w:rPr>
        <w:t>（13）与本招标项目的监理人或代建人或采购代理机构同为一个法定代表人；</w:t>
      </w:r>
    </w:p>
    <w:p w14:paraId="279EEC80">
      <w:pPr>
        <w:rPr>
          <w:rFonts w:hint="eastAsia"/>
          <w:highlight w:val="none"/>
        </w:rPr>
      </w:pPr>
      <w:r>
        <w:rPr>
          <w:rFonts w:hint="eastAsia"/>
          <w:highlight w:val="none"/>
        </w:rPr>
        <w:t>（14）与本招标项目的监理人或代建人或采购代理机构存在控股或参股关系；</w:t>
      </w:r>
    </w:p>
    <w:p w14:paraId="009A767C">
      <w:pPr>
        <w:rPr>
          <w:rFonts w:hint="eastAsia"/>
          <w:highlight w:val="none"/>
        </w:rPr>
      </w:pPr>
      <w:r>
        <w:rPr>
          <w:rFonts w:hint="eastAsia"/>
          <w:highlight w:val="none"/>
        </w:rPr>
        <w:t>（15）被工商行政管理机关在国家企业信用信息公示系统中列入严重违法失信企业名单的；</w:t>
      </w:r>
    </w:p>
    <w:p w14:paraId="44F2FBC2">
      <w:pPr>
        <w:rPr>
          <w:rFonts w:hint="eastAsia"/>
          <w:highlight w:val="none"/>
        </w:rPr>
      </w:pPr>
      <w:r>
        <w:rPr>
          <w:rFonts w:hint="eastAsia"/>
          <w:highlight w:val="none"/>
        </w:rPr>
        <w:t>（16）中国电信在职员工违规担任供应商法定代表人并参与采购活动的；</w:t>
      </w:r>
    </w:p>
    <w:p w14:paraId="6CF6F7D9">
      <w:pPr>
        <w:rPr>
          <w:rFonts w:hint="eastAsia"/>
          <w:highlight w:val="none"/>
        </w:rPr>
      </w:pPr>
      <w:r>
        <w:rPr>
          <w:rFonts w:hint="eastAsia"/>
          <w:highlight w:val="none"/>
        </w:rPr>
        <w:t>（17）中国电信集团有限公司/中国电信股份有限公司中层及以上管理人员违反有关领导人员配偶、子女及其配偶经商办企业行为管理规定，其配偶、子女及其配偶经商办企业参与采购活动的；</w:t>
      </w:r>
    </w:p>
    <w:p w14:paraId="64CF3A25">
      <w:pPr>
        <w:rPr>
          <w:rFonts w:hint="eastAsia"/>
          <w:highlight w:val="none"/>
        </w:rPr>
      </w:pPr>
      <w:r>
        <w:rPr>
          <w:rFonts w:hint="eastAsia"/>
          <w:highlight w:val="none"/>
        </w:rPr>
        <w:t>（18）中国电信领导人员离职或退休后三年内违反《国有企业领导人员廉洁从业若干规定》等相关规定任职、投资入股的私营企业、外资企业和中介机构，参与其原任职单位采购活动的；</w:t>
      </w:r>
    </w:p>
    <w:p w14:paraId="2A9CD77B">
      <w:pPr>
        <w:rPr>
          <w:rFonts w:hint="eastAsia"/>
          <w:highlight w:val="none"/>
        </w:rPr>
      </w:pPr>
      <w:r>
        <w:rPr>
          <w:rFonts w:hint="eastAsia"/>
          <w:highlight w:val="none"/>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378F5618">
      <w:pPr>
        <w:rPr>
          <w:rFonts w:hint="eastAsia"/>
          <w:highlight w:val="none"/>
        </w:rPr>
      </w:pPr>
      <w:r>
        <w:rPr>
          <w:rFonts w:hint="eastAsia"/>
          <w:highlight w:val="none"/>
        </w:rPr>
        <w:t>（20）法律法规、招标文件限定的其他情形。</w:t>
      </w:r>
    </w:p>
    <w:p w14:paraId="69C2BE00">
      <w:pPr>
        <w:rPr>
          <w:highlight w:val="none"/>
        </w:rPr>
      </w:pPr>
      <w:r>
        <w:rPr>
          <w:rFonts w:hint="eastAsia"/>
          <w:highlight w:val="none"/>
        </w:rPr>
        <w:t>供应商是代理商的，本条所指的供应商也包括其所代理的制造商；联合体响应的，联合体成员均不得存在上述任一情形。</w:t>
      </w:r>
    </w:p>
    <w:p w14:paraId="3440DCF7">
      <w:pPr>
        <w:ind w:right="840" w:firstLine="4200" w:firstLineChars="2000"/>
        <w:jc w:val="right"/>
        <w:rPr>
          <w:highlight w:val="none"/>
          <w:u w:val="single"/>
        </w:rPr>
      </w:pPr>
      <w:r>
        <w:rPr>
          <w:rFonts w:hint="eastAsia"/>
          <w:highlight w:val="none"/>
        </w:rPr>
        <w:t>投 标 人：</w:t>
      </w:r>
      <w:r>
        <w:rPr>
          <w:rFonts w:hint="eastAsia"/>
          <w:highlight w:val="none"/>
          <w:u w:val="single"/>
        </w:rPr>
        <w:t xml:space="preserve">     </w:t>
      </w:r>
      <w:r>
        <w:rPr>
          <w:highlight w:val="none"/>
          <w:u w:val="single"/>
        </w:rPr>
        <w:t xml:space="preserve">   </w:t>
      </w:r>
      <w:r>
        <w:rPr>
          <w:rFonts w:hint="eastAsia"/>
          <w:highlight w:val="none"/>
          <w:u w:val="single"/>
        </w:rPr>
        <w:t xml:space="preserve">               </w:t>
      </w:r>
    </w:p>
    <w:p w14:paraId="7502C1CC">
      <w:pPr>
        <w:jc w:val="right"/>
        <w:rPr>
          <w:highlight w:val="none"/>
        </w:rPr>
      </w:pPr>
      <w:r>
        <w:rPr>
          <w:rFonts w:hint="eastAsia"/>
          <w:highlight w:val="none"/>
        </w:rPr>
        <w:t xml:space="preserve">                                          </w:t>
      </w:r>
    </w:p>
    <w:p w14:paraId="6621F54E">
      <w:pPr>
        <w:pStyle w:val="21"/>
        <w:snapToGrid w:val="0"/>
        <w:spacing w:line="440" w:lineRule="exact"/>
        <w:ind w:firstLine="420" w:firstLineChars="200"/>
        <w:jc w:val="righ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日期：      年   月   日</w:t>
      </w:r>
    </w:p>
    <w:p w14:paraId="613313DE">
      <w:pPr>
        <w:rPr>
          <w:highlight w:val="none"/>
        </w:rPr>
      </w:pPr>
      <w:r>
        <w:rPr>
          <w:highlight w:val="none"/>
        </w:rPr>
        <w:br w:type="page"/>
      </w:r>
    </w:p>
    <w:p w14:paraId="55401E1F">
      <w:pPr>
        <w:pStyle w:val="81"/>
        <w:tabs>
          <w:tab w:val="left" w:pos="588"/>
        </w:tabs>
        <w:snapToGrid w:val="0"/>
        <w:spacing w:before="120" w:after="120" w:line="440" w:lineRule="exact"/>
        <w:jc w:val="left"/>
        <w:rPr>
          <w:rFonts w:asciiTheme="minorEastAsia" w:hAnsiTheme="minorEastAsia" w:eastAsiaTheme="minorEastAsia"/>
          <w:sz w:val="24"/>
          <w:szCs w:val="24"/>
        </w:rPr>
      </w:pPr>
      <w:bookmarkStart w:id="952" w:name="_Toc31484"/>
      <w:bookmarkStart w:id="953" w:name="_Toc9283"/>
      <w:bookmarkStart w:id="954" w:name="_Toc9872"/>
      <w:bookmarkStart w:id="955" w:name="_Toc4916"/>
      <w:bookmarkStart w:id="956" w:name="_Toc19748"/>
      <w:bookmarkStart w:id="957" w:name="_Toc12555"/>
      <w:bookmarkStart w:id="958" w:name="_Toc2590"/>
      <w:bookmarkStart w:id="959" w:name="_Toc12824"/>
      <w:r>
        <w:rPr>
          <w:rFonts w:hint="eastAsia" w:ascii="宋体" w:hAnsi="宋体" w:cs="宋体"/>
          <w:sz w:val="24"/>
          <w:szCs w:val="24"/>
          <w:lang w:val="en-US" w:eastAsia="zh-CN"/>
        </w:rPr>
        <w:t>12.</w:t>
      </w:r>
      <w:r>
        <w:rPr>
          <w:rFonts w:hint="eastAsia" w:ascii="宋体" w:hAnsi="宋体" w:cs="宋体"/>
          <w:sz w:val="24"/>
          <w:szCs w:val="24"/>
        </w:rPr>
        <w:t>开</w:t>
      </w:r>
      <w:r>
        <w:rPr>
          <w:rFonts w:hint="eastAsia" w:asciiTheme="minorEastAsia" w:hAnsiTheme="minorEastAsia" w:eastAsiaTheme="minorEastAsia"/>
          <w:sz w:val="24"/>
          <w:szCs w:val="24"/>
        </w:rPr>
        <w:t>具增值税专用发票承诺</w:t>
      </w:r>
      <w:bookmarkEnd w:id="952"/>
      <w:bookmarkEnd w:id="953"/>
      <w:bookmarkEnd w:id="954"/>
      <w:bookmarkEnd w:id="955"/>
      <w:bookmarkEnd w:id="956"/>
      <w:bookmarkEnd w:id="957"/>
      <w:bookmarkEnd w:id="958"/>
      <w:bookmarkEnd w:id="959"/>
    </w:p>
    <w:p w14:paraId="3CF683EF">
      <w:pPr>
        <w:pStyle w:val="34"/>
        <w:rPr>
          <w:rFonts w:ascii="宋体" w:hAnsi="宋体"/>
        </w:rPr>
      </w:pPr>
    </w:p>
    <w:p w14:paraId="5890658A">
      <w:pPr>
        <w:jc w:val="center"/>
        <w:rPr>
          <w:b/>
          <w:szCs w:val="21"/>
        </w:rPr>
      </w:pPr>
      <w:r>
        <w:rPr>
          <w:rFonts w:hint="eastAsia" w:ascii="宋体" w:hAnsi="宋体"/>
          <w:b/>
          <w:sz w:val="24"/>
        </w:rPr>
        <w:t>开具增值税专用发票承诺</w:t>
      </w:r>
    </w:p>
    <w:p w14:paraId="48178083">
      <w:pPr>
        <w:rPr>
          <w:szCs w:val="21"/>
        </w:rPr>
      </w:pPr>
    </w:p>
    <w:p w14:paraId="23EECF41">
      <w:pPr>
        <w:spacing w:line="480" w:lineRule="exact"/>
        <w:rPr>
          <w:rFonts w:hAnsi="宋体"/>
          <w:color w:val="000000"/>
          <w:szCs w:val="21"/>
        </w:rPr>
      </w:pPr>
      <w:r>
        <w:rPr>
          <w:rFonts w:hint="eastAsia" w:ascii="宋体" w:hAnsi="宋体"/>
          <w:szCs w:val="21"/>
        </w:rPr>
        <w:t>致</w:t>
      </w:r>
      <w:r>
        <w:rPr>
          <w:rFonts w:hint="eastAsia" w:ascii="宋体" w:hAnsi="宋体" w:cs="宋体"/>
          <w:szCs w:val="21"/>
        </w:rPr>
        <w:t>中国电信股份有限公司遵义分公司：</w:t>
      </w:r>
    </w:p>
    <w:p w14:paraId="48B4515F">
      <w:pPr>
        <w:spacing w:line="480" w:lineRule="exact"/>
        <w:ind w:firstLine="480" w:firstLineChars="229"/>
        <w:rPr>
          <w:rFonts w:ascii="仿宋_GB2312" w:hAnsi="仿宋" w:eastAsia="仿宋_GB2312"/>
          <w:szCs w:val="21"/>
        </w:rPr>
      </w:pPr>
    </w:p>
    <w:p w14:paraId="4E6811D8">
      <w:pPr>
        <w:spacing w:line="480" w:lineRule="exact"/>
        <w:ind w:firstLine="480" w:firstLineChars="229"/>
        <w:rPr>
          <w:rFonts w:hAnsi="宋体"/>
          <w:color w:val="000000"/>
          <w:szCs w:val="21"/>
        </w:rPr>
      </w:pPr>
      <w:r>
        <w:rPr>
          <w:rFonts w:hint="eastAsia" w:hAnsi="宋体"/>
          <w:color w:val="000000"/>
          <w:szCs w:val="21"/>
        </w:rPr>
        <w:t>我公司若</w:t>
      </w:r>
      <w:r>
        <w:rPr>
          <w:rFonts w:hint="eastAsia" w:hAnsi="宋体"/>
          <w:color w:val="000000"/>
          <w:szCs w:val="21"/>
          <w:lang w:val="en-US" w:eastAsia="zh-CN"/>
        </w:rPr>
        <w:t>中标</w:t>
      </w:r>
      <w:r>
        <w:rPr>
          <w:rFonts w:hint="eastAsia" w:hAnsi="宋体"/>
          <w:color w:val="000000"/>
          <w:szCs w:val="21"/>
        </w:rPr>
        <w:t>交贵公司的项目，将按照贵公司要求向贵公司提供符合国家相关税务法规要求的增值税专用发票，如承诺不实，我公司承担由此产生的全部责任。</w:t>
      </w:r>
    </w:p>
    <w:p w14:paraId="58D51F50">
      <w:pPr>
        <w:spacing w:line="480" w:lineRule="exact"/>
        <w:ind w:firstLine="480" w:firstLineChars="229"/>
        <w:rPr>
          <w:rFonts w:hAnsi="宋体"/>
          <w:color w:val="000000"/>
          <w:szCs w:val="21"/>
        </w:rPr>
      </w:pPr>
      <w:r>
        <w:rPr>
          <w:rFonts w:hint="eastAsia" w:hAnsi="宋体"/>
          <w:color w:val="000000"/>
          <w:szCs w:val="21"/>
        </w:rPr>
        <w:t>特此承诺！</w:t>
      </w:r>
    </w:p>
    <w:p w14:paraId="6D5CB85C">
      <w:pPr>
        <w:spacing w:line="480" w:lineRule="exact"/>
        <w:rPr>
          <w:rFonts w:ascii="仿宋_GB2312" w:hAnsi="仿宋" w:eastAsia="仿宋_GB2312"/>
          <w:szCs w:val="21"/>
        </w:rPr>
      </w:pPr>
    </w:p>
    <w:p w14:paraId="1127EA09">
      <w:pPr>
        <w:spacing w:line="480" w:lineRule="exact"/>
        <w:ind w:firstLine="480" w:firstLineChars="229"/>
        <w:jc w:val="center"/>
        <w:rPr>
          <w:rFonts w:hAnsi="宋体"/>
          <w:color w:val="000000"/>
          <w:szCs w:val="21"/>
        </w:rPr>
      </w:pPr>
      <w:r>
        <w:rPr>
          <w:rFonts w:hint="eastAsia" w:hAnsi="宋体"/>
          <w:color w:val="000000"/>
          <w:szCs w:val="21"/>
        </w:rPr>
        <w:t xml:space="preserve">                      </w:t>
      </w:r>
      <w:r>
        <w:rPr>
          <w:rFonts w:hint="eastAsia" w:hAnsi="宋体"/>
          <w:color w:val="000000"/>
          <w:szCs w:val="21"/>
          <w:lang w:val="en-US" w:eastAsia="zh-CN"/>
        </w:rPr>
        <w:t>投标人</w:t>
      </w:r>
      <w:r>
        <w:rPr>
          <w:rFonts w:hint="eastAsia" w:hAnsi="宋体"/>
          <w:color w:val="000000"/>
          <w:szCs w:val="21"/>
        </w:rPr>
        <w:t>名称：</w:t>
      </w:r>
      <w:bookmarkStart w:id="960" w:name="_Hlk533156652"/>
      <w:r>
        <w:rPr>
          <w:rFonts w:hint="eastAsia" w:ascii="宋体" w:hAnsi="宋体"/>
          <w:szCs w:val="21"/>
        </w:rPr>
        <w:t>XXXX公司</w:t>
      </w:r>
      <w:bookmarkEnd w:id="960"/>
      <w:r>
        <w:rPr>
          <w:rFonts w:hint="eastAsia" w:hAnsi="宋体"/>
          <w:color w:val="000000"/>
          <w:szCs w:val="21"/>
        </w:rPr>
        <w:t>（盖单位章）</w:t>
      </w:r>
    </w:p>
    <w:p w14:paraId="5B5E2100">
      <w:pPr>
        <w:spacing w:line="480" w:lineRule="exact"/>
        <w:ind w:firstLine="480" w:firstLineChars="229"/>
        <w:jc w:val="center"/>
        <w:rPr>
          <w:rFonts w:hAnsi="宋体"/>
          <w:color w:val="000000"/>
          <w:szCs w:val="21"/>
        </w:rPr>
      </w:pPr>
      <w:r>
        <w:rPr>
          <w:rFonts w:hint="eastAsia" w:hAnsi="宋体"/>
          <w:color w:val="000000"/>
          <w:szCs w:val="21"/>
        </w:rPr>
        <w:t xml:space="preserve">                             法定代表人或授权代表（签字）：</w:t>
      </w:r>
    </w:p>
    <w:p w14:paraId="2CB583E2">
      <w:pPr>
        <w:spacing w:line="480" w:lineRule="exact"/>
        <w:ind w:firstLine="480" w:firstLineChars="229"/>
        <w:jc w:val="center"/>
        <w:rPr>
          <w:rFonts w:hAnsi="宋体"/>
          <w:color w:val="000000"/>
          <w:szCs w:val="21"/>
        </w:rPr>
      </w:pPr>
      <w:r>
        <w:rPr>
          <w:rFonts w:hint="eastAsia" w:hAnsi="宋体"/>
          <w:color w:val="000000"/>
          <w:szCs w:val="21"/>
        </w:rPr>
        <w:t xml:space="preserve">                                日期：</w:t>
      </w:r>
      <w:r>
        <w:rPr>
          <w:rFonts w:hint="eastAsia" w:ascii="宋体" w:hAnsi="宋体" w:cs="Arial"/>
          <w:bCs/>
          <w:szCs w:val="21"/>
        </w:rPr>
        <w:t>XX年 XX月XX日</w:t>
      </w:r>
    </w:p>
    <w:p w14:paraId="479D979C">
      <w:pPr>
        <w:widowControl/>
        <w:jc w:val="left"/>
        <w:rPr>
          <w:rFonts w:ascii="楷体_GB2312" w:eastAsia="楷体_GB2312"/>
          <w:kern w:val="0"/>
          <w:sz w:val="28"/>
          <w:szCs w:val="20"/>
          <w:highlight w:val="none"/>
        </w:rPr>
      </w:pPr>
      <w:r>
        <w:rPr>
          <w:highlight w:val="none"/>
        </w:rPr>
        <w:br w:type="page"/>
      </w:r>
    </w:p>
    <w:p w14:paraId="76265237">
      <w:pPr>
        <w:pStyle w:val="81"/>
        <w:tabs>
          <w:tab w:val="left" w:pos="588"/>
        </w:tabs>
        <w:snapToGrid w:val="0"/>
        <w:spacing w:before="120" w:after="120" w:line="440" w:lineRule="exact"/>
        <w:jc w:val="left"/>
        <w:rPr>
          <w:rFonts w:hint="eastAsia" w:ascii="宋体" w:hAnsi="宋体" w:eastAsia="宋体" w:cs="宋体"/>
          <w:sz w:val="24"/>
          <w:szCs w:val="24"/>
          <w:lang w:val="en-US" w:eastAsia="zh-CN"/>
        </w:rPr>
      </w:pPr>
      <w:bookmarkStart w:id="961" w:name="_Toc31438"/>
      <w:bookmarkStart w:id="962" w:name="_Toc205217519"/>
      <w:bookmarkStart w:id="963" w:name="_Toc17375"/>
      <w:bookmarkStart w:id="964" w:name="_Toc23702"/>
      <w:bookmarkStart w:id="965" w:name="_Toc9537"/>
      <w:bookmarkStart w:id="966" w:name="_Toc12718"/>
      <w:bookmarkStart w:id="967" w:name="_Toc3643"/>
      <w:bookmarkStart w:id="968" w:name="_Toc18071"/>
      <w:bookmarkStart w:id="969" w:name="_Toc11596"/>
      <w:bookmarkStart w:id="970" w:name="_Toc155873895"/>
      <w:bookmarkStart w:id="971" w:name="_Toc26331"/>
      <w:bookmarkStart w:id="972" w:name="_Toc23500"/>
      <w:bookmarkStart w:id="973" w:name="_Toc17082"/>
      <w:bookmarkStart w:id="974" w:name="_Toc28360"/>
      <w:bookmarkStart w:id="975" w:name="_Hlk167299984"/>
      <w:r>
        <w:rPr>
          <w:rFonts w:hint="eastAsia" w:ascii="宋体" w:hAnsi="宋体" w:eastAsia="宋体" w:cs="宋体"/>
          <w:sz w:val="24"/>
          <w:szCs w:val="24"/>
          <w:lang w:val="en-US" w:eastAsia="zh-CN"/>
        </w:rPr>
        <w:t>13.特定关系信息收集表</w:t>
      </w:r>
      <w:bookmarkEnd w:id="961"/>
      <w:bookmarkEnd w:id="962"/>
      <w:bookmarkEnd w:id="963"/>
      <w:bookmarkEnd w:id="964"/>
      <w:bookmarkEnd w:id="965"/>
    </w:p>
    <w:p w14:paraId="1B8D5E3C">
      <w:pPr>
        <w:jc w:val="center"/>
        <w:rPr>
          <w:rFonts w:ascii="Times New Roman" w:hAnsi="Times New Roman" w:eastAsia="宋体" w:cs="Times New Roman"/>
          <w:highlight w:val="none"/>
        </w:rPr>
      </w:pPr>
    </w:p>
    <w:p w14:paraId="194FFF10">
      <w:pPr>
        <w:jc w:val="center"/>
        <w:rPr>
          <w:rFonts w:ascii="仿宋_GB2312" w:hAnsi="Times New Roman" w:eastAsia="微软雅黑" w:cs="Times New Roman"/>
          <w:b/>
          <w:sz w:val="28"/>
          <w:highlight w:val="none"/>
        </w:rPr>
      </w:pPr>
      <w:r>
        <w:rPr>
          <w:rFonts w:hint="eastAsia" w:ascii="微软雅黑" w:hAnsi="微软雅黑" w:eastAsia="微软雅黑" w:cs="Times New Roman"/>
          <w:b/>
          <w:szCs w:val="36"/>
          <w:highlight w:val="none"/>
        </w:rPr>
        <w:t>中国电信在职员工、离职或退休后三年内在我方担任法定代表人或董监高的情况表</w:t>
      </w:r>
    </w:p>
    <w:p w14:paraId="48CE1E2E">
      <w:pPr>
        <w:ind w:firstLine="420" w:firstLineChars="200"/>
        <w:rPr>
          <w:rFonts w:ascii="仿宋_GB2312" w:eastAsia="仿宋_GB2312" w:cs="Times New Roman" w:hAnsiTheme="minorEastAsia"/>
          <w:highlight w:val="none"/>
        </w:rPr>
      </w:pPr>
    </w:p>
    <w:tbl>
      <w:tblPr>
        <w:tblStyle w:val="85"/>
        <w:tblW w:w="5305" w:type="pct"/>
        <w:jc w:val="center"/>
        <w:tblLayout w:type="fixed"/>
        <w:tblCellMar>
          <w:top w:w="0" w:type="dxa"/>
          <w:left w:w="108" w:type="dxa"/>
          <w:bottom w:w="0" w:type="dxa"/>
          <w:right w:w="108" w:type="dxa"/>
        </w:tblCellMar>
      </w:tblPr>
      <w:tblGrid>
        <w:gridCol w:w="646"/>
        <w:gridCol w:w="1285"/>
        <w:gridCol w:w="1607"/>
        <w:gridCol w:w="2298"/>
        <w:gridCol w:w="1190"/>
        <w:gridCol w:w="839"/>
        <w:gridCol w:w="1177"/>
      </w:tblGrid>
      <w:tr w14:paraId="54452E7B">
        <w:tblPrEx>
          <w:tblCellMar>
            <w:top w:w="0" w:type="dxa"/>
            <w:left w:w="108" w:type="dxa"/>
            <w:bottom w:w="0" w:type="dxa"/>
            <w:right w:w="108" w:type="dxa"/>
          </w:tblCellMar>
        </w:tblPrEx>
        <w:trPr>
          <w:trHeight w:val="440" w:hRule="atLeast"/>
          <w:jc w:val="center"/>
        </w:trPr>
        <w:tc>
          <w:tcPr>
            <w:tcW w:w="357" w:type="pct"/>
            <w:vMerge w:val="restart"/>
            <w:tcBorders>
              <w:top w:val="single" w:color="auto" w:sz="4" w:space="0"/>
              <w:left w:val="single" w:color="auto" w:sz="4" w:space="0"/>
              <w:right w:val="single" w:color="auto" w:sz="4" w:space="0"/>
            </w:tcBorders>
            <w:noWrap/>
            <w:vAlign w:val="center"/>
          </w:tcPr>
          <w:p w14:paraId="7114A26D">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1598" w:type="pct"/>
            <w:gridSpan w:val="2"/>
            <w:tcBorders>
              <w:top w:val="single" w:color="auto" w:sz="4" w:space="0"/>
              <w:left w:val="single" w:color="auto" w:sz="4" w:space="0"/>
              <w:bottom w:val="single" w:color="auto" w:sz="4" w:space="0"/>
              <w:right w:val="single" w:color="auto" w:sz="4" w:space="0"/>
            </w:tcBorders>
            <w:vAlign w:val="center"/>
          </w:tcPr>
          <w:p w14:paraId="4BC9831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w:t>
            </w:r>
          </w:p>
        </w:tc>
        <w:tc>
          <w:tcPr>
            <w:tcW w:w="3044" w:type="pct"/>
            <w:gridSpan w:val="4"/>
            <w:tcBorders>
              <w:top w:val="single" w:color="auto" w:sz="4" w:space="0"/>
              <w:left w:val="nil"/>
              <w:bottom w:val="single" w:color="auto" w:sz="4" w:space="0"/>
              <w:right w:val="single" w:color="000000" w:sz="4" w:space="0"/>
            </w:tcBorders>
            <w:vAlign w:val="center"/>
          </w:tcPr>
          <w:p w14:paraId="7DA07FA6">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在中国电信从业情况</w:t>
            </w:r>
          </w:p>
        </w:tc>
      </w:tr>
      <w:tr w14:paraId="2C8ECFA5">
        <w:tblPrEx>
          <w:tblCellMar>
            <w:top w:w="0" w:type="dxa"/>
            <w:left w:w="108" w:type="dxa"/>
            <w:bottom w:w="0" w:type="dxa"/>
            <w:right w:w="108" w:type="dxa"/>
          </w:tblCellMar>
        </w:tblPrEx>
        <w:trPr>
          <w:trHeight w:val="414" w:hRule="atLeast"/>
          <w:jc w:val="center"/>
        </w:trPr>
        <w:tc>
          <w:tcPr>
            <w:tcW w:w="357" w:type="pct"/>
            <w:vMerge w:val="continue"/>
            <w:tcBorders>
              <w:left w:val="single" w:color="auto" w:sz="4" w:space="0"/>
              <w:bottom w:val="single" w:color="auto" w:sz="4" w:space="0"/>
              <w:right w:val="single" w:color="auto" w:sz="4" w:space="0"/>
            </w:tcBorders>
            <w:vAlign w:val="center"/>
          </w:tcPr>
          <w:p w14:paraId="66E82442">
            <w:pPr>
              <w:widowControl/>
              <w:jc w:val="center"/>
              <w:rPr>
                <w:rFonts w:ascii="仿宋_GB2312" w:hAnsi="仿宋_GB2312" w:eastAsia="仿宋_GB2312" w:cs="仿宋_GB2312"/>
                <w:b/>
                <w:bCs/>
                <w:kern w:val="0"/>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23DEDF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887" w:type="pct"/>
            <w:tcBorders>
              <w:top w:val="single" w:color="auto" w:sz="4" w:space="0"/>
              <w:left w:val="single" w:color="auto" w:sz="4" w:space="0"/>
              <w:bottom w:val="single" w:color="auto" w:sz="4" w:space="0"/>
              <w:right w:val="single" w:color="auto" w:sz="4" w:space="0"/>
            </w:tcBorders>
            <w:vAlign w:val="center"/>
          </w:tcPr>
          <w:p w14:paraId="468E6E9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担任职务</w:t>
            </w:r>
          </w:p>
        </w:tc>
        <w:tc>
          <w:tcPr>
            <w:tcW w:w="1271" w:type="pct"/>
            <w:tcBorders>
              <w:top w:val="single" w:color="auto" w:sz="4" w:space="0"/>
              <w:left w:val="nil"/>
              <w:bottom w:val="single" w:color="auto" w:sz="4" w:space="0"/>
              <w:right w:val="single" w:color="auto" w:sz="4" w:space="0"/>
            </w:tcBorders>
            <w:vAlign w:val="center"/>
          </w:tcPr>
          <w:p w14:paraId="62919198">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期限</w:t>
            </w:r>
          </w:p>
        </w:tc>
        <w:tc>
          <w:tcPr>
            <w:tcW w:w="658" w:type="pct"/>
            <w:tcBorders>
              <w:top w:val="single" w:color="auto" w:sz="4" w:space="0"/>
              <w:left w:val="single" w:color="auto" w:sz="4" w:space="0"/>
              <w:bottom w:val="single" w:color="auto" w:sz="4" w:space="0"/>
              <w:right w:val="single" w:color="auto" w:sz="4" w:space="0"/>
            </w:tcBorders>
            <w:noWrap/>
            <w:vAlign w:val="center"/>
          </w:tcPr>
          <w:p w14:paraId="30AA1725">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464" w:type="pct"/>
            <w:tcBorders>
              <w:top w:val="nil"/>
              <w:left w:val="nil"/>
              <w:bottom w:val="single" w:color="auto" w:sz="4" w:space="0"/>
              <w:right w:val="single" w:color="auto" w:sz="4" w:space="0"/>
            </w:tcBorders>
            <w:noWrap/>
            <w:vAlign w:val="center"/>
          </w:tcPr>
          <w:p w14:paraId="1E63C82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部门</w:t>
            </w:r>
          </w:p>
        </w:tc>
        <w:tc>
          <w:tcPr>
            <w:tcW w:w="650" w:type="pct"/>
            <w:tcBorders>
              <w:top w:val="single" w:color="auto" w:sz="4" w:space="0"/>
              <w:left w:val="nil"/>
              <w:bottom w:val="single" w:color="auto" w:sz="4" w:space="0"/>
              <w:right w:val="single" w:color="auto" w:sz="4" w:space="0"/>
            </w:tcBorders>
            <w:vAlign w:val="center"/>
          </w:tcPr>
          <w:p w14:paraId="0BE122B2">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职务/岗位</w:t>
            </w:r>
          </w:p>
        </w:tc>
      </w:tr>
      <w:tr w14:paraId="575E25F2">
        <w:tblPrEx>
          <w:tblCellMar>
            <w:top w:w="0" w:type="dxa"/>
            <w:left w:w="108" w:type="dxa"/>
            <w:bottom w:w="0" w:type="dxa"/>
            <w:right w:w="108" w:type="dxa"/>
          </w:tblCellMar>
        </w:tblPrEx>
        <w:trPr>
          <w:trHeight w:val="387" w:hRule="atLeast"/>
          <w:jc w:val="center"/>
        </w:trPr>
        <w:tc>
          <w:tcPr>
            <w:tcW w:w="357" w:type="pct"/>
            <w:tcBorders>
              <w:top w:val="nil"/>
              <w:left w:val="single" w:color="auto" w:sz="4" w:space="0"/>
              <w:bottom w:val="single" w:color="auto" w:sz="4" w:space="0"/>
              <w:right w:val="single" w:color="auto" w:sz="4" w:space="0"/>
            </w:tcBorders>
            <w:noWrap/>
            <w:vAlign w:val="center"/>
          </w:tcPr>
          <w:p w14:paraId="64D1D09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785BB1C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887" w:type="pct"/>
            <w:tcBorders>
              <w:top w:val="nil"/>
              <w:left w:val="nil"/>
              <w:bottom w:val="single" w:color="auto" w:sz="4" w:space="0"/>
              <w:right w:val="single" w:color="auto" w:sz="4" w:space="0"/>
            </w:tcBorders>
            <w:noWrap/>
            <w:vAlign w:val="center"/>
          </w:tcPr>
          <w:p w14:paraId="40686667">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5A38CAF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2024.1.1-2024.10.31</w:t>
            </w:r>
          </w:p>
        </w:tc>
        <w:tc>
          <w:tcPr>
            <w:tcW w:w="658" w:type="pct"/>
            <w:tcBorders>
              <w:top w:val="single" w:color="auto" w:sz="4" w:space="0"/>
              <w:left w:val="single" w:color="auto" w:sz="4" w:space="0"/>
              <w:bottom w:val="single" w:color="auto" w:sz="4" w:space="0"/>
              <w:right w:val="single" w:color="auto" w:sz="4" w:space="0"/>
            </w:tcBorders>
            <w:noWrap/>
            <w:vAlign w:val="center"/>
          </w:tcPr>
          <w:p w14:paraId="1B9A71C4">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4E18181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66863DE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总经理</w:t>
            </w:r>
          </w:p>
        </w:tc>
      </w:tr>
      <w:tr w14:paraId="069BC454">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027C9D2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2BC7238B">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887" w:type="pct"/>
            <w:tcBorders>
              <w:top w:val="nil"/>
              <w:left w:val="nil"/>
              <w:bottom w:val="single" w:color="auto" w:sz="4" w:space="0"/>
              <w:right w:val="single" w:color="auto" w:sz="4" w:space="0"/>
            </w:tcBorders>
            <w:noWrap/>
            <w:vAlign w:val="center"/>
          </w:tcPr>
          <w:p w14:paraId="2683EA7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15C1196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2024.1.1至今</w:t>
            </w:r>
          </w:p>
        </w:tc>
        <w:tc>
          <w:tcPr>
            <w:tcW w:w="658" w:type="pct"/>
            <w:tcBorders>
              <w:top w:val="single" w:color="auto" w:sz="4" w:space="0"/>
              <w:left w:val="single" w:color="auto" w:sz="4" w:space="0"/>
              <w:bottom w:val="single" w:color="auto" w:sz="4" w:space="0"/>
              <w:right w:val="single" w:color="auto" w:sz="4" w:space="0"/>
            </w:tcBorders>
            <w:noWrap/>
            <w:vAlign w:val="center"/>
          </w:tcPr>
          <w:p w14:paraId="6700DA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08CE1D0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3CA2EE9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采购管理</w:t>
            </w:r>
          </w:p>
        </w:tc>
      </w:tr>
      <w:tr w14:paraId="5CCE8898">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5294538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10" w:type="pct"/>
            <w:tcBorders>
              <w:top w:val="nil"/>
              <w:left w:val="nil"/>
              <w:bottom w:val="single" w:color="auto" w:sz="4" w:space="0"/>
              <w:right w:val="single" w:color="auto" w:sz="4" w:space="0"/>
            </w:tcBorders>
            <w:noWrap/>
            <w:vAlign w:val="center"/>
          </w:tcPr>
          <w:p w14:paraId="3E4D9912">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1C8A3814">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4BDE3E57">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20C36FC5">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778E0E9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41461255">
            <w:pPr>
              <w:widowControl/>
              <w:jc w:val="center"/>
              <w:rPr>
                <w:rFonts w:ascii="仿宋_GB2312" w:hAnsi="仿宋_GB2312" w:eastAsia="仿宋_GB2312" w:cs="仿宋_GB2312"/>
                <w:kern w:val="0"/>
                <w:highlight w:val="none"/>
              </w:rPr>
            </w:pPr>
          </w:p>
        </w:tc>
      </w:tr>
      <w:tr w14:paraId="7401887A">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3DF7C22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10" w:type="pct"/>
            <w:tcBorders>
              <w:top w:val="nil"/>
              <w:left w:val="nil"/>
              <w:bottom w:val="single" w:color="auto" w:sz="4" w:space="0"/>
              <w:right w:val="single" w:color="auto" w:sz="4" w:space="0"/>
            </w:tcBorders>
            <w:noWrap/>
            <w:vAlign w:val="center"/>
          </w:tcPr>
          <w:p w14:paraId="54B41C56">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392E0D92">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77CB930B">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6EEC5B42">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0B0A19E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7AD8856B">
            <w:pPr>
              <w:widowControl/>
              <w:jc w:val="center"/>
              <w:rPr>
                <w:rFonts w:ascii="仿宋_GB2312" w:hAnsi="仿宋_GB2312" w:eastAsia="仿宋_GB2312" w:cs="仿宋_GB2312"/>
                <w:kern w:val="0"/>
                <w:highlight w:val="none"/>
              </w:rPr>
            </w:pPr>
          </w:p>
        </w:tc>
      </w:tr>
    </w:tbl>
    <w:p w14:paraId="3D268D2A">
      <w:pPr>
        <w:rPr>
          <w:rFonts w:ascii="仿宋_GB2312" w:hAnsi="宋体" w:eastAsia="仿宋_GB2312" w:cs="宋体"/>
          <w:sz w:val="22"/>
          <w:szCs w:val="22"/>
          <w:highlight w:val="none"/>
        </w:rPr>
      </w:pPr>
    </w:p>
    <w:p w14:paraId="0F87EEEE">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注：1.从业是指与中国电信集团系统内企业直接签订劳动合同的情形；</w:t>
      </w:r>
    </w:p>
    <w:p w14:paraId="492707C0">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2.中国电信在职员工经中国电信集团系统内企业批准在我方担任法定代表人或董监高的情形，无需填写；</w:t>
      </w:r>
    </w:p>
    <w:p w14:paraId="7E960A46">
      <w:pPr>
        <w:ind w:firstLine="420" w:firstLineChars="0"/>
        <w:rPr>
          <w:rFonts w:hint="eastAsia" w:ascii="仿宋_GB2312" w:hAnsi="宋体" w:eastAsia="仿宋_GB2312" w:cs="宋体"/>
          <w:sz w:val="22"/>
          <w:szCs w:val="22"/>
          <w:highlight w:val="none"/>
        </w:rPr>
      </w:pPr>
      <w:r>
        <w:rPr>
          <w:rFonts w:hint="eastAsia" w:cs="Times New Roman" w:asciiTheme="minorEastAsia" w:hAnsiTheme="minorEastAsia" w:eastAsiaTheme="minorEastAsia"/>
          <w:szCs w:val="21"/>
        </w:rPr>
        <w:t>3.如无上述情况，则应在第一行“姓名”列填写“不涉及”。</w:t>
      </w:r>
    </w:p>
    <w:p w14:paraId="51115ECB">
      <w:pPr>
        <w:numPr>
          <w:ilvl w:val="255"/>
          <w:numId w:val="0"/>
        </w:numPr>
        <w:ind w:firstLine="440" w:firstLineChars="200"/>
        <w:rPr>
          <w:rFonts w:hint="eastAsia" w:ascii="仿宋_GB2312" w:hAnsi="宋体" w:eastAsia="仿宋_GB2312" w:cs="宋体"/>
          <w:sz w:val="22"/>
          <w:szCs w:val="22"/>
          <w:highlight w:val="none"/>
        </w:rPr>
      </w:pPr>
    </w:p>
    <w:p w14:paraId="61AB4B12">
      <w:pPr>
        <w:jc w:val="center"/>
        <w:rPr>
          <w:rFonts w:ascii="微软雅黑" w:hAnsi="微软雅黑" w:eastAsia="微软雅黑" w:cs="Times New Roman"/>
          <w:b/>
          <w:szCs w:val="36"/>
          <w:highlight w:val="none"/>
        </w:rPr>
      </w:pPr>
      <w:r>
        <w:rPr>
          <w:rFonts w:hint="eastAsia" w:ascii="微软雅黑" w:hAnsi="微软雅黑" w:eastAsia="微软雅黑" w:cs="Times New Roman"/>
          <w:b/>
          <w:szCs w:val="36"/>
          <w:highlight w:val="none"/>
        </w:rPr>
        <w:t>中国电信员工的近亲属在我方担任法定代表人或董监高的情况表</w:t>
      </w:r>
    </w:p>
    <w:p w14:paraId="177C589A">
      <w:pPr>
        <w:numPr>
          <w:ilvl w:val="255"/>
          <w:numId w:val="0"/>
        </w:numPr>
        <w:ind w:firstLine="440" w:firstLineChars="200"/>
        <w:rPr>
          <w:rFonts w:hint="eastAsia" w:ascii="仿宋_GB2312" w:hAnsi="宋体" w:eastAsia="仿宋_GB2312" w:cs="宋体"/>
          <w:sz w:val="22"/>
          <w:szCs w:val="22"/>
          <w:highlight w:val="none"/>
        </w:rPr>
      </w:pPr>
    </w:p>
    <w:tbl>
      <w:tblPr>
        <w:tblStyle w:val="85"/>
        <w:tblW w:w="5864" w:type="pct"/>
        <w:jc w:val="center"/>
        <w:tblLayout w:type="fixed"/>
        <w:tblCellMar>
          <w:top w:w="0" w:type="dxa"/>
          <w:left w:w="108" w:type="dxa"/>
          <w:bottom w:w="0" w:type="dxa"/>
          <w:right w:w="108" w:type="dxa"/>
        </w:tblCellMar>
      </w:tblPr>
      <w:tblGrid>
        <w:gridCol w:w="731"/>
        <w:gridCol w:w="737"/>
        <w:gridCol w:w="1548"/>
        <w:gridCol w:w="1293"/>
        <w:gridCol w:w="1502"/>
        <w:gridCol w:w="1468"/>
        <w:gridCol w:w="947"/>
        <w:gridCol w:w="1769"/>
      </w:tblGrid>
      <w:tr w14:paraId="0FD5F18B">
        <w:tblPrEx>
          <w:tblCellMar>
            <w:top w:w="0" w:type="dxa"/>
            <w:left w:w="108" w:type="dxa"/>
            <w:bottom w:w="0" w:type="dxa"/>
            <w:right w:w="108" w:type="dxa"/>
          </w:tblCellMar>
        </w:tblPrEx>
        <w:trPr>
          <w:trHeight w:val="459" w:hRule="atLeast"/>
          <w:jc w:val="center"/>
        </w:trPr>
        <w:tc>
          <w:tcPr>
            <w:tcW w:w="731" w:type="dxa"/>
            <w:vMerge w:val="restart"/>
            <w:tcBorders>
              <w:top w:val="single" w:color="auto" w:sz="4" w:space="0"/>
              <w:left w:val="single" w:color="auto" w:sz="4" w:space="0"/>
              <w:right w:val="single" w:color="auto" w:sz="4" w:space="0"/>
            </w:tcBorders>
            <w:noWrap/>
            <w:vAlign w:val="center"/>
          </w:tcPr>
          <w:p w14:paraId="37DB17B4">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5080" w:type="dxa"/>
            <w:gridSpan w:val="4"/>
            <w:tcBorders>
              <w:top w:val="single" w:color="auto" w:sz="4" w:space="0"/>
              <w:left w:val="single" w:color="auto" w:sz="4" w:space="0"/>
              <w:bottom w:val="single" w:color="auto" w:sz="4" w:space="0"/>
              <w:right w:val="single" w:color="auto" w:sz="4" w:space="0"/>
            </w:tcBorders>
            <w:vAlign w:val="center"/>
          </w:tcPr>
          <w:p w14:paraId="7E669AE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中国电信员工当前从业情况</w:t>
            </w:r>
          </w:p>
        </w:tc>
        <w:tc>
          <w:tcPr>
            <w:tcW w:w="4184" w:type="dxa"/>
            <w:gridSpan w:val="3"/>
            <w:tcBorders>
              <w:top w:val="single" w:color="auto" w:sz="4" w:space="0"/>
              <w:left w:val="nil"/>
              <w:bottom w:val="single" w:color="auto" w:sz="4" w:space="0"/>
              <w:right w:val="single" w:color="000000" w:sz="4" w:space="0"/>
            </w:tcBorders>
            <w:vAlign w:val="center"/>
          </w:tcPr>
          <w:p w14:paraId="191E972A">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我方法定代表人或董监高情况</w:t>
            </w:r>
          </w:p>
        </w:tc>
      </w:tr>
      <w:tr w14:paraId="1D5CD318">
        <w:tblPrEx>
          <w:tblCellMar>
            <w:top w:w="0" w:type="dxa"/>
            <w:left w:w="108" w:type="dxa"/>
            <w:bottom w:w="0" w:type="dxa"/>
            <w:right w:w="108" w:type="dxa"/>
          </w:tblCellMar>
        </w:tblPrEx>
        <w:trPr>
          <w:trHeight w:val="434" w:hRule="atLeast"/>
          <w:jc w:val="center"/>
        </w:trPr>
        <w:tc>
          <w:tcPr>
            <w:tcW w:w="731" w:type="dxa"/>
            <w:vMerge w:val="continue"/>
            <w:tcBorders>
              <w:left w:val="single" w:color="auto" w:sz="4" w:space="0"/>
              <w:bottom w:val="single" w:color="auto" w:sz="4" w:space="0"/>
              <w:right w:val="single" w:color="auto" w:sz="4" w:space="0"/>
            </w:tcBorders>
            <w:vAlign w:val="center"/>
          </w:tcPr>
          <w:p w14:paraId="308892DA">
            <w:pPr>
              <w:widowControl/>
              <w:jc w:val="center"/>
              <w:rPr>
                <w:rFonts w:ascii="仿宋_GB2312" w:hAnsi="仿宋_GB2312" w:eastAsia="仿宋_GB2312" w:cs="仿宋_GB2312"/>
                <w:b/>
                <w:bCs/>
                <w:kern w:val="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2407B8E">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548" w:type="dxa"/>
            <w:tcBorders>
              <w:top w:val="single" w:color="auto" w:sz="4" w:space="0"/>
              <w:left w:val="single" w:color="auto" w:sz="4" w:space="0"/>
              <w:bottom w:val="single" w:color="auto" w:sz="4" w:space="0"/>
              <w:right w:val="single" w:color="auto" w:sz="4" w:space="0"/>
            </w:tcBorders>
            <w:vAlign w:val="center"/>
          </w:tcPr>
          <w:p w14:paraId="362BECB3">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1293" w:type="dxa"/>
            <w:tcBorders>
              <w:top w:val="single" w:color="auto" w:sz="4" w:space="0"/>
              <w:left w:val="single" w:color="auto" w:sz="4" w:space="0"/>
              <w:bottom w:val="single" w:color="auto" w:sz="4" w:space="0"/>
              <w:right w:val="single" w:color="auto" w:sz="4" w:space="0"/>
            </w:tcBorders>
            <w:vAlign w:val="center"/>
          </w:tcPr>
          <w:p w14:paraId="4074BAE4">
            <w:pPr>
              <w:widowControl/>
              <w:jc w:val="center"/>
              <w:rPr>
                <w:rFonts w:ascii="Times New Roman" w:hAnsi="Times New Roman" w:eastAsia="宋体" w:cs="Times New Roman"/>
                <w:highlight w:val="none"/>
              </w:rPr>
            </w:pPr>
            <w:r>
              <w:rPr>
                <w:rFonts w:hint="eastAsia" w:ascii="仿宋_GB2312" w:hAnsi="仿宋_GB2312" w:eastAsia="仿宋_GB2312" w:cs="仿宋_GB2312"/>
                <w:b/>
                <w:bCs/>
                <w:kern w:val="0"/>
                <w:highlight w:val="none"/>
              </w:rPr>
              <w:t>部门</w:t>
            </w:r>
          </w:p>
        </w:tc>
        <w:tc>
          <w:tcPr>
            <w:tcW w:w="1502" w:type="dxa"/>
            <w:tcBorders>
              <w:top w:val="single" w:color="auto" w:sz="4" w:space="0"/>
              <w:left w:val="single" w:color="auto" w:sz="4" w:space="0"/>
              <w:bottom w:val="single" w:color="auto" w:sz="4" w:space="0"/>
              <w:right w:val="single" w:color="auto" w:sz="4" w:space="0"/>
            </w:tcBorders>
            <w:vAlign w:val="center"/>
          </w:tcPr>
          <w:p w14:paraId="0D097941">
            <w:pPr>
              <w:widowControl/>
              <w:jc w:val="center"/>
              <w:rPr>
                <w:rFonts w:ascii="Times New Roman" w:hAnsi="Times New Roman" w:eastAsia="宋体" w:cs="Times New Roman"/>
                <w:highlight w:val="none"/>
              </w:rPr>
            </w:pPr>
            <w:r>
              <w:rPr>
                <w:rFonts w:hint="eastAsia" w:ascii="仿宋_GB2312" w:hAnsi="仿宋_GB2312" w:eastAsia="仿宋_GB2312" w:cs="仿宋_GB2312"/>
                <w:b/>
                <w:bCs/>
                <w:kern w:val="0"/>
                <w:highlight w:val="none"/>
              </w:rPr>
              <w:t>职务/岗位</w:t>
            </w:r>
          </w:p>
        </w:tc>
        <w:tc>
          <w:tcPr>
            <w:tcW w:w="1468" w:type="dxa"/>
            <w:tcBorders>
              <w:top w:val="single" w:color="auto" w:sz="4" w:space="0"/>
              <w:left w:val="nil"/>
              <w:bottom w:val="single" w:color="auto" w:sz="4" w:space="0"/>
              <w:right w:val="single" w:color="auto" w:sz="4" w:space="0"/>
            </w:tcBorders>
            <w:vAlign w:val="center"/>
          </w:tcPr>
          <w:p w14:paraId="7678DDA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与中国电信员工的关系</w:t>
            </w:r>
          </w:p>
        </w:tc>
        <w:tc>
          <w:tcPr>
            <w:tcW w:w="947" w:type="dxa"/>
            <w:tcBorders>
              <w:top w:val="single" w:color="auto" w:sz="4" w:space="0"/>
              <w:left w:val="single" w:color="auto" w:sz="4" w:space="0"/>
              <w:bottom w:val="single" w:color="auto" w:sz="4" w:space="0"/>
              <w:right w:val="single" w:color="auto" w:sz="4" w:space="0"/>
            </w:tcBorders>
            <w:noWrap/>
            <w:vAlign w:val="center"/>
          </w:tcPr>
          <w:p w14:paraId="4637592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769" w:type="dxa"/>
            <w:tcBorders>
              <w:top w:val="nil"/>
              <w:left w:val="nil"/>
              <w:bottom w:val="single" w:color="auto" w:sz="4" w:space="0"/>
              <w:right w:val="single" w:color="auto" w:sz="4" w:space="0"/>
            </w:tcBorders>
            <w:noWrap/>
            <w:vAlign w:val="center"/>
          </w:tcPr>
          <w:p w14:paraId="7FAC233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担任我方职务</w:t>
            </w:r>
          </w:p>
        </w:tc>
      </w:tr>
      <w:tr w14:paraId="44AC8349">
        <w:tblPrEx>
          <w:tblCellMar>
            <w:top w:w="0" w:type="dxa"/>
            <w:left w:w="108" w:type="dxa"/>
            <w:bottom w:w="0" w:type="dxa"/>
            <w:right w:w="108" w:type="dxa"/>
          </w:tblCellMar>
        </w:tblPrEx>
        <w:trPr>
          <w:trHeight w:val="407" w:hRule="atLeast"/>
          <w:jc w:val="center"/>
        </w:trPr>
        <w:tc>
          <w:tcPr>
            <w:tcW w:w="731" w:type="dxa"/>
            <w:tcBorders>
              <w:top w:val="nil"/>
              <w:left w:val="single" w:color="auto" w:sz="4" w:space="0"/>
              <w:bottom w:val="single" w:color="auto" w:sz="4" w:space="0"/>
              <w:right w:val="single" w:color="auto" w:sz="4" w:space="0"/>
            </w:tcBorders>
            <w:noWrap/>
            <w:vAlign w:val="center"/>
          </w:tcPr>
          <w:p w14:paraId="3BB969B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50696AF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1548" w:type="dxa"/>
            <w:tcBorders>
              <w:top w:val="nil"/>
              <w:left w:val="nil"/>
              <w:bottom w:val="single" w:color="auto" w:sz="4" w:space="0"/>
              <w:right w:val="single" w:color="auto" w:sz="4" w:space="0"/>
            </w:tcBorders>
            <w:noWrap/>
            <w:vAlign w:val="center"/>
          </w:tcPr>
          <w:p w14:paraId="174EEE2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6D5CE71C">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763FAC12">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总经理</w:t>
            </w:r>
          </w:p>
        </w:tc>
        <w:tc>
          <w:tcPr>
            <w:tcW w:w="1468" w:type="dxa"/>
            <w:tcBorders>
              <w:top w:val="single" w:color="auto" w:sz="4" w:space="0"/>
              <w:left w:val="nil"/>
              <w:bottom w:val="single" w:color="auto" w:sz="4" w:space="0"/>
              <w:right w:val="single" w:color="auto" w:sz="4" w:space="0"/>
            </w:tcBorders>
            <w:vAlign w:val="center"/>
          </w:tcPr>
          <w:p w14:paraId="07FC9D0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妻子</w:t>
            </w:r>
          </w:p>
        </w:tc>
        <w:tc>
          <w:tcPr>
            <w:tcW w:w="947" w:type="dxa"/>
            <w:tcBorders>
              <w:top w:val="single" w:color="auto" w:sz="4" w:space="0"/>
              <w:left w:val="single" w:color="auto" w:sz="4" w:space="0"/>
              <w:bottom w:val="single" w:color="auto" w:sz="4" w:space="0"/>
              <w:right w:val="single" w:color="auto" w:sz="4" w:space="0"/>
            </w:tcBorders>
            <w:noWrap/>
            <w:vAlign w:val="center"/>
          </w:tcPr>
          <w:p w14:paraId="1AF20ECD">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王五</w:t>
            </w:r>
          </w:p>
        </w:tc>
        <w:tc>
          <w:tcPr>
            <w:tcW w:w="1769" w:type="dxa"/>
            <w:tcBorders>
              <w:top w:val="nil"/>
              <w:left w:val="nil"/>
              <w:bottom w:val="single" w:color="auto" w:sz="4" w:space="0"/>
              <w:right w:val="single" w:color="auto" w:sz="4" w:space="0"/>
            </w:tcBorders>
            <w:noWrap/>
            <w:vAlign w:val="center"/>
          </w:tcPr>
          <w:p w14:paraId="74542F6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r>
      <w:tr w14:paraId="45E462EF">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36A34D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2684563A">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1548" w:type="dxa"/>
            <w:tcBorders>
              <w:top w:val="nil"/>
              <w:left w:val="nil"/>
              <w:bottom w:val="single" w:color="auto" w:sz="4" w:space="0"/>
              <w:right w:val="single" w:color="auto" w:sz="4" w:space="0"/>
            </w:tcBorders>
            <w:noWrap/>
            <w:vAlign w:val="center"/>
          </w:tcPr>
          <w:p w14:paraId="04C6D95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1D4E951E">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4B591AC5">
            <w:pPr>
              <w:widowControl/>
              <w:jc w:val="center"/>
              <w:rPr>
                <w:rFonts w:ascii="Times New Roman" w:hAnsi="Times New Roman" w:eastAsia="宋体" w:cs="Times New Roman"/>
                <w:highlight w:val="none"/>
              </w:rPr>
            </w:pPr>
            <w:r>
              <w:rPr>
                <w:rFonts w:hint="eastAsia" w:ascii="仿宋_GB2312" w:hAnsi="仿宋_GB2312" w:eastAsia="仿宋_GB2312" w:cs="仿宋_GB2312"/>
                <w:kern w:val="0"/>
                <w:highlight w:val="none"/>
              </w:rPr>
              <w:t>采购管理</w:t>
            </w:r>
          </w:p>
        </w:tc>
        <w:tc>
          <w:tcPr>
            <w:tcW w:w="1468" w:type="dxa"/>
            <w:tcBorders>
              <w:top w:val="single" w:color="auto" w:sz="4" w:space="0"/>
              <w:left w:val="nil"/>
              <w:bottom w:val="single" w:color="auto" w:sz="4" w:space="0"/>
              <w:right w:val="single" w:color="auto" w:sz="4" w:space="0"/>
            </w:tcBorders>
            <w:vAlign w:val="center"/>
          </w:tcPr>
          <w:p w14:paraId="23A2A1B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儿子</w:t>
            </w:r>
          </w:p>
        </w:tc>
        <w:tc>
          <w:tcPr>
            <w:tcW w:w="947" w:type="dxa"/>
            <w:tcBorders>
              <w:top w:val="single" w:color="auto" w:sz="4" w:space="0"/>
              <w:left w:val="single" w:color="auto" w:sz="4" w:space="0"/>
              <w:bottom w:val="single" w:color="auto" w:sz="4" w:space="0"/>
              <w:right w:val="single" w:color="auto" w:sz="4" w:space="0"/>
            </w:tcBorders>
            <w:noWrap/>
            <w:vAlign w:val="center"/>
          </w:tcPr>
          <w:p w14:paraId="57FF287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赵六</w:t>
            </w:r>
          </w:p>
        </w:tc>
        <w:tc>
          <w:tcPr>
            <w:tcW w:w="1769" w:type="dxa"/>
            <w:tcBorders>
              <w:top w:val="nil"/>
              <w:left w:val="nil"/>
              <w:bottom w:val="single" w:color="auto" w:sz="4" w:space="0"/>
              <w:right w:val="single" w:color="auto" w:sz="4" w:space="0"/>
            </w:tcBorders>
            <w:noWrap/>
            <w:vAlign w:val="center"/>
          </w:tcPr>
          <w:p w14:paraId="246D7D7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董事</w:t>
            </w:r>
          </w:p>
        </w:tc>
      </w:tr>
      <w:tr w14:paraId="280709F3">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038DCFD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37" w:type="dxa"/>
            <w:tcBorders>
              <w:top w:val="nil"/>
              <w:left w:val="nil"/>
              <w:bottom w:val="single" w:color="auto" w:sz="4" w:space="0"/>
              <w:right w:val="single" w:color="auto" w:sz="4" w:space="0"/>
            </w:tcBorders>
            <w:noWrap/>
            <w:vAlign w:val="center"/>
          </w:tcPr>
          <w:p w14:paraId="63BFB003">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4BC50A7A">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D0C4006">
            <w:pPr>
              <w:widowControl/>
              <w:jc w:val="center"/>
              <w:rPr>
                <w:rFonts w:ascii="Times New Roman" w:hAnsi="Times New Roman" w:eastAsia="宋体" w:cs="Times New Roman"/>
                <w:highlight w:val="none"/>
              </w:rPr>
            </w:pPr>
          </w:p>
        </w:tc>
        <w:tc>
          <w:tcPr>
            <w:tcW w:w="1502" w:type="dxa"/>
            <w:tcBorders>
              <w:top w:val="nil"/>
              <w:left w:val="nil"/>
              <w:bottom w:val="single" w:color="auto" w:sz="4" w:space="0"/>
              <w:right w:val="single" w:color="auto" w:sz="4" w:space="0"/>
            </w:tcBorders>
            <w:noWrap/>
            <w:vAlign w:val="center"/>
          </w:tcPr>
          <w:p w14:paraId="1DA0D1C2">
            <w:pPr>
              <w:widowControl/>
              <w:jc w:val="center"/>
              <w:rPr>
                <w:rFonts w:ascii="Times New Roman" w:hAnsi="Times New Roman" w:eastAsia="宋体" w:cs="Times New Roman"/>
                <w:highlight w:val="none"/>
              </w:rPr>
            </w:pPr>
          </w:p>
        </w:tc>
        <w:tc>
          <w:tcPr>
            <w:tcW w:w="1468" w:type="dxa"/>
            <w:tcBorders>
              <w:top w:val="single" w:color="auto" w:sz="4" w:space="0"/>
              <w:left w:val="nil"/>
              <w:bottom w:val="single" w:color="auto" w:sz="4" w:space="0"/>
              <w:right w:val="single" w:color="auto" w:sz="4" w:space="0"/>
            </w:tcBorders>
            <w:vAlign w:val="center"/>
          </w:tcPr>
          <w:p w14:paraId="28D0D4FA">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6FC7C6FF">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47E7FE2A">
            <w:pPr>
              <w:widowControl/>
              <w:jc w:val="center"/>
              <w:rPr>
                <w:rFonts w:ascii="仿宋_GB2312" w:hAnsi="仿宋_GB2312" w:eastAsia="仿宋_GB2312" w:cs="仿宋_GB2312"/>
                <w:kern w:val="0"/>
                <w:highlight w:val="none"/>
              </w:rPr>
            </w:pPr>
          </w:p>
        </w:tc>
      </w:tr>
      <w:tr w14:paraId="389F26B4">
        <w:tblPrEx>
          <w:tblCellMar>
            <w:top w:w="0" w:type="dxa"/>
            <w:left w:w="108" w:type="dxa"/>
            <w:bottom w:w="0" w:type="dxa"/>
            <w:right w:w="108" w:type="dxa"/>
          </w:tblCellMar>
        </w:tblPrEx>
        <w:trPr>
          <w:trHeight w:val="352" w:hRule="atLeast"/>
          <w:jc w:val="center"/>
        </w:trPr>
        <w:tc>
          <w:tcPr>
            <w:tcW w:w="731" w:type="dxa"/>
            <w:tcBorders>
              <w:top w:val="nil"/>
              <w:left w:val="single" w:color="auto" w:sz="4" w:space="0"/>
              <w:bottom w:val="single" w:color="auto" w:sz="4" w:space="0"/>
              <w:right w:val="single" w:color="auto" w:sz="4" w:space="0"/>
            </w:tcBorders>
            <w:noWrap/>
            <w:vAlign w:val="center"/>
          </w:tcPr>
          <w:p w14:paraId="1615BF8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37" w:type="dxa"/>
            <w:tcBorders>
              <w:top w:val="nil"/>
              <w:left w:val="nil"/>
              <w:bottom w:val="single" w:color="auto" w:sz="4" w:space="0"/>
              <w:right w:val="single" w:color="auto" w:sz="4" w:space="0"/>
            </w:tcBorders>
            <w:noWrap/>
            <w:vAlign w:val="center"/>
          </w:tcPr>
          <w:p w14:paraId="46350ACC">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6E4AF409">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8EB3397">
            <w:pPr>
              <w:widowControl/>
              <w:jc w:val="center"/>
              <w:rPr>
                <w:rFonts w:ascii="Times New Roman" w:hAnsi="Times New Roman" w:eastAsia="宋体" w:cs="Times New Roman"/>
                <w:highlight w:val="none"/>
              </w:rPr>
            </w:pPr>
          </w:p>
        </w:tc>
        <w:tc>
          <w:tcPr>
            <w:tcW w:w="1502" w:type="dxa"/>
            <w:tcBorders>
              <w:top w:val="nil"/>
              <w:left w:val="nil"/>
              <w:bottom w:val="single" w:color="auto" w:sz="4" w:space="0"/>
              <w:right w:val="single" w:color="auto" w:sz="4" w:space="0"/>
            </w:tcBorders>
            <w:noWrap/>
            <w:vAlign w:val="center"/>
          </w:tcPr>
          <w:p w14:paraId="3A14611A">
            <w:pPr>
              <w:widowControl/>
              <w:jc w:val="center"/>
              <w:rPr>
                <w:rFonts w:ascii="Times New Roman" w:hAnsi="Times New Roman" w:eastAsia="宋体" w:cs="Times New Roman"/>
                <w:highlight w:val="none"/>
              </w:rPr>
            </w:pPr>
          </w:p>
        </w:tc>
        <w:tc>
          <w:tcPr>
            <w:tcW w:w="1468" w:type="dxa"/>
            <w:tcBorders>
              <w:top w:val="single" w:color="auto" w:sz="4" w:space="0"/>
              <w:left w:val="nil"/>
              <w:bottom w:val="single" w:color="auto" w:sz="4" w:space="0"/>
              <w:right w:val="single" w:color="auto" w:sz="4" w:space="0"/>
            </w:tcBorders>
            <w:vAlign w:val="center"/>
          </w:tcPr>
          <w:p w14:paraId="42F497B6">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777AFF10">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3EEEC364">
            <w:pPr>
              <w:widowControl/>
              <w:jc w:val="center"/>
              <w:rPr>
                <w:rFonts w:ascii="仿宋_GB2312" w:hAnsi="仿宋_GB2312" w:eastAsia="仿宋_GB2312" w:cs="仿宋_GB2312"/>
                <w:kern w:val="0"/>
                <w:highlight w:val="none"/>
              </w:rPr>
            </w:pPr>
          </w:p>
        </w:tc>
      </w:tr>
    </w:tbl>
    <w:p w14:paraId="7F94ED22">
      <w:pPr>
        <w:adjustRightInd w:val="0"/>
        <w:spacing w:line="360" w:lineRule="auto"/>
        <w:rPr>
          <w:rFonts w:cs="仿宋_GB2312" w:asciiTheme="minorEastAsia" w:hAnsiTheme="minorEastAsia" w:eastAsiaTheme="minorEastAsia"/>
          <w:highlight w:val="none"/>
        </w:rPr>
      </w:pPr>
    </w:p>
    <w:p w14:paraId="41B258A4">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注：1.中国电信员工的近亲属包括中国电信员工的配偶、子女及其配偶；</w:t>
      </w:r>
    </w:p>
    <w:p w14:paraId="46B22719">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2.“与中国电信员工的关系”需填写与中国电信员工的具体亲属关系，例如，丈夫、妻子、儿子、女儿、儿媳、女婿；</w:t>
      </w:r>
    </w:p>
    <w:p w14:paraId="40743094">
      <w:pPr>
        <w:ind w:firstLine="420" w:firstLineChars="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3.从业是指与中国电信集团系统内企业直接签订劳动合同的情形</w:t>
      </w:r>
      <w:r>
        <w:rPr>
          <w:rFonts w:hint="eastAsia" w:cs="Times New Roman" w:asciiTheme="minorEastAsia" w:hAnsiTheme="minorEastAsia" w:eastAsiaTheme="minorEastAsia"/>
          <w:szCs w:val="21"/>
          <w:lang w:eastAsia="zh-CN"/>
        </w:rPr>
        <w:t>；</w:t>
      </w:r>
    </w:p>
    <w:p w14:paraId="01A4427B">
      <w:pPr>
        <w:ind w:firstLine="420" w:firstLine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4.如无上述情况，则应在第一行“姓名”列填写“不涉及”。</w:t>
      </w:r>
    </w:p>
    <w:p w14:paraId="0DC70FEA">
      <w:pPr>
        <w:adjustRightInd w:val="0"/>
        <w:spacing w:line="360" w:lineRule="auto"/>
        <w:rPr>
          <w:rFonts w:cs="仿宋_GB2312" w:asciiTheme="minorEastAsia" w:hAnsiTheme="minorEastAsia" w:eastAsiaTheme="minorEastAsia"/>
          <w:highlight w:val="none"/>
        </w:rPr>
      </w:pPr>
    </w:p>
    <w:p w14:paraId="2807C052">
      <w:pPr>
        <w:adjustRightInd w:val="0"/>
        <w:spacing w:line="360" w:lineRule="auto"/>
        <w:ind w:firstLine="420" w:firstLineChars="20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本承诺作为</w:t>
      </w:r>
      <w:r>
        <w:rPr>
          <w:rFonts w:hint="eastAsia" w:cs="仿宋_GB2312" w:asciiTheme="minorEastAsia" w:hAnsiTheme="minorEastAsia" w:eastAsiaTheme="minorEastAsia"/>
          <w:highlight w:val="none"/>
          <w:lang w:val="en-US" w:eastAsia="zh-CN"/>
        </w:rPr>
        <w:t>投标</w:t>
      </w:r>
      <w:r>
        <w:rPr>
          <w:rFonts w:hint="eastAsia" w:cs="仿宋_GB2312" w:asciiTheme="minorEastAsia" w:hAnsiTheme="minorEastAsia" w:eastAsiaTheme="minorEastAsia"/>
          <w:highlight w:val="none"/>
        </w:rPr>
        <w:t>文件的一部分，我方承诺相关信息真实、准确。</w:t>
      </w:r>
    </w:p>
    <w:p w14:paraId="3BD60BBA">
      <w:pPr>
        <w:spacing w:line="360" w:lineRule="auto"/>
        <w:ind w:firstLine="420" w:firstLineChars="200"/>
        <w:jc w:val="right"/>
        <w:rPr>
          <w:rFonts w:cs="Times New Roman" w:asciiTheme="minorEastAsia" w:hAnsiTheme="minorEastAsia" w:eastAsiaTheme="minorEastAsia"/>
          <w:szCs w:val="22"/>
          <w:highlight w:val="none"/>
          <w:u w:val="single"/>
        </w:rPr>
      </w:pPr>
      <w:r>
        <w:rPr>
          <w:rFonts w:hint="eastAsia" w:cs="Times New Roman" w:asciiTheme="minorEastAsia" w:hAnsiTheme="minorEastAsia" w:eastAsiaTheme="minorEastAsia"/>
          <w:szCs w:val="22"/>
          <w:highlight w:val="none"/>
          <w:u w:val="single"/>
        </w:rPr>
        <w:t>公司名称（盖章）</w:t>
      </w:r>
    </w:p>
    <w:p w14:paraId="44134636">
      <w:pPr>
        <w:spacing w:line="360" w:lineRule="auto"/>
        <w:ind w:firstLine="420" w:firstLineChars="200"/>
        <w:jc w:val="right"/>
        <w:rPr>
          <w:rFonts w:ascii="Times New Roman" w:hAnsi="Times New Roman" w:eastAsia="宋体" w:cs="Times New Roman"/>
          <w:b/>
          <w:bCs/>
          <w:sz w:val="24"/>
          <w:highlight w:val="none"/>
        </w:rPr>
      </w:pPr>
      <w:r>
        <w:rPr>
          <w:rFonts w:hint="eastAsia" w:cs="Times New Roman" w:asciiTheme="minorEastAsia" w:hAnsiTheme="minorEastAsia" w:eastAsiaTheme="minorEastAsia"/>
          <w:szCs w:val="22"/>
          <w:highlight w:val="none"/>
          <w:u w:val="single"/>
        </w:rPr>
        <w:t>XXXX年XX月XX日</w:t>
      </w:r>
    </w:p>
    <w:p w14:paraId="338CE9E4">
      <w:pPr>
        <w:jc w:val="center"/>
        <w:rPr>
          <w:rFonts w:ascii="微软雅黑" w:hAnsi="微软雅黑" w:eastAsia="微软雅黑" w:cs="Times New Roman"/>
          <w:b/>
          <w:szCs w:val="36"/>
          <w:highlight w:val="none"/>
        </w:rPr>
      </w:pPr>
    </w:p>
    <w:p w14:paraId="13B25576">
      <w:pPr>
        <w:jc w:val="center"/>
        <w:rPr>
          <w:rFonts w:ascii="微软雅黑" w:hAnsi="微软雅黑" w:eastAsia="微软雅黑" w:cs="Times New Roman"/>
          <w:b/>
          <w:szCs w:val="36"/>
          <w:highlight w:val="none"/>
        </w:rPr>
      </w:pPr>
      <w:r>
        <w:rPr>
          <w:rFonts w:hint="eastAsia" w:ascii="微软雅黑" w:hAnsi="微软雅黑" w:eastAsia="微软雅黑" w:cs="Times New Roman"/>
          <w:b/>
          <w:szCs w:val="36"/>
          <w:highlight w:val="none"/>
        </w:rPr>
        <w:t>承诺函</w:t>
      </w:r>
    </w:p>
    <w:p w14:paraId="110B3A29">
      <w:pPr>
        <w:topLinePunct/>
        <w:snapToGrid w:val="0"/>
        <w:spacing w:line="400" w:lineRule="exact"/>
        <w:rPr>
          <w:rFonts w:ascii="Times New Roman" w:hAnsi="宋体" w:eastAsia="宋体" w:cs="宋体"/>
          <w:highlight w:val="none"/>
        </w:rPr>
      </w:pPr>
    </w:p>
    <w:p w14:paraId="3971E20B">
      <w:pPr>
        <w:topLinePunct/>
        <w:snapToGrid w:val="0"/>
        <w:spacing w:line="400" w:lineRule="exact"/>
        <w:rPr>
          <w:rFonts w:cs="Times New Roman" w:asciiTheme="minorEastAsia" w:hAnsiTheme="minorEastAsia" w:eastAsiaTheme="minorEastAsia"/>
        </w:rPr>
      </w:pPr>
      <w:r>
        <w:rPr>
          <w:rFonts w:hint="eastAsia" w:cs="Times New Roman" w:asciiTheme="minorEastAsia" w:hAnsiTheme="minorEastAsia" w:eastAsiaTheme="minorEastAsia"/>
          <w:szCs w:val="21"/>
        </w:rPr>
        <w:t>致：【XX公司[招标人名称]】：</w:t>
      </w:r>
    </w:p>
    <w:p w14:paraId="7E6FC029">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我方存在“中国电信在职员工、离职或退休后三年内在我方担任法定代表人或董监高的情况”、“中国电信员工近亲属在我方担任法定代表人或董监高的情况”的相关情形，现郑重承诺如下：</w:t>
      </w:r>
    </w:p>
    <w:p w14:paraId="03E3AB5C">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一、相关情形不属于</w:t>
      </w:r>
      <w:r>
        <w:rPr>
          <w:rFonts w:hint="eastAsia" w:cs="Times New Roman" w:asciiTheme="minorEastAsia" w:hAnsiTheme="minorEastAsia" w:eastAsiaTheme="minorEastAsia"/>
          <w:szCs w:val="21"/>
          <w:lang w:val="en-US" w:eastAsia="zh-CN"/>
        </w:rPr>
        <w:t>集中</w:t>
      </w:r>
      <w:r>
        <w:rPr>
          <w:rFonts w:hint="eastAsia" w:cs="Times New Roman" w:asciiTheme="minorEastAsia" w:hAnsiTheme="minorEastAsia" w:eastAsiaTheme="minorEastAsia"/>
          <w:szCs w:val="21"/>
        </w:rPr>
        <w:t>招标文件第一章中载明的投标人不得存在的情形。</w:t>
      </w:r>
    </w:p>
    <w:p w14:paraId="22BDC2D3">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二、不通过特殊关系或其他不正当手段干预中国电信的招标流程或结果，不与中国电信内部人员存在任何形式的串通投标、虚假投标等违规行为。</w:t>
      </w:r>
    </w:p>
    <w:p w14:paraId="671555FB">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三、严格遵守中国电信及国家相关廉洁从业规定，不利用特定关系为我方或任何第三方谋取不正当利益、获取竞争优势。</w:t>
      </w:r>
    </w:p>
    <w:p w14:paraId="62D6D928">
      <w:pPr>
        <w:topLinePunct/>
        <w:snapToGrid w:val="0"/>
        <w:spacing w:line="440" w:lineRule="exact"/>
        <w:ind w:firstLine="420" w:firstLineChars="200"/>
        <w:rPr>
          <w:rFonts w:ascii="Times New Roman" w:hAnsi="宋体" w:eastAsia="宋体" w:cs="宋体"/>
          <w:highlight w:val="none"/>
        </w:rPr>
      </w:pPr>
    </w:p>
    <w:p w14:paraId="4D3C4285">
      <w:pPr>
        <w:topLinePunct/>
        <w:snapToGrid w:val="0"/>
        <w:spacing w:line="40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如发生任何违反本承诺及其他影响公平公正的违法违规行为，我方自愿接受按法律法规、中国电信相关采购及供应商管理制度的处罚。</w:t>
      </w:r>
    </w:p>
    <w:p w14:paraId="5DE592AD">
      <w:pPr>
        <w:topLinePunct/>
        <w:snapToGrid w:val="0"/>
        <w:spacing w:line="400" w:lineRule="exact"/>
        <w:ind w:firstLine="420" w:firstLineChars="200"/>
        <w:rPr>
          <w:rFonts w:ascii="Times New Roman" w:hAnsi="宋体" w:eastAsia="宋体" w:cs="宋体"/>
          <w:highlight w:val="none"/>
        </w:rPr>
      </w:pPr>
      <w:r>
        <w:rPr>
          <w:rFonts w:ascii="Times New Roman" w:hAnsi="宋体" w:eastAsia="宋体" w:cs="宋体"/>
          <w:highlight w:val="none"/>
        </w:rPr>
        <w:t xml:space="preserve"> </w:t>
      </w:r>
    </w:p>
    <w:p w14:paraId="559E489C">
      <w:pPr>
        <w:rPr>
          <w:rFonts w:ascii="Times New Roman" w:hAnsi="宋体" w:eastAsia="宋体" w:cs="宋体"/>
          <w:highlight w:val="none"/>
        </w:rPr>
      </w:pPr>
    </w:p>
    <w:p w14:paraId="0174D560">
      <w:pPr>
        <w:spacing w:line="440" w:lineRule="exact"/>
        <w:rPr>
          <w:rFonts w:ascii="Times New Roman" w:hAnsi="宋体" w:cs="宋体"/>
          <w:highlight w:val="none"/>
          <w:u w:val="single"/>
        </w:rPr>
      </w:pPr>
      <w:r>
        <w:rPr>
          <w:rFonts w:hint="eastAsia" w:ascii="Times New Roman" w:hAnsi="宋体" w:cs="宋体"/>
          <w:highlight w:val="none"/>
        </w:rPr>
        <w:t>投标人名称：</w:t>
      </w:r>
      <w:r>
        <w:rPr>
          <w:rFonts w:hint="eastAsia" w:ascii="Times New Roman" w:hAnsi="宋体" w:cs="宋体"/>
          <w:highlight w:val="none"/>
          <w:u w:val="single"/>
        </w:rPr>
        <w:t>　　　　　　　　</w:t>
      </w:r>
      <w:r>
        <w:rPr>
          <w:rFonts w:ascii="Times New Roman" w:hAnsi="宋体" w:cs="宋体"/>
          <w:highlight w:val="none"/>
          <w:u w:val="single"/>
        </w:rPr>
        <w:t xml:space="preserve">                      </w:t>
      </w:r>
    </w:p>
    <w:p w14:paraId="75E1A5BA">
      <w:pPr>
        <w:spacing w:line="440" w:lineRule="exact"/>
        <w:rPr>
          <w:rFonts w:ascii="Times New Roman" w:hAnsi="宋体" w:cs="宋体"/>
          <w:highlight w:val="none"/>
        </w:rPr>
      </w:pPr>
      <w:r>
        <w:rPr>
          <w:rFonts w:hint="eastAsia" w:ascii="Times New Roman" w:hAnsi="宋体" w:cs="宋体"/>
          <w:highlight w:val="none"/>
        </w:rPr>
        <w:t>法定代表人</w:t>
      </w:r>
      <w:r>
        <w:rPr>
          <w:rFonts w:ascii="Times New Roman" w:hAnsi="宋体" w:cs="宋体"/>
          <w:highlight w:val="none"/>
        </w:rPr>
        <w:t>/负责人（</w:t>
      </w:r>
      <w:r>
        <w:rPr>
          <w:rFonts w:hint="eastAsia" w:ascii="Times New Roman" w:hAnsi="宋体" w:cs="宋体"/>
          <w:highlight w:val="none"/>
          <w:lang w:val="en-US" w:eastAsia="zh-CN"/>
        </w:rPr>
        <w:t>姓名</w:t>
      </w:r>
      <w:r>
        <w:rPr>
          <w:rFonts w:ascii="Times New Roman" w:hAnsi="宋体" w:cs="宋体"/>
          <w:highlight w:val="none"/>
        </w:rPr>
        <w:t>）或者其委托代理人</w:t>
      </w:r>
      <w:r>
        <w:rPr>
          <w:rFonts w:hint="eastAsia" w:ascii="Times New Roman" w:hAnsi="宋体" w:cs="宋体"/>
          <w:highlight w:val="none"/>
        </w:rPr>
        <w:t>（</w:t>
      </w:r>
      <w:r>
        <w:rPr>
          <w:rFonts w:hint="eastAsia" w:ascii="Times New Roman" w:hAnsi="宋体" w:cs="宋体"/>
          <w:highlight w:val="none"/>
          <w:lang w:val="en-US" w:eastAsia="zh-CN"/>
        </w:rPr>
        <w:t>姓名</w:t>
      </w:r>
      <w:r>
        <w:rPr>
          <w:rFonts w:hint="eastAsia" w:ascii="Times New Roman" w:hAnsi="宋体" w:cs="宋体"/>
          <w:highlight w:val="none"/>
        </w:rPr>
        <w:t>）</w:t>
      </w:r>
      <w:r>
        <w:rPr>
          <w:rFonts w:ascii="Times New Roman" w:hAnsi="宋体" w:cs="宋体"/>
          <w:highlight w:val="none"/>
        </w:rPr>
        <w:t>：</w:t>
      </w:r>
      <w:r>
        <w:rPr>
          <w:rFonts w:ascii="Times New Roman" w:hAnsi="宋体" w:cs="宋体"/>
          <w:highlight w:val="none"/>
          <w:u w:val="single"/>
        </w:rPr>
        <w:t xml:space="preserve">               </w:t>
      </w:r>
    </w:p>
    <w:p w14:paraId="5858A48A">
      <w:pPr>
        <w:spacing w:line="440" w:lineRule="exact"/>
        <w:rPr>
          <w:rFonts w:ascii="Times New Roman" w:hAnsi="宋体" w:cs="宋体"/>
          <w:highlight w:val="none"/>
        </w:rPr>
      </w:pPr>
      <w:r>
        <w:rPr>
          <w:rFonts w:hint="eastAsia" w:ascii="Times New Roman" w:hAnsi="宋体" w:cs="宋体"/>
          <w:highlight w:val="none"/>
        </w:rPr>
        <w:t>日期：</w:t>
      </w:r>
      <w:r>
        <w:rPr>
          <w:rFonts w:ascii="Times New Roman" w:hAnsi="宋体" w:cs="宋体"/>
          <w:highlight w:val="none"/>
          <w:u w:val="single"/>
        </w:rPr>
        <w:t xml:space="preserve">   </w:t>
      </w:r>
      <w:r>
        <w:rPr>
          <w:rFonts w:hint="eastAsia" w:ascii="Times New Roman" w:hAnsi="宋体" w:cs="宋体"/>
          <w:highlight w:val="none"/>
          <w:u w:val="single"/>
          <w:lang w:val="en-US" w:eastAsia="zh-CN"/>
        </w:rPr>
        <w:t xml:space="preserve">  </w:t>
      </w:r>
      <w:r>
        <w:rPr>
          <w:rFonts w:ascii="Times New Roman" w:hAnsi="宋体" w:cs="宋体"/>
          <w:highlight w:val="none"/>
          <w:u w:val="single"/>
        </w:rPr>
        <w:t xml:space="preserve">   </w:t>
      </w:r>
      <w:r>
        <w:rPr>
          <w:rFonts w:hint="eastAsia" w:ascii="Times New Roman" w:hAnsi="宋体" w:cs="宋体"/>
          <w:highlight w:val="none"/>
        </w:rPr>
        <w:t>年</w:t>
      </w:r>
      <w:r>
        <w:rPr>
          <w:rFonts w:ascii="Times New Roman" w:hAnsi="宋体" w:cs="宋体"/>
          <w:highlight w:val="none"/>
          <w:u w:val="single"/>
        </w:rPr>
        <w:t xml:space="preserve">   </w:t>
      </w:r>
      <w:r>
        <w:rPr>
          <w:rFonts w:hint="eastAsia" w:ascii="Times New Roman" w:hAnsi="宋体" w:cs="宋体"/>
          <w:highlight w:val="none"/>
          <w:u w:val="single"/>
          <w:lang w:val="en-US" w:eastAsia="zh-CN"/>
        </w:rPr>
        <w:t xml:space="preserve">   </w:t>
      </w:r>
      <w:r>
        <w:rPr>
          <w:rFonts w:ascii="Times New Roman" w:hAnsi="宋体" w:cs="宋体"/>
          <w:highlight w:val="none"/>
          <w:u w:val="single"/>
        </w:rPr>
        <w:t xml:space="preserve">  </w:t>
      </w:r>
      <w:r>
        <w:rPr>
          <w:rFonts w:hint="eastAsia" w:ascii="Times New Roman" w:hAnsi="宋体" w:cs="宋体"/>
          <w:highlight w:val="none"/>
        </w:rPr>
        <w:t>月</w:t>
      </w:r>
      <w:r>
        <w:rPr>
          <w:rFonts w:ascii="Times New Roman" w:hAnsi="宋体" w:cs="宋体"/>
          <w:highlight w:val="none"/>
          <w:u w:val="single"/>
        </w:rPr>
        <w:t xml:space="preserve"> </w:t>
      </w:r>
      <w:r>
        <w:rPr>
          <w:rFonts w:hint="eastAsia" w:ascii="Times New Roman" w:hAnsi="宋体" w:cs="宋体"/>
          <w:highlight w:val="none"/>
          <w:u w:val="single"/>
          <w:lang w:val="en-US" w:eastAsia="zh-CN"/>
        </w:rPr>
        <w:t xml:space="preserve">    </w:t>
      </w:r>
      <w:r>
        <w:rPr>
          <w:rFonts w:ascii="Times New Roman" w:hAnsi="宋体" w:cs="宋体"/>
          <w:highlight w:val="none"/>
          <w:u w:val="single"/>
        </w:rPr>
        <w:t xml:space="preserve">   </w:t>
      </w:r>
      <w:r>
        <w:rPr>
          <w:rFonts w:hint="eastAsia" w:ascii="Times New Roman" w:hAnsi="宋体" w:cs="宋体"/>
          <w:highlight w:val="none"/>
        </w:rPr>
        <w:t>日</w:t>
      </w:r>
    </w:p>
    <w:p w14:paraId="4EA73EA2">
      <w:pPr>
        <w:topLinePunct/>
        <w:spacing w:line="440" w:lineRule="exact"/>
        <w:jc w:val="left"/>
        <w:rPr>
          <w:rFonts w:hint="eastAsia" w:ascii="Times New Roman" w:hAnsi="Times New Roman" w:eastAsia="宋体" w:cs="Times New Roman"/>
        </w:rPr>
      </w:pPr>
      <w:r>
        <w:rPr>
          <w:rFonts w:hint="eastAsia" w:ascii="Times New Roman" w:hAnsi="Times New Roman" w:eastAsia="宋体" w:cs="Times New Roman"/>
        </w:rPr>
        <w:t>[招标人不得对本文件中的条款进行修改。</w:t>
      </w:r>
    </w:p>
    <w:p w14:paraId="5BA2190A">
      <w:pPr>
        <w:topLinePunct/>
        <w:spacing w:line="440" w:lineRule="exact"/>
        <w:jc w:val="left"/>
        <w:rPr>
          <w:rFonts w:hint="eastAsia" w:ascii="Times New Roman" w:hAnsi="宋体" w:eastAsia="宋体" w:cs="宋体"/>
          <w:highlight w:val="none"/>
        </w:rPr>
      </w:pPr>
      <w:r>
        <w:rPr>
          <w:rFonts w:hint="eastAsia" w:ascii="Times New Roman" w:hAnsi="宋体" w:eastAsia="宋体" w:cs="宋体"/>
          <w:b/>
          <w:highlight w:val="none"/>
        </w:rPr>
        <w:t>编制要求</w:t>
      </w:r>
      <w:r>
        <w:rPr>
          <w:rFonts w:hint="eastAsia" w:ascii="Times New Roman" w:hAnsi="宋体" w:eastAsia="宋体" w:cs="宋体"/>
          <w:highlight w:val="none"/>
        </w:rPr>
        <w:t>：</w:t>
      </w:r>
    </w:p>
    <w:p w14:paraId="3DEF731F">
      <w:pPr>
        <w:widowControl w:val="0"/>
        <w:numPr>
          <w:ilvl w:val="0"/>
          <w:numId w:val="0"/>
        </w:numPr>
        <w:adjustRightInd w:val="0"/>
        <w:snapToGrid w:val="0"/>
        <w:spacing w:line="440" w:lineRule="exact"/>
        <w:ind w:left="360" w:leftChars="0" w:hanging="360" w:firstLineChars="0"/>
        <w:jc w:val="both"/>
        <w:rPr>
          <w:rFonts w:hint="eastAsia" w:cs="Times New Roman" w:asciiTheme="minorEastAsia" w:hAnsiTheme="minorEastAsia" w:eastAsiaTheme="minorEastAsia"/>
          <w:kern w:val="2"/>
          <w:sz w:val="21"/>
          <w:szCs w:val="24"/>
          <w:lang w:val="en-US" w:eastAsia="zh-CN" w:bidi="ar-SA"/>
        </w:rPr>
      </w:pPr>
      <w:r>
        <w:rPr>
          <w:rFonts w:hint="default" w:cs="Times New Roman" w:asciiTheme="minorEastAsia" w:hAnsiTheme="minorEastAsia" w:eastAsiaTheme="minorEastAsia"/>
          <w:kern w:val="2"/>
          <w:sz w:val="21"/>
          <w:szCs w:val="24"/>
          <w:lang w:val="en-US" w:eastAsia="zh-CN" w:bidi="ar-SA"/>
        </w:rPr>
        <w:t>1.</w:t>
      </w:r>
      <w:r>
        <w:rPr>
          <w:rFonts w:hint="eastAsia" w:cs="Times New Roman" w:asciiTheme="minorEastAsia" w:hAnsiTheme="minorEastAsia" w:eastAsiaTheme="minorEastAsia"/>
          <w:kern w:val="2"/>
          <w:sz w:val="21"/>
          <w:szCs w:val="24"/>
          <w:lang w:val="en-US" w:eastAsia="zh-CN" w:bidi="ar-SA"/>
        </w:rPr>
        <w:t>投标人若存在“中国电信在职员工、离职或退休后三年内在我方担任法定代表人或董监高的情况”、“中国电信员工近亲属在我方担任法定代表人或董监高的情况”的，应填写该“承诺函”，不涉及则无需填写。</w:t>
      </w:r>
    </w:p>
    <w:p w14:paraId="3492209B">
      <w:pPr>
        <w:numPr>
          <w:ilvl w:val="0"/>
          <w:numId w:val="0"/>
        </w:numPr>
        <w:adjustRightInd w:val="0"/>
        <w:snapToGrid w:val="0"/>
        <w:spacing w:line="440" w:lineRule="exact"/>
        <w:ind w:left="0" w:leftChars="0" w:firstLine="0" w:firstLineChars="0"/>
        <w:rPr>
          <w:rFonts w:hint="eastAsia" w:asciiTheme="minorEastAsia" w:hAnsiTheme="minorEastAsia" w:eastAsiaTheme="minorEastAsia"/>
        </w:rPr>
        <w:sectPr>
          <w:pgSz w:w="11906" w:h="16838"/>
          <w:pgMar w:top="1440" w:right="1800" w:bottom="1440" w:left="1800" w:header="851" w:footer="992" w:gutter="0"/>
          <w:cols w:space="425" w:num="1"/>
          <w:docGrid w:type="lines" w:linePitch="312" w:charSpace="0"/>
        </w:sectPr>
      </w:pPr>
      <w:r>
        <w:rPr>
          <w:rFonts w:hint="default" w:cs="Times New Roman" w:asciiTheme="minorEastAsia" w:hAnsiTheme="minorEastAsia" w:eastAsiaTheme="minorEastAsia"/>
          <w:kern w:val="2"/>
          <w:sz w:val="21"/>
          <w:szCs w:val="24"/>
          <w:lang w:val="en-US" w:eastAsia="zh-CN" w:bidi="ar-SA"/>
        </w:rPr>
        <w:t>2.</w:t>
      </w:r>
      <w:r>
        <w:rPr>
          <w:rFonts w:hint="eastAsia" w:cs="Times New Roman" w:asciiTheme="minorEastAsia" w:hAnsiTheme="minorEastAsia" w:eastAsiaTheme="minorEastAsia"/>
          <w:kern w:val="2"/>
          <w:sz w:val="21"/>
          <w:szCs w:val="24"/>
          <w:lang w:val="en-US" w:eastAsia="zh-CN" w:bidi="ar-SA"/>
        </w:rPr>
        <w:t>除本文件允许投标人进行填写的内容以外，投标人不得对本文件进行修</w:t>
      </w:r>
    </w:p>
    <w:p w14:paraId="175784FB">
      <w:pPr>
        <w:rPr>
          <w:rFonts w:hint="eastAsia" w:cs="Times New Roman" w:asciiTheme="minorEastAsia" w:hAnsiTheme="minorEastAsia" w:eastAsiaTheme="minorEastAsia"/>
          <w:b/>
          <w:bCs/>
          <w:kern w:val="2"/>
          <w:sz w:val="24"/>
          <w:szCs w:val="24"/>
          <w:lang w:val="en-US" w:eastAsia="zh-CN" w:bidi="ar-SA"/>
        </w:rPr>
      </w:pPr>
    </w:p>
    <w:p w14:paraId="49A6EFB2">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76" w:name="_Toc559"/>
      <w:bookmarkStart w:id="977" w:name="_Toc31749"/>
      <w:r>
        <w:rPr>
          <w:rFonts w:hint="eastAsia" w:cs="Times New Roman" w:asciiTheme="minorEastAsia" w:hAnsiTheme="minorEastAsia" w:eastAsiaTheme="minorEastAsia"/>
          <w:b/>
          <w:bCs/>
          <w:kern w:val="2"/>
          <w:sz w:val="24"/>
          <w:szCs w:val="24"/>
          <w:lang w:val="en-US" w:eastAsia="zh-CN" w:bidi="ar-SA"/>
        </w:rPr>
        <w:t>14.</w:t>
      </w:r>
      <w:r>
        <w:rPr>
          <w:rFonts w:hint="eastAsia" w:asciiTheme="minorEastAsia" w:hAnsiTheme="minorEastAsia" w:eastAsiaTheme="minorEastAsia"/>
          <w:sz w:val="24"/>
          <w:szCs w:val="24"/>
        </w:rPr>
        <w:t>资格审查资料</w:t>
      </w:r>
      <w:bookmarkEnd w:id="966"/>
      <w:bookmarkEnd w:id="967"/>
      <w:bookmarkEnd w:id="968"/>
      <w:bookmarkEnd w:id="969"/>
      <w:bookmarkEnd w:id="970"/>
      <w:bookmarkEnd w:id="971"/>
      <w:bookmarkEnd w:id="972"/>
      <w:bookmarkEnd w:id="973"/>
      <w:bookmarkEnd w:id="974"/>
      <w:bookmarkEnd w:id="976"/>
      <w:bookmarkEnd w:id="977"/>
    </w:p>
    <w:bookmarkEnd w:id="975"/>
    <w:p w14:paraId="509F4244">
      <w:pPr>
        <w:pStyle w:val="21"/>
        <w:snapToGrid w:val="0"/>
        <w:spacing w:line="440" w:lineRule="exact"/>
        <w:ind w:firstLine="0"/>
        <w:jc w:val="center"/>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资格审查资料</w:t>
      </w:r>
    </w:p>
    <w:p w14:paraId="5ABE8124">
      <w:pPr>
        <w:pStyle w:val="21"/>
        <w:snapToGrid w:val="0"/>
        <w:spacing w:line="440" w:lineRule="exact"/>
        <w:ind w:firstLineChars="200"/>
        <w:rPr>
          <w:rFonts w:ascii="宋体" w:hAnsi="宋体" w:eastAsia="宋体"/>
          <w:bCs/>
          <w:color w:val="000000" w:themeColor="text1"/>
          <w:kern w:val="2"/>
          <w:sz w:val="21"/>
          <w:szCs w:val="21"/>
          <w:highlight w:val="none"/>
          <w14:textFill>
            <w14:solidFill>
              <w14:schemeClr w14:val="tx1"/>
            </w14:solidFill>
          </w14:textFill>
        </w:rPr>
      </w:pPr>
      <w:bookmarkStart w:id="978" w:name="_Hlk167182944"/>
      <w:r>
        <w:rPr>
          <w:rFonts w:hint="eastAsia" w:ascii="宋体" w:hAnsi="宋体" w:eastAsia="宋体"/>
          <w:bCs/>
          <w:color w:val="000000" w:themeColor="text1"/>
          <w:kern w:val="2"/>
          <w:sz w:val="21"/>
          <w:szCs w:val="21"/>
          <w:highlight w:val="none"/>
          <w14:textFill>
            <w14:solidFill>
              <w14:schemeClr w14:val="tx1"/>
            </w14:solidFill>
          </w14:textFill>
        </w:rPr>
        <w:t>根据招标文件投标人资格要求及技术规范书等资格审查资料，包括但不限于投标人登记注册证明文件等。</w:t>
      </w:r>
    </w:p>
    <w:bookmarkEnd w:id="978"/>
    <w:p w14:paraId="1CC8CD2B">
      <w:pPr>
        <w:pStyle w:val="21"/>
        <w:snapToGrid w:val="0"/>
        <w:spacing w:line="440" w:lineRule="exact"/>
        <w:ind w:firstLine="560" w:firstLineChars="200"/>
        <w:rPr>
          <w:highlight w:val="none"/>
        </w:rPr>
      </w:pPr>
    </w:p>
    <w:p w14:paraId="66258BDD">
      <w:pPr>
        <w:widowControl/>
        <w:jc w:val="left"/>
        <w:rPr>
          <w:rFonts w:ascii="楷体_GB2312" w:eastAsia="楷体_GB2312"/>
          <w:kern w:val="0"/>
          <w:sz w:val="28"/>
          <w:szCs w:val="20"/>
          <w:highlight w:val="none"/>
        </w:rPr>
      </w:pPr>
      <w:r>
        <w:rPr>
          <w:highlight w:val="none"/>
        </w:rPr>
        <w:br w:type="page"/>
      </w:r>
    </w:p>
    <w:p w14:paraId="2DDA7D17">
      <w:pPr>
        <w:pStyle w:val="21"/>
        <w:snapToGrid w:val="0"/>
        <w:spacing w:line="440" w:lineRule="exact"/>
        <w:ind w:firstLineChars="200"/>
        <w:rPr>
          <w:rFonts w:asciiTheme="minorEastAsia" w:hAnsiTheme="minorEastAsia" w:eastAsiaTheme="minorEastAsia"/>
          <w:bCs/>
          <w:kern w:val="2"/>
          <w:sz w:val="21"/>
          <w:szCs w:val="21"/>
          <w:highlight w:val="none"/>
        </w:rPr>
        <w:sectPr>
          <w:pgSz w:w="11906" w:h="16838"/>
          <w:pgMar w:top="1418" w:right="1800" w:bottom="1440" w:left="1800" w:header="851" w:footer="992" w:gutter="0"/>
          <w:pgNumType w:fmt="decimal"/>
          <w:cols w:space="720" w:num="1"/>
          <w:docGrid w:type="lines" w:linePitch="312" w:charSpace="0"/>
        </w:sectPr>
      </w:pPr>
    </w:p>
    <w:p w14:paraId="5F9A5780">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979" w:name="_Toc75869522"/>
      <w:bookmarkEnd w:id="979"/>
      <w:bookmarkStart w:id="980" w:name="_Toc75869519"/>
      <w:bookmarkEnd w:id="980"/>
      <w:bookmarkStart w:id="981" w:name="_Toc75869520"/>
      <w:bookmarkEnd w:id="981"/>
      <w:bookmarkStart w:id="982" w:name="_Toc75869523"/>
      <w:bookmarkEnd w:id="982"/>
      <w:bookmarkStart w:id="983" w:name="_Toc75869518"/>
      <w:bookmarkEnd w:id="983"/>
      <w:bookmarkStart w:id="984" w:name="_Toc75869521"/>
      <w:bookmarkEnd w:id="984"/>
      <w:bookmarkStart w:id="985" w:name="_Toc11986"/>
      <w:bookmarkStart w:id="986" w:name="_Toc475472682"/>
      <w:bookmarkStart w:id="987" w:name="_Toc10215"/>
      <w:bookmarkStart w:id="988" w:name="_Toc840"/>
      <w:bookmarkStart w:id="989" w:name="_Toc27525"/>
      <w:bookmarkStart w:id="990" w:name="_Toc27337"/>
      <w:bookmarkStart w:id="991" w:name="_Toc8871"/>
      <w:bookmarkStart w:id="992" w:name="_Toc2632"/>
      <w:bookmarkStart w:id="993" w:name="_Toc24936"/>
      <w:bookmarkStart w:id="994" w:name="_Toc438052129"/>
      <w:bookmarkStart w:id="995" w:name="_Toc38008090"/>
      <w:bookmarkStart w:id="996" w:name="_Toc5307"/>
      <w:bookmarkStart w:id="997" w:name="_Toc18499"/>
      <w:bookmarkStart w:id="998" w:name="_Toc136"/>
      <w:bookmarkStart w:id="999" w:name="_Hlk167299989"/>
      <w:r>
        <w:rPr>
          <w:rFonts w:hint="eastAsia" w:cs="Times New Roman" w:asciiTheme="minorEastAsia" w:hAnsiTheme="minorEastAsia" w:eastAsiaTheme="minorEastAsia"/>
          <w:b/>
          <w:bCs/>
          <w:kern w:val="2"/>
          <w:sz w:val="24"/>
          <w:szCs w:val="24"/>
          <w:lang w:val="en-US" w:eastAsia="zh-CN" w:bidi="ar-SA"/>
        </w:rPr>
        <w:t>15.</w:t>
      </w:r>
      <w:r>
        <w:rPr>
          <w:rFonts w:hint="eastAsia" w:asciiTheme="minorEastAsia" w:hAnsiTheme="minorEastAsia" w:eastAsiaTheme="minorEastAsia"/>
          <w:sz w:val="24"/>
          <w:szCs w:val="24"/>
        </w:rPr>
        <w:t>投标人控股及管理关系情况申报表</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bookmarkEnd w:id="999"/>
    <w:p w14:paraId="5584BDED">
      <w:pPr>
        <w:pStyle w:val="101"/>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投标人控股及管理关系情况申报表</w:t>
      </w:r>
    </w:p>
    <w:p w14:paraId="72C99BF4">
      <w:pPr>
        <w:adjustRightInd w:val="0"/>
        <w:snapToGrid w:val="0"/>
        <w:spacing w:line="440" w:lineRule="exact"/>
        <w:rPr>
          <w:rFonts w:asciiTheme="minorEastAsia" w:hAnsiTheme="minorEastAsia" w:eastAsiaTheme="minorEastAsia"/>
          <w:highlight w:val="none"/>
        </w:rPr>
      </w:pPr>
    </w:p>
    <w:p w14:paraId="5A718C1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项目[集中招标项目名称]</w:t>
      </w:r>
      <w:r>
        <w:rPr>
          <w:rFonts w:hint="eastAsia" w:asciiTheme="minorEastAsia" w:hAnsiTheme="minorEastAsia" w:eastAsiaTheme="minorEastAsia"/>
          <w:highlight w:val="none"/>
          <w:u w:val="single"/>
        </w:rPr>
        <w:t>】【XX</w:t>
      </w:r>
      <w:r>
        <w:rPr>
          <w:rFonts w:asciiTheme="minorEastAsia" w:hAnsiTheme="minorEastAsia" w:eastAsiaTheme="minorEastAsia"/>
          <w:szCs w:val="21"/>
          <w:highlight w:val="none"/>
          <w:u w:val="single"/>
        </w:rPr>
        <w:t>标包</w:t>
      </w:r>
      <w:r>
        <w:rPr>
          <w:rFonts w:hint="eastAsia" w:asciiTheme="minorEastAsia" w:hAnsiTheme="minorEastAsia" w:eastAsiaTheme="minorEastAsia"/>
          <w:szCs w:val="21"/>
          <w:highlight w:val="none"/>
          <w:u w:val="single"/>
        </w:rPr>
        <w:t>[标包名称]</w:t>
      </w:r>
      <w:r>
        <w:rPr>
          <w:rFonts w:hint="eastAsia" w:asciiTheme="minorEastAsia" w:hAnsiTheme="minorEastAsia" w:eastAsiaTheme="minorEastAsia"/>
          <w:highlight w:val="none"/>
          <w:u w:val="single"/>
        </w:rPr>
        <w:t>】</w:t>
      </w:r>
      <w:r>
        <w:rPr>
          <w:rFonts w:hint="eastAsia" w:asciiTheme="minorEastAsia" w:hAnsiTheme="minorEastAsia" w:eastAsiaTheme="minorEastAsia"/>
          <w:highlight w:val="none"/>
        </w:rPr>
        <w:t>的投标，根据法律法规维护投标公正性的相关规定，特就本单位控股及管理关系情况申报如下，并承担申报不实的责任。</w:t>
      </w:r>
    </w:p>
    <w:tbl>
      <w:tblPr>
        <w:tblStyle w:val="85"/>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266"/>
        <w:gridCol w:w="4646"/>
      </w:tblGrid>
      <w:tr w14:paraId="329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Align w:val="center"/>
          </w:tcPr>
          <w:p w14:paraId="505641C7">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5912" w:type="dxa"/>
            <w:gridSpan w:val="2"/>
            <w:vAlign w:val="center"/>
          </w:tcPr>
          <w:p w14:paraId="2CAC5A0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【XX公司[投标人名称]】</w:t>
            </w:r>
          </w:p>
        </w:tc>
      </w:tr>
      <w:tr w14:paraId="6171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8" w:type="dxa"/>
            <w:vMerge w:val="restart"/>
            <w:vAlign w:val="center"/>
          </w:tcPr>
          <w:p w14:paraId="220811FE">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/负责人</w:t>
            </w:r>
          </w:p>
        </w:tc>
        <w:tc>
          <w:tcPr>
            <w:tcW w:w="1266" w:type="dxa"/>
            <w:vAlign w:val="center"/>
          </w:tcPr>
          <w:p w14:paraId="4C7370B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4646" w:type="dxa"/>
            <w:vAlign w:val="center"/>
          </w:tcPr>
          <w:p w14:paraId="1CC3FA3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4711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48" w:type="dxa"/>
            <w:vMerge w:val="continue"/>
            <w:vAlign w:val="center"/>
          </w:tcPr>
          <w:p w14:paraId="1616B6A8">
            <w:pPr>
              <w:adjustRightInd w:val="0"/>
              <w:snapToGrid w:val="0"/>
              <w:spacing w:line="440" w:lineRule="exact"/>
              <w:rPr>
                <w:rFonts w:cs="宋体" w:asciiTheme="minorEastAsia" w:hAnsiTheme="minorEastAsia" w:eastAsiaTheme="minorEastAsia"/>
                <w:highlight w:val="none"/>
              </w:rPr>
            </w:pPr>
          </w:p>
        </w:tc>
        <w:tc>
          <w:tcPr>
            <w:tcW w:w="1266" w:type="dxa"/>
            <w:vAlign w:val="center"/>
          </w:tcPr>
          <w:p w14:paraId="02183E5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4646" w:type="dxa"/>
            <w:vAlign w:val="center"/>
          </w:tcPr>
          <w:p w14:paraId="14D0E79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[投标人法定代表人/负责人身份证号]</w:t>
            </w:r>
            <w:r>
              <w:rPr>
                <w:rFonts w:hint="eastAsia" w:asciiTheme="minorEastAsia" w:hAnsiTheme="minorEastAsia" w:eastAsiaTheme="minorEastAsia"/>
                <w:highlight w:val="none"/>
                <w:u w:val="single"/>
              </w:rPr>
              <w:t>】</w:t>
            </w:r>
          </w:p>
        </w:tc>
      </w:tr>
      <w:tr w14:paraId="3751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448" w:type="dxa"/>
            <w:vAlign w:val="center"/>
          </w:tcPr>
          <w:p w14:paraId="2E576139">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06BEB64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5912" w:type="dxa"/>
            <w:gridSpan w:val="2"/>
            <w:vAlign w:val="center"/>
          </w:tcPr>
          <w:p w14:paraId="05294B5E">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【XX公司/XX[自然人]，出资比例XX%，[投标人控股股东/投资人名称及出资比例]】</w:t>
            </w:r>
          </w:p>
        </w:tc>
      </w:tr>
      <w:tr w14:paraId="4326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448" w:type="dxa"/>
            <w:vAlign w:val="center"/>
          </w:tcPr>
          <w:p w14:paraId="3A7E689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7A341623">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5912" w:type="dxa"/>
            <w:gridSpan w:val="2"/>
            <w:vAlign w:val="center"/>
          </w:tcPr>
          <w:p w14:paraId="3D9CE3F1">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【XX公司/XX[自然人]，出资比例XX%，[投标人非控股股东/投资人名称及出资比例，应从出资比例由高到低进行填写]】</w:t>
            </w:r>
          </w:p>
        </w:tc>
      </w:tr>
      <w:tr w14:paraId="25C1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8" w:type="dxa"/>
            <w:vMerge w:val="restart"/>
            <w:vAlign w:val="center"/>
          </w:tcPr>
          <w:p w14:paraId="6B1A0B4E">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1266" w:type="dxa"/>
            <w:vAlign w:val="center"/>
          </w:tcPr>
          <w:p w14:paraId="0707C97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4646" w:type="dxa"/>
            <w:vAlign w:val="center"/>
          </w:tcPr>
          <w:p w14:paraId="55726590">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4E61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Merge w:val="continue"/>
            <w:vAlign w:val="center"/>
          </w:tcPr>
          <w:p w14:paraId="5188028D">
            <w:pPr>
              <w:adjustRightInd w:val="0"/>
              <w:snapToGrid w:val="0"/>
              <w:spacing w:line="440" w:lineRule="exact"/>
              <w:rPr>
                <w:rFonts w:cs="宋体" w:asciiTheme="minorEastAsia" w:hAnsiTheme="minorEastAsia" w:eastAsiaTheme="minorEastAsia"/>
                <w:highlight w:val="none"/>
              </w:rPr>
            </w:pPr>
          </w:p>
        </w:tc>
        <w:tc>
          <w:tcPr>
            <w:tcW w:w="1266" w:type="dxa"/>
            <w:vAlign w:val="center"/>
          </w:tcPr>
          <w:p w14:paraId="5264570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4646" w:type="dxa"/>
            <w:vAlign w:val="center"/>
          </w:tcPr>
          <w:p w14:paraId="6F28A85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0264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8360" w:type="dxa"/>
            <w:gridSpan w:val="3"/>
            <w:shd w:val="clear" w:color="auto" w:fill="auto"/>
            <w:vAlign w:val="center"/>
          </w:tcPr>
          <w:p w14:paraId="6AF2256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7CF77C8D">
      <w:pPr>
        <w:spacing w:line="440" w:lineRule="exact"/>
        <w:ind w:firstLine="707" w:firstLineChars="337"/>
        <w:rPr>
          <w:rFonts w:asciiTheme="minorEastAsia" w:hAnsiTheme="minorEastAsia" w:eastAsiaTheme="minorEastAsia"/>
          <w:szCs w:val="21"/>
          <w:highlight w:val="none"/>
        </w:rPr>
      </w:pPr>
    </w:p>
    <w:p w14:paraId="1E299ABA">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3B36CF12">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77608B37">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7C91DBE2">
      <w:pPr>
        <w:adjustRightInd w:val="0"/>
        <w:snapToGrid w:val="0"/>
        <w:spacing w:line="440" w:lineRule="exac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p>
    <w:p w14:paraId="3136409F">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06CBC3F0">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7C2C8F63">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5C10CE52">
      <w:pPr>
        <w:rPr>
          <w:rFonts w:asciiTheme="minorEastAsia" w:hAnsiTheme="minorEastAsia" w:eastAsiaTheme="minorEastAsia"/>
          <w:highlight w:val="none"/>
        </w:rPr>
      </w:pPr>
      <w:r>
        <w:rPr>
          <w:rFonts w:hint="eastAsia" w:asciiTheme="minorEastAsia" w:hAnsiTheme="minorEastAsia" w:eastAsiaTheme="minorEastAsia"/>
          <w:highlight w:val="none"/>
        </w:rPr>
        <w:t>4.</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5F1F8530">
      <w:pPr>
        <w:widowControl/>
        <w:jc w:val="left"/>
        <w:rPr>
          <w:rFonts w:asciiTheme="minorEastAsia" w:hAnsiTheme="minorEastAsia" w:eastAsiaTheme="minorEastAsia"/>
          <w:highlight w:val="none"/>
        </w:rPr>
      </w:pPr>
      <w:r>
        <w:rPr>
          <w:rFonts w:asciiTheme="minorEastAsia" w:hAnsiTheme="minorEastAsia" w:eastAsiaTheme="minorEastAsia"/>
          <w:highlight w:val="none"/>
        </w:rPr>
        <w:br w:type="page"/>
      </w:r>
    </w:p>
    <w:tbl>
      <w:tblPr>
        <w:tblStyle w:val="85"/>
        <w:tblW w:w="8789" w:type="dxa"/>
        <w:tblInd w:w="108" w:type="dxa"/>
        <w:tblLayout w:type="autofit"/>
        <w:tblCellMar>
          <w:top w:w="0" w:type="dxa"/>
          <w:left w:w="108" w:type="dxa"/>
          <w:bottom w:w="0" w:type="dxa"/>
          <w:right w:w="108" w:type="dxa"/>
        </w:tblCellMar>
      </w:tblPr>
      <w:tblGrid>
        <w:gridCol w:w="851"/>
        <w:gridCol w:w="1134"/>
        <w:gridCol w:w="850"/>
        <w:gridCol w:w="993"/>
        <w:gridCol w:w="1417"/>
        <w:gridCol w:w="1418"/>
        <w:gridCol w:w="992"/>
        <w:gridCol w:w="1134"/>
      </w:tblGrid>
      <w:tr w14:paraId="5BEBBAD9">
        <w:tblPrEx>
          <w:tblCellMar>
            <w:top w:w="0" w:type="dxa"/>
            <w:left w:w="108" w:type="dxa"/>
            <w:bottom w:w="0" w:type="dxa"/>
            <w:right w:w="108" w:type="dxa"/>
          </w:tblCellMar>
        </w:tblPrEx>
        <w:trPr>
          <w:trHeight w:val="780" w:hRule="atLeast"/>
        </w:trPr>
        <w:tc>
          <w:tcPr>
            <w:tcW w:w="8789" w:type="dxa"/>
            <w:gridSpan w:val="8"/>
            <w:tcBorders>
              <w:top w:val="nil"/>
              <w:left w:val="nil"/>
              <w:bottom w:val="nil"/>
              <w:right w:val="nil"/>
            </w:tcBorders>
            <w:vAlign w:val="center"/>
          </w:tcPr>
          <w:p w14:paraId="67C31719">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参与供应商与中国电信贵州公司等关联公司人员关系申报表</w:t>
            </w:r>
          </w:p>
        </w:tc>
      </w:tr>
      <w:tr w14:paraId="08EF7C22">
        <w:tblPrEx>
          <w:tblCellMar>
            <w:top w:w="0" w:type="dxa"/>
            <w:left w:w="108" w:type="dxa"/>
            <w:bottom w:w="0" w:type="dxa"/>
            <w:right w:w="108" w:type="dxa"/>
          </w:tblCellMar>
        </w:tblPrEx>
        <w:trPr>
          <w:trHeight w:val="793" w:hRule="atLeast"/>
        </w:trPr>
        <w:tc>
          <w:tcPr>
            <w:tcW w:w="6663" w:type="dxa"/>
            <w:gridSpan w:val="6"/>
            <w:tcBorders>
              <w:top w:val="single" w:color="auto" w:sz="4" w:space="0"/>
              <w:left w:val="single" w:color="auto" w:sz="4" w:space="0"/>
              <w:bottom w:val="single" w:color="auto" w:sz="4" w:space="0"/>
              <w:right w:val="single" w:color="auto" w:sz="4" w:space="0"/>
            </w:tcBorders>
            <w:vAlign w:val="center"/>
          </w:tcPr>
          <w:p w14:paraId="3892FE97">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申报单位的法人代表、总经理、副总经理、股东（非上市公司）、投标人代表中是否有中国电信贵州分公司、贵州省通信产业服务有限公司及其控股子公司人员</w:t>
            </w:r>
          </w:p>
        </w:tc>
        <w:tc>
          <w:tcPr>
            <w:tcW w:w="2126" w:type="dxa"/>
            <w:gridSpan w:val="2"/>
            <w:tcBorders>
              <w:top w:val="single" w:color="auto" w:sz="4" w:space="0"/>
              <w:left w:val="nil"/>
              <w:bottom w:val="single" w:color="auto" w:sz="4" w:space="0"/>
              <w:right w:val="single" w:color="auto" w:sz="4" w:space="0"/>
            </w:tcBorders>
            <w:vAlign w:val="center"/>
          </w:tcPr>
          <w:p w14:paraId="2DF3E0DE">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    □否</w:t>
            </w:r>
          </w:p>
        </w:tc>
      </w:tr>
      <w:tr w14:paraId="74AEB1E7">
        <w:tblPrEx>
          <w:tblCellMar>
            <w:top w:w="0" w:type="dxa"/>
            <w:left w:w="108" w:type="dxa"/>
            <w:bottom w:w="0" w:type="dxa"/>
            <w:right w:w="108" w:type="dxa"/>
          </w:tblCellMar>
        </w:tblPrEx>
        <w:trPr>
          <w:trHeight w:val="740" w:hRule="atLeast"/>
        </w:trPr>
        <w:tc>
          <w:tcPr>
            <w:tcW w:w="6663" w:type="dxa"/>
            <w:gridSpan w:val="6"/>
            <w:tcBorders>
              <w:top w:val="single" w:color="auto" w:sz="4" w:space="0"/>
              <w:left w:val="single" w:color="auto" w:sz="4" w:space="0"/>
              <w:bottom w:val="single" w:color="auto" w:sz="4" w:space="0"/>
              <w:right w:val="single" w:color="auto" w:sz="4" w:space="0"/>
            </w:tcBorders>
            <w:vAlign w:val="center"/>
          </w:tcPr>
          <w:p w14:paraId="168F6EE3">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申报单位的法人代表、总经理、副总经理、股东（非上市公司）、投标人代表是否与中国电信贵州分公司、贵州省通信产业服务有限公司及其控股子公司人员存在亲属关系</w:t>
            </w:r>
          </w:p>
        </w:tc>
        <w:tc>
          <w:tcPr>
            <w:tcW w:w="2126" w:type="dxa"/>
            <w:gridSpan w:val="2"/>
            <w:tcBorders>
              <w:top w:val="nil"/>
              <w:left w:val="nil"/>
              <w:bottom w:val="single" w:color="auto" w:sz="4" w:space="0"/>
              <w:right w:val="single" w:color="auto" w:sz="4" w:space="0"/>
            </w:tcBorders>
            <w:vAlign w:val="center"/>
          </w:tcPr>
          <w:p w14:paraId="62247EDE">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    □否</w:t>
            </w:r>
          </w:p>
        </w:tc>
      </w:tr>
      <w:tr w14:paraId="74D160D6">
        <w:tblPrEx>
          <w:tblCellMar>
            <w:top w:w="0" w:type="dxa"/>
            <w:left w:w="108" w:type="dxa"/>
            <w:bottom w:w="0" w:type="dxa"/>
            <w:right w:w="108" w:type="dxa"/>
          </w:tblCellMar>
        </w:tblPrEx>
        <w:trPr>
          <w:trHeight w:val="660" w:hRule="atLeast"/>
        </w:trPr>
        <w:tc>
          <w:tcPr>
            <w:tcW w:w="851" w:type="dxa"/>
            <w:vMerge w:val="restart"/>
            <w:tcBorders>
              <w:top w:val="nil"/>
              <w:left w:val="single" w:color="auto" w:sz="4" w:space="0"/>
              <w:bottom w:val="single" w:color="auto" w:sz="4" w:space="0"/>
              <w:right w:val="single" w:color="auto" w:sz="4" w:space="0"/>
            </w:tcBorders>
            <w:vAlign w:val="center"/>
          </w:tcPr>
          <w:p w14:paraId="12014A4B">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关联关系  （如有必填）</w:t>
            </w:r>
          </w:p>
        </w:tc>
        <w:tc>
          <w:tcPr>
            <w:tcW w:w="1134" w:type="dxa"/>
            <w:tcBorders>
              <w:top w:val="nil"/>
              <w:left w:val="nil"/>
              <w:bottom w:val="single" w:color="auto" w:sz="4" w:space="0"/>
              <w:right w:val="single" w:color="auto" w:sz="4" w:space="0"/>
            </w:tcBorders>
            <w:vAlign w:val="center"/>
          </w:tcPr>
          <w:p w14:paraId="1F36AC0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申报单位人员姓名</w:t>
            </w:r>
          </w:p>
        </w:tc>
        <w:tc>
          <w:tcPr>
            <w:tcW w:w="850" w:type="dxa"/>
            <w:tcBorders>
              <w:top w:val="nil"/>
              <w:left w:val="nil"/>
              <w:bottom w:val="single" w:color="auto" w:sz="4" w:space="0"/>
              <w:right w:val="single" w:color="auto" w:sz="4" w:space="0"/>
            </w:tcBorders>
            <w:vAlign w:val="center"/>
          </w:tcPr>
          <w:p w14:paraId="6CA3449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申报单位人员职务</w:t>
            </w:r>
          </w:p>
        </w:tc>
        <w:tc>
          <w:tcPr>
            <w:tcW w:w="993" w:type="dxa"/>
            <w:tcBorders>
              <w:top w:val="nil"/>
              <w:left w:val="nil"/>
              <w:bottom w:val="single" w:color="auto" w:sz="4" w:space="0"/>
              <w:right w:val="single" w:color="auto" w:sz="4" w:space="0"/>
            </w:tcBorders>
            <w:vAlign w:val="center"/>
          </w:tcPr>
          <w:p w14:paraId="2FDE921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申报单位人员身份证号码</w:t>
            </w:r>
          </w:p>
        </w:tc>
        <w:tc>
          <w:tcPr>
            <w:tcW w:w="1417" w:type="dxa"/>
            <w:tcBorders>
              <w:top w:val="nil"/>
              <w:left w:val="nil"/>
              <w:bottom w:val="single" w:color="auto" w:sz="4" w:space="0"/>
              <w:right w:val="single" w:color="auto" w:sz="4" w:space="0"/>
            </w:tcBorders>
            <w:vAlign w:val="center"/>
          </w:tcPr>
          <w:p w14:paraId="5C10B863">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关联公司名称</w:t>
            </w:r>
          </w:p>
        </w:tc>
        <w:tc>
          <w:tcPr>
            <w:tcW w:w="1418" w:type="dxa"/>
            <w:tcBorders>
              <w:top w:val="nil"/>
              <w:left w:val="nil"/>
              <w:bottom w:val="single" w:color="auto" w:sz="4" w:space="0"/>
              <w:right w:val="single" w:color="auto" w:sz="4" w:space="0"/>
            </w:tcBorders>
            <w:vAlign w:val="center"/>
          </w:tcPr>
          <w:p w14:paraId="01498010">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与关联公司人员关系</w:t>
            </w:r>
          </w:p>
        </w:tc>
        <w:tc>
          <w:tcPr>
            <w:tcW w:w="992" w:type="dxa"/>
            <w:tcBorders>
              <w:top w:val="nil"/>
              <w:left w:val="nil"/>
              <w:bottom w:val="single" w:color="auto" w:sz="4" w:space="0"/>
              <w:right w:val="single" w:color="auto" w:sz="4" w:space="0"/>
            </w:tcBorders>
            <w:vAlign w:val="center"/>
          </w:tcPr>
          <w:p w14:paraId="02FF51C6">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关联公司人员姓名</w:t>
            </w:r>
          </w:p>
        </w:tc>
        <w:tc>
          <w:tcPr>
            <w:tcW w:w="1134" w:type="dxa"/>
            <w:tcBorders>
              <w:top w:val="nil"/>
              <w:left w:val="nil"/>
              <w:bottom w:val="single" w:color="auto" w:sz="4" w:space="0"/>
              <w:right w:val="single" w:color="auto" w:sz="4" w:space="0"/>
            </w:tcBorders>
            <w:vAlign w:val="center"/>
          </w:tcPr>
          <w:p w14:paraId="240A018D">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关联公司人员身份证号码</w:t>
            </w:r>
          </w:p>
        </w:tc>
      </w:tr>
      <w:tr w14:paraId="7F4D271F">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497F9438">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E21A08D">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4B3FA1A5">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65FB5F6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DBAEDF6">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639FE360">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67126DD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AD8DFB0">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4F6B34CB">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1FA5ABE2">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1BEAAFC7">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5B38D5C1">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57CDE9D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941321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013C3DF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7664DC86">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9DE58A4">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2F288D8A">
        <w:tblPrEx>
          <w:tblCellMar>
            <w:top w:w="0" w:type="dxa"/>
            <w:left w:w="108" w:type="dxa"/>
            <w:bottom w:w="0" w:type="dxa"/>
            <w:right w:w="108" w:type="dxa"/>
          </w:tblCellMar>
        </w:tblPrEx>
        <w:trPr>
          <w:trHeight w:val="660" w:hRule="atLeast"/>
        </w:trPr>
        <w:tc>
          <w:tcPr>
            <w:tcW w:w="851" w:type="dxa"/>
            <w:vMerge w:val="continue"/>
            <w:tcBorders>
              <w:top w:val="nil"/>
              <w:left w:val="single" w:color="auto" w:sz="4" w:space="0"/>
              <w:bottom w:val="single" w:color="auto" w:sz="4" w:space="0"/>
              <w:right w:val="single" w:color="auto" w:sz="4" w:space="0"/>
            </w:tcBorders>
            <w:vAlign w:val="center"/>
          </w:tcPr>
          <w:p w14:paraId="74AF1AAE">
            <w:pPr>
              <w:widowControl/>
              <w:topLinePunct/>
              <w:jc w:val="left"/>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5E6C6C1F">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786CC86B">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2D139073">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76CDFE2">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79DEAAB1">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3818A41E">
            <w:pPr>
              <w:widowControl/>
              <w:topLinePunct/>
              <w:jc w:val="center"/>
              <w:rPr>
                <w:rFonts w:ascii="宋体" w:hAnsi="宋体" w:cs="宋体"/>
                <w:color w:val="000000" w:themeColor="text1"/>
                <w:kern w:val="0"/>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36E6138">
            <w:pPr>
              <w:widowControl/>
              <w:topLinePunct/>
              <w:jc w:val="center"/>
              <w:rPr>
                <w:rFonts w:ascii="宋体" w:hAnsi="宋体" w:cs="宋体"/>
                <w:color w:val="000000" w:themeColor="text1"/>
                <w:kern w:val="0"/>
                <w:szCs w:val="21"/>
                <w:highlight w:val="none"/>
                <w14:textFill>
                  <w14:solidFill>
                    <w14:schemeClr w14:val="tx1"/>
                  </w14:solidFill>
                </w14:textFill>
              </w:rPr>
            </w:pPr>
          </w:p>
        </w:tc>
      </w:tr>
      <w:tr w14:paraId="244DAC47">
        <w:tblPrEx>
          <w:tblCellMar>
            <w:top w:w="0" w:type="dxa"/>
            <w:left w:w="108" w:type="dxa"/>
            <w:bottom w:w="0" w:type="dxa"/>
            <w:right w:w="108" w:type="dxa"/>
          </w:tblCellMar>
        </w:tblPrEx>
        <w:trPr>
          <w:trHeight w:val="1890" w:hRule="atLeast"/>
        </w:trPr>
        <w:tc>
          <w:tcPr>
            <w:tcW w:w="8789" w:type="dxa"/>
            <w:gridSpan w:val="8"/>
            <w:tcBorders>
              <w:top w:val="nil"/>
              <w:left w:val="nil"/>
              <w:bottom w:val="nil"/>
              <w:right w:val="nil"/>
            </w:tcBorders>
            <w:vAlign w:val="center"/>
          </w:tcPr>
          <w:p w14:paraId="6730ACEC">
            <w:pPr>
              <w:widowControl/>
              <w:topLinePun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xml:space="preserve">承诺：我单位在本表中已如实申报，如未如实申报接受取消参与资格和业务合同的处罚                          </w:t>
            </w:r>
            <w:r>
              <w:rPr>
                <w:rFonts w:hint="eastAsia" w:ascii="宋体" w:hAnsi="宋体" w:cs="宋体"/>
                <w:color w:val="000000" w:themeColor="text1"/>
                <w:kern w:val="0"/>
                <w:szCs w:val="21"/>
                <w:highlight w:val="none"/>
                <w14:textFill>
                  <w14:solidFill>
                    <w14:schemeClr w14:val="tx1"/>
                  </w14:solidFill>
                </w14:textFill>
              </w:rPr>
              <w:t xml:space="preserve">                                                                          注：1.如未有相关情况，请在相应栏填写“无”；</w:t>
            </w:r>
          </w:p>
          <w:p w14:paraId="12060A33">
            <w:pPr>
              <w:widowControl/>
              <w:topLinePun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2.如申报单位为贵州省通信产业服务有限公司及其控股子公司，只需申报与中国电信贵州分公司相关信息。</w:t>
            </w:r>
          </w:p>
        </w:tc>
      </w:tr>
      <w:tr w14:paraId="279CD446">
        <w:tblPrEx>
          <w:tblCellMar>
            <w:top w:w="0" w:type="dxa"/>
            <w:left w:w="108" w:type="dxa"/>
            <w:bottom w:w="0" w:type="dxa"/>
            <w:right w:w="108" w:type="dxa"/>
          </w:tblCellMar>
        </w:tblPrEx>
        <w:trPr>
          <w:trHeight w:val="1665" w:hRule="atLeast"/>
        </w:trPr>
        <w:tc>
          <w:tcPr>
            <w:tcW w:w="8789" w:type="dxa"/>
            <w:gridSpan w:val="8"/>
            <w:tcBorders>
              <w:top w:val="nil"/>
              <w:left w:val="nil"/>
              <w:bottom w:val="nil"/>
              <w:right w:val="nil"/>
            </w:tcBorders>
            <w:vAlign w:val="center"/>
          </w:tcPr>
          <w:p w14:paraId="53CC2029">
            <w:pPr>
              <w:widowControl/>
              <w:topLinePunct/>
              <w:jc w:val="center"/>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申报单位名称：</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申报人 （签字）：</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7A6C183F">
            <w:pPr>
              <w:widowControl/>
              <w:topLinePun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日期：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年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tc>
      </w:tr>
    </w:tbl>
    <w:p w14:paraId="2769713C">
      <w:pPr>
        <w:rPr>
          <w:rFonts w:asciiTheme="minorEastAsia" w:hAnsiTheme="minorEastAsia" w:eastAsiaTheme="minorEastAsia"/>
          <w:highlight w:val="none"/>
        </w:rPr>
      </w:pPr>
      <w:r>
        <w:rPr>
          <w:rFonts w:asciiTheme="minorEastAsia" w:hAnsiTheme="minorEastAsia" w:eastAsiaTheme="minorEastAsia"/>
          <w:highlight w:val="none"/>
        </w:rPr>
        <w:br w:type="page"/>
      </w:r>
    </w:p>
    <w:p w14:paraId="643659ED">
      <w:pPr>
        <w:widowControl w:val="0"/>
        <w:numPr>
          <w:ilvl w:val="0"/>
          <w:numId w:val="0"/>
        </w:numPr>
        <w:tabs>
          <w:tab w:val="left" w:pos="588"/>
        </w:tabs>
        <w:snapToGrid w:val="0"/>
        <w:spacing w:before="120" w:after="120" w:line="440" w:lineRule="exact"/>
        <w:ind w:left="635" w:leftChars="0" w:hanging="425" w:firstLineChars="0"/>
        <w:jc w:val="left"/>
        <w:outlineLvl w:val="0"/>
        <w:rPr>
          <w:rFonts w:ascii="宋体" w:hAnsi="宋体" w:eastAsia="宋体" w:cs="Times New Roman"/>
          <w:b/>
          <w:bCs/>
          <w:color w:val="000000" w:themeColor="text1"/>
          <w:kern w:val="2"/>
          <w:sz w:val="24"/>
          <w:szCs w:val="24"/>
          <w:lang w:val="en-US" w:eastAsia="zh-CN" w:bidi="ar-SA"/>
          <w14:textFill>
            <w14:solidFill>
              <w14:schemeClr w14:val="tx1"/>
            </w14:solidFill>
          </w14:textFill>
        </w:rPr>
      </w:pPr>
      <w:bookmarkStart w:id="1000" w:name="_Toc12199"/>
      <w:bookmarkStart w:id="1001" w:name="_Toc16500"/>
      <w:bookmarkStart w:id="1002" w:name="_Toc15839"/>
      <w:r>
        <w:rPr>
          <w:rFonts w:hint="eastAsia" w:ascii="宋体" w:hAnsi="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商务条款偏离表</w:t>
      </w:r>
      <w:bookmarkEnd w:id="1000"/>
      <w:bookmarkEnd w:id="1001"/>
      <w:bookmarkEnd w:id="1002"/>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85"/>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3541"/>
        <w:gridCol w:w="1102"/>
        <w:gridCol w:w="1364"/>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13"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746"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招标文件条目号</w:t>
            </w:r>
          </w:p>
        </w:tc>
        <w:tc>
          <w:tcPr>
            <w:tcW w:w="3541"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102"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364"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46" w:type="dxa"/>
            <w:vAlign w:val="center"/>
          </w:tcPr>
          <w:p w14:paraId="0D2972B2">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地点</w:t>
            </w:r>
          </w:p>
        </w:tc>
        <w:tc>
          <w:tcPr>
            <w:tcW w:w="3541" w:type="dxa"/>
            <w:vAlign w:val="center"/>
          </w:tcPr>
          <w:p w14:paraId="2D9169CE">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cs="宋体"/>
                <w:bCs/>
                <w:szCs w:val="21"/>
                <w:highlight w:val="none"/>
                <w:lang w:val="en-US" w:eastAsia="zh-CN"/>
              </w:rPr>
              <w:t>贵州省遵义市红花岗区。</w:t>
            </w:r>
          </w:p>
        </w:tc>
        <w:tc>
          <w:tcPr>
            <w:tcW w:w="1102"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46" w:type="dxa"/>
            <w:vAlign w:val="center"/>
          </w:tcPr>
          <w:p w14:paraId="5E4A34DB">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保修期</w:t>
            </w:r>
          </w:p>
        </w:tc>
        <w:tc>
          <w:tcPr>
            <w:tcW w:w="3541" w:type="dxa"/>
            <w:vAlign w:val="center"/>
          </w:tcPr>
          <w:p w14:paraId="34327895">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cs="宋体"/>
                <w:bCs/>
                <w:szCs w:val="21"/>
                <w:highlight w:val="none"/>
                <w:lang w:val="en-US" w:eastAsia="zh-CN"/>
              </w:rPr>
              <w:t>软件保修期为12个月，自项目正式验收合格之日起计算。</w:t>
            </w:r>
          </w:p>
        </w:tc>
        <w:tc>
          <w:tcPr>
            <w:tcW w:w="1102"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E5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DF4229A">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p>
        </w:tc>
        <w:tc>
          <w:tcPr>
            <w:tcW w:w="1746" w:type="dxa"/>
            <w:vAlign w:val="center"/>
          </w:tcPr>
          <w:p w14:paraId="1C93A506">
            <w:pPr>
              <w:autoSpaceDE w:val="0"/>
              <w:autoSpaceDN w:val="0"/>
              <w:rPr>
                <w:rFonts w:hint="eastAsia" w:ascii="宋体" w:hAnsi="宋体" w:eastAsia="宋体" w:cs="Times New Roman"/>
                <w:color w:val="000000"/>
                <w:szCs w:val="21"/>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支付方式</w:t>
            </w:r>
          </w:p>
        </w:tc>
        <w:tc>
          <w:tcPr>
            <w:tcW w:w="3541" w:type="dxa"/>
            <w:vAlign w:val="center"/>
          </w:tcPr>
          <w:p w14:paraId="183C0745">
            <w:pPr>
              <w:autoSpaceDE w:val="0"/>
              <w:autoSpaceDN w:val="0"/>
              <w:rPr>
                <w:rFonts w:hint="eastAsia" w:ascii="宋体" w:hAnsi="宋体" w:cs="宋体"/>
                <w:bCs/>
                <w:szCs w:val="21"/>
                <w:highlight w:val="none"/>
              </w:rPr>
            </w:pPr>
            <w:r>
              <w:rPr>
                <w:rFonts w:hint="eastAsia" w:ascii="宋体" w:hAnsi="宋体" w:cs="宋体"/>
                <w:bCs/>
                <w:szCs w:val="21"/>
                <w:highlight w:val="none"/>
              </w:rPr>
              <w:t>甲乙双方框架合同签订后，合同订单金额由甲方下单并验收合格后且甲方收到乙方下列全部单据后[30]个工作日内，向乙方支付该笔订单[99]%的款项 ：</w:t>
            </w:r>
          </w:p>
          <w:p w14:paraId="41FB26E1">
            <w:pPr>
              <w:autoSpaceDE w:val="0"/>
              <w:autoSpaceDN w:val="0"/>
              <w:rPr>
                <w:rFonts w:hint="eastAsia" w:ascii="宋体" w:hAnsi="宋体" w:cs="宋体"/>
                <w:bCs/>
                <w:szCs w:val="21"/>
                <w:highlight w:val="none"/>
              </w:rPr>
            </w:pPr>
            <w:r>
              <w:rPr>
                <w:rFonts w:hint="eastAsia" w:ascii="宋体" w:hAnsi="宋体" w:cs="宋体"/>
                <w:bCs/>
                <w:szCs w:val="21"/>
                <w:highlight w:val="none"/>
              </w:rPr>
              <w:t>(1)付款通知书，原件一份。</w:t>
            </w:r>
          </w:p>
          <w:p w14:paraId="76BBE978">
            <w:pPr>
              <w:autoSpaceDE w:val="0"/>
              <w:autoSpaceDN w:val="0"/>
              <w:rPr>
                <w:rFonts w:hint="eastAsia" w:ascii="宋体" w:hAnsi="宋体" w:cs="宋体"/>
                <w:bCs/>
                <w:szCs w:val="21"/>
                <w:highlight w:val="none"/>
              </w:rPr>
            </w:pPr>
            <w:r>
              <w:rPr>
                <w:rFonts w:hint="eastAsia" w:ascii="宋体" w:hAnsi="宋体" w:cs="宋体"/>
                <w:bCs/>
                <w:szCs w:val="21"/>
                <w:highlight w:val="none"/>
              </w:rPr>
              <w:t>(2)相应金额的、符合国家规定的增值税专用发票</w:t>
            </w:r>
          </w:p>
          <w:p w14:paraId="0F49785B">
            <w:pPr>
              <w:autoSpaceDE w:val="0"/>
              <w:autoSpaceDN w:val="0"/>
              <w:rPr>
                <w:rFonts w:hint="eastAsia" w:ascii="宋体" w:hAnsi="宋体" w:cs="宋体"/>
                <w:bCs/>
                <w:szCs w:val="21"/>
                <w:highlight w:val="none"/>
              </w:rPr>
            </w:pPr>
            <w:r>
              <w:rPr>
                <w:rFonts w:hint="eastAsia" w:ascii="宋体" w:hAnsi="宋体" w:cs="宋体"/>
                <w:bCs/>
                <w:szCs w:val="21"/>
                <w:highlight w:val="none"/>
              </w:rPr>
              <w:t>(3)项目验收报告原件一份。</w:t>
            </w:r>
          </w:p>
          <w:p w14:paraId="41F58680">
            <w:pPr>
              <w:autoSpaceDE w:val="0"/>
              <w:autoSpaceDN w:val="0"/>
              <w:rPr>
                <w:rFonts w:hint="eastAsia" w:ascii="宋体" w:hAnsi="宋体" w:cs="宋体"/>
                <w:bCs/>
                <w:szCs w:val="21"/>
                <w:highlight w:val="none"/>
              </w:rPr>
            </w:pPr>
            <w:r>
              <w:rPr>
                <w:rFonts w:hint="eastAsia" w:ascii="宋体" w:hAnsi="宋体" w:cs="宋体"/>
                <w:bCs/>
                <w:szCs w:val="21"/>
                <w:highlight w:val="none"/>
              </w:rPr>
              <w:t>维保期满后，甲方收到乙方提供的下列全部单据后[30]个工作日内，甲方向乙方支付该笔订单剩余[1]%的款项：</w:t>
            </w:r>
          </w:p>
          <w:p w14:paraId="08EF19DF">
            <w:pPr>
              <w:autoSpaceDE w:val="0"/>
              <w:autoSpaceDN w:val="0"/>
              <w:rPr>
                <w:rFonts w:hint="eastAsia" w:ascii="宋体" w:hAnsi="宋体" w:cs="宋体"/>
                <w:bCs/>
                <w:szCs w:val="21"/>
                <w:highlight w:val="none"/>
              </w:rPr>
            </w:pPr>
            <w:r>
              <w:rPr>
                <w:rFonts w:hint="eastAsia" w:ascii="宋体" w:hAnsi="宋体" w:cs="宋体"/>
                <w:bCs/>
                <w:szCs w:val="21"/>
                <w:highlight w:val="none"/>
              </w:rPr>
              <w:t>(1)付款通知书，原件一份。</w:t>
            </w:r>
          </w:p>
          <w:p w14:paraId="72801A2F">
            <w:pPr>
              <w:autoSpaceDE w:val="0"/>
              <w:autoSpaceDN w:val="0"/>
              <w:rPr>
                <w:rFonts w:hint="eastAsia" w:ascii="宋体" w:hAnsi="宋体" w:cs="宋体"/>
                <w:bCs/>
                <w:szCs w:val="21"/>
                <w:highlight w:val="none"/>
              </w:rPr>
            </w:pPr>
            <w:r>
              <w:rPr>
                <w:rFonts w:hint="eastAsia" w:ascii="宋体" w:hAnsi="宋体" w:cs="宋体"/>
                <w:bCs/>
                <w:szCs w:val="21"/>
                <w:highlight w:val="none"/>
              </w:rPr>
              <w:t>(2)相应金额的、符合国家规定的增值税专用发票。</w:t>
            </w:r>
          </w:p>
          <w:p w14:paraId="67C13393">
            <w:pPr>
              <w:autoSpaceDE w:val="0"/>
              <w:autoSpaceDN w:val="0"/>
              <w:rPr>
                <w:rFonts w:hint="eastAsia" w:ascii="宋体" w:hAnsi="宋体" w:eastAsia="宋体" w:cs="宋体"/>
                <w:bCs/>
                <w:szCs w:val="21"/>
              </w:rPr>
            </w:pPr>
            <w:r>
              <w:rPr>
                <w:rFonts w:hint="eastAsia" w:ascii="宋体" w:hAnsi="宋体" w:cs="宋体"/>
                <w:bCs/>
                <w:szCs w:val="21"/>
                <w:highlight w:val="none"/>
              </w:rPr>
              <w:t>(3)保修期满证书原件</w:t>
            </w:r>
          </w:p>
        </w:tc>
        <w:tc>
          <w:tcPr>
            <w:tcW w:w="1102" w:type="dxa"/>
            <w:vAlign w:val="center"/>
          </w:tcPr>
          <w:p w14:paraId="7FC48EC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AD5713D">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1A69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2737B15">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1746" w:type="dxa"/>
            <w:vAlign w:val="center"/>
          </w:tcPr>
          <w:p w14:paraId="04E271B8">
            <w:pPr>
              <w:autoSpaceDE w:val="0"/>
              <w:autoSpaceDN w:val="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lang w:val="en-US" w:eastAsia="zh-CN"/>
                <w14:textFill>
                  <w14:solidFill>
                    <w14:schemeClr w14:val="tx1"/>
                  </w14:solidFill>
                </w14:textFill>
              </w:rPr>
              <w:t>履约期限</w:t>
            </w:r>
          </w:p>
        </w:tc>
        <w:tc>
          <w:tcPr>
            <w:tcW w:w="3541" w:type="dxa"/>
            <w:vAlign w:val="center"/>
          </w:tcPr>
          <w:p w14:paraId="40985588">
            <w:pPr>
              <w:autoSpaceDE w:val="0"/>
              <w:autoSpaceDN w:val="0"/>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合同签订之日起12个月</w:t>
            </w:r>
          </w:p>
        </w:tc>
        <w:tc>
          <w:tcPr>
            <w:tcW w:w="1102" w:type="dxa"/>
            <w:vAlign w:val="center"/>
          </w:tcPr>
          <w:p w14:paraId="5DA9AE1F">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7EF99E0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1746" w:type="dxa"/>
            <w:vAlign w:val="center"/>
          </w:tcPr>
          <w:p w14:paraId="4E72D365">
            <w:pPr>
              <w:autoSpaceDE w:val="0"/>
              <w:autoSpaceDN w:val="0"/>
              <w:rPr>
                <w:rFonts w:hint="default" w:ascii="宋体" w:hAnsi="宋体" w:eastAsia="宋体" w:cs="宋体"/>
                <w:bCs/>
                <w:szCs w:val="21"/>
                <w:lang w:val="en-US"/>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项目进度</w:t>
            </w:r>
          </w:p>
        </w:tc>
        <w:tc>
          <w:tcPr>
            <w:tcW w:w="3541" w:type="dxa"/>
            <w:vAlign w:val="center"/>
          </w:tcPr>
          <w:p w14:paraId="0386DFEF">
            <w:pPr>
              <w:autoSpaceDE w:val="0"/>
              <w:autoSpaceDN w:val="0"/>
              <w:rPr>
                <w:rFonts w:ascii="宋体" w:hAnsi="宋体" w:eastAsia="宋体" w:cs="宋体"/>
                <w:bCs/>
                <w:szCs w:val="21"/>
              </w:rPr>
            </w:pPr>
            <w:r>
              <w:rPr>
                <w:rFonts w:hint="default" w:ascii="宋体" w:hAnsi="宋体" w:cs="宋体"/>
                <w:bCs/>
                <w:szCs w:val="21"/>
                <w:highlight w:val="none"/>
                <w:lang w:val="en-US" w:eastAsia="zh-CN"/>
              </w:rPr>
              <w:t>合同签订之日起，乙方接收到甲方订单后30个工作日内完成软件的部署交付。</w:t>
            </w:r>
          </w:p>
        </w:tc>
        <w:tc>
          <w:tcPr>
            <w:tcW w:w="1102"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FB7B186">
            <w:pPr>
              <w:adjustRightInd w:val="0"/>
              <w:snapToGrid w:val="0"/>
              <w:spacing w:line="440" w:lineRule="exact"/>
              <w:ind w:firstLine="210" w:firstLineChars="1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1746" w:type="dxa"/>
            <w:vAlign w:val="center"/>
          </w:tcPr>
          <w:p w14:paraId="6521845C">
            <w:pPr>
              <w:adjustRightInd w:val="0"/>
              <w:snapToGrid w:val="0"/>
              <w:spacing w:line="440" w:lineRule="exact"/>
              <w:rPr>
                <w:rFonts w:ascii="宋体" w:hAnsi="宋体" w:eastAsia="宋体" w:cs="宋体"/>
                <w:bCs/>
                <w:szCs w:val="21"/>
              </w:rPr>
            </w:pP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其他</w:t>
            </w:r>
          </w:p>
        </w:tc>
        <w:tc>
          <w:tcPr>
            <w:tcW w:w="3541" w:type="dxa"/>
            <w:vAlign w:val="center"/>
          </w:tcPr>
          <w:p w14:paraId="3295EAF7">
            <w:pPr>
              <w:adjustRightInd w:val="0"/>
              <w:snapToGrid w:val="0"/>
              <w:spacing w:line="440" w:lineRule="exact"/>
              <w:rPr>
                <w:rFonts w:hint="eastAsia" w:ascii="宋体" w:hAnsi="宋体" w:eastAsia="宋体" w:cs="宋体"/>
                <w:bCs/>
                <w:szCs w:val="21"/>
                <w:lang w:eastAsia="zh-CN"/>
              </w:rPr>
            </w:pPr>
            <w:r>
              <w:rPr>
                <w:rFonts w:hint="eastAsia" w:cs="宋体" w:asciiTheme="minorEastAsia" w:hAnsiTheme="minorEastAsia" w:eastAsiaTheme="minorEastAsia"/>
                <w:szCs w:val="21"/>
                <w:highlight w:val="none"/>
              </w:rPr>
              <w:t>团队负责人、团队成员及服务支撑人员信息以供应商</w:t>
            </w:r>
            <w:r>
              <w:rPr>
                <w:rFonts w:hint="eastAsia" w:cs="宋体" w:asciiTheme="minorEastAsia" w:hAnsiTheme="minorEastAsia" w:eastAsiaTheme="minorEastAsia"/>
                <w:szCs w:val="21"/>
                <w:highlight w:val="none"/>
                <w:lang w:val="en-US" w:eastAsia="zh-CN"/>
              </w:rPr>
              <w:t>投标</w:t>
            </w:r>
            <w:r>
              <w:rPr>
                <w:rFonts w:hint="eastAsia" w:cs="宋体" w:asciiTheme="minorEastAsia" w:hAnsiTheme="minorEastAsia" w:eastAsiaTheme="minorEastAsia"/>
                <w:szCs w:val="21"/>
                <w:highlight w:val="none"/>
              </w:rPr>
              <w:t>文件中提供的为准，人员名单需作为合同附件，名单内人员变更需经甲方书面同意。</w:t>
            </w:r>
          </w:p>
        </w:tc>
        <w:tc>
          <w:tcPr>
            <w:tcW w:w="1102"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1746" w:type="dxa"/>
            <w:vAlign w:val="center"/>
          </w:tcPr>
          <w:p w14:paraId="3987C6CB">
            <w:pPr>
              <w:widowControl/>
              <w:jc w:val="center"/>
              <w:textAlignment w:val="center"/>
              <w:rPr>
                <w:rFonts w:ascii="宋体" w:hAnsi="宋体" w:eastAsia="宋体" w:cs="宋体"/>
                <w:bCs/>
                <w:szCs w:val="21"/>
              </w:rPr>
            </w:pPr>
          </w:p>
        </w:tc>
        <w:tc>
          <w:tcPr>
            <w:tcW w:w="3541" w:type="dxa"/>
            <w:vAlign w:val="center"/>
          </w:tcPr>
          <w:p w14:paraId="268AF5BA">
            <w:pPr>
              <w:autoSpaceDE w:val="0"/>
              <w:autoSpaceDN w:val="0"/>
              <w:rPr>
                <w:rFonts w:ascii="宋体" w:hAnsi="宋体" w:eastAsia="宋体" w:cs="宋体"/>
                <w:bCs/>
                <w:szCs w:val="21"/>
              </w:rPr>
            </w:pPr>
          </w:p>
        </w:tc>
        <w:tc>
          <w:tcPr>
            <w:tcW w:w="1102"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63F0BFDC">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11F2FF3A">
      <w:pPr>
        <w:spacing w:line="440" w:lineRule="exact"/>
        <w:ind w:firstLine="1274" w:firstLineChars="607"/>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投标人名称：</w:t>
      </w:r>
      <w:r>
        <w:rPr>
          <w:rFonts w:hint="eastAsia" w:ascii="宋体" w:hAnsi="宋体" w:eastAsia="宋体" w:cs="Times New Roman"/>
          <w:color w:val="000000" w:themeColor="text1"/>
          <w:szCs w:val="21"/>
          <w:u w:val="single"/>
          <w14:textFill>
            <w14:solidFill>
              <w14:schemeClr w14:val="tx1"/>
            </w14:solidFill>
          </w14:textFill>
        </w:rPr>
        <w:t xml:space="preserve">　　　　　　　　                 </w:t>
      </w:r>
    </w:p>
    <w:p w14:paraId="1825A745">
      <w:pPr>
        <w:spacing w:line="440" w:lineRule="exact"/>
        <w:ind w:firstLine="1274" w:firstLineChars="607"/>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6E1E8954">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如对商务条款无任何偏离，投标人仅需在本偏离表中填写“无偏离”即可。当本表为空时，视为投标文件对商务条款全部满足，无偏离。</w:t>
      </w:r>
    </w:p>
    <w:p w14:paraId="3A78EDA0">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2</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如对商务条款存在偏离，投标人需对商务条款存在的偏离逐条做出说明。</w:t>
      </w:r>
    </w:p>
    <w:p w14:paraId="051294CF">
      <w:pPr>
        <w:widowControl/>
        <w:jc w:val="left"/>
        <w:rPr>
          <w:rFonts w:asciiTheme="minorEastAsia" w:hAnsiTheme="minorEastAsia" w:eastAsiaTheme="minorEastAsia"/>
          <w:highlight w:val="none"/>
        </w:rPr>
      </w:pPr>
      <w:r>
        <w:rPr>
          <w:rFonts w:hint="eastAsia" w:ascii="宋体" w:hAnsi="宋体" w:eastAsia="宋体" w:cs="Times New Roman"/>
          <w:color w:val="000000" w:themeColor="text1"/>
          <w14:textFill>
            <w14:solidFill>
              <w14:schemeClr w14:val="tx1"/>
            </w14:solidFill>
          </w14:textFill>
        </w:rPr>
        <w:t>3</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投标人可以根据实际情况对本文件进行调整和修改，但应满足招标文件对本文件的要求。</w:t>
      </w:r>
      <w:r>
        <w:rPr>
          <w:rFonts w:asciiTheme="minorEastAsia" w:hAnsiTheme="minorEastAsia" w:eastAsiaTheme="minorEastAsia"/>
          <w:highlight w:val="none"/>
        </w:rPr>
        <w:br w:type="page"/>
      </w:r>
    </w:p>
    <w:p w14:paraId="3647EC59">
      <w:pPr>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126AD1F9">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03" w:name="_Toc24125"/>
      <w:bookmarkStart w:id="1004" w:name="_Toc19006"/>
      <w:bookmarkStart w:id="1005" w:name="_Toc5090"/>
      <w:bookmarkStart w:id="1006" w:name="_Toc17633"/>
      <w:bookmarkStart w:id="1007" w:name="_Toc5856"/>
      <w:bookmarkStart w:id="1008" w:name="_Toc447265324"/>
      <w:bookmarkStart w:id="1009" w:name="_Toc10007"/>
      <w:bookmarkStart w:id="1010" w:name="_Toc5994"/>
      <w:bookmarkStart w:id="1011" w:name="_Toc2550"/>
      <w:bookmarkStart w:id="1012" w:name="_Toc24624"/>
      <w:bookmarkStart w:id="1013" w:name="_Toc29955"/>
      <w:bookmarkStart w:id="1014" w:name="_Toc38008091"/>
      <w:bookmarkStart w:id="1015" w:name="_Toc475472683"/>
      <w:bookmarkStart w:id="1016" w:name="_Toc447265610"/>
      <w:bookmarkStart w:id="1017" w:name="_Toc20325"/>
      <w:bookmarkStart w:id="1018" w:name="_Hlk167300006"/>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rPr>
        <w:t>合同条款偏离表</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bookmarkEnd w:id="1018"/>
    <w:p w14:paraId="0C2D0752">
      <w:pPr>
        <w:rPr>
          <w:rFonts w:cs="宋体" w:asciiTheme="minorEastAsia" w:hAnsiTheme="minorEastAsia" w:eastAsiaTheme="minorEastAsia"/>
          <w:highlight w:val="none"/>
        </w:rPr>
      </w:pPr>
    </w:p>
    <w:p w14:paraId="7E7255CB">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合同条款偏离表</w:t>
      </w:r>
    </w:p>
    <w:p w14:paraId="1B75377C">
      <w:pPr>
        <w:jc w:val="center"/>
        <w:rPr>
          <w:rFonts w:cs="宋体" w:asciiTheme="minorEastAsia" w:hAnsiTheme="minorEastAsia" w:eastAsiaTheme="minorEastAsia"/>
          <w:sz w:val="24"/>
          <w:highlight w:val="none"/>
        </w:rPr>
      </w:pPr>
    </w:p>
    <w:p w14:paraId="287470CE">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招标编号：</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标包：</w:t>
      </w:r>
      <w:r>
        <w:rPr>
          <w:rFonts w:hint="eastAsia" w:cs="宋体" w:asciiTheme="minorEastAsia" w:hAnsiTheme="minorEastAsia" w:eastAsiaTheme="minorEastAsia"/>
          <w:szCs w:val="21"/>
          <w:highlight w:val="none"/>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476"/>
        <w:gridCol w:w="2167"/>
        <w:gridCol w:w="1364"/>
      </w:tblGrid>
      <w:tr w14:paraId="1689B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8444AE2">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1C26FFB6">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招标文件条目号</w:t>
            </w:r>
          </w:p>
        </w:tc>
        <w:tc>
          <w:tcPr>
            <w:tcW w:w="2476" w:type="dxa"/>
            <w:vAlign w:val="center"/>
          </w:tcPr>
          <w:p w14:paraId="3B31C5A3">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招标文件的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167" w:type="dxa"/>
            <w:vAlign w:val="center"/>
          </w:tcPr>
          <w:p w14:paraId="0CD1CA17">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投标</w:t>
            </w:r>
            <w:r>
              <w:rPr>
                <w:rFonts w:hint="eastAsia" w:cs="宋体" w:asciiTheme="minorEastAsia" w:hAnsiTheme="minorEastAsia" w:eastAsiaTheme="minorEastAsia"/>
                <w:szCs w:val="21"/>
                <w:highlight w:val="none"/>
              </w:rPr>
              <w:t>文件</w:t>
            </w:r>
            <w:r>
              <w:rPr>
                <w:rFonts w:cs="宋体" w:asciiTheme="minorEastAsia" w:hAnsiTheme="minorEastAsia" w:eastAsiaTheme="minorEastAsia"/>
                <w:szCs w:val="21"/>
                <w:highlight w:val="none"/>
              </w:rPr>
              <w:t>偏离情况</w:t>
            </w:r>
          </w:p>
        </w:tc>
        <w:tc>
          <w:tcPr>
            <w:tcW w:w="1364" w:type="dxa"/>
            <w:vAlign w:val="center"/>
          </w:tcPr>
          <w:p w14:paraId="20D97DC0">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5E36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5F52521">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1746" w:type="dxa"/>
            <w:vAlign w:val="center"/>
          </w:tcPr>
          <w:p w14:paraId="5FE52ADF">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2476" w:type="dxa"/>
            <w:vAlign w:val="center"/>
          </w:tcPr>
          <w:p w14:paraId="217FCABF">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29352DB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704CA096">
            <w:pPr>
              <w:adjustRightInd w:val="0"/>
              <w:snapToGrid w:val="0"/>
              <w:spacing w:line="440" w:lineRule="exact"/>
              <w:rPr>
                <w:rFonts w:cs="宋体" w:asciiTheme="minorEastAsia" w:hAnsiTheme="minorEastAsia" w:eastAsiaTheme="minorEastAsia"/>
                <w:szCs w:val="21"/>
                <w:highlight w:val="none"/>
              </w:rPr>
            </w:pPr>
          </w:p>
        </w:tc>
      </w:tr>
      <w:tr w14:paraId="297A9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6D43F3D">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36BB6985">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4C718483">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3AD5625C">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3697950">
            <w:pPr>
              <w:adjustRightInd w:val="0"/>
              <w:snapToGrid w:val="0"/>
              <w:spacing w:line="440" w:lineRule="exact"/>
              <w:rPr>
                <w:rFonts w:cs="宋体" w:asciiTheme="minorEastAsia" w:hAnsiTheme="minorEastAsia" w:eastAsiaTheme="minorEastAsia"/>
                <w:szCs w:val="21"/>
                <w:highlight w:val="none"/>
              </w:rPr>
            </w:pPr>
          </w:p>
        </w:tc>
      </w:tr>
      <w:tr w14:paraId="22E6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0A0908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E21BB34">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2DCD788C">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68FB9485">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C000335">
            <w:pPr>
              <w:adjustRightInd w:val="0"/>
              <w:snapToGrid w:val="0"/>
              <w:spacing w:line="440" w:lineRule="exact"/>
              <w:rPr>
                <w:rFonts w:cs="宋体" w:asciiTheme="minorEastAsia" w:hAnsiTheme="minorEastAsia" w:eastAsiaTheme="minorEastAsia"/>
                <w:szCs w:val="21"/>
                <w:highlight w:val="none"/>
              </w:rPr>
            </w:pPr>
          </w:p>
        </w:tc>
      </w:tr>
      <w:tr w14:paraId="5CC6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46124F76">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7F51EDB8">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3B3D3017">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1DA436DF">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2D916AF">
            <w:pPr>
              <w:adjustRightInd w:val="0"/>
              <w:snapToGrid w:val="0"/>
              <w:spacing w:line="440" w:lineRule="exact"/>
              <w:rPr>
                <w:rFonts w:cs="宋体" w:asciiTheme="minorEastAsia" w:hAnsiTheme="minorEastAsia" w:eastAsiaTheme="minorEastAsia"/>
                <w:szCs w:val="21"/>
                <w:highlight w:val="none"/>
              </w:rPr>
            </w:pPr>
          </w:p>
        </w:tc>
      </w:tr>
      <w:tr w14:paraId="0BA5A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B7254A7">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167682CA">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6516FBC5">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70A995A6">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4F2EF7E">
            <w:pPr>
              <w:adjustRightInd w:val="0"/>
              <w:snapToGrid w:val="0"/>
              <w:spacing w:line="440" w:lineRule="exact"/>
              <w:rPr>
                <w:rFonts w:cs="宋体" w:asciiTheme="minorEastAsia" w:hAnsiTheme="minorEastAsia" w:eastAsiaTheme="minorEastAsia"/>
                <w:szCs w:val="21"/>
                <w:highlight w:val="none"/>
              </w:rPr>
            </w:pPr>
          </w:p>
        </w:tc>
      </w:tr>
      <w:tr w14:paraId="5756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74011C7">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161FEEF">
            <w:pPr>
              <w:adjustRightInd w:val="0"/>
              <w:snapToGrid w:val="0"/>
              <w:spacing w:line="440" w:lineRule="exact"/>
              <w:rPr>
                <w:rFonts w:cs="宋体" w:asciiTheme="minorEastAsia" w:hAnsiTheme="minorEastAsia" w:eastAsiaTheme="minorEastAsia"/>
                <w:szCs w:val="21"/>
                <w:highlight w:val="none"/>
              </w:rPr>
            </w:pPr>
          </w:p>
        </w:tc>
        <w:tc>
          <w:tcPr>
            <w:tcW w:w="2476" w:type="dxa"/>
            <w:vAlign w:val="center"/>
          </w:tcPr>
          <w:p w14:paraId="3DD6ED19">
            <w:pPr>
              <w:adjustRightInd w:val="0"/>
              <w:snapToGrid w:val="0"/>
              <w:spacing w:line="440" w:lineRule="exact"/>
              <w:rPr>
                <w:rFonts w:cs="宋体" w:asciiTheme="minorEastAsia" w:hAnsiTheme="minorEastAsia" w:eastAsiaTheme="minorEastAsia"/>
                <w:szCs w:val="21"/>
                <w:highlight w:val="none"/>
              </w:rPr>
            </w:pPr>
          </w:p>
        </w:tc>
        <w:tc>
          <w:tcPr>
            <w:tcW w:w="2167" w:type="dxa"/>
            <w:vAlign w:val="center"/>
          </w:tcPr>
          <w:p w14:paraId="6D25B517">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3C6F2E4">
            <w:pPr>
              <w:adjustRightInd w:val="0"/>
              <w:snapToGrid w:val="0"/>
              <w:spacing w:line="440" w:lineRule="exact"/>
              <w:rPr>
                <w:rFonts w:cs="宋体" w:asciiTheme="minorEastAsia" w:hAnsiTheme="minorEastAsia" w:eastAsiaTheme="minorEastAsia"/>
                <w:szCs w:val="21"/>
                <w:highlight w:val="none"/>
              </w:rPr>
            </w:pPr>
          </w:p>
        </w:tc>
      </w:tr>
    </w:tbl>
    <w:p w14:paraId="68CD7C6C">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0CC46067">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3283CF5A">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A9B7A62">
      <w:pPr>
        <w:adjustRightInd w:val="0"/>
        <w:snapToGrid w:val="0"/>
        <w:spacing w:line="440" w:lineRule="exact"/>
        <w:rPr>
          <w:rFonts w:cs="宋体" w:asciiTheme="minorEastAsia" w:hAnsiTheme="minorEastAsia" w:eastAsiaTheme="minorEastAsia"/>
          <w:szCs w:val="21"/>
          <w:highlight w:val="none"/>
        </w:rPr>
      </w:pPr>
      <w:r>
        <w:rPr>
          <w:rFonts w:hint="eastAsia"/>
          <w:highlight w:val="none"/>
        </w:rPr>
        <w:t xml:space="preserve"> [招标人可根据项目实际情况修改本文件中的条款、增加新的条款。]</w:t>
      </w:r>
    </w:p>
    <w:p w14:paraId="30C6B8A2">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E4DC0FD">
      <w:pPr>
        <w:pStyle w:val="101"/>
        <w:numPr>
          <w:ilvl w:val="0"/>
          <w:numId w:val="0"/>
        </w:numPr>
        <w:adjustRightInd w:val="0"/>
        <w:snapToGrid w:val="0"/>
        <w:spacing w:line="440" w:lineRule="exact"/>
        <w:ind w:left="0" w:leftChars="0" w:firstLine="0" w:firstLineChars="0"/>
        <w:rPr>
          <w:rFonts w:asciiTheme="minorEastAsia" w:hAnsiTheme="minorEastAsia" w:eastAsiaTheme="minorEastAsia"/>
          <w:highlight w:val="none"/>
        </w:rPr>
      </w:pPr>
      <w:r>
        <w:rPr>
          <w:rFonts w:hint="eastAsia" w:cs="Times New Roman" w:asciiTheme="minorEastAsia" w:hAnsiTheme="minorEastAsia" w:eastAsiaTheme="minorEastAsia"/>
          <w:kern w:val="2"/>
          <w:sz w:val="21"/>
          <w:szCs w:val="24"/>
          <w:lang w:val="en-US" w:eastAsia="zh-CN" w:bidi="ar-SA"/>
        </w:rPr>
        <w:t>1</w:t>
      </w:r>
      <w:r>
        <w:rPr>
          <w:rFonts w:hint="default" w:cs="Times New Roman" w:asciiTheme="minorEastAsia" w:hAnsiTheme="minorEastAsia" w:eastAsiaTheme="minorEastAsia"/>
          <w:kern w:val="2"/>
          <w:sz w:val="21"/>
          <w:szCs w:val="24"/>
          <w:lang w:val="en-US" w:eastAsia="zh-CN" w:bidi="ar-SA"/>
        </w:rPr>
        <w:t>.</w:t>
      </w:r>
      <w:r>
        <w:rPr>
          <w:rFonts w:hint="eastAsia" w:asciiTheme="minorEastAsia" w:hAnsiTheme="minorEastAsia" w:eastAsiaTheme="minorEastAsia"/>
          <w:highlight w:val="none"/>
        </w:rPr>
        <w:t>如对合同条款无任何偏离，投标人仅需在本偏离表中填写“无偏离”即可。当本表为空时，视为投标文件对合同条款全部满足，无偏离。</w:t>
      </w:r>
    </w:p>
    <w:p w14:paraId="211D1556">
      <w:pPr>
        <w:pStyle w:val="101"/>
        <w:numPr>
          <w:ilvl w:val="0"/>
          <w:numId w:val="0"/>
        </w:numPr>
        <w:adjustRightInd w:val="0"/>
        <w:snapToGrid w:val="0"/>
        <w:spacing w:line="440" w:lineRule="exact"/>
        <w:ind w:left="0" w:leftChars="0" w:firstLine="0" w:firstLineChars="0"/>
        <w:rPr>
          <w:rFonts w:asciiTheme="minorEastAsia" w:hAnsiTheme="minorEastAsia" w:eastAsiaTheme="minorEastAsia"/>
          <w:highlight w:val="none"/>
        </w:rPr>
      </w:pPr>
      <w:r>
        <w:rPr>
          <w:rFonts w:hint="eastAsia" w:cs="Times New Roman" w:asciiTheme="minorEastAsia" w:hAnsiTheme="minorEastAsia" w:eastAsiaTheme="minorEastAsia"/>
          <w:kern w:val="2"/>
          <w:sz w:val="21"/>
          <w:szCs w:val="24"/>
          <w:lang w:val="en-US" w:eastAsia="zh-CN" w:bidi="ar-SA"/>
        </w:rPr>
        <w:t>2</w:t>
      </w:r>
      <w:r>
        <w:rPr>
          <w:rFonts w:hint="default" w:cs="Times New Roman" w:asciiTheme="minorEastAsia" w:hAnsiTheme="minorEastAsia" w:eastAsiaTheme="minorEastAsia"/>
          <w:kern w:val="2"/>
          <w:sz w:val="21"/>
          <w:szCs w:val="24"/>
          <w:lang w:val="en-US" w:eastAsia="zh-CN" w:bidi="ar-SA"/>
        </w:rPr>
        <w:t>.</w:t>
      </w:r>
      <w:r>
        <w:rPr>
          <w:rFonts w:hint="eastAsia" w:asciiTheme="minorEastAsia" w:hAnsiTheme="minorEastAsia" w:eastAsiaTheme="minorEastAsia"/>
          <w:highlight w:val="none"/>
        </w:rPr>
        <w:t>如对合同条款存在偏离，投标人需对合同条款存在的偏离逐条做出说明。</w:t>
      </w:r>
    </w:p>
    <w:p w14:paraId="105402D2">
      <w:pPr>
        <w:pStyle w:val="101"/>
        <w:numPr>
          <w:ilvl w:val="0"/>
          <w:numId w:val="0"/>
        </w:numPr>
        <w:adjustRightInd w:val="0"/>
        <w:snapToGrid w:val="0"/>
        <w:spacing w:line="440" w:lineRule="exact"/>
        <w:ind w:left="360" w:leftChars="0" w:hanging="360" w:firstLineChars="0"/>
        <w:rPr>
          <w:rFonts w:asciiTheme="minorEastAsia" w:hAnsiTheme="minorEastAsia" w:eastAsiaTheme="minorEastAsia"/>
          <w:highlight w:val="none"/>
        </w:rPr>
      </w:pPr>
      <w:r>
        <w:rPr>
          <w:rFonts w:hint="eastAsia" w:cs="Times New Roman" w:asciiTheme="minorEastAsia" w:hAnsiTheme="minorEastAsia" w:eastAsiaTheme="minorEastAsia"/>
          <w:kern w:val="2"/>
          <w:sz w:val="21"/>
          <w:szCs w:val="24"/>
          <w:lang w:val="en-US" w:eastAsia="zh-CN" w:bidi="ar-SA"/>
        </w:rPr>
        <w:t>3</w:t>
      </w:r>
      <w:r>
        <w:rPr>
          <w:rFonts w:hint="default" w:cs="Times New Roman" w:asciiTheme="minorEastAsia" w:hAnsiTheme="minorEastAsia" w:eastAsiaTheme="minorEastAsia"/>
          <w:kern w:val="2"/>
          <w:sz w:val="21"/>
          <w:szCs w:val="24"/>
          <w:lang w:val="en-US" w:eastAsia="zh-CN" w:bidi="ar-SA"/>
        </w:rPr>
        <w:t>.</w:t>
      </w:r>
      <w:r>
        <w:rPr>
          <w:rFonts w:hint="eastAsia"/>
          <w:highlight w:val="none"/>
        </w:rPr>
        <w:t>投标人可以根据实际情况对本文件进行调整和修改，但应满足招标文件对本文件的要求。</w:t>
      </w:r>
    </w:p>
    <w:p w14:paraId="1B8B51C7">
      <w:pPr>
        <w:pStyle w:val="101"/>
        <w:numPr>
          <w:ilvl w:val="0"/>
          <w:numId w:val="95"/>
        </w:numPr>
        <w:adjustRightInd w:val="0"/>
        <w:snapToGrid w:val="0"/>
        <w:spacing w:line="440" w:lineRule="exact"/>
        <w:ind w:left="0"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5AD52581">
      <w:pPr>
        <w:pStyle w:val="81"/>
        <w:numPr>
          <w:ilvl w:val="0"/>
          <w:numId w:val="0"/>
        </w:numPr>
        <w:tabs>
          <w:tab w:val="left" w:pos="588"/>
        </w:tabs>
        <w:snapToGrid w:val="0"/>
        <w:spacing w:before="120" w:after="120" w:line="440" w:lineRule="exact"/>
        <w:ind w:left="425" w:leftChars="0" w:hanging="425" w:firstLineChars="0"/>
        <w:jc w:val="left"/>
        <w:rPr>
          <w:rFonts w:ascii="宋体" w:hAnsi="宋体" w:eastAsia="宋体"/>
          <w:sz w:val="24"/>
          <w:szCs w:val="24"/>
        </w:rPr>
      </w:pPr>
      <w:bookmarkStart w:id="1019" w:name="_Toc31915"/>
      <w:bookmarkStart w:id="1020" w:name="_Toc16501"/>
      <w:bookmarkStart w:id="1021" w:name="_Toc11664"/>
      <w:bookmarkStart w:id="1022" w:name="_Toc7390"/>
      <w:bookmarkStart w:id="1023" w:name="_Toc19891"/>
      <w:bookmarkStart w:id="1024" w:name="_Toc16788"/>
      <w:bookmarkStart w:id="1025" w:name="_Toc23319"/>
      <w:bookmarkStart w:id="1026" w:name="_Toc26923"/>
      <w:bookmarkStart w:id="1027" w:name="_Toc9295"/>
      <w:bookmarkStart w:id="1028" w:name="_Toc27193"/>
      <w:bookmarkStart w:id="1029" w:name="_Toc38008092"/>
      <w:bookmarkStart w:id="1030" w:name="_Toc444791971"/>
      <w:bookmarkStart w:id="1031" w:name="_Toc326856160"/>
      <w:bookmarkStart w:id="1032" w:name="_Toc475472685"/>
      <w:r>
        <w:rPr>
          <w:rFonts w:hint="eastAsia" w:ascii="宋体" w:hAnsi="宋体"/>
          <w:sz w:val="24"/>
          <w:szCs w:val="24"/>
          <w:lang w:val="en-US" w:eastAsia="zh-CN"/>
        </w:rPr>
        <w:t>18</w:t>
      </w:r>
      <w:r>
        <w:rPr>
          <w:rFonts w:hint="eastAsia" w:ascii="宋体" w:hAnsi="宋体" w:eastAsia="宋体"/>
          <w:sz w:val="24"/>
          <w:szCs w:val="24"/>
          <w:lang w:val="en-US" w:eastAsia="zh-CN"/>
        </w:rPr>
        <w:t>.投标</w:t>
      </w:r>
      <w:r>
        <w:rPr>
          <w:rFonts w:hint="eastAsia" w:ascii="宋体" w:hAnsi="宋体" w:eastAsia="宋体"/>
          <w:sz w:val="24"/>
          <w:szCs w:val="24"/>
        </w:rPr>
        <w:t>人须知前附表偏离表</w:t>
      </w:r>
      <w:bookmarkEnd w:id="1019"/>
      <w:bookmarkEnd w:id="1020"/>
      <w:bookmarkEnd w:id="1021"/>
      <w:bookmarkEnd w:id="1022"/>
      <w:bookmarkEnd w:id="1023"/>
      <w:bookmarkEnd w:id="1024"/>
      <w:bookmarkEnd w:id="1025"/>
      <w:bookmarkEnd w:id="1026"/>
      <w:bookmarkEnd w:id="1027"/>
      <w:bookmarkEnd w:id="1028"/>
    </w:p>
    <w:p w14:paraId="5E490B86">
      <w:pPr>
        <w:rPr>
          <w:rFonts w:ascii="宋体" w:hAnsi="宋体" w:eastAsia="宋体" w:cs="宋体"/>
        </w:rPr>
      </w:pPr>
    </w:p>
    <w:p w14:paraId="541C43CF">
      <w:pPr>
        <w:jc w:val="center"/>
        <w:rPr>
          <w:rFonts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人须知前附表偏离表</w:t>
      </w:r>
    </w:p>
    <w:p w14:paraId="70EE25E7">
      <w:pPr>
        <w:adjustRightInd w:val="0"/>
        <w:snapToGrid w:val="0"/>
        <w:spacing w:after="120" w:line="440" w:lineRule="exact"/>
        <w:rPr>
          <w:rFonts w:ascii="宋体" w:hAnsi="宋体" w:eastAsia="宋体" w:cs="宋体"/>
          <w:szCs w:val="21"/>
        </w:rPr>
      </w:pPr>
      <w:r>
        <w:rPr>
          <w:rFonts w:hint="eastAsia" w:ascii="宋体" w:hAnsi="宋体" w:eastAsia="宋体" w:cs="宋体"/>
          <w:szCs w:val="21"/>
        </w:rPr>
        <w:t>项目</w:t>
      </w:r>
      <w:r>
        <w:rPr>
          <w:rFonts w:ascii="宋体" w:hAnsi="宋体" w:eastAsia="宋体" w:cs="宋体"/>
          <w:szCs w:val="21"/>
        </w:rPr>
        <w:t>名称：</w:t>
      </w:r>
      <w:r>
        <w:rPr>
          <w:rFonts w:ascii="宋体" w:hAnsi="宋体" w:eastAsia="宋体" w:cs="宋体"/>
          <w:szCs w:val="21"/>
          <w:u w:val="single"/>
        </w:rPr>
        <w:t xml:space="preserve">                     </w:t>
      </w:r>
      <w:r>
        <w:rPr>
          <w:rFonts w:hint="eastAsia" w:ascii="宋体" w:hAnsi="宋体" w:eastAsia="宋体" w:cs="宋体"/>
          <w:szCs w:val="21"/>
          <w:lang w:val="en-US" w:eastAsia="zh-CN"/>
        </w:rPr>
        <w:t>招标</w:t>
      </w:r>
      <w:r>
        <w:rPr>
          <w:rFonts w:ascii="宋体" w:hAnsi="宋体" w:eastAsia="宋体" w:cs="宋体"/>
          <w:szCs w:val="21"/>
        </w:rPr>
        <w:t>编号：</w:t>
      </w:r>
      <w:r>
        <w:rPr>
          <w:rFonts w:ascii="宋体" w:hAnsi="宋体" w:eastAsia="宋体" w:cs="宋体"/>
          <w:szCs w:val="21"/>
          <w:u w:val="single"/>
        </w:rPr>
        <w:t xml:space="preserve">                </w:t>
      </w:r>
      <w:r>
        <w:rPr>
          <w:rFonts w:hint="eastAsia" w:ascii="宋体" w:hAnsi="宋体" w:eastAsia="宋体" w:cs="宋体"/>
          <w:szCs w:val="21"/>
        </w:rPr>
        <w:t>分包（标包）</w:t>
      </w:r>
      <w:r>
        <w:rPr>
          <w:rFonts w:ascii="宋体" w:hAnsi="宋体" w:eastAsia="宋体" w:cs="宋体"/>
          <w:szCs w:val="21"/>
        </w:rPr>
        <w:t>：</w:t>
      </w:r>
      <w:r>
        <w:rPr>
          <w:rFonts w:ascii="宋体" w:hAnsi="宋体" w:eastAsia="宋体" w:cs="宋体"/>
          <w:szCs w:val="21"/>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4B78D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noWrap w:val="0"/>
            <w:vAlign w:val="center"/>
          </w:tcPr>
          <w:p w14:paraId="2651C39C">
            <w:pPr>
              <w:adjustRightInd w:val="0"/>
              <w:snapToGrid w:val="0"/>
              <w:spacing w:line="440" w:lineRule="exact"/>
              <w:jc w:val="center"/>
              <w:rPr>
                <w:rFonts w:ascii="宋体" w:hAnsi="宋体" w:eastAsia="宋体" w:cs="宋体"/>
                <w:szCs w:val="21"/>
              </w:rPr>
            </w:pPr>
            <w:r>
              <w:rPr>
                <w:rFonts w:ascii="宋体" w:hAnsi="宋体" w:eastAsia="宋体" w:cs="宋体"/>
                <w:szCs w:val="21"/>
              </w:rPr>
              <w:t>序号</w:t>
            </w:r>
          </w:p>
        </w:tc>
        <w:tc>
          <w:tcPr>
            <w:tcW w:w="1746" w:type="dxa"/>
            <w:noWrap w:val="0"/>
            <w:vAlign w:val="center"/>
          </w:tcPr>
          <w:p w14:paraId="65218337">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招标</w:t>
            </w:r>
            <w:r>
              <w:rPr>
                <w:rFonts w:ascii="宋体" w:hAnsi="宋体" w:eastAsia="宋体" w:cs="宋体"/>
                <w:szCs w:val="21"/>
              </w:rPr>
              <w:t>文件条目号</w:t>
            </w:r>
          </w:p>
        </w:tc>
        <w:tc>
          <w:tcPr>
            <w:tcW w:w="2208" w:type="dxa"/>
            <w:noWrap w:val="0"/>
            <w:vAlign w:val="center"/>
          </w:tcPr>
          <w:p w14:paraId="43B9AE11">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招标</w:t>
            </w:r>
            <w:r>
              <w:rPr>
                <w:rFonts w:ascii="宋体" w:hAnsi="宋体" w:eastAsia="宋体" w:cs="宋体"/>
                <w:szCs w:val="21"/>
              </w:rPr>
              <w:t>文件的</w:t>
            </w:r>
            <w:r>
              <w:rPr>
                <w:rFonts w:hint="eastAsia" w:ascii="宋体" w:hAnsi="宋体" w:eastAsia="宋体" w:cs="宋体"/>
                <w:szCs w:val="21"/>
              </w:rPr>
              <w:t>合同</w:t>
            </w:r>
            <w:r>
              <w:rPr>
                <w:rFonts w:ascii="宋体" w:hAnsi="宋体" w:eastAsia="宋体" w:cs="宋体"/>
                <w:szCs w:val="21"/>
              </w:rPr>
              <w:t>条款</w:t>
            </w:r>
          </w:p>
        </w:tc>
        <w:tc>
          <w:tcPr>
            <w:tcW w:w="2435" w:type="dxa"/>
            <w:noWrap w:val="0"/>
            <w:vAlign w:val="center"/>
          </w:tcPr>
          <w:p w14:paraId="6D2FB968">
            <w:pPr>
              <w:adjustRightInd w:val="0"/>
              <w:snapToGrid w:val="0"/>
              <w:spacing w:line="440" w:lineRule="exact"/>
              <w:jc w:val="center"/>
              <w:rPr>
                <w:rFonts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文件</w:t>
            </w:r>
            <w:r>
              <w:rPr>
                <w:rFonts w:ascii="宋体" w:hAnsi="宋体" w:eastAsia="宋体" w:cs="宋体"/>
                <w:szCs w:val="21"/>
              </w:rPr>
              <w:t>偏离情况</w:t>
            </w:r>
          </w:p>
        </w:tc>
        <w:tc>
          <w:tcPr>
            <w:tcW w:w="1364" w:type="dxa"/>
            <w:noWrap w:val="0"/>
            <w:vAlign w:val="center"/>
          </w:tcPr>
          <w:p w14:paraId="370ACB52">
            <w:pPr>
              <w:adjustRightInd w:val="0"/>
              <w:snapToGrid w:val="0"/>
              <w:spacing w:line="440" w:lineRule="exact"/>
              <w:jc w:val="center"/>
              <w:rPr>
                <w:rFonts w:ascii="宋体" w:hAnsi="宋体" w:eastAsia="宋体" w:cs="宋体"/>
                <w:szCs w:val="21"/>
              </w:rPr>
            </w:pPr>
            <w:r>
              <w:rPr>
                <w:rFonts w:ascii="宋体" w:hAnsi="宋体" w:eastAsia="宋体" w:cs="宋体"/>
                <w:szCs w:val="21"/>
              </w:rPr>
              <w:t>说明</w:t>
            </w:r>
          </w:p>
        </w:tc>
      </w:tr>
      <w:tr w14:paraId="47D9B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3CA849AC">
            <w:pPr>
              <w:adjustRightInd w:val="0"/>
              <w:snapToGrid w:val="0"/>
              <w:spacing w:line="440" w:lineRule="exact"/>
              <w:rPr>
                <w:rFonts w:ascii="宋体" w:hAnsi="宋体" w:eastAsia="宋体" w:cs="宋体"/>
                <w:szCs w:val="21"/>
              </w:rPr>
            </w:pPr>
          </w:p>
        </w:tc>
        <w:tc>
          <w:tcPr>
            <w:tcW w:w="1746" w:type="dxa"/>
            <w:noWrap w:val="0"/>
            <w:vAlign w:val="center"/>
          </w:tcPr>
          <w:p w14:paraId="56C790CC">
            <w:pPr>
              <w:adjustRightInd w:val="0"/>
              <w:snapToGrid w:val="0"/>
              <w:spacing w:line="440" w:lineRule="exact"/>
              <w:rPr>
                <w:rFonts w:ascii="宋体" w:hAnsi="宋体" w:eastAsia="宋体" w:cs="宋体"/>
                <w:szCs w:val="21"/>
              </w:rPr>
            </w:pPr>
          </w:p>
        </w:tc>
        <w:tc>
          <w:tcPr>
            <w:tcW w:w="2208" w:type="dxa"/>
            <w:noWrap w:val="0"/>
            <w:vAlign w:val="center"/>
          </w:tcPr>
          <w:p w14:paraId="67E85C09">
            <w:pPr>
              <w:adjustRightInd w:val="0"/>
              <w:snapToGrid w:val="0"/>
              <w:spacing w:line="440" w:lineRule="exact"/>
              <w:rPr>
                <w:rFonts w:ascii="宋体" w:hAnsi="宋体" w:eastAsia="宋体" w:cs="宋体"/>
                <w:szCs w:val="21"/>
              </w:rPr>
            </w:pPr>
          </w:p>
        </w:tc>
        <w:tc>
          <w:tcPr>
            <w:tcW w:w="2435" w:type="dxa"/>
            <w:noWrap w:val="0"/>
            <w:vAlign w:val="center"/>
          </w:tcPr>
          <w:p w14:paraId="2B2C2465">
            <w:pPr>
              <w:adjustRightInd w:val="0"/>
              <w:snapToGrid w:val="0"/>
              <w:spacing w:line="440" w:lineRule="exact"/>
              <w:rPr>
                <w:rFonts w:ascii="宋体" w:hAnsi="宋体" w:eastAsia="宋体" w:cs="宋体"/>
                <w:szCs w:val="21"/>
              </w:rPr>
            </w:pPr>
          </w:p>
        </w:tc>
        <w:tc>
          <w:tcPr>
            <w:tcW w:w="1364" w:type="dxa"/>
            <w:noWrap w:val="0"/>
            <w:vAlign w:val="center"/>
          </w:tcPr>
          <w:p w14:paraId="392FF140">
            <w:pPr>
              <w:adjustRightInd w:val="0"/>
              <w:snapToGrid w:val="0"/>
              <w:spacing w:line="440" w:lineRule="exact"/>
              <w:rPr>
                <w:rFonts w:ascii="宋体" w:hAnsi="宋体" w:eastAsia="宋体" w:cs="宋体"/>
                <w:szCs w:val="21"/>
              </w:rPr>
            </w:pPr>
          </w:p>
        </w:tc>
      </w:tr>
      <w:tr w14:paraId="55C1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5B80D298">
            <w:pPr>
              <w:adjustRightInd w:val="0"/>
              <w:snapToGrid w:val="0"/>
              <w:spacing w:line="440" w:lineRule="exact"/>
              <w:rPr>
                <w:rFonts w:ascii="宋体" w:hAnsi="宋体" w:eastAsia="宋体" w:cs="宋体"/>
                <w:szCs w:val="21"/>
              </w:rPr>
            </w:pPr>
          </w:p>
        </w:tc>
        <w:tc>
          <w:tcPr>
            <w:tcW w:w="1746" w:type="dxa"/>
            <w:noWrap w:val="0"/>
            <w:vAlign w:val="center"/>
          </w:tcPr>
          <w:p w14:paraId="1E7B0036">
            <w:pPr>
              <w:adjustRightInd w:val="0"/>
              <w:snapToGrid w:val="0"/>
              <w:spacing w:line="440" w:lineRule="exact"/>
              <w:rPr>
                <w:rFonts w:ascii="宋体" w:hAnsi="宋体" w:eastAsia="宋体" w:cs="宋体"/>
                <w:szCs w:val="21"/>
              </w:rPr>
            </w:pPr>
          </w:p>
        </w:tc>
        <w:tc>
          <w:tcPr>
            <w:tcW w:w="2208" w:type="dxa"/>
            <w:noWrap w:val="0"/>
            <w:vAlign w:val="center"/>
          </w:tcPr>
          <w:p w14:paraId="4ABBE3A5">
            <w:pPr>
              <w:adjustRightInd w:val="0"/>
              <w:snapToGrid w:val="0"/>
              <w:spacing w:line="440" w:lineRule="exact"/>
              <w:rPr>
                <w:rFonts w:ascii="宋体" w:hAnsi="宋体" w:eastAsia="宋体" w:cs="宋体"/>
                <w:szCs w:val="21"/>
              </w:rPr>
            </w:pPr>
          </w:p>
        </w:tc>
        <w:tc>
          <w:tcPr>
            <w:tcW w:w="2435" w:type="dxa"/>
            <w:noWrap w:val="0"/>
            <w:vAlign w:val="center"/>
          </w:tcPr>
          <w:p w14:paraId="22D40285">
            <w:pPr>
              <w:adjustRightInd w:val="0"/>
              <w:snapToGrid w:val="0"/>
              <w:spacing w:line="440" w:lineRule="exact"/>
              <w:rPr>
                <w:rFonts w:ascii="宋体" w:hAnsi="宋体" w:eastAsia="宋体" w:cs="宋体"/>
                <w:szCs w:val="21"/>
              </w:rPr>
            </w:pPr>
          </w:p>
        </w:tc>
        <w:tc>
          <w:tcPr>
            <w:tcW w:w="1364" w:type="dxa"/>
            <w:noWrap w:val="0"/>
            <w:vAlign w:val="center"/>
          </w:tcPr>
          <w:p w14:paraId="7FFEED5D">
            <w:pPr>
              <w:adjustRightInd w:val="0"/>
              <w:snapToGrid w:val="0"/>
              <w:spacing w:line="440" w:lineRule="exact"/>
              <w:rPr>
                <w:rFonts w:ascii="宋体" w:hAnsi="宋体" w:eastAsia="宋体" w:cs="宋体"/>
                <w:szCs w:val="21"/>
              </w:rPr>
            </w:pPr>
          </w:p>
        </w:tc>
      </w:tr>
      <w:tr w14:paraId="095B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685" w:type="dxa"/>
            <w:noWrap w:val="0"/>
            <w:vAlign w:val="center"/>
          </w:tcPr>
          <w:p w14:paraId="3C5D4DD3">
            <w:pPr>
              <w:adjustRightInd w:val="0"/>
              <w:snapToGrid w:val="0"/>
              <w:spacing w:line="440" w:lineRule="exact"/>
              <w:rPr>
                <w:rFonts w:ascii="宋体" w:hAnsi="宋体" w:eastAsia="宋体" w:cs="宋体"/>
                <w:szCs w:val="21"/>
              </w:rPr>
            </w:pPr>
          </w:p>
        </w:tc>
        <w:tc>
          <w:tcPr>
            <w:tcW w:w="1746" w:type="dxa"/>
            <w:noWrap w:val="0"/>
            <w:vAlign w:val="center"/>
          </w:tcPr>
          <w:p w14:paraId="470F69C8">
            <w:pPr>
              <w:adjustRightInd w:val="0"/>
              <w:snapToGrid w:val="0"/>
              <w:spacing w:line="440" w:lineRule="exact"/>
              <w:rPr>
                <w:rFonts w:ascii="宋体" w:hAnsi="宋体" w:eastAsia="宋体" w:cs="宋体"/>
                <w:szCs w:val="21"/>
              </w:rPr>
            </w:pPr>
          </w:p>
        </w:tc>
        <w:tc>
          <w:tcPr>
            <w:tcW w:w="2208" w:type="dxa"/>
            <w:noWrap w:val="0"/>
            <w:vAlign w:val="center"/>
          </w:tcPr>
          <w:p w14:paraId="6943D422">
            <w:pPr>
              <w:adjustRightInd w:val="0"/>
              <w:snapToGrid w:val="0"/>
              <w:spacing w:line="440" w:lineRule="exact"/>
              <w:rPr>
                <w:rFonts w:ascii="宋体" w:hAnsi="宋体" w:eastAsia="宋体" w:cs="宋体"/>
                <w:szCs w:val="21"/>
              </w:rPr>
            </w:pPr>
          </w:p>
        </w:tc>
        <w:tc>
          <w:tcPr>
            <w:tcW w:w="2435" w:type="dxa"/>
            <w:noWrap w:val="0"/>
            <w:vAlign w:val="center"/>
          </w:tcPr>
          <w:p w14:paraId="175ECFD2">
            <w:pPr>
              <w:adjustRightInd w:val="0"/>
              <w:snapToGrid w:val="0"/>
              <w:spacing w:line="440" w:lineRule="exact"/>
              <w:rPr>
                <w:rFonts w:ascii="宋体" w:hAnsi="宋体" w:eastAsia="宋体" w:cs="宋体"/>
                <w:szCs w:val="21"/>
              </w:rPr>
            </w:pPr>
          </w:p>
        </w:tc>
        <w:tc>
          <w:tcPr>
            <w:tcW w:w="1364" w:type="dxa"/>
            <w:noWrap w:val="0"/>
            <w:vAlign w:val="center"/>
          </w:tcPr>
          <w:p w14:paraId="41D8653D">
            <w:pPr>
              <w:adjustRightInd w:val="0"/>
              <w:snapToGrid w:val="0"/>
              <w:spacing w:line="440" w:lineRule="exact"/>
              <w:rPr>
                <w:rFonts w:ascii="宋体" w:hAnsi="宋体" w:eastAsia="宋体" w:cs="宋体"/>
                <w:szCs w:val="21"/>
              </w:rPr>
            </w:pPr>
          </w:p>
        </w:tc>
      </w:tr>
      <w:tr w14:paraId="32944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noWrap w:val="0"/>
            <w:vAlign w:val="center"/>
          </w:tcPr>
          <w:p w14:paraId="2944ACC9">
            <w:pPr>
              <w:adjustRightInd w:val="0"/>
              <w:snapToGrid w:val="0"/>
              <w:spacing w:line="440" w:lineRule="exact"/>
              <w:rPr>
                <w:rFonts w:ascii="宋体" w:hAnsi="宋体" w:eastAsia="宋体" w:cs="宋体"/>
                <w:szCs w:val="21"/>
              </w:rPr>
            </w:pPr>
          </w:p>
        </w:tc>
        <w:tc>
          <w:tcPr>
            <w:tcW w:w="1746" w:type="dxa"/>
            <w:noWrap w:val="0"/>
            <w:vAlign w:val="center"/>
          </w:tcPr>
          <w:p w14:paraId="2FE28B71">
            <w:pPr>
              <w:adjustRightInd w:val="0"/>
              <w:snapToGrid w:val="0"/>
              <w:spacing w:line="440" w:lineRule="exact"/>
              <w:rPr>
                <w:rFonts w:ascii="宋体" w:hAnsi="宋体" w:eastAsia="宋体" w:cs="宋体"/>
                <w:szCs w:val="21"/>
              </w:rPr>
            </w:pPr>
          </w:p>
        </w:tc>
        <w:tc>
          <w:tcPr>
            <w:tcW w:w="2208" w:type="dxa"/>
            <w:noWrap w:val="0"/>
            <w:vAlign w:val="center"/>
          </w:tcPr>
          <w:p w14:paraId="0C3DD260">
            <w:pPr>
              <w:adjustRightInd w:val="0"/>
              <w:snapToGrid w:val="0"/>
              <w:spacing w:line="440" w:lineRule="exact"/>
              <w:rPr>
                <w:rFonts w:ascii="宋体" w:hAnsi="宋体" w:eastAsia="宋体" w:cs="宋体"/>
                <w:szCs w:val="21"/>
              </w:rPr>
            </w:pPr>
          </w:p>
        </w:tc>
        <w:tc>
          <w:tcPr>
            <w:tcW w:w="2435" w:type="dxa"/>
            <w:noWrap w:val="0"/>
            <w:vAlign w:val="center"/>
          </w:tcPr>
          <w:p w14:paraId="2E89EE00">
            <w:pPr>
              <w:adjustRightInd w:val="0"/>
              <w:snapToGrid w:val="0"/>
              <w:spacing w:line="440" w:lineRule="exact"/>
              <w:rPr>
                <w:rFonts w:ascii="宋体" w:hAnsi="宋体" w:eastAsia="宋体" w:cs="宋体"/>
                <w:szCs w:val="21"/>
              </w:rPr>
            </w:pPr>
          </w:p>
        </w:tc>
        <w:tc>
          <w:tcPr>
            <w:tcW w:w="1364" w:type="dxa"/>
            <w:noWrap w:val="0"/>
            <w:vAlign w:val="center"/>
          </w:tcPr>
          <w:p w14:paraId="3155A01A">
            <w:pPr>
              <w:adjustRightInd w:val="0"/>
              <w:snapToGrid w:val="0"/>
              <w:spacing w:line="440" w:lineRule="exact"/>
              <w:rPr>
                <w:rFonts w:ascii="宋体" w:hAnsi="宋体" w:eastAsia="宋体" w:cs="宋体"/>
                <w:szCs w:val="21"/>
              </w:rPr>
            </w:pPr>
          </w:p>
        </w:tc>
      </w:tr>
      <w:tr w14:paraId="4EA21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1E34FC9E">
            <w:pPr>
              <w:adjustRightInd w:val="0"/>
              <w:snapToGrid w:val="0"/>
              <w:spacing w:line="440" w:lineRule="exact"/>
              <w:rPr>
                <w:rFonts w:ascii="宋体" w:hAnsi="宋体" w:eastAsia="宋体" w:cs="宋体"/>
                <w:szCs w:val="21"/>
              </w:rPr>
            </w:pPr>
          </w:p>
        </w:tc>
        <w:tc>
          <w:tcPr>
            <w:tcW w:w="1746" w:type="dxa"/>
            <w:noWrap w:val="0"/>
            <w:vAlign w:val="center"/>
          </w:tcPr>
          <w:p w14:paraId="53E250CF">
            <w:pPr>
              <w:adjustRightInd w:val="0"/>
              <w:snapToGrid w:val="0"/>
              <w:spacing w:line="440" w:lineRule="exact"/>
              <w:rPr>
                <w:rFonts w:ascii="宋体" w:hAnsi="宋体" w:eastAsia="宋体" w:cs="宋体"/>
                <w:szCs w:val="21"/>
              </w:rPr>
            </w:pPr>
          </w:p>
        </w:tc>
        <w:tc>
          <w:tcPr>
            <w:tcW w:w="2208" w:type="dxa"/>
            <w:noWrap w:val="0"/>
            <w:vAlign w:val="center"/>
          </w:tcPr>
          <w:p w14:paraId="776C8368">
            <w:pPr>
              <w:adjustRightInd w:val="0"/>
              <w:snapToGrid w:val="0"/>
              <w:spacing w:line="440" w:lineRule="exact"/>
              <w:rPr>
                <w:rFonts w:ascii="宋体" w:hAnsi="宋体" w:eastAsia="宋体" w:cs="宋体"/>
                <w:szCs w:val="21"/>
              </w:rPr>
            </w:pPr>
          </w:p>
        </w:tc>
        <w:tc>
          <w:tcPr>
            <w:tcW w:w="2435" w:type="dxa"/>
            <w:noWrap w:val="0"/>
            <w:vAlign w:val="center"/>
          </w:tcPr>
          <w:p w14:paraId="5F42C9AE">
            <w:pPr>
              <w:adjustRightInd w:val="0"/>
              <w:snapToGrid w:val="0"/>
              <w:spacing w:line="440" w:lineRule="exact"/>
              <w:rPr>
                <w:rFonts w:ascii="宋体" w:hAnsi="宋体" w:eastAsia="宋体" w:cs="宋体"/>
                <w:szCs w:val="21"/>
              </w:rPr>
            </w:pPr>
          </w:p>
        </w:tc>
        <w:tc>
          <w:tcPr>
            <w:tcW w:w="1364" w:type="dxa"/>
            <w:noWrap w:val="0"/>
            <w:vAlign w:val="center"/>
          </w:tcPr>
          <w:p w14:paraId="7FE4BFC1">
            <w:pPr>
              <w:adjustRightInd w:val="0"/>
              <w:snapToGrid w:val="0"/>
              <w:spacing w:line="440" w:lineRule="exact"/>
              <w:rPr>
                <w:rFonts w:ascii="宋体" w:hAnsi="宋体" w:eastAsia="宋体" w:cs="宋体"/>
                <w:szCs w:val="21"/>
              </w:rPr>
            </w:pPr>
          </w:p>
        </w:tc>
      </w:tr>
      <w:tr w14:paraId="339B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noWrap w:val="0"/>
            <w:vAlign w:val="center"/>
          </w:tcPr>
          <w:p w14:paraId="5954F3B5">
            <w:pPr>
              <w:adjustRightInd w:val="0"/>
              <w:snapToGrid w:val="0"/>
              <w:spacing w:line="440" w:lineRule="exact"/>
              <w:rPr>
                <w:rFonts w:ascii="宋体" w:hAnsi="宋体" w:eastAsia="宋体" w:cs="宋体"/>
                <w:szCs w:val="21"/>
              </w:rPr>
            </w:pPr>
          </w:p>
        </w:tc>
        <w:tc>
          <w:tcPr>
            <w:tcW w:w="1746" w:type="dxa"/>
            <w:noWrap w:val="0"/>
            <w:vAlign w:val="center"/>
          </w:tcPr>
          <w:p w14:paraId="1659E7C9">
            <w:pPr>
              <w:adjustRightInd w:val="0"/>
              <w:snapToGrid w:val="0"/>
              <w:spacing w:line="440" w:lineRule="exact"/>
              <w:rPr>
                <w:rFonts w:ascii="宋体" w:hAnsi="宋体" w:eastAsia="宋体" w:cs="宋体"/>
                <w:szCs w:val="21"/>
              </w:rPr>
            </w:pPr>
          </w:p>
        </w:tc>
        <w:tc>
          <w:tcPr>
            <w:tcW w:w="2208" w:type="dxa"/>
            <w:noWrap w:val="0"/>
            <w:vAlign w:val="center"/>
          </w:tcPr>
          <w:p w14:paraId="0DAC62AA">
            <w:pPr>
              <w:adjustRightInd w:val="0"/>
              <w:snapToGrid w:val="0"/>
              <w:spacing w:line="440" w:lineRule="exact"/>
              <w:rPr>
                <w:rFonts w:ascii="宋体" w:hAnsi="宋体" w:eastAsia="宋体" w:cs="宋体"/>
                <w:szCs w:val="21"/>
              </w:rPr>
            </w:pPr>
          </w:p>
        </w:tc>
        <w:tc>
          <w:tcPr>
            <w:tcW w:w="2435" w:type="dxa"/>
            <w:noWrap w:val="0"/>
            <w:vAlign w:val="center"/>
          </w:tcPr>
          <w:p w14:paraId="4B8D7D5B">
            <w:pPr>
              <w:adjustRightInd w:val="0"/>
              <w:snapToGrid w:val="0"/>
              <w:spacing w:line="440" w:lineRule="exact"/>
              <w:rPr>
                <w:rFonts w:ascii="宋体" w:hAnsi="宋体" w:eastAsia="宋体" w:cs="宋体"/>
                <w:szCs w:val="21"/>
              </w:rPr>
            </w:pPr>
          </w:p>
        </w:tc>
        <w:tc>
          <w:tcPr>
            <w:tcW w:w="1364" w:type="dxa"/>
            <w:noWrap w:val="0"/>
            <w:vAlign w:val="center"/>
          </w:tcPr>
          <w:p w14:paraId="6AF9D0EE">
            <w:pPr>
              <w:adjustRightInd w:val="0"/>
              <w:snapToGrid w:val="0"/>
              <w:spacing w:line="440" w:lineRule="exact"/>
              <w:rPr>
                <w:rFonts w:ascii="宋体" w:hAnsi="宋体" w:eastAsia="宋体" w:cs="宋体"/>
                <w:szCs w:val="21"/>
              </w:rPr>
            </w:pPr>
          </w:p>
        </w:tc>
      </w:tr>
    </w:tbl>
    <w:p w14:paraId="635FC898">
      <w:pPr>
        <w:adjustRightInd w:val="0"/>
        <w:snapToGrid w:val="0"/>
        <w:spacing w:after="120" w:line="440" w:lineRule="exact"/>
        <w:ind w:left="693" w:hanging="693" w:hangingChars="330"/>
        <w:rPr>
          <w:rFonts w:ascii="宋体" w:hAnsi="宋体" w:eastAsia="宋体" w:cs="宋体"/>
          <w:szCs w:val="21"/>
        </w:rPr>
      </w:pPr>
    </w:p>
    <w:p w14:paraId="2D8783F8">
      <w:pPr>
        <w:spacing w:line="440" w:lineRule="exact"/>
        <w:ind w:firstLine="1134" w:firstLineChars="540"/>
        <w:rPr>
          <w:rFonts w:ascii="宋体" w:hAnsi="宋体" w:eastAsia="宋体"/>
          <w:szCs w:val="21"/>
          <w:u w:val="single"/>
        </w:rPr>
      </w:pPr>
      <w:r>
        <w:rPr>
          <w:rFonts w:hint="eastAsia" w:ascii="宋体" w:hAnsi="宋体" w:eastAsia="宋体"/>
          <w:szCs w:val="21"/>
          <w:lang w:val="en-US" w:eastAsia="zh-CN"/>
        </w:rPr>
        <w:t>投标</w:t>
      </w:r>
      <w:r>
        <w:rPr>
          <w:rFonts w:hint="eastAsia" w:ascii="宋体" w:hAnsi="宋体" w:eastAsia="宋体"/>
          <w:szCs w:val="21"/>
        </w:rPr>
        <w:t>人名称：</w:t>
      </w:r>
      <w:r>
        <w:rPr>
          <w:rFonts w:hint="eastAsia" w:ascii="宋体" w:hAnsi="宋体" w:eastAsia="宋体"/>
          <w:szCs w:val="21"/>
          <w:u w:val="single"/>
        </w:rPr>
        <w:t>　　　　　　　　</w:t>
      </w:r>
    </w:p>
    <w:p w14:paraId="2835C2E2">
      <w:pPr>
        <w:spacing w:line="440" w:lineRule="exact"/>
        <w:ind w:firstLine="1134" w:firstLineChars="540"/>
        <w:rPr>
          <w:rFonts w:ascii="宋体" w:hAnsi="宋体" w:eastAsia="宋体"/>
          <w:szCs w:val="21"/>
        </w:rPr>
      </w:pPr>
      <w:r>
        <w:rPr>
          <w:rFonts w:hint="eastAsia" w:ascii="宋体" w:hAnsi="宋体" w:eastAsia="宋体"/>
          <w:szCs w:val="21"/>
        </w:rPr>
        <w:t>法定代表人/负责人（签字或盖人名章）</w:t>
      </w:r>
      <w:r>
        <w:rPr>
          <w:rFonts w:ascii="宋体" w:hAnsi="宋体" w:eastAsia="宋体"/>
          <w:szCs w:val="21"/>
        </w:rPr>
        <w:t>或者其委托代理人</w:t>
      </w:r>
      <w:r>
        <w:rPr>
          <w:rFonts w:hint="eastAsia" w:ascii="宋体" w:hAnsi="宋体" w:eastAsia="宋体"/>
          <w:szCs w:val="21"/>
        </w:rPr>
        <w:t>（签字）</w:t>
      </w:r>
      <w:r>
        <w:rPr>
          <w:rFonts w:ascii="宋体" w:hAnsi="宋体" w:eastAsia="宋体"/>
          <w:szCs w:val="21"/>
        </w:rPr>
        <w:t>：</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14:paraId="4C27A16C">
      <w:pPr>
        <w:widowControl/>
        <w:tabs>
          <w:tab w:val="left" w:pos="3018"/>
          <w:tab w:val="left" w:pos="6260"/>
        </w:tabs>
        <w:ind w:firstLine="2692" w:firstLineChars="1282"/>
        <w:jc w:val="left"/>
        <w:rPr>
          <w:rFonts w:ascii="宋体" w:hAnsi="宋体" w:eastAsia="宋体" w:cs="Arial"/>
          <w:bCs/>
          <w:szCs w:val="21"/>
        </w:rPr>
      </w:pPr>
    </w:p>
    <w:p w14:paraId="2AAD55CF">
      <w:pPr>
        <w:widowControl/>
        <w:tabs>
          <w:tab w:val="left" w:pos="3018"/>
          <w:tab w:val="left" w:pos="6260"/>
        </w:tabs>
        <w:ind w:firstLine="1134" w:firstLineChars="540"/>
        <w:jc w:val="left"/>
        <w:rPr>
          <w:rFonts w:ascii="宋体" w:hAnsi="宋体" w:eastAsia="宋体"/>
        </w:rPr>
      </w:pPr>
      <w:r>
        <w:rPr>
          <w:rFonts w:hint="eastAsia" w:ascii="宋体" w:hAnsi="宋体" w:eastAsia="宋体" w:cs="Arial"/>
          <w:bCs/>
          <w:szCs w:val="21"/>
        </w:rPr>
        <w:t>日期：XX年 XX月XX日</w:t>
      </w:r>
    </w:p>
    <w:p w14:paraId="7FE536EF">
      <w:pPr>
        <w:adjustRightInd w:val="0"/>
        <w:snapToGrid w:val="0"/>
        <w:spacing w:line="440" w:lineRule="exact"/>
        <w:rPr>
          <w:rFonts w:ascii="宋体" w:hAnsi="宋体" w:eastAsia="宋体" w:cs="宋体"/>
          <w:szCs w:val="21"/>
        </w:rPr>
      </w:pPr>
      <w:r>
        <w:rPr>
          <w:rFonts w:hint="eastAsia" w:ascii="宋体" w:hAnsi="宋体" w:eastAsia="宋体" w:cs="宋体"/>
          <w:b/>
          <w:szCs w:val="21"/>
        </w:rPr>
        <w:t>编制要求</w:t>
      </w:r>
      <w:r>
        <w:rPr>
          <w:rFonts w:hint="eastAsia" w:ascii="宋体" w:hAnsi="宋体" w:eastAsia="宋体" w:cs="宋体"/>
          <w:szCs w:val="21"/>
        </w:rPr>
        <w:t>：</w:t>
      </w:r>
    </w:p>
    <w:p w14:paraId="45E2DF3E">
      <w:pPr>
        <w:pStyle w:val="101"/>
        <w:adjustRightInd w:val="0"/>
        <w:snapToGrid w:val="0"/>
        <w:spacing w:line="440" w:lineRule="exact"/>
        <w:ind w:firstLine="0" w:firstLineChars="0"/>
        <w:rPr>
          <w:rFonts w:ascii="宋体" w:hAnsi="宋体" w:eastAsia="宋体"/>
        </w:rPr>
      </w:pPr>
      <w:r>
        <w:rPr>
          <w:rFonts w:hint="eastAsia" w:ascii="宋体" w:hAnsi="宋体" w:eastAsia="宋体"/>
        </w:rPr>
        <w:t>1. 提供本文件的原件；</w:t>
      </w:r>
    </w:p>
    <w:p w14:paraId="10CECE39">
      <w:pPr>
        <w:pStyle w:val="101"/>
        <w:adjustRightInd w:val="0"/>
        <w:snapToGrid w:val="0"/>
        <w:spacing w:line="440" w:lineRule="exact"/>
        <w:ind w:firstLine="0" w:firstLineChars="0"/>
        <w:rPr>
          <w:rFonts w:ascii="宋体" w:hAnsi="宋体" w:eastAsia="宋体"/>
        </w:rPr>
      </w:pPr>
      <w:r>
        <w:rPr>
          <w:rFonts w:hint="eastAsia" w:ascii="宋体" w:hAnsi="宋体" w:eastAsia="宋体"/>
        </w:rPr>
        <w:t>2. 如对商务规范书条款无任何偏离，</w:t>
      </w:r>
      <w:r>
        <w:rPr>
          <w:rFonts w:hint="eastAsia" w:ascii="宋体" w:hAnsi="宋体" w:eastAsia="宋体"/>
          <w:lang w:val="en-US" w:eastAsia="zh-CN"/>
        </w:rPr>
        <w:t>投标</w:t>
      </w:r>
      <w:r>
        <w:rPr>
          <w:rFonts w:hint="eastAsia" w:ascii="宋体" w:hAnsi="宋体" w:eastAsia="宋体"/>
        </w:rPr>
        <w:t>人仅需在本偏离表中填写“无偏离”即可。当本表为空时，视为</w:t>
      </w:r>
      <w:r>
        <w:rPr>
          <w:rFonts w:hint="eastAsia" w:ascii="宋体" w:hAnsi="宋体" w:eastAsia="宋体"/>
          <w:lang w:val="en-US" w:eastAsia="zh-CN"/>
        </w:rPr>
        <w:t>投标</w:t>
      </w:r>
      <w:r>
        <w:rPr>
          <w:rFonts w:hint="eastAsia" w:ascii="宋体" w:hAnsi="宋体" w:eastAsia="宋体"/>
        </w:rPr>
        <w:t>文件对商务规范书条款全部满足，无偏离；</w:t>
      </w:r>
    </w:p>
    <w:p w14:paraId="5A3091FF">
      <w:pPr>
        <w:pStyle w:val="101"/>
        <w:adjustRightInd w:val="0"/>
        <w:snapToGrid w:val="0"/>
        <w:spacing w:line="440" w:lineRule="exact"/>
        <w:ind w:firstLine="0" w:firstLineChars="0"/>
        <w:rPr>
          <w:rFonts w:ascii="宋体" w:hAnsi="宋体" w:eastAsia="宋体"/>
        </w:rPr>
      </w:pPr>
      <w:r>
        <w:rPr>
          <w:rFonts w:hint="eastAsia" w:ascii="宋体" w:hAnsi="宋体" w:eastAsia="宋体"/>
        </w:rPr>
        <w:t>3. 如对商务规范书条款存在偏离，</w:t>
      </w:r>
      <w:r>
        <w:rPr>
          <w:rFonts w:hint="eastAsia" w:ascii="宋体" w:hAnsi="宋体" w:eastAsia="宋体"/>
          <w:lang w:val="en-US" w:eastAsia="zh-CN"/>
        </w:rPr>
        <w:t>投标</w:t>
      </w:r>
      <w:r>
        <w:rPr>
          <w:rFonts w:hint="eastAsia" w:ascii="宋体" w:hAnsi="宋体" w:eastAsia="宋体"/>
        </w:rPr>
        <w:t>人需对商务规范书条款存在的偏离逐条做出说明。</w:t>
      </w:r>
    </w:p>
    <w:p w14:paraId="7E4D4315">
      <w:pPr>
        <w:snapToGrid w:val="0"/>
        <w:spacing w:line="440" w:lineRule="exact"/>
        <w:rPr>
          <w:rFonts w:asciiTheme="minorEastAsia" w:hAnsiTheme="minorEastAsia" w:eastAsiaTheme="minorEastAsia"/>
          <w:szCs w:val="21"/>
          <w:highlight w:val="none"/>
        </w:rPr>
      </w:pPr>
      <w:r>
        <w:rPr>
          <w:rFonts w:hint="eastAsia"/>
        </w:rPr>
        <w:t xml:space="preserve">4. </w:t>
      </w:r>
      <w:r>
        <w:rPr>
          <w:rFonts w:hint="eastAsia"/>
          <w:lang w:val="en-US" w:eastAsia="zh-CN"/>
        </w:rPr>
        <w:t>投标</w:t>
      </w:r>
      <w:r>
        <w:rPr>
          <w:rFonts w:hint="eastAsia"/>
        </w:rPr>
        <w:t>人可以根据实际情况对本文件进行调整和修改，但应满足</w:t>
      </w:r>
      <w:r>
        <w:rPr>
          <w:rFonts w:hint="eastAsia"/>
          <w:lang w:val="en-US" w:eastAsia="zh-CN"/>
        </w:rPr>
        <w:t>招标</w:t>
      </w:r>
      <w:r>
        <w:rPr>
          <w:rFonts w:hint="eastAsia"/>
        </w:rPr>
        <w:t>文件对本文件的要求。</w:t>
      </w:r>
      <w:r>
        <w:rPr>
          <w:rFonts w:hint="eastAsia" w:asciiTheme="minorEastAsia" w:hAnsiTheme="minorEastAsia" w:eastAsiaTheme="minorEastAsia"/>
          <w:szCs w:val="21"/>
          <w:highlight w:val="none"/>
        </w:rPr>
        <w:t xml:space="preserve"> </w:t>
      </w:r>
    </w:p>
    <w:p w14:paraId="7EA449C9">
      <w:pPr>
        <w:rPr>
          <w:highlight w:val="none"/>
        </w:rPr>
      </w:pPr>
    </w:p>
    <w:p w14:paraId="6E6FC9D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029"/>
    <w:p w14:paraId="3A316ADD">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33" w:name="_Toc5042"/>
      <w:bookmarkStart w:id="1034" w:name="_Toc7826"/>
      <w:bookmarkStart w:id="1035" w:name="_Toc31178"/>
      <w:bookmarkStart w:id="1036" w:name="_Toc10420"/>
      <w:bookmarkStart w:id="1037" w:name="_Toc11217"/>
      <w:bookmarkStart w:id="1038" w:name="_Toc25131"/>
      <w:bookmarkStart w:id="1039" w:name="_Toc15346"/>
      <w:bookmarkStart w:id="1040" w:name="_Toc31242"/>
      <w:bookmarkStart w:id="1041" w:name="_Toc9141"/>
      <w:bookmarkStart w:id="1042" w:name="_Toc31248"/>
      <w:bookmarkStart w:id="1043" w:name="_Toc31736"/>
      <w:bookmarkStart w:id="1044" w:name="_Hlk167300016"/>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lang w:val="en-US" w:eastAsia="zh-CN"/>
        </w:rPr>
        <w:t>网络及</w:t>
      </w:r>
      <w:r>
        <w:rPr>
          <w:rFonts w:hint="eastAsia" w:asciiTheme="minorEastAsia" w:hAnsiTheme="minorEastAsia" w:eastAsiaTheme="minorEastAsia"/>
          <w:sz w:val="24"/>
          <w:szCs w:val="24"/>
        </w:rPr>
        <w:t>信息安全承诺书</w:t>
      </w:r>
      <w:bookmarkEnd w:id="1033"/>
      <w:bookmarkEnd w:id="1034"/>
      <w:bookmarkEnd w:id="1035"/>
      <w:bookmarkEnd w:id="1036"/>
      <w:bookmarkEnd w:id="1037"/>
      <w:bookmarkEnd w:id="1038"/>
      <w:bookmarkEnd w:id="1039"/>
      <w:bookmarkEnd w:id="1040"/>
      <w:bookmarkEnd w:id="1041"/>
      <w:bookmarkEnd w:id="1042"/>
      <w:bookmarkEnd w:id="1043"/>
    </w:p>
    <w:bookmarkEnd w:id="1044"/>
    <w:p w14:paraId="68A5E2D2">
      <w:pPr>
        <w:pStyle w:val="143"/>
        <w:spacing w:line="360" w:lineRule="atLeast"/>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网络及信息安全承诺书</w:t>
      </w:r>
    </w:p>
    <w:p w14:paraId="5206C1AC">
      <w:pPr>
        <w:pStyle w:val="143"/>
        <w:spacing w:line="360" w:lineRule="atLeast"/>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[根据规定使用本承诺书的项目，应将本承诺书作为采购合同的附件]</w:t>
      </w:r>
    </w:p>
    <w:p w14:paraId="20EEA57D">
      <w:pPr>
        <w:pStyle w:val="143"/>
        <w:spacing w:line="360" w:lineRule="atLeast"/>
        <w:jc w:val="center"/>
        <w:rPr>
          <w:rFonts w:asciiTheme="minorEastAsia" w:hAnsiTheme="minorEastAsia" w:eastAsiaTheme="minorEastAsia"/>
          <w:b/>
          <w:bCs/>
          <w:sz w:val="24"/>
          <w:highlight w:val="none"/>
        </w:rPr>
      </w:pPr>
    </w:p>
    <w:p w14:paraId="4DE0370D">
      <w:pPr>
        <w:pStyle w:val="143"/>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致：【XX公司[招标人名称]】：</w:t>
      </w:r>
    </w:p>
    <w:p w14:paraId="7870D11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本单位郑重承诺遵守本承诺书，如有违反本承诺书有关条款的行为，本单位承担由此带来的一切民事、行政和刑事责任。</w:t>
      </w:r>
    </w:p>
    <w:p w14:paraId="4C4356C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753CA34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1F95960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6AD4E4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1909631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01DB03A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410E7AB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41B3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04AF73C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9673DD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21EE49C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2AF68CA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7BAF8FA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“九不准”，即不准制作、复制、查阅和传播含有以下内容的信息：</w:t>
      </w:r>
    </w:p>
    <w:p w14:paraId="4BDB0C5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rPr>
        <w:t>；</w:t>
      </w:r>
    </w:p>
    <w:p w14:paraId="5DABD795">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rPr>
        <w:t>；</w:t>
      </w:r>
    </w:p>
    <w:p w14:paraId="46AC7B32">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rPr>
        <w:t>；</w:t>
      </w:r>
    </w:p>
    <w:p w14:paraId="3F39226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rPr>
        <w:t>；</w:t>
      </w:r>
    </w:p>
    <w:p w14:paraId="0B22383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rPr>
        <w:t>；</w:t>
      </w:r>
    </w:p>
    <w:p w14:paraId="0B432E4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rPr>
        <w:t>；</w:t>
      </w:r>
    </w:p>
    <w:p w14:paraId="06FF176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rPr>
        <w:t>；</w:t>
      </w:r>
    </w:p>
    <w:p w14:paraId="67B9827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rPr>
        <w:t>；</w:t>
      </w:r>
    </w:p>
    <w:p w14:paraId="6250E05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10D3A99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03B62AF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0A5FD30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1C37FF4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78BD0DAD">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60E6139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14429C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661788C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456BF09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5FECFE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31287C9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4DFFC8B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5719585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05E5441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7F7EE27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5522380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3A02A3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0EFC35D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D0769D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7358BEBC">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2BC1BF5D">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08C82AB0">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6D3487E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6DDFAE9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48DEEB0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1EA0579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EECF3F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十六、本单位承诺未经贵公司同意不得以任何形式对提供给贵公司的产品或服务进行任何操作。本单位承诺严格按最小化原则管理相关产品或服务的操作权限并事先征得贵公司同意。</w:t>
      </w:r>
    </w:p>
    <w:p w14:paraId="1BC345E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十七、本单位承诺对提供给贵公司的产品或服务在交付前完成已知病毒查杀、安全缺陷及漏洞扫描和修复，交付后对发现的安全缺陷、漏洞等风险及时采取补救措施。</w:t>
      </w:r>
    </w:p>
    <w:p w14:paraId="466A40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1DCDE3F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0478C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535A638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4322A7F4">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43A02BC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36BE5BB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二十四、本单位的信息安全责任人如下：</w:t>
      </w:r>
    </w:p>
    <w:p w14:paraId="78D5A05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28FECD0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二十五、本单位承诺要求并监督参与向贵公司提供产品或服务的本单位人员（“本单位人员”）履行本《网络及信息安全承诺书》项下的义务和责任，并对本单位人员的行为承担责任。</w:t>
      </w:r>
    </w:p>
    <w:p w14:paraId="2B839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二十六、本承诺书经本单位签署后，与合同同时生效。</w:t>
      </w:r>
    </w:p>
    <w:p w14:paraId="1D020D29">
      <w:pPr>
        <w:pStyle w:val="133"/>
        <w:snapToGrid w:val="0"/>
        <w:spacing w:line="440" w:lineRule="exact"/>
        <w:ind w:firstLine="425" w:firstLineChars="0"/>
        <w:rPr>
          <w:rFonts w:asciiTheme="minorEastAsia" w:hAnsiTheme="minorEastAsia" w:eastAsiaTheme="minorEastAsia"/>
          <w:kern w:val="0"/>
          <w:szCs w:val="21"/>
          <w:highlight w:val="none"/>
        </w:rPr>
      </w:pPr>
    </w:p>
    <w:p w14:paraId="7732086B">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5465D3AF">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57A2A5BD">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6ECFB2B6">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4D341319">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1.代理商投标的，制造商和代理商须各自提供一份本承诺函。</w:t>
      </w:r>
    </w:p>
    <w:p w14:paraId="0B3DA126">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17DA6FA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除本文件允许投标人进行填写的内容以外，投标人不得对本文件进行修改</w:t>
      </w:r>
      <w:r>
        <w:rPr>
          <w:rFonts w:hint="eastAsia" w:asciiTheme="minorEastAsia" w:hAnsiTheme="minorEastAsia" w:eastAsiaTheme="minorEastAsia"/>
          <w:highlight w:val="none"/>
        </w:rPr>
        <w:t>。</w:t>
      </w:r>
    </w:p>
    <w:p w14:paraId="0C75EBBE">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2E68B19A">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lang w:eastAsia="zh-CN"/>
        </w:rPr>
      </w:pPr>
      <w:bookmarkStart w:id="1045" w:name="_Toc22083"/>
      <w:bookmarkStart w:id="1046" w:name="_Hlk167300028"/>
      <w:bookmarkStart w:id="1047" w:name="_Toc1808"/>
      <w:bookmarkStart w:id="1048" w:name="_Toc4115"/>
      <w:bookmarkStart w:id="1049" w:name="_Toc7972"/>
      <w:bookmarkStart w:id="1050" w:name="_Toc8523"/>
      <w:bookmarkStart w:id="1051" w:name="_Toc27927"/>
      <w:bookmarkStart w:id="1052" w:name="_Toc14650"/>
      <w:bookmarkStart w:id="1053" w:name="_Toc19811"/>
      <w:bookmarkStart w:id="1054" w:name="_Toc25556"/>
      <w:bookmarkStart w:id="1055" w:name="_Toc6826"/>
      <w:bookmarkStart w:id="1056" w:name="_Toc32275"/>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rPr>
        <w:t>开源软件、第三方软件清单及合法获取开源软件、第三方软件使用权的证明</w:t>
      </w:r>
      <w:bookmarkEnd w:id="1045"/>
      <w:bookmarkEnd w:id="1046"/>
      <w:r>
        <w:rPr>
          <w:rFonts w:hint="eastAsia" w:asciiTheme="minorEastAsia" w:hAnsiTheme="minorEastAsia" w:eastAsiaTheme="minorEastAsia"/>
          <w:sz w:val="24"/>
          <w:szCs w:val="24"/>
        </w:rPr>
        <w:t>[与《</w:t>
      </w:r>
      <w:r>
        <w:rPr>
          <w:rFonts w:hint="eastAsia" w:asciiTheme="minorEastAsia" w:hAnsiTheme="minorEastAsia" w:eastAsiaTheme="minorEastAsia"/>
          <w:sz w:val="24"/>
          <w:szCs w:val="24"/>
          <w:lang w:val="en-US" w:eastAsia="zh-CN"/>
        </w:rPr>
        <w:t>网络及</w:t>
      </w:r>
      <w:r>
        <w:rPr>
          <w:rFonts w:hint="eastAsia" w:asciiTheme="minorEastAsia" w:hAnsiTheme="minorEastAsia" w:eastAsiaTheme="minorEastAsia"/>
          <w:sz w:val="24"/>
          <w:szCs w:val="24"/>
        </w:rPr>
        <w:t>信息安全承诺书》同步使用，软件类采购应当使用，使用本文件的应作为采购合同的附件]</w:t>
      </w:r>
      <w:bookmarkEnd w:id="1047"/>
      <w:bookmarkEnd w:id="1048"/>
      <w:bookmarkEnd w:id="1049"/>
      <w:bookmarkEnd w:id="1050"/>
      <w:bookmarkEnd w:id="1051"/>
      <w:bookmarkEnd w:id="1052"/>
      <w:bookmarkEnd w:id="1053"/>
      <w:bookmarkEnd w:id="1054"/>
      <w:bookmarkEnd w:id="1055"/>
      <w:bookmarkEnd w:id="1056"/>
    </w:p>
    <w:p w14:paraId="6158BC2E">
      <w:pPr>
        <w:rPr>
          <w:highlight w:val="none"/>
        </w:rPr>
      </w:pPr>
    </w:p>
    <w:p w14:paraId="704A278A">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274CED7E">
      <w:pPr>
        <w:pStyle w:val="101"/>
        <w:ind w:firstLine="0" w:firstLineChars="0"/>
        <w:jc w:val="center"/>
        <w:rPr>
          <w:rFonts w:asciiTheme="minorEastAsia" w:hAnsiTheme="minorEastAsia" w:eastAsiaTheme="minorEastAsia"/>
          <w:b/>
          <w:sz w:val="24"/>
          <w:highlight w:val="none"/>
        </w:rPr>
      </w:pPr>
    </w:p>
    <w:tbl>
      <w:tblPr>
        <w:tblStyle w:val="86"/>
        <w:tblW w:w="809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2410"/>
        <w:gridCol w:w="1916"/>
        <w:gridCol w:w="1536"/>
      </w:tblGrid>
      <w:tr w14:paraId="20F0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47A70636">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序号</w:t>
            </w:r>
          </w:p>
        </w:tc>
        <w:tc>
          <w:tcPr>
            <w:tcW w:w="1559" w:type="dxa"/>
            <w:vAlign w:val="center"/>
          </w:tcPr>
          <w:p w14:paraId="66C57E0C">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软件名称</w:t>
            </w:r>
          </w:p>
        </w:tc>
        <w:tc>
          <w:tcPr>
            <w:tcW w:w="2410" w:type="dxa"/>
            <w:vAlign w:val="center"/>
          </w:tcPr>
          <w:p w14:paraId="0064C036">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软件类型</w:t>
            </w:r>
          </w:p>
        </w:tc>
        <w:tc>
          <w:tcPr>
            <w:tcW w:w="1916" w:type="dxa"/>
          </w:tcPr>
          <w:p w14:paraId="3B0D3DE1">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合法获取开源软件、第三方软件使用权的证明材料</w:t>
            </w:r>
          </w:p>
        </w:tc>
        <w:tc>
          <w:tcPr>
            <w:tcW w:w="1536" w:type="dxa"/>
            <w:vAlign w:val="center"/>
          </w:tcPr>
          <w:p w14:paraId="19D70AD1">
            <w:pPr>
              <w:snapToGrid w:val="0"/>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证明材料所在页码</w:t>
            </w:r>
          </w:p>
        </w:tc>
      </w:tr>
      <w:tr w14:paraId="7B65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29EA432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559" w:type="dxa"/>
          </w:tcPr>
          <w:p w14:paraId="5FBB0C4F">
            <w:pPr>
              <w:snapToGrid w:val="0"/>
              <w:jc w:val="center"/>
              <w:rPr>
                <w:rFonts w:cs="宋体" w:asciiTheme="minorEastAsia" w:hAnsiTheme="minorEastAsia" w:eastAsiaTheme="minorEastAsia"/>
                <w:szCs w:val="21"/>
                <w:highlight w:val="none"/>
              </w:rPr>
            </w:pPr>
          </w:p>
        </w:tc>
        <w:tc>
          <w:tcPr>
            <w:tcW w:w="2410" w:type="dxa"/>
            <w:vAlign w:val="center"/>
          </w:tcPr>
          <w:p w14:paraId="6D7EE59B">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开源软件或第三方软件</w:t>
            </w:r>
          </w:p>
        </w:tc>
        <w:tc>
          <w:tcPr>
            <w:tcW w:w="1916" w:type="dxa"/>
            <w:vAlign w:val="center"/>
          </w:tcPr>
          <w:p w14:paraId="22118B4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开源许可协议及其说明；或第三方软件许可文件</w:t>
            </w:r>
          </w:p>
        </w:tc>
        <w:tc>
          <w:tcPr>
            <w:tcW w:w="1536" w:type="dxa"/>
          </w:tcPr>
          <w:p w14:paraId="32116461">
            <w:pPr>
              <w:snapToGrid w:val="0"/>
              <w:jc w:val="center"/>
              <w:rPr>
                <w:rFonts w:cs="宋体" w:asciiTheme="minorEastAsia" w:hAnsiTheme="minorEastAsia" w:eastAsiaTheme="minorEastAsia"/>
                <w:szCs w:val="21"/>
                <w:highlight w:val="none"/>
              </w:rPr>
            </w:pPr>
          </w:p>
        </w:tc>
      </w:tr>
      <w:tr w14:paraId="3C0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47F23DD9">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559" w:type="dxa"/>
          </w:tcPr>
          <w:p w14:paraId="08549098">
            <w:pPr>
              <w:snapToGrid w:val="0"/>
              <w:jc w:val="center"/>
              <w:rPr>
                <w:rFonts w:cs="宋体" w:asciiTheme="minorEastAsia" w:hAnsiTheme="minorEastAsia" w:eastAsiaTheme="minorEastAsia"/>
                <w:szCs w:val="21"/>
                <w:highlight w:val="none"/>
              </w:rPr>
            </w:pPr>
          </w:p>
        </w:tc>
        <w:tc>
          <w:tcPr>
            <w:tcW w:w="2410" w:type="dxa"/>
          </w:tcPr>
          <w:p w14:paraId="2FD1A097">
            <w:pPr>
              <w:snapToGrid w:val="0"/>
              <w:jc w:val="center"/>
              <w:rPr>
                <w:rFonts w:cs="宋体" w:asciiTheme="minorEastAsia" w:hAnsiTheme="minorEastAsia" w:eastAsiaTheme="minorEastAsia"/>
                <w:szCs w:val="21"/>
                <w:highlight w:val="none"/>
              </w:rPr>
            </w:pPr>
          </w:p>
        </w:tc>
        <w:tc>
          <w:tcPr>
            <w:tcW w:w="1916" w:type="dxa"/>
          </w:tcPr>
          <w:p w14:paraId="3666270C">
            <w:pPr>
              <w:snapToGrid w:val="0"/>
              <w:jc w:val="center"/>
              <w:rPr>
                <w:rFonts w:cs="宋体" w:asciiTheme="minorEastAsia" w:hAnsiTheme="minorEastAsia" w:eastAsiaTheme="minorEastAsia"/>
                <w:szCs w:val="21"/>
                <w:highlight w:val="none"/>
              </w:rPr>
            </w:pPr>
          </w:p>
        </w:tc>
        <w:tc>
          <w:tcPr>
            <w:tcW w:w="1536" w:type="dxa"/>
          </w:tcPr>
          <w:p w14:paraId="2684D5A8">
            <w:pPr>
              <w:snapToGrid w:val="0"/>
              <w:jc w:val="center"/>
              <w:rPr>
                <w:rFonts w:cs="宋体" w:asciiTheme="minorEastAsia" w:hAnsiTheme="minorEastAsia" w:eastAsiaTheme="minorEastAsia"/>
                <w:szCs w:val="21"/>
                <w:highlight w:val="none"/>
              </w:rPr>
            </w:pPr>
          </w:p>
        </w:tc>
      </w:tr>
      <w:tr w14:paraId="289A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2275540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p>
        </w:tc>
        <w:tc>
          <w:tcPr>
            <w:tcW w:w="1559" w:type="dxa"/>
          </w:tcPr>
          <w:p w14:paraId="7B646A25">
            <w:pPr>
              <w:snapToGrid w:val="0"/>
              <w:jc w:val="center"/>
              <w:rPr>
                <w:rFonts w:cs="宋体" w:asciiTheme="minorEastAsia" w:hAnsiTheme="minorEastAsia" w:eastAsiaTheme="minorEastAsia"/>
                <w:szCs w:val="21"/>
                <w:highlight w:val="none"/>
              </w:rPr>
            </w:pPr>
          </w:p>
        </w:tc>
        <w:tc>
          <w:tcPr>
            <w:tcW w:w="2410" w:type="dxa"/>
          </w:tcPr>
          <w:p w14:paraId="07E412E9">
            <w:pPr>
              <w:snapToGrid w:val="0"/>
              <w:jc w:val="center"/>
              <w:rPr>
                <w:rFonts w:cs="宋体" w:asciiTheme="minorEastAsia" w:hAnsiTheme="minorEastAsia" w:eastAsiaTheme="minorEastAsia"/>
                <w:szCs w:val="21"/>
                <w:highlight w:val="none"/>
              </w:rPr>
            </w:pPr>
          </w:p>
        </w:tc>
        <w:tc>
          <w:tcPr>
            <w:tcW w:w="1916" w:type="dxa"/>
          </w:tcPr>
          <w:p w14:paraId="4206A67D">
            <w:pPr>
              <w:snapToGrid w:val="0"/>
              <w:jc w:val="center"/>
              <w:rPr>
                <w:rFonts w:cs="宋体" w:asciiTheme="minorEastAsia" w:hAnsiTheme="minorEastAsia" w:eastAsiaTheme="minorEastAsia"/>
                <w:szCs w:val="21"/>
                <w:highlight w:val="none"/>
              </w:rPr>
            </w:pPr>
          </w:p>
        </w:tc>
        <w:tc>
          <w:tcPr>
            <w:tcW w:w="1536" w:type="dxa"/>
          </w:tcPr>
          <w:p w14:paraId="16E07ED1">
            <w:pPr>
              <w:snapToGrid w:val="0"/>
              <w:jc w:val="center"/>
              <w:rPr>
                <w:rFonts w:cs="宋体" w:asciiTheme="minorEastAsia" w:hAnsiTheme="minorEastAsia" w:eastAsiaTheme="minorEastAsia"/>
                <w:szCs w:val="21"/>
                <w:highlight w:val="none"/>
              </w:rPr>
            </w:pPr>
          </w:p>
        </w:tc>
      </w:tr>
      <w:tr w14:paraId="5C1C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6" w:type="dxa"/>
          </w:tcPr>
          <w:p w14:paraId="1838A33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559" w:type="dxa"/>
          </w:tcPr>
          <w:p w14:paraId="7013E00E">
            <w:pPr>
              <w:snapToGrid w:val="0"/>
              <w:jc w:val="center"/>
              <w:rPr>
                <w:rFonts w:cs="宋体" w:asciiTheme="minorEastAsia" w:hAnsiTheme="minorEastAsia" w:eastAsiaTheme="minorEastAsia"/>
                <w:szCs w:val="21"/>
                <w:highlight w:val="none"/>
              </w:rPr>
            </w:pPr>
          </w:p>
        </w:tc>
        <w:tc>
          <w:tcPr>
            <w:tcW w:w="2410" w:type="dxa"/>
          </w:tcPr>
          <w:p w14:paraId="6D8F976A">
            <w:pPr>
              <w:snapToGrid w:val="0"/>
              <w:jc w:val="center"/>
              <w:rPr>
                <w:rFonts w:cs="宋体" w:asciiTheme="minorEastAsia" w:hAnsiTheme="minorEastAsia" w:eastAsiaTheme="minorEastAsia"/>
                <w:szCs w:val="21"/>
                <w:highlight w:val="none"/>
              </w:rPr>
            </w:pPr>
          </w:p>
        </w:tc>
        <w:tc>
          <w:tcPr>
            <w:tcW w:w="1916" w:type="dxa"/>
          </w:tcPr>
          <w:p w14:paraId="7A4ED3DA">
            <w:pPr>
              <w:snapToGrid w:val="0"/>
              <w:jc w:val="center"/>
              <w:rPr>
                <w:rFonts w:cs="宋体" w:asciiTheme="minorEastAsia" w:hAnsiTheme="minorEastAsia" w:eastAsiaTheme="minorEastAsia"/>
                <w:szCs w:val="21"/>
                <w:highlight w:val="none"/>
              </w:rPr>
            </w:pPr>
          </w:p>
        </w:tc>
        <w:tc>
          <w:tcPr>
            <w:tcW w:w="1536" w:type="dxa"/>
          </w:tcPr>
          <w:p w14:paraId="0ABC0718">
            <w:pPr>
              <w:snapToGrid w:val="0"/>
              <w:jc w:val="center"/>
              <w:rPr>
                <w:rFonts w:cs="宋体" w:asciiTheme="minorEastAsia" w:hAnsiTheme="minorEastAsia" w:eastAsiaTheme="minorEastAsia"/>
                <w:szCs w:val="21"/>
                <w:highlight w:val="none"/>
              </w:rPr>
            </w:pPr>
          </w:p>
        </w:tc>
      </w:tr>
    </w:tbl>
    <w:p w14:paraId="1551167E">
      <w:pPr>
        <w:rPr>
          <w:highlight w:val="none"/>
        </w:rPr>
      </w:pPr>
    </w:p>
    <w:p w14:paraId="7F60E94A">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46C64D7C">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BDFBBF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180D8508">
      <w:pPr>
        <w:rPr>
          <w:highlight w:val="none"/>
        </w:rPr>
      </w:pPr>
    </w:p>
    <w:p w14:paraId="24EC3CD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63F82AE">
      <w:pPr>
        <w:numPr>
          <w:ilvl w:val="0"/>
          <w:numId w:val="0"/>
        </w:numPr>
        <w:topLinePunct/>
        <w:spacing w:line="440" w:lineRule="exact"/>
        <w:ind w:left="0" w:leftChars="0" w:firstLine="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3.</w:t>
      </w: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2BC06F55">
      <w:pPr>
        <w:numPr>
          <w:ilvl w:val="0"/>
          <w:numId w:val="0"/>
        </w:numPr>
        <w:topLinePunct/>
        <w:spacing w:line="440" w:lineRule="exact"/>
        <w:ind w:left="360" w:leftChars="0" w:hanging="36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4.</w:t>
      </w:r>
      <w:r>
        <w:rPr>
          <w:rFonts w:hint="eastAsia" w:asciiTheme="minorEastAsia" w:hAnsiTheme="minorEastAsia" w:eastAsiaTheme="minorEastAsia"/>
          <w:szCs w:val="21"/>
          <w:highlight w:val="none"/>
        </w:rPr>
        <w:t>代理商投标的，制造商和代理商须各自提供一份本文件。</w:t>
      </w:r>
    </w:p>
    <w:p w14:paraId="1800EFEA">
      <w:pPr>
        <w:numPr>
          <w:ilvl w:val="0"/>
          <w:numId w:val="0"/>
        </w:numPr>
        <w:topLinePunct/>
        <w:spacing w:line="440" w:lineRule="exact"/>
        <w:ind w:left="360" w:leftChars="0" w:hanging="360" w:firstLineChars="0"/>
        <w:jc w:val="left"/>
        <w:rPr>
          <w:rFonts w:asciiTheme="minorEastAsia" w:hAnsiTheme="minorEastAsia" w:eastAsiaTheme="minorEastAsia"/>
          <w:highlight w:val="none"/>
        </w:rPr>
      </w:pPr>
      <w:r>
        <w:rPr>
          <w:rFonts w:hint="default" w:ascii="宋体" w:hAnsi="宋体" w:eastAsia="宋体" w:cs="Times New Roman"/>
          <w:b w:val="0"/>
          <w:i w:val="0"/>
          <w:kern w:val="2"/>
          <w:sz w:val="21"/>
          <w:szCs w:val="24"/>
          <w:lang w:val="en-US" w:eastAsia="zh-CN" w:bidi="ar-SA"/>
        </w:rPr>
        <w:t>5.</w:t>
      </w:r>
      <w:r>
        <w:rPr>
          <w:rFonts w:hint="eastAsia"/>
          <w:highlight w:val="none"/>
        </w:rPr>
        <w:t>投标人可以根据实际情况对本文件进行调整和修改，但应满足招标文件对本文件的要求。</w:t>
      </w:r>
    </w:p>
    <w:p w14:paraId="60C954EF">
      <w:pPr>
        <w:rPr>
          <w:highlight w:val="none"/>
        </w:rPr>
      </w:pPr>
    </w:p>
    <w:p w14:paraId="2E91A484">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49D408C5">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57" w:name="_Toc106784524"/>
      <w:bookmarkEnd w:id="1057"/>
      <w:bookmarkStart w:id="1058" w:name="_Toc106784696"/>
      <w:bookmarkEnd w:id="1058"/>
      <w:bookmarkStart w:id="1059" w:name="_Toc668"/>
      <w:bookmarkStart w:id="1060" w:name="_Toc26412"/>
      <w:bookmarkStart w:id="1061" w:name="_Toc22817"/>
      <w:bookmarkStart w:id="1062" w:name="_Toc6033"/>
      <w:bookmarkStart w:id="1063" w:name="_Toc3663"/>
      <w:bookmarkStart w:id="1064" w:name="_Toc9186"/>
      <w:bookmarkStart w:id="1065" w:name="_Toc14328"/>
      <w:bookmarkStart w:id="1066" w:name="_Toc11495"/>
      <w:bookmarkStart w:id="1067" w:name="_Toc11051"/>
      <w:bookmarkStart w:id="1068" w:name="_Toc10457"/>
      <w:bookmarkStart w:id="1069" w:name="_Toc20929"/>
      <w:bookmarkStart w:id="1070" w:name="_Hlk167300039"/>
      <w:r>
        <w:rPr>
          <w:rFonts w:hint="eastAsia" w:cs="Times New Roman" w:asciiTheme="minorEastAsia" w:hAnsiTheme="minorEastAsia" w:eastAsiaTheme="minorEastAsia"/>
          <w:b/>
          <w:bCs/>
          <w:kern w:val="2"/>
          <w:sz w:val="24"/>
          <w:szCs w:val="24"/>
          <w:lang w:val="en-US" w:eastAsia="zh-CN" w:bidi="ar-SA"/>
        </w:rPr>
        <w:t>21.</w:t>
      </w:r>
      <w:r>
        <w:rPr>
          <w:rFonts w:hint="eastAsia" w:asciiTheme="minorEastAsia" w:hAnsiTheme="minorEastAsia" w:eastAsiaTheme="minorEastAsia"/>
          <w:sz w:val="24"/>
          <w:szCs w:val="24"/>
        </w:rPr>
        <w:t>销售/转许可同意函</w:t>
      </w:r>
      <w:bookmarkEnd w:id="1059"/>
      <w:bookmarkEnd w:id="1060"/>
      <w:bookmarkEnd w:id="1061"/>
      <w:bookmarkEnd w:id="1062"/>
      <w:bookmarkEnd w:id="1063"/>
      <w:bookmarkEnd w:id="1064"/>
      <w:bookmarkEnd w:id="1065"/>
      <w:bookmarkEnd w:id="1066"/>
      <w:bookmarkEnd w:id="1067"/>
      <w:bookmarkEnd w:id="1068"/>
      <w:bookmarkEnd w:id="1069"/>
    </w:p>
    <w:bookmarkEnd w:id="1070"/>
    <w:p w14:paraId="75F18966">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销售/转许可同意函</w:t>
      </w:r>
    </w:p>
    <w:p w14:paraId="15D974F1">
      <w:pPr>
        <w:pStyle w:val="101"/>
        <w:ind w:firstLine="0" w:firstLineChars="0"/>
        <w:jc w:val="center"/>
        <w:rPr>
          <w:rFonts w:asciiTheme="minorEastAsia" w:hAnsiTheme="minorEastAsia" w:eastAsiaTheme="minorEastAsia"/>
          <w:b/>
          <w:bCs/>
          <w:sz w:val="24"/>
          <w:highlight w:val="none"/>
        </w:rPr>
      </w:pPr>
    </w:p>
    <w:p w14:paraId="27CED5ED">
      <w:pPr>
        <w:pStyle w:val="143"/>
        <w:spacing w:line="360" w:lineRule="atLeast"/>
        <w:jc w:val="left"/>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[集中采购项目原则上应使用，其余项目根据项目情况使用；投标人应答“同意”时，应将本函作为采购合同的附件]</w:t>
      </w:r>
    </w:p>
    <w:p w14:paraId="7F984A33">
      <w:pPr>
        <w:pStyle w:val="143"/>
        <w:spacing w:line="360" w:lineRule="atLeast"/>
        <w:jc w:val="center"/>
        <w:rPr>
          <w:rFonts w:asciiTheme="minorEastAsia" w:hAnsiTheme="minorEastAsia" w:eastAsiaTheme="minorEastAsia"/>
          <w:b/>
          <w:bCs/>
          <w:sz w:val="24"/>
          <w:highlight w:val="none"/>
        </w:rPr>
      </w:pPr>
    </w:p>
    <w:p w14:paraId="2E1F8672">
      <w:pPr>
        <w:pStyle w:val="143"/>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致：【XX公司[招标人名称]】：</w:t>
      </w:r>
    </w:p>
    <w:p w14:paraId="159486CF">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1.</w:t>
      </w:r>
      <w:r>
        <w:rPr>
          <w:rFonts w:hint="eastAsia"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我方</w:t>
      </w:r>
      <w:r>
        <w:rPr>
          <w:rFonts w:hint="eastAsia" w:asciiTheme="minorEastAsia" w:hAnsiTheme="minorEastAsia" w:eastAsiaTheme="minorEastAsia"/>
          <w:kern w:val="0"/>
          <w:szCs w:val="21"/>
          <w:highlight w:val="none"/>
          <w:u w:val="single"/>
        </w:rPr>
        <w:t>【       （同意/不同意）】</w:t>
      </w:r>
      <w:r>
        <w:rPr>
          <w:rFonts w:hint="eastAsia" w:asciiTheme="minorEastAsia" w:hAnsiTheme="minorEastAsia" w:eastAsiaTheme="minorEastAsia"/>
          <w:kern w:val="0"/>
          <w:szCs w:val="21"/>
          <w:highlight w:val="none"/>
        </w:rPr>
        <w:t>买方/采购方将</w:t>
      </w:r>
      <w:r>
        <w:rPr>
          <w:rFonts w:hint="eastAsia" w:asciiTheme="minorEastAsia" w:hAnsiTheme="minorEastAsia" w:eastAsiaTheme="minorEastAsia"/>
          <w:kern w:val="0"/>
          <w:szCs w:val="21"/>
          <w:highlight w:val="none"/>
          <w:u w:val="single"/>
        </w:rPr>
        <w:t>【       （招标项目名称）】</w:t>
      </w:r>
      <w:r>
        <w:rPr>
          <w:rFonts w:hint="eastAsia" w:asciiTheme="minorEastAsia" w:hAnsiTheme="minorEastAsia" w:eastAsiaTheme="minorEastAsia"/>
          <w:kern w:val="0"/>
          <w:szCs w:val="21"/>
          <w:highlight w:val="none"/>
        </w:rPr>
        <w:t>采购的设备及相关服务、软件许可等直接或集成其他设备、服务销售/转许可给买方/采购方的客户，买方</w:t>
      </w:r>
      <w:r>
        <w:rPr>
          <w:rFonts w:asciiTheme="minorEastAsia" w:hAnsiTheme="minorEastAsia" w:eastAsiaTheme="minorEastAsia"/>
          <w:kern w:val="0"/>
          <w:szCs w:val="21"/>
          <w:highlight w:val="none"/>
        </w:rPr>
        <w:t>/采购方向其客户</w:t>
      </w:r>
      <w:r>
        <w:rPr>
          <w:rFonts w:hint="eastAsia" w:asciiTheme="minorEastAsia" w:hAnsiTheme="minorEastAsia" w:eastAsiaTheme="minorEastAsia"/>
          <w:kern w:val="0"/>
          <w:szCs w:val="21"/>
          <w:highlight w:val="none"/>
        </w:rPr>
        <w:t>销售/转许可的价格由买方/采购方自行确定，我方不再向买方/采购方及其客户收取费用。</w:t>
      </w:r>
    </w:p>
    <w:p w14:paraId="712ABB84">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w:t>
      </w:r>
      <w:r>
        <w:rPr>
          <w:rFonts w:hint="eastAsia"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 xml:space="preserve">如【我方/我方的代理商】在本项目中标，我方承诺将按照本项目签署的合同（协议）向买方/采购方及其客户提供无差别的服务并保证买方/采购方的客户享有协议下买方/采购方的所有权利。 </w:t>
      </w:r>
    </w:p>
    <w:p w14:paraId="0A7C90EB">
      <w:pPr>
        <w:pStyle w:val="143"/>
        <w:snapToGrid w:val="0"/>
        <w:spacing w:line="440" w:lineRule="exact"/>
        <w:ind w:firstLine="411" w:firstLineChars="196"/>
        <w:rPr>
          <w:rFonts w:asciiTheme="minorEastAsia" w:hAnsiTheme="minorEastAsia" w:eastAsiaTheme="minorEastAsia"/>
          <w:kern w:val="0"/>
          <w:szCs w:val="21"/>
          <w:highlight w:val="none"/>
        </w:rPr>
      </w:pPr>
    </w:p>
    <w:p w14:paraId="1373373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A48777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00B6D5A3">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BC19689">
      <w:pPr>
        <w:pStyle w:val="143"/>
        <w:snapToGrid w:val="0"/>
        <w:spacing w:line="440" w:lineRule="exact"/>
        <w:ind w:firstLine="411" w:firstLineChars="196"/>
        <w:rPr>
          <w:rFonts w:asciiTheme="minorEastAsia" w:hAnsiTheme="minorEastAsia" w:eastAsiaTheme="minorEastAsia"/>
          <w:kern w:val="0"/>
          <w:szCs w:val="21"/>
          <w:highlight w:val="none"/>
        </w:rPr>
      </w:pPr>
    </w:p>
    <w:p w14:paraId="45FD4E7E">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0F64A1F6">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 代理商投标的，制造商和代理商须各自提供一份本承诺函。</w:t>
      </w:r>
    </w:p>
    <w:p w14:paraId="454D4F75">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 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328BF61F">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 投标人可根据自身实际情况以自愿原则出具本承诺函。</w:t>
      </w:r>
    </w:p>
    <w:p w14:paraId="61DF994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4. </w:t>
      </w:r>
      <w:r>
        <w:rPr>
          <w:rFonts w:hint="eastAsia"/>
          <w:highlight w:val="none"/>
        </w:rPr>
        <w:t>投标人可以根据实际情况对本文件进行调整和修改，但应满足招标文件对本文件的要求。</w:t>
      </w:r>
    </w:p>
    <w:p w14:paraId="2E15A900">
      <w:pPr>
        <w:snapToGrid w:val="0"/>
        <w:spacing w:line="440" w:lineRule="exact"/>
        <w:rPr>
          <w:rFonts w:asciiTheme="minorEastAsia" w:hAnsiTheme="minorEastAsia" w:eastAsiaTheme="minorEastAsia"/>
          <w:szCs w:val="21"/>
          <w:highlight w:val="none"/>
        </w:rPr>
      </w:pPr>
    </w:p>
    <w:p w14:paraId="3BD1BCD6">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030"/>
    <w:bookmarkEnd w:id="1031"/>
    <w:bookmarkEnd w:id="1032"/>
    <w:p w14:paraId="5F0FB5CA">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071" w:name="_Toc8694"/>
      <w:bookmarkStart w:id="1072" w:name="_Toc18468"/>
      <w:bookmarkStart w:id="1073" w:name="_Toc6863"/>
      <w:bookmarkStart w:id="1074" w:name="_Toc1462"/>
      <w:bookmarkStart w:id="1075" w:name="_Toc674"/>
      <w:bookmarkStart w:id="1076" w:name="_Toc26358"/>
      <w:bookmarkStart w:id="1077" w:name="_Toc3072"/>
      <w:bookmarkStart w:id="1078" w:name="_Toc1378"/>
      <w:bookmarkStart w:id="1079" w:name="_Toc10859"/>
      <w:bookmarkStart w:id="1080" w:name="_Toc5818"/>
      <w:bookmarkStart w:id="1081" w:name="_Toc30625"/>
      <w:bookmarkStart w:id="1082" w:name="_Hlk167300045"/>
      <w:r>
        <w:rPr>
          <w:rFonts w:hint="eastAsia" w:cs="Times New Roman" w:asciiTheme="minorEastAsia" w:hAnsiTheme="minorEastAsia" w:eastAsiaTheme="minorEastAsia"/>
          <w:b/>
          <w:bCs/>
          <w:kern w:val="2"/>
          <w:sz w:val="24"/>
          <w:szCs w:val="24"/>
          <w:lang w:val="en-US" w:eastAsia="zh-CN" w:bidi="ar-SA"/>
        </w:rPr>
        <w:t>22.</w:t>
      </w:r>
      <w:r>
        <w:rPr>
          <w:rFonts w:hint="eastAsia" w:asciiTheme="minorEastAsia" w:hAnsiTheme="minorEastAsia" w:eastAsiaTheme="minorEastAsia"/>
          <w:sz w:val="24"/>
          <w:szCs w:val="24"/>
        </w:rPr>
        <w:t>投标保函</w:t>
      </w:r>
      <w:bookmarkEnd w:id="1071"/>
      <w:bookmarkEnd w:id="1072"/>
      <w:bookmarkEnd w:id="1073"/>
      <w:bookmarkEnd w:id="1074"/>
      <w:bookmarkEnd w:id="1075"/>
      <w:bookmarkEnd w:id="1076"/>
      <w:bookmarkEnd w:id="1077"/>
      <w:bookmarkEnd w:id="1078"/>
      <w:bookmarkEnd w:id="1079"/>
      <w:bookmarkEnd w:id="1080"/>
      <w:bookmarkEnd w:id="1081"/>
    </w:p>
    <w:bookmarkEnd w:id="1082"/>
    <w:p w14:paraId="60EB9AC2">
      <w:pPr>
        <w:ind w:firstLine="562"/>
        <w:jc w:val="center"/>
        <w:rPr>
          <w:rFonts w:asciiTheme="minorEastAsia" w:hAnsiTheme="minorEastAsia" w:eastAsiaTheme="minorEastAsia"/>
          <w:b/>
          <w:sz w:val="24"/>
          <w:szCs w:val="30"/>
          <w:highlight w:val="none"/>
        </w:rPr>
      </w:pPr>
      <w:bookmarkStart w:id="1083" w:name="_Toc297638737"/>
      <w:r>
        <w:rPr>
          <w:rFonts w:hint="eastAsia" w:asciiTheme="minorEastAsia" w:hAnsiTheme="minorEastAsia" w:eastAsiaTheme="minorEastAsia"/>
          <w:b/>
          <w:sz w:val="24"/>
          <w:szCs w:val="30"/>
          <w:highlight w:val="none"/>
        </w:rPr>
        <w:t>投标保函</w:t>
      </w:r>
      <w:bookmarkEnd w:id="1083"/>
      <w:r>
        <w:rPr>
          <w:rFonts w:hint="eastAsia" w:ascii="宋体" w:hAnsi="宋体"/>
          <w:b/>
          <w:color w:val="000000" w:themeColor="text1"/>
          <w:sz w:val="24"/>
          <w:szCs w:val="30"/>
          <w:highlight w:val="none"/>
          <w14:textFill>
            <w14:solidFill>
              <w14:schemeClr w14:val="tx1"/>
            </w14:solidFill>
          </w14:textFill>
        </w:rPr>
        <w:t>（如有）</w:t>
      </w:r>
    </w:p>
    <w:p w14:paraId="1F5A344A">
      <w:pPr>
        <w:ind w:firstLine="560"/>
        <w:jc w:val="center"/>
        <w:rPr>
          <w:rFonts w:asciiTheme="minorEastAsia" w:hAnsiTheme="minorEastAsia" w:eastAsiaTheme="minorEastAsia"/>
          <w:szCs w:val="21"/>
          <w:highlight w:val="none"/>
        </w:rPr>
      </w:pPr>
    </w:p>
    <w:p w14:paraId="6A83D587">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443AC4A3">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（投标人名称）</w:t>
      </w:r>
      <w:r>
        <w:rPr>
          <w:rFonts w:hint="eastAsia" w:asciiTheme="minorEastAsia" w:hAnsiTheme="minorEastAsia" w:eastAsiaTheme="minorEastAsia"/>
          <w:szCs w:val="21"/>
          <w:highlight w:val="none"/>
        </w:rPr>
        <w:t>（以下简称投标人）对</w:t>
      </w:r>
      <w:r>
        <w:rPr>
          <w:rFonts w:hint="eastAsia" w:asciiTheme="minorEastAsia" w:hAnsiTheme="minorEastAsia" w:eastAsiaTheme="minorEastAsia"/>
          <w:szCs w:val="21"/>
          <w:highlight w:val="none"/>
          <w:u w:val="single"/>
        </w:rPr>
        <w:t xml:space="preserve">        （招标人名称）（项目名称）</w:t>
      </w:r>
      <w:r>
        <w:rPr>
          <w:rFonts w:hint="eastAsia" w:asciiTheme="minorEastAsia" w:hAnsiTheme="minorEastAsia" w:eastAsiaTheme="minorEastAsia"/>
          <w:szCs w:val="21"/>
          <w:highlight w:val="none"/>
        </w:rPr>
        <w:t>的投标邀请而提供的投标保函。</w:t>
      </w:r>
    </w:p>
    <w:p w14:paraId="28D21ED4">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（按投标人须知要求规定的金额和币种）</w:t>
      </w:r>
      <w:r>
        <w:rPr>
          <w:rFonts w:hint="eastAsia" w:cs="仿宋_GB2312" w:asciiTheme="minorEastAsia" w:hAnsiTheme="minorEastAsia" w:eastAsiaTheme="minorEastAsia"/>
          <w:szCs w:val="21"/>
          <w:highlight w:val="none"/>
        </w:rPr>
        <w:t>保证金：</w:t>
      </w:r>
    </w:p>
    <w:p w14:paraId="51E976CD">
      <w:pPr>
        <w:numPr>
          <w:ilvl w:val="0"/>
          <w:numId w:val="96"/>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投标人在招标文件规定的投标截止时间后投标有效期内撤销其投标；或</w:t>
      </w:r>
    </w:p>
    <w:p w14:paraId="41A88AE2">
      <w:pPr>
        <w:numPr>
          <w:ilvl w:val="0"/>
          <w:numId w:val="96"/>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投标人在招标文件规定的投标截止时间后对投标文件作实质性修改；或</w:t>
      </w:r>
    </w:p>
    <w:p w14:paraId="32D787BE">
      <w:pPr>
        <w:numPr>
          <w:ilvl w:val="0"/>
          <w:numId w:val="96"/>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投标人在收到中标通知书后，无正当理由不与招标人在规定期限内订立合同、在签订合同时向招标人提出附加条件或改变其投标文件的实质性内容，或者不按照招标文件要求递交履约保证金的；或</w:t>
      </w:r>
    </w:p>
    <w:p w14:paraId="1AACAE12">
      <w:pPr>
        <w:numPr>
          <w:ilvl w:val="0"/>
          <w:numId w:val="96"/>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投标人有串通投标、弄虚作假等行为的；或</w:t>
      </w:r>
    </w:p>
    <w:p w14:paraId="234CC299">
      <w:pPr>
        <w:numPr>
          <w:ilvl w:val="0"/>
          <w:numId w:val="96"/>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投标人有招标文件中有关投标保证金不予退还的其它情形的。</w:t>
      </w:r>
    </w:p>
    <w:p w14:paraId="1AA6B4B0">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本保函有效期应不短于投标有效期，从投标文件递交截止之日起计算，</w:t>
      </w:r>
      <w:r>
        <w:rPr>
          <w:rFonts w:hint="eastAsia" w:cs="仿宋_GB2312" w:asciiTheme="minorEastAsia" w:hAnsiTheme="minorEastAsia" w:eastAsiaTheme="minorEastAsia"/>
          <w:szCs w:val="21"/>
          <w:highlight w:val="none"/>
        </w:rPr>
        <w:t>并在贵方和投标人同意延长的有效期内保持有效，延长的有效期只需通知本方即可。贵方有权提前终止或解除本保函。</w:t>
      </w:r>
    </w:p>
    <w:p w14:paraId="2035F48B">
      <w:pPr>
        <w:snapToGrid w:val="0"/>
        <w:spacing w:line="360" w:lineRule="auto"/>
        <w:ind w:firstLine="424" w:firstLineChars="202"/>
        <w:rPr>
          <w:rFonts w:asciiTheme="minorEastAsia" w:hAnsiTheme="minorEastAsia" w:eastAsiaTheme="minorEastAsia"/>
          <w:szCs w:val="21"/>
          <w:highlight w:val="none"/>
        </w:rPr>
      </w:pPr>
    </w:p>
    <w:p w14:paraId="31B149EB">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0BF130B0">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2B01018B">
      <w:pPr>
        <w:pStyle w:val="143"/>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45B6CC5A">
      <w:pPr>
        <w:widowControl/>
        <w:jc w:val="left"/>
        <w:rPr>
          <w:rFonts w:asciiTheme="minorEastAsia" w:hAnsiTheme="minorEastAsia" w:eastAsiaTheme="minorEastAsia"/>
          <w:b/>
          <w:highlight w:val="none"/>
        </w:rPr>
      </w:pPr>
    </w:p>
    <w:p w14:paraId="361944A4">
      <w:pPr>
        <w:widowControl/>
        <w:jc w:val="left"/>
        <w:rPr>
          <w:rFonts w:asciiTheme="minorEastAsia" w:hAnsiTheme="minorEastAsia" w:eastAsiaTheme="minorEastAsia"/>
          <w:b/>
          <w:highlight w:val="none"/>
        </w:rPr>
      </w:pPr>
    </w:p>
    <w:p w14:paraId="2E5E0F01">
      <w:pPr>
        <w:widowControl/>
        <w:jc w:val="left"/>
        <w:rPr>
          <w:rFonts w:asciiTheme="minorEastAsia" w:hAnsiTheme="minorEastAsia" w:eastAsiaTheme="minorEastAsia"/>
          <w:b/>
          <w:highlight w:val="none"/>
        </w:rPr>
      </w:pPr>
    </w:p>
    <w:p w14:paraId="11995D7D">
      <w:pPr>
        <w:snapToGrid w:val="0"/>
        <w:spacing w:line="360" w:lineRule="auto"/>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eastAsia="zh-CN"/>
        </w:rPr>
        <w:t>编制要求：投标人可以根据实际情况对本文件进行调整和修改，但应满足集中招标文件对本文件的要求。</w:t>
      </w:r>
    </w:p>
    <w:p w14:paraId="45870BA3">
      <w:pPr>
        <w:snapToGrid w:val="0"/>
        <w:spacing w:line="360" w:lineRule="auto"/>
        <w:rPr>
          <w:rFonts w:hint="eastAsia" w:asciiTheme="minorEastAsia" w:hAnsiTheme="minorEastAsia" w:eastAsiaTheme="minorEastAsia"/>
          <w:b/>
          <w:szCs w:val="21"/>
          <w:highlight w:val="none"/>
          <w:lang w:eastAsia="zh-CN"/>
        </w:rPr>
      </w:pPr>
    </w:p>
    <w:p w14:paraId="79C58E03">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402E6050">
      <w:pPr>
        <w:spacing w:before="260" w:after="260"/>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投标保证金汇款</w:t>
      </w:r>
      <w:r>
        <w:rPr>
          <w:rFonts w:hint="eastAsia" w:ascii="宋体" w:hAnsi="宋体"/>
          <w:bCs/>
          <w:color w:val="000000" w:themeColor="text1"/>
          <w:sz w:val="28"/>
          <w:szCs w:val="21"/>
          <w:highlight w:val="none"/>
          <w14:textFill>
            <w14:solidFill>
              <w14:schemeClr w14:val="tx1"/>
            </w14:solidFill>
          </w14:textFill>
        </w:rPr>
        <w:t>凭据复印件</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FC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8528" w:type="dxa"/>
          </w:tcPr>
          <w:p w14:paraId="70B30F2F">
            <w:pPr>
              <w:jc w:val="center"/>
              <w:rPr>
                <w:rFonts w:ascii="宋体" w:hAnsi="宋体"/>
                <w:b/>
                <w:color w:val="000000" w:themeColor="text1"/>
                <w:highlight w:val="none"/>
                <w14:textFill>
                  <w14:solidFill>
                    <w14:schemeClr w14:val="tx1"/>
                  </w14:solidFill>
                </w14:textFill>
              </w:rPr>
            </w:pPr>
            <w:bookmarkStart w:id="1084" w:name="_Toc402947466"/>
            <w:bookmarkStart w:id="1085" w:name="_Toc402947290"/>
            <w:r>
              <w:rPr>
                <w:rFonts w:hint="eastAsia" w:ascii="宋体" w:hAnsi="宋体"/>
                <w:b/>
                <w:color w:val="000000" w:themeColor="text1"/>
                <w:highlight w:val="none"/>
                <w14:textFill>
                  <w14:solidFill>
                    <w14:schemeClr w14:val="tx1"/>
                  </w14:solidFill>
                </w14:textFill>
              </w:rPr>
              <w:t>投标保证金汇款凭据复印件贴附处</w:t>
            </w:r>
            <w:bookmarkEnd w:id="1084"/>
            <w:bookmarkEnd w:id="1085"/>
            <w:r>
              <w:rPr>
                <w:rFonts w:hint="eastAsia" w:ascii="宋体" w:hAnsi="宋体"/>
                <w:b/>
                <w:color w:val="000000" w:themeColor="text1"/>
                <w:highlight w:val="none"/>
                <w14:textFill>
                  <w14:solidFill>
                    <w14:schemeClr w14:val="tx1"/>
                  </w14:solidFill>
                </w14:textFill>
              </w:rPr>
              <w:t>。</w:t>
            </w:r>
          </w:p>
          <w:p w14:paraId="4D129C26">
            <w:pPr>
              <w:rPr>
                <w:rFonts w:ascii="宋体" w:hAnsi="宋体"/>
                <w:b/>
                <w:color w:val="000000" w:themeColor="text1"/>
                <w:highlight w:val="none"/>
                <w14:textFill>
                  <w14:solidFill>
                    <w14:schemeClr w14:val="tx1"/>
                  </w14:solidFill>
                </w14:textFill>
              </w:rPr>
            </w:pPr>
          </w:p>
        </w:tc>
      </w:tr>
    </w:tbl>
    <w:p w14:paraId="32E5B4F0">
      <w:pPr>
        <w:widowControl/>
        <w:jc w:val="left"/>
        <w:rPr>
          <w:rFonts w:ascii="宋体" w:hAnsi="宋体"/>
          <w:b/>
          <w:color w:val="000000" w:themeColor="text1"/>
          <w:highlight w:val="none"/>
          <w14:textFill>
            <w14:solidFill>
              <w14:schemeClr w14:val="tx1"/>
            </w14:solidFill>
          </w14:textFill>
        </w:rPr>
      </w:pPr>
    </w:p>
    <w:p w14:paraId="73CAB82B">
      <w:pPr>
        <w:widowControl/>
        <w:jc w:val="left"/>
        <w:rPr>
          <w:rFonts w:ascii="宋体" w:hAnsi="宋体"/>
          <w:b/>
          <w:color w:val="000000" w:themeColor="text1"/>
          <w:highlight w:val="none"/>
          <w14:textFill>
            <w14:solidFill>
              <w14:schemeClr w14:val="tx1"/>
            </w14:solidFill>
          </w14:textFill>
        </w:rPr>
      </w:pPr>
    </w:p>
    <w:p w14:paraId="31DA1FCF">
      <w:pPr>
        <w:widowControl/>
        <w:jc w:val="left"/>
        <w:rPr>
          <w:rFonts w:ascii="宋体" w:hAnsi="宋体"/>
          <w:b/>
          <w:color w:val="000000" w:themeColor="text1"/>
          <w:highlight w:val="none"/>
          <w14:textFill>
            <w14:solidFill>
              <w14:schemeClr w14:val="tx1"/>
            </w14:solidFill>
          </w14:textFill>
        </w:rPr>
      </w:pPr>
    </w:p>
    <w:p w14:paraId="136B9D57">
      <w:pPr>
        <w:widowControl/>
        <w:jc w:val="left"/>
        <w:rPr>
          <w:rFonts w:ascii="宋体" w:hAnsi="宋体"/>
          <w:b/>
          <w:color w:val="000000" w:themeColor="text1"/>
          <w:highlight w:val="none"/>
          <w14:textFill>
            <w14:solidFill>
              <w14:schemeClr w14:val="tx1"/>
            </w14:solidFill>
          </w14:textFill>
        </w:rPr>
      </w:pPr>
    </w:p>
    <w:p w14:paraId="559B1172">
      <w:pPr>
        <w:snapToGrid w:val="0"/>
        <w:spacing w:line="360" w:lineRule="auto"/>
        <w:rPr>
          <w:rFonts w:hint="eastAsia"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编制要求：投标人可以根据实际情况对本文件进行调整和修改，但应满足集中招标文件对本文件的要求。</w:t>
      </w:r>
    </w:p>
    <w:p w14:paraId="57941012">
      <w:pPr>
        <w:snapToGrid w:val="0"/>
        <w:spacing w:line="360" w:lineRule="auto"/>
        <w:rPr>
          <w:rFonts w:hint="eastAsia" w:ascii="宋体" w:hAnsi="宋体"/>
          <w:b/>
          <w:color w:val="000000" w:themeColor="text1"/>
          <w:szCs w:val="21"/>
          <w:highlight w:val="none"/>
          <w:lang w:eastAsia="zh-CN"/>
          <w14:textFill>
            <w14:solidFill>
              <w14:schemeClr w14:val="tx1"/>
            </w14:solidFill>
          </w14:textFill>
        </w:rPr>
      </w:pPr>
    </w:p>
    <w:p w14:paraId="09DFB797">
      <w:pPr>
        <w:widowControl/>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0F89930A">
      <w:pPr>
        <w:pStyle w:val="81"/>
        <w:tabs>
          <w:tab w:val="left" w:pos="588"/>
        </w:tabs>
        <w:snapToGrid w:val="0"/>
        <w:spacing w:before="120" w:after="120" w:line="440" w:lineRule="exact"/>
        <w:ind w:left="425"/>
        <w:outlineLvl w:val="9"/>
        <w:rPr>
          <w:rFonts w:ascii="宋体" w:hAnsi="宋体"/>
          <w:color w:val="000000" w:themeColor="text1"/>
          <w:sz w:val="24"/>
          <w:szCs w:val="24"/>
          <w:highlight w:val="none"/>
          <w14:textFill>
            <w14:solidFill>
              <w14:schemeClr w14:val="tx1"/>
            </w14:solidFill>
          </w14:textFill>
        </w:rPr>
      </w:pPr>
      <w:bookmarkStart w:id="1086" w:name="_Toc479855107"/>
      <w:bookmarkStart w:id="1087" w:name="_Toc52360177"/>
      <w:bookmarkStart w:id="1088" w:name="_Toc51338573"/>
      <w:bookmarkStart w:id="1089" w:name="_Toc13301"/>
      <w:bookmarkStart w:id="1090" w:name="_Toc51338419"/>
      <w:bookmarkStart w:id="1091" w:name="_Toc51338725"/>
      <w:r>
        <w:rPr>
          <w:rFonts w:hint="eastAsia" w:ascii="宋体" w:hAnsi="宋体"/>
          <w:color w:val="000000" w:themeColor="text1"/>
          <w:sz w:val="24"/>
          <w:szCs w:val="24"/>
          <w:highlight w:val="none"/>
          <w14:textFill>
            <w14:solidFill>
              <w14:schemeClr w14:val="tx1"/>
            </w14:solidFill>
          </w14:textFill>
        </w:rPr>
        <w:t>投标保证金返还书</w:t>
      </w:r>
      <w:bookmarkEnd w:id="1086"/>
      <w:bookmarkEnd w:id="1087"/>
      <w:bookmarkEnd w:id="1088"/>
      <w:bookmarkEnd w:id="1089"/>
      <w:bookmarkEnd w:id="1090"/>
      <w:bookmarkEnd w:id="1091"/>
    </w:p>
    <w:p w14:paraId="526225B2">
      <w:pPr>
        <w:spacing w:line="48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中通服供应链股份有限公司贵州分公司：</w:t>
      </w:r>
    </w:p>
    <w:p w14:paraId="11694D72">
      <w:pPr>
        <w:spacing w:line="400" w:lineRule="exact"/>
        <w:ind w:firstLine="360"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我单位参加你公司组织的招标</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招标编号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的投标，如须退还投标保证金请贵公司将我单位提供的投标保证金汇入到以下帐户。</w:t>
      </w:r>
    </w:p>
    <w:p w14:paraId="1FE52808">
      <w:pPr>
        <w:spacing w:line="400" w:lineRule="exact"/>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以下是我单位提供的有关内容，保证真实。</w:t>
      </w:r>
    </w:p>
    <w:p w14:paraId="04699BE5">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投标单位全称：</w:t>
      </w:r>
      <w:r>
        <w:rPr>
          <w:rFonts w:hint="eastAsia" w:ascii="宋体" w:hAnsi="宋体"/>
          <w:color w:val="000000" w:themeColor="text1"/>
          <w:sz w:val="24"/>
          <w:highlight w:val="none"/>
          <w:u w:val="single"/>
          <w14:textFill>
            <w14:solidFill>
              <w14:schemeClr w14:val="tx1"/>
            </w14:solidFill>
          </w14:textFill>
        </w:rPr>
        <w:t xml:space="preserve">                                                        </w:t>
      </w:r>
    </w:p>
    <w:p w14:paraId="09347AA4">
      <w:pPr>
        <w:spacing w:line="400" w:lineRule="exact"/>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开户名称：    </w:t>
      </w:r>
      <w:r>
        <w:rPr>
          <w:rFonts w:hint="eastAsia" w:ascii="宋体" w:hAnsi="宋体"/>
          <w:color w:val="000000" w:themeColor="text1"/>
          <w:szCs w:val="21"/>
          <w:highlight w:val="none"/>
          <w:u w:val="single"/>
          <w14:textFill>
            <w14:solidFill>
              <w14:schemeClr w14:val="tx1"/>
            </w14:solidFill>
          </w14:textFill>
        </w:rPr>
        <w:t xml:space="preserve">                                                                </w:t>
      </w:r>
    </w:p>
    <w:p w14:paraId="0C0284CB">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投标单位地址：</w:t>
      </w:r>
      <w:r>
        <w:rPr>
          <w:rFonts w:hint="eastAsia" w:ascii="宋体" w:hAnsi="宋体"/>
          <w:color w:val="000000" w:themeColor="text1"/>
          <w:sz w:val="24"/>
          <w:highlight w:val="none"/>
          <w:u w:val="single"/>
          <w14:textFill>
            <w14:solidFill>
              <w14:schemeClr w14:val="tx1"/>
            </w14:solidFill>
          </w14:textFill>
        </w:rPr>
        <w:t xml:space="preserve">                                                        </w:t>
      </w:r>
    </w:p>
    <w:p w14:paraId="735458AB">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 w:val="24"/>
          <w:highlight w:val="none"/>
          <w:u w:val="single"/>
          <w14:textFill>
            <w14:solidFill>
              <w14:schemeClr w14:val="tx1"/>
            </w14:solidFill>
          </w14:textFill>
        </w:rPr>
        <w:t xml:space="preserve">                                                         </w:t>
      </w:r>
    </w:p>
    <w:p w14:paraId="380D6DF8">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olor w:val="000000" w:themeColor="text1"/>
          <w:sz w:val="24"/>
          <w:highlight w:val="none"/>
          <w:u w:val="single"/>
          <w14:textFill>
            <w14:solidFill>
              <w14:schemeClr w14:val="tx1"/>
            </w14:solidFill>
          </w14:textFill>
        </w:rPr>
        <w:t xml:space="preserve">                                                          </w:t>
      </w:r>
    </w:p>
    <w:p w14:paraId="1427F18E">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w:t>
      </w:r>
      <w:r>
        <w:rPr>
          <w:rFonts w:hint="eastAsia" w:ascii="宋体" w:hAnsi="宋体"/>
          <w:color w:val="000000" w:themeColor="text1"/>
          <w:sz w:val="24"/>
          <w:highlight w:val="none"/>
          <w:u w:val="single"/>
          <w14:textFill>
            <w14:solidFill>
              <w14:schemeClr w14:val="tx1"/>
            </w14:solidFill>
          </w14:textFill>
        </w:rPr>
        <w:t xml:space="preserve">                                                          </w:t>
      </w:r>
    </w:p>
    <w:p w14:paraId="488738CC">
      <w:pPr>
        <w:spacing w:line="400" w:lineRule="exact"/>
        <w:ind w:firstLine="315" w:firstLineChars="15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联系电话及传真：</w:t>
      </w:r>
      <w:r>
        <w:rPr>
          <w:rFonts w:hint="eastAsia" w:ascii="宋体" w:hAnsi="宋体"/>
          <w:color w:val="000000" w:themeColor="text1"/>
          <w:sz w:val="24"/>
          <w:highlight w:val="none"/>
          <w:u w:val="single"/>
          <w14:textFill>
            <w14:solidFill>
              <w14:schemeClr w14:val="tx1"/>
            </w14:solidFill>
          </w14:textFill>
        </w:rPr>
        <w:t xml:space="preserve">                                                      </w:t>
      </w:r>
    </w:p>
    <w:p w14:paraId="2CE97F02">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特别说明：</w:t>
      </w:r>
    </w:p>
    <w:p w14:paraId="4678133C">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投标人请认真填写以上内容，如由于投标人的填写错误或字迹不清楚而造成的损失由投标人自行承担。</w:t>
      </w:r>
    </w:p>
    <w:p w14:paraId="56863911">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2）“投标保证金返还书”为投标人返还投标保证金的重要依据，投标人必须加盖公章和法定代表人或授权代表签字后方能生效。</w:t>
      </w:r>
    </w:p>
    <w:p w14:paraId="7FCD7906">
      <w:pPr>
        <w:spacing w:line="400" w:lineRule="exact"/>
        <w:ind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3）“投标保证金返还书”将作退还投标保证金的唯一凭证，我单位严格按照“投标保证金返还书”所提供资料进行返还。</w:t>
      </w:r>
    </w:p>
    <w:p w14:paraId="3E21C836">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0B82ACF4">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5662E7A0">
      <w:pPr>
        <w:spacing w:line="440" w:lineRule="exact"/>
        <w:ind w:firstLine="1890" w:firstLineChars="900"/>
        <w:rPr>
          <w:rFonts w:ascii="宋体" w:hAnsi="宋体"/>
          <w:color w:val="000000" w:themeColor="text1"/>
          <w:szCs w:val="21"/>
          <w:highlight w:val="none"/>
          <w14:textFill>
            <w14:solidFill>
              <w14:schemeClr w14:val="tx1"/>
            </w14:solidFill>
          </w14:textFill>
        </w:rPr>
      </w:pPr>
    </w:p>
    <w:p w14:paraId="0B4A50B0">
      <w:pPr>
        <w:spacing w:line="440" w:lineRule="exact"/>
        <w:ind w:right="840" w:firstLine="5880" w:firstLineChars="28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u w:val="single"/>
          <w14:textFill>
            <w14:solidFill>
              <w14:schemeClr w14:val="tx1"/>
            </w14:solidFill>
          </w14:textFill>
        </w:rPr>
        <w:t xml:space="preserve">        </w:t>
      </w:r>
    </w:p>
    <w:p w14:paraId="2CB8DC0E">
      <w:pPr>
        <w:spacing w:line="440" w:lineRule="exact"/>
        <w:ind w:firstLine="1890" w:firstLineChars="90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E9A6E83">
      <w:pPr>
        <w:snapToGrid w:val="0"/>
        <w:spacing w:line="360" w:lineRule="auto"/>
        <w:rPr>
          <w:rFonts w:ascii="宋体" w:hAnsi="宋体"/>
          <w:color w:val="000000" w:themeColor="text1"/>
          <w:szCs w:val="21"/>
          <w:highlight w:val="none"/>
          <w14:textFill>
            <w14:solidFill>
              <w14:schemeClr w14:val="tx1"/>
            </w14:solidFill>
          </w14:textFill>
        </w:rPr>
      </w:pPr>
    </w:p>
    <w:p w14:paraId="5DE85BFD">
      <w:pPr>
        <w:snapToGrid w:val="0"/>
        <w:spacing w:line="360" w:lineRule="auto"/>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275B2029">
      <w:pPr>
        <w:pStyle w:val="3"/>
        <w:bidi w:val="0"/>
        <w:rPr>
          <w:rFonts w:asciiTheme="minorEastAsia" w:hAnsiTheme="minorEastAsia" w:eastAsiaTheme="minorEastAsia"/>
        </w:rPr>
      </w:pPr>
      <w:bookmarkStart w:id="1092" w:name="_Toc475472686"/>
      <w:bookmarkStart w:id="1093" w:name="_Toc38008094"/>
      <w:bookmarkStart w:id="1094" w:name="_Hlk167300063"/>
      <w:bookmarkStart w:id="1095" w:name="_Toc25138"/>
      <w:bookmarkStart w:id="1096" w:name="_Toc9189"/>
      <w:bookmarkStart w:id="1097" w:name="_Toc711"/>
      <w:bookmarkStart w:id="1098" w:name="_Toc32285"/>
      <w:bookmarkStart w:id="1099" w:name="_Toc17557"/>
      <w:bookmarkStart w:id="1100" w:name="_Toc9234"/>
      <w:bookmarkStart w:id="1101" w:name="_Toc23760"/>
      <w:bookmarkStart w:id="1102" w:name="_Toc9348"/>
      <w:bookmarkStart w:id="1103" w:name="_Toc25304"/>
      <w:bookmarkStart w:id="1104" w:name="_Toc22971"/>
      <w:bookmarkStart w:id="1105" w:name="_Toc8336"/>
      <w:r>
        <w:rPr>
          <w:rFonts w:hint="eastAsia"/>
          <w:sz w:val="28"/>
          <w:szCs w:val="28"/>
          <w:lang w:val="en-US" w:eastAsia="zh-CN"/>
        </w:rPr>
        <w:t>23.</w:t>
      </w:r>
      <w:bookmarkEnd w:id="1092"/>
      <w:bookmarkEnd w:id="1093"/>
      <w:bookmarkEnd w:id="1094"/>
      <w:bookmarkEnd w:id="1095"/>
      <w:r>
        <w:rPr>
          <w:rFonts w:hint="eastAsia"/>
          <w:sz w:val="28"/>
          <w:szCs w:val="28"/>
        </w:rPr>
        <w:t>基本开户银行情况</w:t>
      </w:r>
      <w:bookmarkEnd w:id="1096"/>
      <w:bookmarkEnd w:id="1097"/>
      <w:bookmarkEnd w:id="1098"/>
      <w:bookmarkEnd w:id="1099"/>
      <w:bookmarkEnd w:id="1100"/>
      <w:bookmarkEnd w:id="1101"/>
      <w:bookmarkEnd w:id="1102"/>
      <w:bookmarkEnd w:id="1103"/>
      <w:bookmarkEnd w:id="1104"/>
      <w:bookmarkEnd w:id="1105"/>
    </w:p>
    <w:tbl>
      <w:tblPr>
        <w:tblStyle w:val="85"/>
        <w:tblW w:w="0" w:type="auto"/>
        <w:jc w:val="center"/>
        <w:tblLayout w:type="fixed"/>
        <w:tblCellMar>
          <w:top w:w="0" w:type="dxa"/>
          <w:left w:w="28" w:type="dxa"/>
          <w:bottom w:w="0" w:type="dxa"/>
          <w:right w:w="28" w:type="dxa"/>
        </w:tblCellMar>
      </w:tblPr>
      <w:tblGrid>
        <w:gridCol w:w="1108"/>
        <w:gridCol w:w="3482"/>
        <w:gridCol w:w="3795"/>
      </w:tblGrid>
      <w:tr w14:paraId="54267375">
        <w:tblPrEx>
          <w:tblCellMar>
            <w:top w:w="0" w:type="dxa"/>
            <w:left w:w="28" w:type="dxa"/>
            <w:bottom w:w="0" w:type="dxa"/>
            <w:right w:w="28" w:type="dxa"/>
          </w:tblCellMar>
        </w:tblPrEx>
        <w:trPr>
          <w:cantSplit/>
          <w:trHeight w:val="380" w:hRule="atLeast"/>
          <w:jc w:val="center"/>
        </w:trPr>
        <w:tc>
          <w:tcPr>
            <w:tcW w:w="1108" w:type="dxa"/>
            <w:vMerge w:val="restart"/>
            <w:tcBorders>
              <w:top w:val="single" w:color="auto" w:sz="4" w:space="0"/>
              <w:left w:val="single" w:color="auto" w:sz="4" w:space="0"/>
              <w:right w:val="single" w:color="auto" w:sz="4" w:space="0"/>
            </w:tcBorders>
            <w:vAlign w:val="center"/>
          </w:tcPr>
          <w:p w14:paraId="5BD68E81">
            <w:pPr>
              <w:spacing w:line="400" w:lineRule="exact"/>
              <w:rPr>
                <w:rFonts w:ascii="宋体" w:hAnsi="宋体"/>
                <w:color w:val="000000"/>
              </w:rPr>
            </w:pPr>
            <w:r>
              <w:rPr>
                <w:rFonts w:hint="eastAsia" w:ascii="宋体" w:hAnsi="宋体"/>
                <w:b/>
                <w:color w:val="000000"/>
              </w:rPr>
              <w:t>开户银行</w:t>
            </w: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72D39260">
            <w:pPr>
              <w:spacing w:line="400" w:lineRule="exact"/>
              <w:rPr>
                <w:rFonts w:ascii="宋体" w:hAnsi="宋体"/>
                <w:color w:val="000000"/>
              </w:rPr>
            </w:pPr>
            <w:r>
              <w:rPr>
                <w:rFonts w:hint="eastAsia" w:ascii="宋体" w:hAnsi="宋体"/>
                <w:color w:val="000000"/>
              </w:rPr>
              <w:t>名称：</w:t>
            </w:r>
            <w:r>
              <w:rPr>
                <w:rFonts w:hint="eastAsia" w:ascii="宋体" w:hAnsi="宋体"/>
                <w:color w:val="000000"/>
                <w:u w:val="single"/>
              </w:rPr>
              <w:t>【XX[基本账户开户银行名称]】</w:t>
            </w:r>
          </w:p>
        </w:tc>
      </w:tr>
      <w:tr w14:paraId="3F6EF166">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47419A5F">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2D131845">
            <w:pPr>
              <w:spacing w:line="400" w:lineRule="exact"/>
              <w:rPr>
                <w:rFonts w:ascii="宋体" w:hAnsi="宋体"/>
                <w:color w:val="000000"/>
              </w:rPr>
            </w:pPr>
            <w:r>
              <w:rPr>
                <w:rFonts w:hint="eastAsia" w:ascii="宋体" w:hAnsi="宋体"/>
                <w:color w:val="000000"/>
              </w:rPr>
              <w:t>地址：</w:t>
            </w:r>
            <w:r>
              <w:rPr>
                <w:rFonts w:hint="eastAsia" w:ascii="宋体" w:hAnsi="宋体"/>
                <w:color w:val="000000"/>
                <w:u w:val="single"/>
              </w:rPr>
              <w:t>【XX[基本账户开户银行地址]】</w:t>
            </w:r>
          </w:p>
        </w:tc>
      </w:tr>
      <w:tr w14:paraId="746E4645">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3B451116">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7807AADE">
            <w:pPr>
              <w:spacing w:line="400" w:lineRule="exact"/>
              <w:rPr>
                <w:rFonts w:ascii="宋体" w:hAnsi="宋体"/>
                <w:color w:val="000000"/>
              </w:rPr>
            </w:pPr>
            <w:r>
              <w:rPr>
                <w:rFonts w:hint="eastAsia" w:ascii="宋体" w:hAnsi="宋体"/>
                <w:color w:val="000000"/>
              </w:rPr>
              <w:t>银行账户：</w:t>
            </w:r>
            <w:r>
              <w:rPr>
                <w:rFonts w:hint="eastAsia" w:ascii="宋体" w:hAnsi="宋体"/>
                <w:color w:val="000000"/>
                <w:u w:val="single"/>
              </w:rPr>
              <w:t>【XX[基本账户开户银行账号]】</w:t>
            </w:r>
          </w:p>
        </w:tc>
      </w:tr>
      <w:tr w14:paraId="4D0C717D">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6A3FFE97">
            <w:pPr>
              <w:spacing w:line="400" w:lineRule="exact"/>
              <w:rPr>
                <w:rFonts w:ascii="宋体" w:hAnsi="宋体"/>
                <w:color w:val="000000"/>
              </w:rPr>
            </w:pPr>
          </w:p>
        </w:tc>
        <w:tc>
          <w:tcPr>
            <w:tcW w:w="3482" w:type="dxa"/>
            <w:tcBorders>
              <w:top w:val="single" w:color="auto" w:sz="4" w:space="0"/>
              <w:left w:val="single" w:color="auto" w:sz="4" w:space="0"/>
              <w:bottom w:val="single" w:color="auto" w:sz="4" w:space="0"/>
              <w:right w:val="single" w:color="auto" w:sz="4" w:space="0"/>
            </w:tcBorders>
            <w:vAlign w:val="center"/>
          </w:tcPr>
          <w:p w14:paraId="37D95B76">
            <w:pPr>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【XX[基本账户开户银行电话]】</w:t>
            </w:r>
          </w:p>
        </w:tc>
        <w:tc>
          <w:tcPr>
            <w:tcW w:w="3795" w:type="dxa"/>
            <w:tcBorders>
              <w:top w:val="single" w:color="auto" w:sz="4" w:space="0"/>
              <w:left w:val="single" w:color="auto" w:sz="4" w:space="0"/>
              <w:bottom w:val="single" w:color="auto" w:sz="4" w:space="0"/>
              <w:right w:val="single" w:color="auto" w:sz="4" w:space="0"/>
            </w:tcBorders>
            <w:vAlign w:val="center"/>
          </w:tcPr>
          <w:p w14:paraId="25E01469">
            <w:pPr>
              <w:spacing w:line="400" w:lineRule="exact"/>
              <w:rPr>
                <w:rFonts w:ascii="宋体" w:hAnsi="宋体"/>
                <w:color w:val="000000"/>
              </w:rPr>
            </w:pPr>
            <w:r>
              <w:rPr>
                <w:rFonts w:hint="eastAsia" w:ascii="宋体" w:hAnsi="宋体"/>
                <w:color w:val="000000"/>
              </w:rPr>
              <w:t>联系人及职务：</w:t>
            </w:r>
            <w:r>
              <w:rPr>
                <w:rFonts w:hint="eastAsia" w:ascii="宋体" w:hAnsi="宋体"/>
                <w:color w:val="000000"/>
                <w:u w:val="single"/>
              </w:rPr>
              <w:t>【XX[姓名]，XX[职务]】</w:t>
            </w:r>
          </w:p>
        </w:tc>
      </w:tr>
      <w:tr w14:paraId="582F6C27">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right w:val="single" w:color="auto" w:sz="4" w:space="0"/>
            </w:tcBorders>
            <w:vAlign w:val="center"/>
          </w:tcPr>
          <w:p w14:paraId="5CDCB848">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4EC136F0">
            <w:pPr>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【XX[基本账户开户银行传真]】</w:t>
            </w:r>
          </w:p>
        </w:tc>
      </w:tr>
      <w:tr w14:paraId="40CC8BAE">
        <w:tblPrEx>
          <w:tblCellMar>
            <w:top w:w="0" w:type="dxa"/>
            <w:left w:w="28" w:type="dxa"/>
            <w:bottom w:w="0" w:type="dxa"/>
            <w:right w:w="28" w:type="dxa"/>
          </w:tblCellMar>
        </w:tblPrEx>
        <w:trPr>
          <w:cantSplit/>
          <w:trHeight w:val="380" w:hRule="atLeast"/>
          <w:jc w:val="center"/>
        </w:trPr>
        <w:tc>
          <w:tcPr>
            <w:tcW w:w="1108" w:type="dxa"/>
            <w:vMerge w:val="continue"/>
            <w:tcBorders>
              <w:left w:val="single" w:color="auto" w:sz="4" w:space="0"/>
              <w:bottom w:val="single" w:color="auto" w:sz="4" w:space="0"/>
              <w:right w:val="single" w:color="auto" w:sz="4" w:space="0"/>
            </w:tcBorders>
            <w:vAlign w:val="center"/>
          </w:tcPr>
          <w:p w14:paraId="5B27F1EB">
            <w:pPr>
              <w:spacing w:line="400" w:lineRule="exact"/>
              <w:rPr>
                <w:rFonts w:ascii="宋体" w:hAnsi="宋体"/>
                <w:color w:val="000000"/>
              </w:rPr>
            </w:pP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532FF38F">
            <w:pPr>
              <w:spacing w:line="400" w:lineRule="exact"/>
              <w:rPr>
                <w:rFonts w:ascii="宋体" w:hAnsi="宋体"/>
                <w:color w:val="000000"/>
              </w:rPr>
            </w:pPr>
            <w:r>
              <w:rPr>
                <w:rFonts w:hint="eastAsia" w:ascii="宋体" w:hAnsi="宋体"/>
                <w:color w:val="000000"/>
              </w:rPr>
              <w:t>基本账户开户行签发的银行开户证明</w:t>
            </w:r>
            <w:r>
              <w:rPr>
                <w:rFonts w:hint="eastAsia" w:ascii="宋体" w:hAnsi="宋体"/>
                <w:color w:val="000000"/>
                <w:u w:val="single"/>
              </w:rPr>
              <w:t>[基本账户开户银行证明文件]</w:t>
            </w:r>
          </w:p>
        </w:tc>
      </w:tr>
    </w:tbl>
    <w:p w14:paraId="4DDDEE41">
      <w:pPr>
        <w:rPr>
          <w:rFonts w:asciiTheme="minorEastAsia" w:hAnsiTheme="minorEastAsia" w:eastAsiaTheme="minorEastAsia"/>
        </w:rPr>
      </w:pPr>
    </w:p>
    <w:p w14:paraId="14CF1CAB">
      <w:pPr>
        <w:rPr>
          <w:rFonts w:asciiTheme="minorEastAsia" w:hAnsiTheme="minorEastAsia" w:eastAsiaTheme="minorEastAsia"/>
        </w:rPr>
      </w:pPr>
    </w:p>
    <w:p w14:paraId="73185616">
      <w:pPr>
        <w:rPr>
          <w:rFonts w:asciiTheme="minorEastAsia" w:hAnsiTheme="minorEastAsia" w:eastAsiaTheme="minorEastAsia"/>
        </w:rPr>
      </w:pPr>
      <w:r>
        <w:rPr>
          <w:rFonts w:hint="eastAsia"/>
        </w:rPr>
        <w:t>[招标人可根据项目实际情况修改本文件中的条款、增加新的条款。]</w:t>
      </w:r>
    </w:p>
    <w:p w14:paraId="0D9980AB">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0B17C2B7">
      <w:pPr>
        <w:pStyle w:val="101"/>
        <w:numPr>
          <w:ilvl w:val="6"/>
          <w:numId w:val="96"/>
        </w:numPr>
        <w:tabs>
          <w:tab w:val="clear" w:pos="2940"/>
        </w:tabs>
        <w:topLinePunct/>
        <w:spacing w:line="440" w:lineRule="exact"/>
        <w:ind w:left="0" w:firstLine="0" w:firstLineChars="0"/>
        <w:jc w:val="left"/>
        <w:rPr>
          <w:rFonts w:asciiTheme="minorEastAsia" w:hAnsiTheme="minorEastAsia" w:eastAsiaTheme="minorEastAsia"/>
        </w:rPr>
      </w:pPr>
      <w:r>
        <w:rPr>
          <w:rFonts w:hint="eastAsia" w:asciiTheme="minorEastAsia" w:hAnsiTheme="minorEastAsia" w:eastAsiaTheme="minorEastAsia"/>
        </w:rPr>
        <w:t>投标人应同时提供基本户开户证明文件。</w:t>
      </w:r>
    </w:p>
    <w:p w14:paraId="367CD7D2">
      <w:pPr>
        <w:pStyle w:val="101"/>
        <w:numPr>
          <w:ilvl w:val="6"/>
          <w:numId w:val="96"/>
        </w:numPr>
        <w:tabs>
          <w:tab w:val="clear" w:pos="2940"/>
        </w:tabs>
        <w:topLinePunct/>
        <w:spacing w:line="440" w:lineRule="exact"/>
        <w:ind w:left="0" w:firstLine="0" w:firstLineChars="0"/>
        <w:jc w:val="left"/>
        <w:rPr>
          <w:rFonts w:asciiTheme="minorEastAsia" w:hAnsiTheme="minorEastAsia" w:eastAsiaTheme="minorEastAsia"/>
        </w:rPr>
      </w:pPr>
      <w:r>
        <w:rPr>
          <w:rFonts w:hint="eastAsia"/>
        </w:rPr>
        <w:t>投标人可以根据实际情况对本文件进行调整和修改，但应满足招标文件对本文件的要求。</w:t>
      </w:r>
    </w:p>
    <w:p w14:paraId="678727E8">
      <w:pPr>
        <w:pStyle w:val="101"/>
        <w:numPr>
          <w:ilvl w:val="0"/>
          <w:numId w:val="0"/>
        </w:numPr>
        <w:tabs>
          <w:tab w:val="left" w:pos="426"/>
        </w:tabs>
        <w:topLinePunct/>
        <w:spacing w:line="440" w:lineRule="exact"/>
        <w:ind w:leftChars="0"/>
        <w:jc w:val="left"/>
        <w:rPr>
          <w:rFonts w:asciiTheme="minorEastAsia" w:hAnsiTheme="minorEastAsia" w:eastAsiaTheme="minorEastAsia"/>
          <w:highlight w:val="none"/>
        </w:rPr>
      </w:pPr>
    </w:p>
    <w:p w14:paraId="065DCF1E">
      <w:pPr>
        <w:pStyle w:val="101"/>
        <w:numPr>
          <w:ilvl w:val="5"/>
          <w:numId w:val="97"/>
        </w:numPr>
        <w:tabs>
          <w:tab w:val="left" w:pos="2940"/>
        </w:tabs>
        <w:topLinePunct/>
        <w:spacing w:line="440" w:lineRule="exact"/>
        <w:ind w:firstLineChars="0"/>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08469234">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06" w:name="_Toc5756"/>
      <w:bookmarkStart w:id="1107" w:name="_Toc17263"/>
      <w:bookmarkStart w:id="1108" w:name="_Toc18787"/>
      <w:bookmarkStart w:id="1109" w:name="_Toc9050"/>
      <w:bookmarkStart w:id="1110" w:name="_Toc29163"/>
      <w:bookmarkStart w:id="1111" w:name="_Toc38008095"/>
      <w:bookmarkStart w:id="1112" w:name="_Toc15401"/>
      <w:bookmarkStart w:id="1113" w:name="_Toc15415"/>
      <w:bookmarkStart w:id="1114" w:name="_Toc26243"/>
      <w:bookmarkStart w:id="1115" w:name="_Toc20152"/>
      <w:bookmarkStart w:id="1116" w:name="_Toc23141"/>
      <w:bookmarkStart w:id="1117" w:name="_Toc7268"/>
      <w:bookmarkStart w:id="1118" w:name="_Toc475472687"/>
      <w:bookmarkStart w:id="1119" w:name="_Hlk167300068"/>
      <w:bookmarkStart w:id="1120" w:name="_Toc447265617"/>
      <w:bookmarkStart w:id="1121" w:name="_Toc447265331"/>
      <w:r>
        <w:rPr>
          <w:rFonts w:hint="eastAsia" w:cs="Times New Roman" w:asciiTheme="minorEastAsia" w:hAnsiTheme="minorEastAsia" w:eastAsiaTheme="minorEastAsia"/>
          <w:b/>
          <w:bCs/>
          <w:kern w:val="2"/>
          <w:sz w:val="24"/>
          <w:szCs w:val="24"/>
          <w:lang w:val="en-US" w:eastAsia="zh-CN" w:bidi="ar-SA"/>
        </w:rPr>
        <w:t>24.</w:t>
      </w:r>
      <w:r>
        <w:rPr>
          <w:rFonts w:hint="eastAsia" w:asciiTheme="minorEastAsia" w:hAnsiTheme="minorEastAsia" w:eastAsiaTheme="minorEastAsia"/>
          <w:sz w:val="24"/>
          <w:szCs w:val="24"/>
        </w:rPr>
        <w:t>业绩情况表</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bookmarkEnd w:id="1119"/>
    <w:p w14:paraId="647E911D">
      <w:pPr>
        <w:pStyle w:val="101"/>
        <w:ind w:firstLine="0" w:firstLineChars="0"/>
        <w:jc w:val="center"/>
        <w:rPr>
          <w:rFonts w:asciiTheme="minorEastAsia" w:hAnsiTheme="minorEastAsia" w:eastAsiaTheme="minorEastAsia"/>
          <w:b/>
          <w:sz w:val="24"/>
          <w:highlight w:val="none"/>
        </w:rPr>
      </w:pPr>
    </w:p>
    <w:p w14:paraId="798AAFA6">
      <w:pPr>
        <w:pStyle w:val="101"/>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1120"/>
      <w:bookmarkEnd w:id="1121"/>
    </w:p>
    <w:tbl>
      <w:tblPr>
        <w:tblStyle w:val="85"/>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843"/>
        <w:gridCol w:w="1843"/>
        <w:gridCol w:w="1842"/>
        <w:gridCol w:w="1701"/>
        <w:gridCol w:w="1134"/>
        <w:gridCol w:w="1418"/>
        <w:gridCol w:w="1226"/>
      </w:tblGrid>
      <w:tr w14:paraId="3EB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09" w:type="dxa"/>
            <w:shd w:val="clear" w:color="auto" w:fill="auto"/>
            <w:vAlign w:val="center"/>
          </w:tcPr>
          <w:p w14:paraId="47F367B2">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2268" w:type="dxa"/>
            <w:shd w:val="clear" w:color="auto" w:fill="auto"/>
            <w:vAlign w:val="center"/>
          </w:tcPr>
          <w:p w14:paraId="58853D2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1843" w:type="dxa"/>
            <w:shd w:val="clear" w:color="auto" w:fill="auto"/>
            <w:vAlign w:val="center"/>
          </w:tcPr>
          <w:p w14:paraId="35DB99E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投标产品</w:t>
            </w:r>
          </w:p>
        </w:tc>
        <w:tc>
          <w:tcPr>
            <w:tcW w:w="1843" w:type="dxa"/>
            <w:shd w:val="clear" w:color="auto" w:fill="auto"/>
            <w:vAlign w:val="center"/>
          </w:tcPr>
          <w:p w14:paraId="314E0E6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0D101117">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09558106">
            <w:pPr>
              <w:snapToGrid w:val="0"/>
              <w:jc w:val="center"/>
              <w:rPr>
                <w:rFonts w:hint="default" w:cs="宋体" w:asciiTheme="minorEastAsia" w:hAnsiTheme="minorEastAsia" w:eastAsiaTheme="minorEastAsia"/>
                <w:szCs w:val="21"/>
                <w:highlight w:val="none"/>
                <w:lang w:val="en-US" w:eastAsia="zh-CN"/>
              </w:rPr>
            </w:pPr>
            <w:r>
              <w:rPr>
                <w:rFonts w:hint="eastAsia" w:cs="Arial" w:asciiTheme="minorEastAsia" w:hAnsiTheme="minorEastAsia" w:eastAsiaTheme="minorEastAsia"/>
                <w:b/>
                <w:bCs/>
                <w:kern w:val="0"/>
                <w:szCs w:val="21"/>
                <w:highlight w:val="none"/>
                <w:lang w:val="en-US" w:eastAsia="zh-CN"/>
              </w:rPr>
              <w:t>服务名称</w:t>
            </w:r>
          </w:p>
        </w:tc>
        <w:tc>
          <w:tcPr>
            <w:tcW w:w="1134" w:type="dxa"/>
            <w:shd w:val="clear" w:color="auto" w:fill="auto"/>
            <w:vAlign w:val="center"/>
          </w:tcPr>
          <w:p w14:paraId="4E16B851">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金额（万元）</w:t>
            </w:r>
          </w:p>
        </w:tc>
        <w:tc>
          <w:tcPr>
            <w:tcW w:w="1418" w:type="dxa"/>
            <w:shd w:val="clear" w:color="auto" w:fill="auto"/>
            <w:vAlign w:val="center"/>
          </w:tcPr>
          <w:p w14:paraId="1F0A216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1EF8E9C">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6920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54506ED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2268" w:type="dxa"/>
            <w:shd w:val="clear" w:color="auto" w:fill="auto"/>
          </w:tcPr>
          <w:p w14:paraId="33DCAD57">
            <w:pPr>
              <w:snapToGrid w:val="0"/>
              <w:jc w:val="center"/>
              <w:rPr>
                <w:rFonts w:cs="宋体" w:asciiTheme="minorEastAsia" w:hAnsiTheme="minorEastAsia" w:eastAsiaTheme="minorEastAsia"/>
                <w:szCs w:val="21"/>
                <w:highlight w:val="none"/>
              </w:rPr>
            </w:pPr>
          </w:p>
        </w:tc>
        <w:tc>
          <w:tcPr>
            <w:tcW w:w="1843" w:type="dxa"/>
            <w:shd w:val="clear" w:color="auto" w:fill="auto"/>
          </w:tcPr>
          <w:p w14:paraId="68B1B325">
            <w:pPr>
              <w:snapToGrid w:val="0"/>
              <w:jc w:val="center"/>
              <w:rPr>
                <w:rFonts w:cs="宋体" w:asciiTheme="minorEastAsia" w:hAnsiTheme="minorEastAsia" w:eastAsiaTheme="minorEastAsia"/>
                <w:szCs w:val="21"/>
                <w:highlight w:val="none"/>
              </w:rPr>
            </w:pPr>
          </w:p>
        </w:tc>
        <w:tc>
          <w:tcPr>
            <w:tcW w:w="1843" w:type="dxa"/>
            <w:shd w:val="clear" w:color="auto" w:fill="auto"/>
          </w:tcPr>
          <w:p w14:paraId="276C6418">
            <w:pPr>
              <w:snapToGrid w:val="0"/>
              <w:jc w:val="center"/>
              <w:rPr>
                <w:rFonts w:cs="宋体" w:asciiTheme="minorEastAsia" w:hAnsiTheme="minorEastAsia" w:eastAsiaTheme="minorEastAsia"/>
                <w:szCs w:val="21"/>
                <w:highlight w:val="none"/>
              </w:rPr>
            </w:pPr>
          </w:p>
        </w:tc>
        <w:tc>
          <w:tcPr>
            <w:tcW w:w="1842" w:type="dxa"/>
            <w:shd w:val="clear" w:color="auto" w:fill="auto"/>
          </w:tcPr>
          <w:p w14:paraId="5265A9CD">
            <w:pPr>
              <w:snapToGrid w:val="0"/>
              <w:jc w:val="center"/>
              <w:rPr>
                <w:rFonts w:cs="宋体" w:asciiTheme="minorEastAsia" w:hAnsiTheme="minorEastAsia" w:eastAsiaTheme="minorEastAsia"/>
                <w:szCs w:val="21"/>
                <w:highlight w:val="none"/>
              </w:rPr>
            </w:pPr>
          </w:p>
        </w:tc>
        <w:tc>
          <w:tcPr>
            <w:tcW w:w="1701" w:type="dxa"/>
            <w:shd w:val="clear" w:color="auto" w:fill="auto"/>
          </w:tcPr>
          <w:p w14:paraId="106F6978">
            <w:pPr>
              <w:snapToGrid w:val="0"/>
              <w:jc w:val="center"/>
              <w:rPr>
                <w:rFonts w:cs="宋体" w:asciiTheme="minorEastAsia" w:hAnsiTheme="minorEastAsia" w:eastAsiaTheme="minorEastAsia"/>
                <w:szCs w:val="21"/>
                <w:highlight w:val="none"/>
              </w:rPr>
            </w:pPr>
          </w:p>
        </w:tc>
        <w:tc>
          <w:tcPr>
            <w:tcW w:w="1134" w:type="dxa"/>
            <w:shd w:val="clear" w:color="auto" w:fill="auto"/>
          </w:tcPr>
          <w:p w14:paraId="772CD033">
            <w:pPr>
              <w:snapToGrid w:val="0"/>
              <w:jc w:val="center"/>
              <w:rPr>
                <w:rFonts w:cs="宋体" w:asciiTheme="minorEastAsia" w:hAnsiTheme="minorEastAsia" w:eastAsiaTheme="minorEastAsia"/>
                <w:szCs w:val="21"/>
                <w:highlight w:val="none"/>
              </w:rPr>
            </w:pPr>
          </w:p>
        </w:tc>
        <w:tc>
          <w:tcPr>
            <w:tcW w:w="1418" w:type="dxa"/>
            <w:shd w:val="clear" w:color="auto" w:fill="auto"/>
          </w:tcPr>
          <w:p w14:paraId="209023C9">
            <w:pPr>
              <w:snapToGrid w:val="0"/>
              <w:jc w:val="center"/>
              <w:rPr>
                <w:rFonts w:cs="宋体" w:asciiTheme="minorEastAsia" w:hAnsiTheme="minorEastAsia" w:eastAsiaTheme="minorEastAsia"/>
                <w:szCs w:val="21"/>
                <w:highlight w:val="none"/>
              </w:rPr>
            </w:pPr>
          </w:p>
        </w:tc>
        <w:tc>
          <w:tcPr>
            <w:tcW w:w="1226" w:type="dxa"/>
            <w:shd w:val="clear" w:color="auto" w:fill="auto"/>
          </w:tcPr>
          <w:p w14:paraId="27BC594A">
            <w:pPr>
              <w:snapToGrid w:val="0"/>
              <w:jc w:val="center"/>
              <w:rPr>
                <w:rFonts w:cs="宋体" w:asciiTheme="minorEastAsia" w:hAnsiTheme="minorEastAsia" w:eastAsiaTheme="minorEastAsia"/>
                <w:szCs w:val="21"/>
                <w:highlight w:val="none"/>
              </w:rPr>
            </w:pPr>
          </w:p>
        </w:tc>
      </w:tr>
      <w:tr w14:paraId="3BC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73A3AA0">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2268" w:type="dxa"/>
            <w:shd w:val="clear" w:color="auto" w:fill="auto"/>
          </w:tcPr>
          <w:p w14:paraId="5AB5A53C">
            <w:pPr>
              <w:snapToGrid w:val="0"/>
              <w:jc w:val="center"/>
              <w:rPr>
                <w:rFonts w:cs="宋体" w:asciiTheme="minorEastAsia" w:hAnsiTheme="minorEastAsia" w:eastAsiaTheme="minorEastAsia"/>
                <w:szCs w:val="21"/>
                <w:highlight w:val="none"/>
              </w:rPr>
            </w:pPr>
          </w:p>
        </w:tc>
        <w:tc>
          <w:tcPr>
            <w:tcW w:w="1843" w:type="dxa"/>
            <w:shd w:val="clear" w:color="auto" w:fill="auto"/>
          </w:tcPr>
          <w:p w14:paraId="0994EEF4">
            <w:pPr>
              <w:snapToGrid w:val="0"/>
              <w:jc w:val="center"/>
              <w:rPr>
                <w:rFonts w:cs="宋体" w:asciiTheme="minorEastAsia" w:hAnsiTheme="minorEastAsia" w:eastAsiaTheme="minorEastAsia"/>
                <w:szCs w:val="21"/>
                <w:highlight w:val="none"/>
              </w:rPr>
            </w:pPr>
          </w:p>
        </w:tc>
        <w:tc>
          <w:tcPr>
            <w:tcW w:w="1843" w:type="dxa"/>
            <w:shd w:val="clear" w:color="auto" w:fill="auto"/>
          </w:tcPr>
          <w:p w14:paraId="3EFFEB3B">
            <w:pPr>
              <w:snapToGrid w:val="0"/>
              <w:jc w:val="center"/>
              <w:rPr>
                <w:rFonts w:cs="宋体" w:asciiTheme="minorEastAsia" w:hAnsiTheme="minorEastAsia" w:eastAsiaTheme="minorEastAsia"/>
                <w:szCs w:val="21"/>
                <w:highlight w:val="none"/>
              </w:rPr>
            </w:pPr>
          </w:p>
        </w:tc>
        <w:tc>
          <w:tcPr>
            <w:tcW w:w="1842" w:type="dxa"/>
            <w:shd w:val="clear" w:color="auto" w:fill="auto"/>
          </w:tcPr>
          <w:p w14:paraId="21EF5C66">
            <w:pPr>
              <w:snapToGrid w:val="0"/>
              <w:jc w:val="center"/>
              <w:rPr>
                <w:rFonts w:cs="宋体" w:asciiTheme="minorEastAsia" w:hAnsiTheme="minorEastAsia" w:eastAsiaTheme="minorEastAsia"/>
                <w:szCs w:val="21"/>
                <w:highlight w:val="none"/>
              </w:rPr>
            </w:pPr>
          </w:p>
        </w:tc>
        <w:tc>
          <w:tcPr>
            <w:tcW w:w="1701" w:type="dxa"/>
            <w:shd w:val="clear" w:color="auto" w:fill="auto"/>
          </w:tcPr>
          <w:p w14:paraId="685E63F3">
            <w:pPr>
              <w:snapToGrid w:val="0"/>
              <w:jc w:val="center"/>
              <w:rPr>
                <w:rFonts w:cs="宋体" w:asciiTheme="minorEastAsia" w:hAnsiTheme="minorEastAsia" w:eastAsiaTheme="minorEastAsia"/>
                <w:szCs w:val="21"/>
                <w:highlight w:val="none"/>
              </w:rPr>
            </w:pPr>
          </w:p>
        </w:tc>
        <w:tc>
          <w:tcPr>
            <w:tcW w:w="1134" w:type="dxa"/>
            <w:shd w:val="clear" w:color="auto" w:fill="auto"/>
          </w:tcPr>
          <w:p w14:paraId="52E0A5BD">
            <w:pPr>
              <w:snapToGrid w:val="0"/>
              <w:jc w:val="center"/>
              <w:rPr>
                <w:rFonts w:cs="宋体" w:asciiTheme="minorEastAsia" w:hAnsiTheme="minorEastAsia" w:eastAsiaTheme="minorEastAsia"/>
                <w:szCs w:val="21"/>
                <w:highlight w:val="none"/>
              </w:rPr>
            </w:pPr>
          </w:p>
        </w:tc>
        <w:tc>
          <w:tcPr>
            <w:tcW w:w="1418" w:type="dxa"/>
            <w:shd w:val="clear" w:color="auto" w:fill="auto"/>
          </w:tcPr>
          <w:p w14:paraId="4C6218DF">
            <w:pPr>
              <w:snapToGrid w:val="0"/>
              <w:jc w:val="center"/>
              <w:rPr>
                <w:rFonts w:cs="宋体" w:asciiTheme="minorEastAsia" w:hAnsiTheme="minorEastAsia" w:eastAsiaTheme="minorEastAsia"/>
                <w:szCs w:val="21"/>
                <w:highlight w:val="none"/>
              </w:rPr>
            </w:pPr>
          </w:p>
        </w:tc>
        <w:tc>
          <w:tcPr>
            <w:tcW w:w="1226" w:type="dxa"/>
            <w:shd w:val="clear" w:color="auto" w:fill="auto"/>
          </w:tcPr>
          <w:p w14:paraId="12526A8D">
            <w:pPr>
              <w:snapToGrid w:val="0"/>
              <w:jc w:val="center"/>
              <w:rPr>
                <w:rFonts w:cs="宋体" w:asciiTheme="minorEastAsia" w:hAnsiTheme="minorEastAsia" w:eastAsiaTheme="minorEastAsia"/>
                <w:szCs w:val="21"/>
                <w:highlight w:val="none"/>
              </w:rPr>
            </w:pPr>
          </w:p>
        </w:tc>
      </w:tr>
      <w:tr w14:paraId="3871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3A4611CF">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2268" w:type="dxa"/>
            <w:shd w:val="clear" w:color="auto" w:fill="auto"/>
          </w:tcPr>
          <w:p w14:paraId="2E784C6F">
            <w:pPr>
              <w:snapToGrid w:val="0"/>
              <w:jc w:val="center"/>
              <w:rPr>
                <w:rFonts w:cs="宋体" w:asciiTheme="minorEastAsia" w:hAnsiTheme="minorEastAsia" w:eastAsiaTheme="minorEastAsia"/>
                <w:szCs w:val="21"/>
                <w:highlight w:val="none"/>
              </w:rPr>
            </w:pPr>
          </w:p>
        </w:tc>
        <w:tc>
          <w:tcPr>
            <w:tcW w:w="1843" w:type="dxa"/>
            <w:shd w:val="clear" w:color="auto" w:fill="auto"/>
          </w:tcPr>
          <w:p w14:paraId="2FABBD5B">
            <w:pPr>
              <w:snapToGrid w:val="0"/>
              <w:jc w:val="center"/>
              <w:rPr>
                <w:rFonts w:cs="宋体" w:asciiTheme="minorEastAsia" w:hAnsiTheme="minorEastAsia" w:eastAsiaTheme="minorEastAsia"/>
                <w:szCs w:val="21"/>
                <w:highlight w:val="none"/>
              </w:rPr>
            </w:pPr>
          </w:p>
        </w:tc>
        <w:tc>
          <w:tcPr>
            <w:tcW w:w="1843" w:type="dxa"/>
            <w:shd w:val="clear" w:color="auto" w:fill="auto"/>
          </w:tcPr>
          <w:p w14:paraId="0DC31FA7">
            <w:pPr>
              <w:snapToGrid w:val="0"/>
              <w:jc w:val="center"/>
              <w:rPr>
                <w:rFonts w:cs="宋体" w:asciiTheme="minorEastAsia" w:hAnsiTheme="minorEastAsia" w:eastAsiaTheme="minorEastAsia"/>
                <w:szCs w:val="21"/>
                <w:highlight w:val="none"/>
              </w:rPr>
            </w:pPr>
          </w:p>
        </w:tc>
        <w:tc>
          <w:tcPr>
            <w:tcW w:w="1842" w:type="dxa"/>
            <w:shd w:val="clear" w:color="auto" w:fill="auto"/>
          </w:tcPr>
          <w:p w14:paraId="5404EBD7">
            <w:pPr>
              <w:snapToGrid w:val="0"/>
              <w:jc w:val="center"/>
              <w:rPr>
                <w:rFonts w:cs="宋体" w:asciiTheme="minorEastAsia" w:hAnsiTheme="minorEastAsia" w:eastAsiaTheme="minorEastAsia"/>
                <w:szCs w:val="21"/>
                <w:highlight w:val="none"/>
              </w:rPr>
            </w:pPr>
          </w:p>
        </w:tc>
        <w:tc>
          <w:tcPr>
            <w:tcW w:w="1701" w:type="dxa"/>
            <w:shd w:val="clear" w:color="auto" w:fill="auto"/>
          </w:tcPr>
          <w:p w14:paraId="1E2E50BA">
            <w:pPr>
              <w:snapToGrid w:val="0"/>
              <w:jc w:val="center"/>
              <w:rPr>
                <w:rFonts w:cs="宋体" w:asciiTheme="minorEastAsia" w:hAnsiTheme="minorEastAsia" w:eastAsiaTheme="minorEastAsia"/>
                <w:szCs w:val="21"/>
                <w:highlight w:val="none"/>
              </w:rPr>
            </w:pPr>
          </w:p>
        </w:tc>
        <w:tc>
          <w:tcPr>
            <w:tcW w:w="1134" w:type="dxa"/>
            <w:shd w:val="clear" w:color="auto" w:fill="auto"/>
          </w:tcPr>
          <w:p w14:paraId="11BFC2C3">
            <w:pPr>
              <w:snapToGrid w:val="0"/>
              <w:jc w:val="center"/>
              <w:rPr>
                <w:rFonts w:cs="宋体" w:asciiTheme="minorEastAsia" w:hAnsiTheme="minorEastAsia" w:eastAsiaTheme="minorEastAsia"/>
                <w:szCs w:val="21"/>
                <w:highlight w:val="none"/>
              </w:rPr>
            </w:pPr>
          </w:p>
        </w:tc>
        <w:tc>
          <w:tcPr>
            <w:tcW w:w="1418" w:type="dxa"/>
            <w:shd w:val="clear" w:color="auto" w:fill="auto"/>
          </w:tcPr>
          <w:p w14:paraId="7637CA31">
            <w:pPr>
              <w:snapToGrid w:val="0"/>
              <w:jc w:val="center"/>
              <w:rPr>
                <w:rFonts w:cs="宋体" w:asciiTheme="minorEastAsia" w:hAnsiTheme="minorEastAsia" w:eastAsiaTheme="minorEastAsia"/>
                <w:szCs w:val="21"/>
                <w:highlight w:val="none"/>
              </w:rPr>
            </w:pPr>
          </w:p>
        </w:tc>
        <w:tc>
          <w:tcPr>
            <w:tcW w:w="1226" w:type="dxa"/>
            <w:shd w:val="clear" w:color="auto" w:fill="auto"/>
          </w:tcPr>
          <w:p w14:paraId="56A7AF3B">
            <w:pPr>
              <w:snapToGrid w:val="0"/>
              <w:jc w:val="center"/>
              <w:rPr>
                <w:rFonts w:cs="宋体" w:asciiTheme="minorEastAsia" w:hAnsiTheme="minorEastAsia" w:eastAsiaTheme="minorEastAsia"/>
                <w:szCs w:val="21"/>
                <w:highlight w:val="none"/>
              </w:rPr>
            </w:pPr>
          </w:p>
        </w:tc>
      </w:tr>
      <w:tr w14:paraId="1BA2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12B2E7EC">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59E1FED0">
            <w:pPr>
              <w:snapToGrid w:val="0"/>
              <w:jc w:val="center"/>
              <w:rPr>
                <w:rFonts w:cs="宋体" w:asciiTheme="minorEastAsia" w:hAnsiTheme="minorEastAsia" w:eastAsiaTheme="minorEastAsia"/>
                <w:szCs w:val="21"/>
                <w:highlight w:val="none"/>
                <w:u w:val="single"/>
              </w:rPr>
            </w:pPr>
          </w:p>
        </w:tc>
      </w:tr>
    </w:tbl>
    <w:p w14:paraId="1D01A5BE">
      <w:pPr>
        <w:spacing w:line="440" w:lineRule="exact"/>
        <w:ind w:firstLine="1274" w:firstLineChars="607"/>
        <w:rPr>
          <w:rFonts w:asciiTheme="minorEastAsia" w:hAnsiTheme="minorEastAsia" w:eastAsiaTheme="minorEastAsia"/>
          <w:szCs w:val="21"/>
          <w:highlight w:val="none"/>
        </w:rPr>
      </w:pPr>
    </w:p>
    <w:p w14:paraId="1D6C470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w:t>
      </w:r>
      <w:r>
        <w:rPr>
          <w:rFonts w:hint="eastAsia" w:asciiTheme="minorEastAsia" w:hAnsiTheme="minorEastAsia" w:eastAsiaTheme="minorEastAsia"/>
          <w:szCs w:val="21"/>
          <w:highlight w:val="none"/>
          <w:u w:val="single"/>
        </w:rPr>
        <w:t xml:space="preserve">　　　　　　　　            </w:t>
      </w:r>
    </w:p>
    <w:p w14:paraId="222A0048">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706758BF">
      <w:pPr>
        <w:spacing w:line="440" w:lineRule="exact"/>
        <w:ind w:firstLine="1274" w:firstLineChars="607"/>
        <w:jc w:val="left"/>
        <w:rPr>
          <w:rFonts w:asciiTheme="minorEastAsia" w:hAnsiTheme="minorEastAsia" w:eastAsiaTheme="minorEastAsia"/>
          <w:szCs w:val="21"/>
          <w:highlight w:val="none"/>
        </w:rPr>
      </w:pPr>
    </w:p>
    <w:p w14:paraId="4A12E12D">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15FFF08B">
      <w:pPr>
        <w:numPr>
          <w:ilvl w:val="0"/>
          <w:numId w:val="98"/>
        </w:numPr>
        <w:topLinePunct/>
        <w:spacing w:line="440" w:lineRule="exact"/>
        <w:ind w:left="422" w:hanging="422" w:hangingChars="201"/>
        <w:jc w:val="left"/>
        <w:rPr>
          <w:rFonts w:asciiTheme="minorEastAsia" w:hAnsiTheme="minorEastAsia" w:eastAsiaTheme="minorEastAsia"/>
        </w:rPr>
      </w:pPr>
      <w:r>
        <w:rPr>
          <w:rFonts w:hint="eastAsia" w:asciiTheme="minorEastAsia" w:hAnsiTheme="minorEastAsia" w:eastAsiaTheme="minorEastAsia"/>
          <w:lang w:val="en-US" w:eastAsia="zh-CN"/>
        </w:rPr>
        <w:t>应按集中招标文件要求提供</w:t>
      </w:r>
      <w:r>
        <w:rPr>
          <w:rFonts w:hint="eastAsia" w:asciiTheme="minorEastAsia" w:hAnsiTheme="minorEastAsia" w:eastAsiaTheme="minorEastAsia"/>
        </w:rPr>
        <w:t>销售业绩证明文件，证明文件顺序应与“业绩情况表”一一对应。</w:t>
      </w:r>
    </w:p>
    <w:p w14:paraId="40DD3EC8">
      <w:pPr>
        <w:numPr>
          <w:ilvl w:val="0"/>
          <w:numId w:val="0"/>
        </w:numPr>
        <w:topLinePunct/>
        <w:spacing w:line="440" w:lineRule="exact"/>
        <w:ind w:leftChars="0"/>
        <w:jc w:val="left"/>
        <w:rPr>
          <w:rFonts w:asciiTheme="minorEastAsia" w:hAnsiTheme="minorEastAsia" w:eastAsiaTheme="minorEastAsia"/>
          <w:highlight w:val="none"/>
        </w:rPr>
      </w:pPr>
      <w:r>
        <w:rPr>
          <w:rFonts w:hint="eastAsia" w:asciiTheme="minorEastAsia" w:hAnsiTheme="minorEastAsia" w:eastAsiaTheme="minorEastAsia"/>
          <w:lang w:val="en-US" w:eastAsia="zh-CN"/>
        </w:rPr>
        <w:t>2、</w:t>
      </w:r>
      <w:r>
        <w:rPr>
          <w:rFonts w:hint="eastAsia" w:asciiTheme="minorEastAsia" w:hAnsiTheme="minorEastAsia" w:eastAsiaTheme="minorEastAsia"/>
        </w:rPr>
        <w:t>如【本招标项目</w:t>
      </w:r>
      <w:r>
        <w:rPr>
          <w:rFonts w:asciiTheme="minorEastAsia" w:hAnsiTheme="minorEastAsia" w:eastAsiaTheme="minorEastAsia"/>
        </w:rPr>
        <w:t>/本标包</w:t>
      </w:r>
      <w:r>
        <w:rPr>
          <w:rFonts w:hint="eastAsia" w:asciiTheme="minorEastAsia" w:hAnsiTheme="minorEastAsia" w:eastAsiaTheme="minorEastAsia"/>
        </w:rPr>
        <w:t>】</w:t>
      </w:r>
      <w:r>
        <w:rPr>
          <w:rFonts w:asciiTheme="minorEastAsia" w:hAnsiTheme="minorEastAsia" w:eastAsiaTheme="minorEastAsia"/>
        </w:rPr>
        <w:t>对投标人或者投标货物业绩有要求，投标人应当如实填写本表并根据</w:t>
      </w:r>
      <w:r>
        <w:rPr>
          <w:rFonts w:hint="eastAsia" w:asciiTheme="minorEastAsia" w:hAnsiTheme="minorEastAsia" w:eastAsiaTheme="minorEastAsia"/>
        </w:rPr>
        <w:t>第二章“</w:t>
      </w:r>
      <w:r>
        <w:rPr>
          <w:rFonts w:asciiTheme="minorEastAsia" w:hAnsiTheme="minorEastAsia" w:eastAsiaTheme="minorEastAsia"/>
        </w:rPr>
        <w:t>投标人须知</w:t>
      </w:r>
      <w:r>
        <w:rPr>
          <w:rFonts w:hint="eastAsia" w:asciiTheme="minorEastAsia" w:hAnsiTheme="minorEastAsia" w:eastAsiaTheme="minorEastAsia"/>
        </w:rPr>
        <w:t>”</w:t>
      </w:r>
      <w:r>
        <w:rPr>
          <w:rFonts w:asciiTheme="minorEastAsia" w:hAnsiTheme="minorEastAsia" w:eastAsiaTheme="minorEastAsia"/>
        </w:rPr>
        <w:t>相关要求在本表后附</w:t>
      </w:r>
      <w:r>
        <w:rPr>
          <w:rFonts w:hint="eastAsia" w:asciiTheme="minorEastAsia" w:hAnsiTheme="minorEastAsia" w:eastAsiaTheme="minorEastAsia"/>
        </w:rPr>
        <w:t>相关合同关键页（须包括合同服务内容、实施时间、合同金额、合同签页，如果提供的是框架合同，需提供对应框架合同结算的发票或订单或结算单据)的</w:t>
      </w:r>
      <w:r>
        <w:rPr>
          <w:rFonts w:hint="eastAsia" w:asciiTheme="minorEastAsia" w:hAnsiTheme="minorEastAsia" w:eastAsiaTheme="minorEastAsia"/>
          <w:bCs/>
          <w:kern w:val="2"/>
          <w:sz w:val="21"/>
          <w:szCs w:val="21"/>
          <w:lang w:val="en-US" w:eastAsia="zh-CN"/>
        </w:rPr>
        <w:t>扫描件</w:t>
      </w:r>
      <w:r>
        <w:rPr>
          <w:rFonts w:hint="eastAsia" w:asciiTheme="minorEastAsia" w:hAnsiTheme="minorEastAsia" w:eastAsiaTheme="minorEastAsia"/>
        </w:rPr>
        <w:t>或者其他相关证明材料。</w:t>
      </w:r>
    </w:p>
    <w:p w14:paraId="4E54B603">
      <w:pPr>
        <w:numPr>
          <w:ilvl w:val="0"/>
          <w:numId w:val="0"/>
        </w:numPr>
        <w:topLinePunct/>
        <w:spacing w:line="440" w:lineRule="exact"/>
        <w:ind w:leftChars="0"/>
        <w:jc w:val="left"/>
        <w:rPr>
          <w:rFonts w:asciiTheme="minorEastAsia" w:hAnsiTheme="minorEastAsia" w:eastAsiaTheme="minorEastAsia"/>
          <w:highlight w:val="none"/>
        </w:rPr>
      </w:pPr>
      <w:r>
        <w:rPr>
          <w:rFonts w:hint="eastAsia"/>
          <w:highlight w:val="none"/>
          <w:lang w:val="en-US" w:eastAsia="zh-CN"/>
        </w:rPr>
        <w:t>3、</w:t>
      </w:r>
      <w:r>
        <w:rPr>
          <w:rFonts w:hint="eastAsia"/>
          <w:highlight w:val="none"/>
        </w:rPr>
        <w:t>投标人可以根据实际情况对本文件进行调整和修改，但应满足招标文件对本文件的要求。</w:t>
      </w:r>
    </w:p>
    <w:p w14:paraId="3A8D1EC4">
      <w:pPr>
        <w:topLinePunct/>
        <w:spacing w:line="440" w:lineRule="exact"/>
        <w:ind w:left="422" w:hanging="422"/>
        <w:jc w:val="left"/>
        <w:rPr>
          <w:rFonts w:asciiTheme="minorEastAsia" w:hAnsiTheme="minorEastAsia" w:eastAsiaTheme="minorEastAsia"/>
          <w:highlight w:val="none"/>
        </w:rPr>
        <w:sectPr>
          <w:pgSz w:w="16838" w:h="11906" w:orient="landscape"/>
          <w:pgMar w:top="1797" w:right="1440" w:bottom="1797" w:left="1440" w:header="851" w:footer="992" w:gutter="0"/>
          <w:pgNumType w:fmt="decimal"/>
          <w:cols w:space="425" w:num="1"/>
          <w:docGrid w:type="lines" w:linePitch="312" w:charSpace="0"/>
        </w:sectPr>
      </w:pPr>
    </w:p>
    <w:p w14:paraId="0FEA72D1">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22" w:name="_Toc27937"/>
      <w:bookmarkStart w:id="1123" w:name="_Toc8416"/>
      <w:bookmarkStart w:id="1124" w:name="_Toc4419"/>
      <w:bookmarkStart w:id="1125" w:name="_Toc13397"/>
      <w:bookmarkStart w:id="1126" w:name="_Toc30148"/>
      <w:bookmarkStart w:id="1127" w:name="_Toc24678"/>
      <w:bookmarkStart w:id="1128" w:name="_Toc38008096"/>
      <w:bookmarkStart w:id="1129" w:name="_Toc17707"/>
      <w:bookmarkStart w:id="1130" w:name="_Toc23195"/>
      <w:bookmarkStart w:id="1131" w:name="_Toc4071"/>
      <w:bookmarkStart w:id="1132" w:name="_Toc423"/>
      <w:bookmarkStart w:id="1133" w:name="_Toc29882"/>
      <w:bookmarkStart w:id="1134" w:name="_Hlk167300074"/>
      <w:bookmarkStart w:id="1135" w:name="_Toc475472688"/>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rPr>
        <w:t>社会保险经办机构出具的投标人为职工缴纳社会保险的单位缴费信息记录</w:t>
      </w:r>
      <w:bookmarkEnd w:id="1122"/>
      <w:bookmarkEnd w:id="1123"/>
      <w:bookmarkEnd w:id="1124"/>
      <w:bookmarkEnd w:id="1125"/>
      <w:bookmarkEnd w:id="1126"/>
      <w:bookmarkEnd w:id="1127"/>
      <w:bookmarkEnd w:id="1128"/>
      <w:bookmarkEnd w:id="1129"/>
      <w:bookmarkEnd w:id="1130"/>
      <w:bookmarkEnd w:id="1131"/>
      <w:bookmarkEnd w:id="1132"/>
      <w:bookmarkEnd w:id="1133"/>
    </w:p>
    <w:bookmarkEnd w:id="1134"/>
    <w:p w14:paraId="1A596B2B">
      <w:pPr>
        <w:rPr>
          <w:rFonts w:asciiTheme="minorEastAsia" w:hAnsiTheme="minorEastAsia" w:eastAsiaTheme="minorEastAsia"/>
          <w:highlight w:val="none"/>
        </w:rPr>
      </w:pPr>
    </w:p>
    <w:p w14:paraId="49641A81">
      <w:pPr>
        <w:rPr>
          <w:rFonts w:asciiTheme="minorEastAsia" w:hAnsiTheme="minorEastAsia" w:eastAsiaTheme="minorEastAsia"/>
          <w:highlight w:val="none"/>
        </w:rPr>
      </w:pPr>
    </w:p>
    <w:p w14:paraId="5BF2282A">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5C7F67B9">
      <w:pPr>
        <w:numPr>
          <w:ilvl w:val="0"/>
          <w:numId w:val="99"/>
        </w:numPr>
        <w:topLinePunct/>
        <w:spacing w:line="440" w:lineRule="exact"/>
        <w:ind w:left="0" w:firstLine="0"/>
        <w:jc w:val="left"/>
        <w:rPr>
          <w:rFonts w:asciiTheme="minorEastAsia" w:hAnsiTheme="minorEastAsia" w:eastAsiaTheme="minorEastAsia"/>
          <w:highlight w:val="none"/>
        </w:rPr>
      </w:pPr>
      <w:r>
        <w:rPr>
          <w:rFonts w:hint="eastAsia" w:asciiTheme="minorEastAsia" w:hAnsiTheme="minorEastAsia" w:eastAsiaTheme="minorEastAsia"/>
          <w:highlight w:val="none"/>
        </w:rPr>
        <w:t>提供由社会保险经办机构出具的投标人为职工缴纳社会保险的单位缴费信息记录的</w:t>
      </w:r>
      <w:r>
        <w:rPr>
          <w:rFonts w:hint="eastAsia" w:asciiTheme="minorEastAsia" w:hAnsiTheme="minorEastAsia" w:eastAsiaTheme="minorEastAsia"/>
          <w:lang w:val="en-US" w:eastAsia="zh-CN"/>
        </w:rPr>
        <w:t>明文件</w:t>
      </w:r>
      <w:r>
        <w:rPr>
          <w:rFonts w:hint="eastAsia" w:asciiTheme="minorEastAsia" w:hAnsiTheme="minorEastAsia" w:eastAsiaTheme="minorEastAsia"/>
          <w:highlight w:val="none"/>
        </w:rPr>
        <w:t>。</w:t>
      </w:r>
    </w:p>
    <w:p w14:paraId="2A887649">
      <w:pPr>
        <w:numPr>
          <w:ilvl w:val="0"/>
          <w:numId w:val="99"/>
        </w:numPr>
        <w:topLinePunct/>
        <w:spacing w:line="440" w:lineRule="exact"/>
        <w:ind w:left="422" w:hanging="422"/>
        <w:jc w:val="left"/>
        <w:rPr>
          <w:rFonts w:asciiTheme="minorEastAsia" w:hAnsiTheme="minorEastAsia" w:eastAsiaTheme="minorEastAsia"/>
          <w:highlight w:val="none"/>
        </w:rPr>
      </w:pPr>
      <w:r>
        <w:rPr>
          <w:rFonts w:hint="eastAsia" w:asciiTheme="minorEastAsia" w:hAnsiTheme="minorEastAsia" w:eastAsiaTheme="minorEastAsia"/>
          <w:highlight w:val="none"/>
        </w:rPr>
        <w:t>【提供单位缴费信息记录的时间周期等具体要求】</w:t>
      </w:r>
    </w:p>
    <w:p w14:paraId="730A5208">
      <w:pPr>
        <w:rPr>
          <w:rFonts w:asciiTheme="minorEastAsia" w:hAnsiTheme="minorEastAsia" w:eastAsiaTheme="minorEastAsia"/>
          <w:highlight w:val="none"/>
        </w:rPr>
      </w:pPr>
      <w:r>
        <w:rPr>
          <w:rFonts w:hint="eastAsia" w:asciiTheme="minorEastAsia" w:hAnsiTheme="minorEastAsia" w:eastAsiaTheme="minorEastAsia"/>
          <w:highlight w:val="none"/>
        </w:rPr>
        <w:br w:type="page"/>
      </w:r>
    </w:p>
    <w:p w14:paraId="6B2D4F4B"/>
    <w:p w14:paraId="1BDB9F52">
      <w:pPr>
        <w:pStyle w:val="3"/>
        <w:bidi w:val="0"/>
        <w:rPr>
          <w:rFonts w:hint="eastAsia"/>
          <w:sz w:val="24"/>
          <w:szCs w:val="24"/>
        </w:rPr>
      </w:pPr>
      <w:bookmarkStart w:id="1136" w:name="_Toc7208"/>
      <w:bookmarkStart w:id="1137" w:name="_Toc27523"/>
      <w:bookmarkStart w:id="1138" w:name="_Toc30417"/>
      <w:bookmarkStart w:id="1139" w:name="_Toc802"/>
      <w:bookmarkStart w:id="1140" w:name="_Toc14416"/>
      <w:bookmarkStart w:id="1141" w:name="_Toc25922"/>
      <w:bookmarkStart w:id="1142" w:name="_Toc14095"/>
      <w:bookmarkStart w:id="1143" w:name="_Toc1565"/>
      <w:bookmarkStart w:id="1144" w:name="_Toc31720"/>
      <w:bookmarkStart w:id="1145" w:name="_Toc26638"/>
      <w:bookmarkStart w:id="1146" w:name="_Toc7605"/>
      <w:bookmarkStart w:id="1147" w:name="_Toc11934"/>
      <w:r>
        <w:rPr>
          <w:rFonts w:hint="eastAsia"/>
          <w:sz w:val="24"/>
          <w:szCs w:val="24"/>
          <w:lang w:val="en-US" w:eastAsia="zh-CN"/>
        </w:rPr>
        <w:t>26.</w:t>
      </w:r>
      <w:r>
        <w:rPr>
          <w:rFonts w:hint="eastAsia"/>
          <w:sz w:val="24"/>
          <w:szCs w:val="24"/>
        </w:rPr>
        <w:t>知识产权不侵权承诺函</w:t>
      </w:r>
      <w:bookmarkEnd w:id="1136"/>
      <w:bookmarkEnd w:id="1137"/>
      <w:bookmarkEnd w:id="1138"/>
      <w:bookmarkEnd w:id="1139"/>
      <w:bookmarkEnd w:id="1140"/>
      <w:bookmarkEnd w:id="1141"/>
      <w:bookmarkEnd w:id="1142"/>
      <w:bookmarkEnd w:id="1143"/>
      <w:bookmarkEnd w:id="1144"/>
      <w:bookmarkEnd w:id="1145"/>
      <w:bookmarkEnd w:id="1146"/>
      <w:bookmarkEnd w:id="1147"/>
    </w:p>
    <w:p w14:paraId="01698465">
      <w:pPr>
        <w:keepNext w:val="0"/>
        <w:keepLines w:val="0"/>
        <w:pageBreakBefore w:val="0"/>
        <w:widowControl w:val="0"/>
        <w:kinsoku/>
        <w:wordWrap/>
        <w:overflowPunct/>
        <w:topLinePunct w:val="0"/>
        <w:autoSpaceDE/>
        <w:autoSpaceDN/>
        <w:bidi w:val="0"/>
        <w:adjustRightInd/>
        <w:snapToGrid/>
        <w:spacing w:before="157" w:beforeLines="50" w:after="157" w:afterLines="50"/>
        <w:ind w:firstLine="561"/>
        <w:jc w:val="center"/>
        <w:textAlignment w:val="auto"/>
        <w:rPr>
          <w:rFonts w:asciiTheme="minorEastAsia" w:hAnsiTheme="minorEastAsia" w:eastAsiaTheme="minorEastAsia"/>
          <w:b/>
          <w:sz w:val="24"/>
          <w:szCs w:val="30"/>
        </w:rPr>
      </w:pPr>
      <w:r>
        <w:rPr>
          <w:rFonts w:hint="eastAsia" w:asciiTheme="minorEastAsia" w:hAnsiTheme="minorEastAsia" w:eastAsiaTheme="minorEastAsia"/>
          <w:b/>
          <w:sz w:val="24"/>
          <w:szCs w:val="30"/>
          <w:lang w:val="en-US" w:eastAsia="zh-CN"/>
        </w:rPr>
        <w:t>知识产权不侵权承诺</w:t>
      </w:r>
      <w:r>
        <w:rPr>
          <w:rFonts w:hint="eastAsia" w:asciiTheme="minorEastAsia" w:hAnsiTheme="minorEastAsia" w:eastAsiaTheme="minorEastAsia"/>
          <w:b/>
          <w:sz w:val="24"/>
          <w:szCs w:val="30"/>
        </w:rPr>
        <w:t>函</w:t>
      </w:r>
    </w:p>
    <w:p w14:paraId="44B5B7D3">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致：【中国电信[   ]公司】：</w:t>
      </w:r>
    </w:p>
    <w:p w14:paraId="2C113B59">
      <w:pPr>
        <w:pStyle w:val="35"/>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本单位郑重承诺遵守本知识产权不侵权承诺书，如违反，本单位承担由此带来的一切责任。</w:t>
      </w:r>
    </w:p>
    <w:p w14:paraId="3615D968">
      <w:pPr>
        <w:keepNext w:val="0"/>
        <w:keepLines w:val="0"/>
        <w:pageBreakBefore w:val="0"/>
        <w:numPr>
          <w:ilvl w:val="0"/>
          <w:numId w:val="100"/>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就【（采购项目名称）】（“本项目”），本单位承诺按照</w:t>
      </w:r>
      <w:r>
        <w:rPr>
          <w:rFonts w:asciiTheme="minorEastAsia" w:hAnsiTheme="minorEastAsia" w:eastAsiaTheme="minorEastAsia"/>
          <w:color w:val="000000" w:themeColor="text1"/>
          <w:kern w:val="0"/>
          <w:szCs w:val="21"/>
          <w14:textFill>
            <w14:solidFill>
              <w14:schemeClr w14:val="tx1"/>
            </w14:solidFill>
          </w14:textFill>
        </w:rPr>
        <w:t>招标</w:t>
      </w:r>
      <w:r>
        <w:rPr>
          <w:rFonts w:hint="eastAsia" w:asciiTheme="minorEastAsia" w:hAnsiTheme="minorEastAsia" w:eastAsiaTheme="minorEastAsia"/>
          <w:color w:val="000000" w:themeColor="text1"/>
          <w:kern w:val="0"/>
          <w:szCs w:val="21"/>
          <w14:textFill>
            <w14:solidFill>
              <w14:schemeClr w14:val="tx1"/>
            </w14:solidFill>
          </w14:textFill>
        </w:rPr>
        <w:t>文件及合同</w:t>
      </w:r>
      <w:r>
        <w:rPr>
          <w:rFonts w:asciiTheme="minorEastAsia" w:hAnsiTheme="minorEastAsia" w:eastAsiaTheme="minorEastAsia"/>
          <w:color w:val="000000" w:themeColor="text1"/>
          <w:kern w:val="0"/>
          <w:szCs w:val="21"/>
          <w14:textFill>
            <w14:solidFill>
              <w14:schemeClr w14:val="tx1"/>
            </w14:solidFill>
          </w14:textFill>
        </w:rPr>
        <w:t>/协议</w:t>
      </w:r>
      <w:r>
        <w:rPr>
          <w:rFonts w:hint="eastAsia" w:asciiTheme="minorEastAsia" w:hAnsiTheme="minorEastAsia" w:eastAsiaTheme="minorEastAsia"/>
          <w:color w:val="000000" w:themeColor="text1"/>
          <w:kern w:val="0"/>
          <w:szCs w:val="21"/>
          <w14:textFill>
            <w14:solidFill>
              <w14:schemeClr w14:val="tx1"/>
            </w14:solidFill>
          </w14:textFill>
        </w:rPr>
        <w:t>履行知识产权</w:t>
      </w:r>
      <w:r>
        <w:rPr>
          <w:rFonts w:hint="eastAsia" w:asciiTheme="minorEastAsia" w:hAnsiTheme="minorEastAsia" w:eastAsiaTheme="minorEastAsia"/>
          <w:color w:val="000000" w:themeColor="text1"/>
          <w:szCs w:val="21"/>
          <w14:textFill>
            <w14:solidFill>
              <w14:schemeClr w14:val="tx1"/>
            </w14:solidFill>
          </w14:textFill>
        </w:rPr>
        <w:t>相关义务和责任</w:t>
      </w:r>
      <w:r>
        <w:rPr>
          <w:rFonts w:hint="eastAsia" w:asciiTheme="minorEastAsia" w:hAnsiTheme="minorEastAsia" w:eastAsiaTheme="minorEastAsia"/>
          <w:color w:val="000000" w:themeColor="text1"/>
          <w:kern w:val="0"/>
          <w:szCs w:val="21"/>
          <w14:textFill>
            <w14:solidFill>
              <w14:schemeClr w14:val="tx1"/>
            </w14:solidFill>
          </w14:textFill>
        </w:rPr>
        <w:t>。</w:t>
      </w:r>
    </w:p>
    <w:p w14:paraId="7FAA9D28">
      <w:pPr>
        <w:keepNext w:val="0"/>
        <w:keepLines w:val="0"/>
        <w:pageBreakBefore w:val="0"/>
        <w:numPr>
          <w:ilvl w:val="0"/>
          <w:numId w:val="100"/>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本单位承诺并保证，本项目</w:t>
      </w:r>
      <w:r>
        <w:rPr>
          <w:rFonts w:hint="default" w:asciiTheme="minorEastAsia" w:hAnsiTheme="minorEastAsia" w:eastAsiaTheme="minorEastAsia"/>
          <w:color w:val="000000" w:themeColor="text1"/>
          <w:kern w:val="0"/>
          <w:szCs w:val="21"/>
          <w:lang w:val="en-US"/>
          <w14:textFill>
            <w14:solidFill>
              <w14:schemeClr w14:val="tx1"/>
            </w14:solidFill>
          </w14:textFill>
        </w:rPr>
        <w:t>投标</w:t>
      </w:r>
      <w:r>
        <w:rPr>
          <w:rFonts w:hint="eastAsia" w:asciiTheme="minorEastAsia" w:hAnsiTheme="minorEastAsia" w:eastAsiaTheme="minorEastAsia"/>
          <w:color w:val="000000" w:themeColor="text1"/>
          <w:kern w:val="0"/>
          <w:szCs w:val="21"/>
          <w14:textFill>
            <w14:solidFill>
              <w14:schemeClr w14:val="tx1"/>
            </w14:solidFill>
          </w14:textFill>
        </w:rPr>
        <w:t>产品以及本单位向贵公司交付的所有</w:t>
      </w:r>
      <w:r>
        <w:rPr>
          <w:rFonts w:hint="default" w:asciiTheme="minorEastAsia" w:hAnsiTheme="minorEastAsia" w:eastAsiaTheme="minorEastAsia"/>
          <w:color w:val="000000" w:themeColor="text1"/>
          <w:kern w:val="0"/>
          <w:szCs w:val="21"/>
          <w:lang w:val="en-US"/>
          <w14:textFill>
            <w14:solidFill>
              <w14:schemeClr w14:val="tx1"/>
            </w14:solidFill>
          </w14:textFill>
        </w:rPr>
        <w:t>投标</w:t>
      </w:r>
      <w:r>
        <w:rPr>
          <w:rFonts w:hint="eastAsia" w:asciiTheme="minorEastAsia" w:hAnsiTheme="minorEastAsia" w:eastAsiaTheme="minorEastAsia"/>
          <w:color w:val="000000" w:themeColor="text1"/>
          <w:kern w:val="0"/>
          <w:szCs w:val="21"/>
          <w14:textFill>
            <w14:solidFill>
              <w14:schemeClr w14:val="tx1"/>
            </w14:solidFill>
          </w14:textFill>
        </w:rPr>
        <w:t>产品相关成果（合称“项目标的”），本单位均享有合法的知识产权和所有权，或者已从相关权利人获得合法充分的授权。本单位按照本项目</w:t>
      </w:r>
      <w:r>
        <w:rPr>
          <w:rFonts w:asciiTheme="minorEastAsia" w:hAnsiTheme="minorEastAsia" w:eastAsiaTheme="minorEastAsia"/>
          <w:color w:val="000000" w:themeColor="text1"/>
          <w:kern w:val="0"/>
          <w:szCs w:val="21"/>
          <w14:textFill>
            <w14:solidFill>
              <w14:schemeClr w14:val="tx1"/>
            </w14:solidFill>
          </w14:textFill>
        </w:rPr>
        <w:t>招标</w:t>
      </w:r>
      <w:r>
        <w:rPr>
          <w:rFonts w:hint="eastAsia" w:asciiTheme="minorEastAsia" w:hAnsiTheme="minorEastAsia" w:eastAsiaTheme="minorEastAsia"/>
          <w:color w:val="000000" w:themeColor="text1"/>
          <w:kern w:val="0"/>
          <w:szCs w:val="21"/>
          <w14:textFill>
            <w14:solidFill>
              <w14:schemeClr w14:val="tx1"/>
            </w14:solidFill>
          </w14:textFill>
        </w:rPr>
        <w:t>文件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5C680E43">
      <w:pPr>
        <w:keepNext w:val="0"/>
        <w:keepLines w:val="0"/>
        <w:pageBreakBefore w:val="0"/>
        <w:numPr>
          <w:ilvl w:val="0"/>
          <w:numId w:val="100"/>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本项目报价已包含了项目标的知识产权及所有权利的一切授权费用。本单位承诺按招标文件及</w:t>
      </w:r>
      <w:r>
        <w:rPr>
          <w:rFonts w:hint="eastAsia" w:asciiTheme="minorEastAsia" w:hAnsiTheme="minorEastAsia" w:eastAsiaTheme="minorEastAsia"/>
          <w:color w:val="000000" w:themeColor="text1"/>
          <w:szCs w:val="21"/>
          <w14:textFill>
            <w14:solidFill>
              <w14:schemeClr w14:val="tx1"/>
            </w14:solidFill>
          </w14:textFill>
        </w:rPr>
        <w:t>合同/协议</w:t>
      </w:r>
      <w:r>
        <w:rPr>
          <w:rFonts w:hint="eastAsia" w:asciiTheme="minorEastAsia" w:hAnsiTheme="minorEastAsia" w:eastAsiaTheme="minorEastAsia"/>
          <w:color w:val="000000" w:themeColor="text1"/>
          <w:kern w:val="0"/>
          <w:szCs w:val="21"/>
          <w14:textFill>
            <w14:solidFill>
              <w14:schemeClr w14:val="tx1"/>
            </w14:solidFill>
          </w14:textFill>
        </w:rPr>
        <w:t>约定向贵公司提供技术文档并提供技术支持。</w:t>
      </w:r>
    </w:p>
    <w:p w14:paraId="5A345C31">
      <w:pPr>
        <w:keepNext w:val="0"/>
        <w:keepLines w:val="0"/>
        <w:pageBreakBefore w:val="0"/>
        <w:numPr>
          <w:ilvl w:val="0"/>
          <w:numId w:val="100"/>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14:textFill>
            <w14:solidFill>
              <w14:schemeClr w14:val="tx1"/>
            </w14:solidFill>
          </w14:textFill>
        </w:rPr>
        <w:t>贵公司或</w:t>
      </w:r>
      <w:r>
        <w:rPr>
          <w:rFonts w:hint="eastAsia" w:asciiTheme="minorEastAsia" w:hAnsiTheme="minorEastAsia" w:eastAsiaTheme="minorEastAsia"/>
          <w:color w:val="000000" w:themeColor="text1"/>
          <w:szCs w:val="21"/>
          <w:lang w:eastAsia="zh-CN"/>
          <w14:textFill>
            <w14:solidFill>
              <w14:schemeClr w14:val="tx1"/>
            </w14:solidFill>
          </w14:textFill>
        </w:rPr>
        <w:t>贵公司客户</w:t>
      </w:r>
      <w:r>
        <w:rPr>
          <w:rFonts w:hint="eastAsia" w:asciiTheme="minorEastAsia" w:hAnsiTheme="minorEastAsia" w:eastAsiaTheme="minorEastAsia"/>
          <w:color w:val="000000" w:themeColor="text1"/>
          <w:szCs w:val="21"/>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14:textFill>
            <w14:solidFill>
              <w14:schemeClr w14:val="tx1"/>
            </w14:solidFill>
          </w14:textFill>
        </w:rPr>
        <w:t>贵公司或</w:t>
      </w:r>
      <w:r>
        <w:rPr>
          <w:rFonts w:hint="eastAsia" w:asciiTheme="minorEastAsia" w:hAnsiTheme="minorEastAsia" w:eastAsiaTheme="minorEastAsia"/>
          <w:color w:val="000000" w:themeColor="text1"/>
          <w:szCs w:val="21"/>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64F14C6E">
      <w:pPr>
        <w:keepNext w:val="0"/>
        <w:keepLines w:val="0"/>
        <w:pageBreakBefore w:val="0"/>
        <w:numPr>
          <w:ilvl w:val="0"/>
          <w:numId w:val="100"/>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继续使用项目标的的部分或全部的，本单位承诺采取以下措施：</w:t>
      </w:r>
    </w:p>
    <w:p w14:paraId="181B499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免费获得使用项目标的的权利，或</w:t>
      </w:r>
    </w:p>
    <w:p w14:paraId="367B5F69">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不受上述禁令限制继续使用项目标的，或</w:t>
      </w:r>
    </w:p>
    <w:p w14:paraId="75F91FC0">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（3）其他使贵公司</w:t>
      </w:r>
      <w:r>
        <w:rPr>
          <w:rFonts w:hint="eastAsia" w:asciiTheme="minorEastAsia" w:hAnsiTheme="minorEastAsia" w:eastAsiaTheme="minorEastAsia"/>
          <w:color w:val="000000" w:themeColor="text1"/>
          <w:szCs w:val="21"/>
          <w14:textFill>
            <w14:solidFill>
              <w14:schemeClr w14:val="tx1"/>
            </w14:solidFill>
          </w14:textFill>
        </w:rPr>
        <w:t>或贵公司客户</w:t>
      </w:r>
      <w:r>
        <w:rPr>
          <w:rFonts w:hint="eastAsia" w:asciiTheme="minorEastAsia" w:hAnsiTheme="minorEastAsia" w:eastAsiaTheme="minorEastAsia"/>
          <w:color w:val="000000" w:themeColor="text1"/>
          <w:kern w:val="0"/>
          <w:szCs w:val="21"/>
          <w14:textFill>
            <w14:solidFill>
              <w14:schemeClr w14:val="tx1"/>
            </w14:solidFill>
          </w14:textFill>
        </w:rPr>
        <w:t>对项目标的拥有合法使用权，或其他弥补贵公司或贵公司客户受损利益、实现合同目的的合理方式。</w:t>
      </w:r>
    </w:p>
    <w:p w14:paraId="74454D8D">
      <w:pPr>
        <w:pStyle w:val="143"/>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本单位采取上述措施不能免除本单位就贵公司和/或贵公司客户因此遭受的损失进行赔偿的义务。</w:t>
      </w:r>
    </w:p>
    <w:p w14:paraId="2D3222F7">
      <w:pPr>
        <w:keepNext w:val="0"/>
        <w:keepLines w:val="0"/>
        <w:pageBreakBefore w:val="0"/>
        <w:numPr>
          <w:ilvl w:val="0"/>
          <w:numId w:val="100"/>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不时修订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7C662309">
      <w:pPr>
        <w:keepNext w:val="0"/>
        <w:keepLines w:val="0"/>
        <w:pageBreakBefore w:val="0"/>
        <w:numPr>
          <w:ilvl w:val="0"/>
          <w:numId w:val="100"/>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5A6032C9">
      <w:pPr>
        <w:numPr>
          <w:ilvl w:val="0"/>
          <w:numId w:val="0"/>
        </w:numPr>
        <w:spacing w:line="300" w:lineRule="auto"/>
        <w:rPr>
          <w:rFonts w:hint="eastAsia" w:asciiTheme="minorEastAsia" w:hAnsiTheme="minorEastAsia" w:eastAsiaTheme="minorEastAsia"/>
          <w:color w:val="000000" w:themeColor="text1"/>
          <w:kern w:val="0"/>
          <w:szCs w:val="21"/>
          <w14:textFill>
            <w14:solidFill>
              <w14:schemeClr w14:val="tx1"/>
            </w14:solidFill>
          </w14:textFill>
        </w:rPr>
      </w:pPr>
    </w:p>
    <w:p w14:paraId="01EB2029">
      <w:pPr>
        <w:spacing w:line="440" w:lineRule="exact"/>
        <w:ind w:firstLine="424" w:firstLineChars="202"/>
        <w:rPr>
          <w:rFonts w:asciiTheme="minorEastAsia" w:hAnsiTheme="minorEastAsia" w:eastAsiaTheme="minorEastAsia"/>
          <w:szCs w:val="21"/>
          <w:u w:val="single"/>
        </w:rPr>
      </w:pPr>
      <w:r>
        <w:rPr>
          <w:rFonts w:hint="eastAsia" w:asciiTheme="minorEastAsia" w:hAnsiTheme="minorEastAsia" w:eastAsiaTheme="minorEastAsia"/>
          <w:szCs w:val="21"/>
        </w:rPr>
        <w:t>承诺单位：</w:t>
      </w:r>
      <w:r>
        <w:rPr>
          <w:rFonts w:hint="eastAsia" w:asciiTheme="minorEastAsia" w:hAnsiTheme="minorEastAsia" w:eastAsiaTheme="minorEastAsia"/>
          <w:szCs w:val="21"/>
          <w:u w:val="single"/>
        </w:rPr>
        <w:t xml:space="preserve">　　　　　　　　                  </w:t>
      </w:r>
    </w:p>
    <w:p w14:paraId="6BB1402D">
      <w:pPr>
        <w:spacing w:line="44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4DAEDD2E">
      <w:pPr>
        <w:spacing w:line="440" w:lineRule="exact"/>
        <w:ind w:firstLine="424" w:firstLineChars="202"/>
        <w:jc w:val="left"/>
        <w:rPr>
          <w:rFonts w:asciiTheme="minorEastAsia" w:hAnsiTheme="minorEastAsia" w:eastAsiaTheme="minorEastAsia"/>
          <w:szCs w:val="21"/>
        </w:rPr>
      </w:pPr>
      <w:r>
        <w:rPr>
          <w:rFonts w:hint="eastAsia" w:cs="宋体" w:asciiTheme="minorEastAsia" w:hAnsiTheme="minorEastAsia" w:eastAsiaTheme="minorEastAsia"/>
        </w:rPr>
        <w:t>日期：</w:t>
      </w:r>
      <w:r>
        <w:rPr>
          <w:rFonts w:cs="宋体" w:asciiTheme="minorEastAsia" w:hAnsiTheme="minorEastAsia" w:eastAsiaTheme="minorEastAsia"/>
          <w:u w:val="single"/>
        </w:rPr>
        <w:t xml:space="preserve">_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__ </w:t>
      </w:r>
      <w:r>
        <w:rPr>
          <w:rFonts w:hint="eastAsia" w:cs="宋体" w:asciiTheme="minorEastAsia" w:hAnsiTheme="minorEastAsia" w:eastAsiaTheme="minorEastAsia"/>
        </w:rPr>
        <w:t>年</w:t>
      </w:r>
      <w:r>
        <w:rPr>
          <w:rFonts w:cs="宋体" w:asciiTheme="minorEastAsia" w:hAnsiTheme="minorEastAsia" w:eastAsiaTheme="minorEastAsia"/>
          <w:u w:val="single"/>
        </w:rPr>
        <w:t>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__</w:t>
      </w:r>
      <w:r>
        <w:rPr>
          <w:rFonts w:hint="eastAsia" w:cs="宋体" w:asciiTheme="minorEastAsia" w:hAnsiTheme="minorEastAsia" w:eastAsiaTheme="minorEastAsia"/>
        </w:rPr>
        <w:t>月</w:t>
      </w:r>
      <w:r>
        <w:rPr>
          <w:rFonts w:cs="宋体" w:asciiTheme="minorEastAsia" w:hAnsiTheme="minorEastAsia" w:eastAsiaTheme="minorEastAsia"/>
          <w:u w:val="single"/>
        </w:rPr>
        <w:t>_    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_</w:t>
      </w:r>
      <w:r>
        <w:rPr>
          <w:rFonts w:hint="eastAsia" w:cs="宋体" w:asciiTheme="minorEastAsia" w:hAnsiTheme="minorEastAsia" w:eastAsiaTheme="minorEastAsia"/>
        </w:rPr>
        <w:t>日</w:t>
      </w:r>
    </w:p>
    <w:p w14:paraId="40349125">
      <w:pPr>
        <w:widowControl/>
        <w:snapToGrid w:val="0"/>
        <w:spacing w:line="440" w:lineRule="exact"/>
        <w:jc w:val="left"/>
        <w:rPr>
          <w:rFonts w:hint="eastAsia" w:asciiTheme="minorEastAsia" w:hAnsiTheme="minorEastAsia" w:eastAsiaTheme="minorEastAsia"/>
          <w:sz w:val="24"/>
        </w:rPr>
      </w:pPr>
      <w:r>
        <w:rPr>
          <w:rFonts w:hint="eastAsia"/>
        </w:rPr>
        <w:t xml:space="preserve">    [</w:t>
      </w:r>
      <w:r>
        <w:rPr>
          <w:rFonts w:hint="eastAsia" w:asciiTheme="minorEastAsia" w:hAnsiTheme="minorEastAsia" w:eastAsiaTheme="minorEastAsia"/>
        </w:rPr>
        <w:t>招标人不得对本文件中的条款进行修改。</w:t>
      </w:r>
      <w:r>
        <w:rPr>
          <w:rFonts w:hint="eastAsia"/>
        </w:rPr>
        <w:t>如不涉及需第三方提供本文件，可将落款中签字栏“</w:t>
      </w:r>
      <w:r>
        <w:rPr>
          <w:rFonts w:hint="eastAsia" w:ascii="宋体" w:hAnsi="宋体"/>
          <w:szCs w:val="21"/>
        </w:rPr>
        <w:t>法定代表人/负责人（签字或盖人名章）</w:t>
      </w:r>
      <w:r>
        <w:rPr>
          <w:rFonts w:ascii="宋体" w:hAnsi="宋体"/>
          <w:szCs w:val="21"/>
        </w:rPr>
        <w:t>或者其委托代理人</w:t>
      </w:r>
      <w:r>
        <w:rPr>
          <w:rFonts w:hint="eastAsia" w:ascii="宋体" w:hAnsi="宋体"/>
          <w:szCs w:val="21"/>
        </w:rPr>
        <w:t>（签字）</w:t>
      </w:r>
      <w:r>
        <w:rPr>
          <w:rFonts w:ascii="宋体" w:hAnsi="宋体"/>
          <w:szCs w:val="21"/>
        </w:rPr>
        <w:t>：</w:t>
      </w:r>
      <w:r>
        <w:rPr>
          <w:rFonts w:hint="eastAsia"/>
        </w:rPr>
        <w:t>”删除。</w:t>
      </w:r>
      <w:r>
        <w:rPr>
          <w:rFonts w:hint="eastAsia" w:asciiTheme="minorEastAsia" w:hAnsiTheme="minorEastAsia" w:eastAsiaTheme="minorEastAsia"/>
        </w:rPr>
        <w:t>]</w:t>
      </w:r>
    </w:p>
    <w:p w14:paraId="3B645DC1">
      <w:pPr>
        <w:widowControl/>
        <w:jc w:val="left"/>
        <w:rPr>
          <w:rFonts w:hint="eastAsia" w:asciiTheme="minorEastAsia" w:hAnsiTheme="minorEastAsia" w:eastAsiaTheme="minorEastAsia"/>
          <w:sz w:val="24"/>
        </w:rPr>
      </w:pPr>
    </w:p>
    <w:p w14:paraId="3104A4F6">
      <w:pPr>
        <w:widowControl/>
        <w:jc w:val="left"/>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编制要求：</w:t>
      </w:r>
    </w:p>
    <w:p w14:paraId="16AE23C0">
      <w:pPr>
        <w:widowControl/>
        <w:snapToGrid w:val="0"/>
        <w:spacing w:line="4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1.代理商投标的，制造商和代理商须各自提供一份本承诺函。</w:t>
      </w:r>
    </w:p>
    <w:p w14:paraId="21E361D3">
      <w:pPr>
        <w:widowControl/>
        <w:snapToGrid w:val="0"/>
        <w:spacing w:line="4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投标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71CDB34C">
      <w:pPr>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除本文件允许投标人进行填写的内容以外，投标人不得对本文件进行修改</w:t>
      </w:r>
      <w:r>
        <w:rPr>
          <w:rFonts w:hint="eastAsia" w:asciiTheme="minorEastAsia" w:hAnsiTheme="minorEastAsia" w:eastAsiaTheme="minorEastAsia"/>
        </w:rPr>
        <w:t>。</w:t>
      </w:r>
      <w:bookmarkEnd w:id="794"/>
    </w:p>
    <w:p w14:paraId="1B43170C">
      <w:pPr>
        <w:pStyle w:val="81"/>
        <w:numPr>
          <w:ilvl w:val="0"/>
          <w:numId w:val="0"/>
        </w:numPr>
        <w:tabs>
          <w:tab w:val="left" w:pos="588"/>
        </w:tabs>
        <w:snapToGrid w:val="0"/>
        <w:spacing w:before="120" w:after="120" w:line="440" w:lineRule="exact"/>
        <w:ind w:left="635" w:leftChars="0" w:hanging="425" w:firstLineChars="0"/>
        <w:jc w:val="left"/>
        <w:rPr>
          <w:rFonts w:ascii="宋体" w:hAnsi="宋体" w:cs="Times New Roman"/>
          <w:color w:val="000000" w:themeColor="text1"/>
          <w:sz w:val="24"/>
          <w:szCs w:val="24"/>
          <w14:textFill>
            <w14:solidFill>
              <w14:schemeClr w14:val="tx1"/>
            </w14:solidFill>
          </w14:textFill>
        </w:rPr>
      </w:pPr>
      <w:r>
        <w:br w:type="page"/>
      </w:r>
      <w:bookmarkStart w:id="1148" w:name="_Toc29973"/>
      <w:bookmarkStart w:id="1149" w:name="_Toc9725"/>
      <w:bookmarkStart w:id="1150" w:name="_Toc3451"/>
      <w:bookmarkStart w:id="1151" w:name="_Toc21517"/>
      <w:r>
        <w:rPr>
          <w:rFonts w:hint="eastAsia" w:ascii="宋体" w:hAnsi="宋体" w:cs="Times New Roman"/>
          <w:b/>
          <w:bCs/>
          <w:color w:val="000000" w:themeColor="text1"/>
          <w:kern w:val="2"/>
          <w:sz w:val="24"/>
          <w:szCs w:val="24"/>
          <w:lang w:val="en-US" w:eastAsia="zh-CN" w:bidi="ar-SA"/>
          <w14:textFill>
            <w14:solidFill>
              <w14:schemeClr w14:val="tx1"/>
            </w14:solidFill>
          </w14:textFill>
        </w:rPr>
        <w:t>27</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供应链数字化配合说明</w:t>
      </w:r>
      <w:bookmarkEnd w:id="1148"/>
      <w:bookmarkEnd w:id="1149"/>
      <w:bookmarkEnd w:id="1150"/>
      <w:bookmarkEnd w:id="1151"/>
    </w:p>
    <w:p w14:paraId="657614AA">
      <w:pPr>
        <w:jc w:val="center"/>
        <w:rPr>
          <w:rFonts w:ascii="Times New Roman" w:hAnsi="Times New Roman" w:cs="Times New Roman"/>
          <w:b/>
          <w:sz w:val="24"/>
        </w:rPr>
      </w:pPr>
    </w:p>
    <w:p w14:paraId="3B1F63B1">
      <w:pPr>
        <w:jc w:val="center"/>
        <w:rPr>
          <w:rFonts w:ascii="Times New Roman" w:hAnsi="Times New Roman" w:cs="Times New Roman"/>
          <w:b/>
          <w:sz w:val="24"/>
        </w:rPr>
      </w:pPr>
      <w:r>
        <w:rPr>
          <w:rFonts w:hint="eastAsia" w:ascii="Times New Roman" w:hAnsi="Times New Roman" w:cs="Times New Roman"/>
          <w:b/>
          <w:sz w:val="24"/>
        </w:rPr>
        <w:t>供应链数字化配合说明</w:t>
      </w:r>
    </w:p>
    <w:p w14:paraId="3F67035F">
      <w:pPr>
        <w:spacing w:line="360" w:lineRule="auto"/>
        <w:rPr>
          <w:rFonts w:ascii="Times New Roman" w:hAnsi="Times New Roman" w:cs="Times New Roman"/>
          <w:szCs w:val="21"/>
        </w:rPr>
      </w:pPr>
    </w:p>
    <w:p w14:paraId="48C11983">
      <w:pPr>
        <w:spacing w:line="360" w:lineRule="auto"/>
        <w:rPr>
          <w:rFonts w:ascii="Times New Roman" w:hAnsi="Times New Roman" w:cs="Times New Roman"/>
          <w:szCs w:val="21"/>
        </w:rPr>
      </w:pPr>
      <w:r>
        <w:rPr>
          <w:rFonts w:hint="eastAsia" w:ascii="Times New Roman" w:hAnsi="Times New Roman" w:cs="Times New Roman"/>
          <w:szCs w:val="21"/>
        </w:rPr>
        <w:t>致：</w:t>
      </w:r>
      <w:r>
        <w:rPr>
          <w:rFonts w:hint="eastAsia" w:ascii="Times New Roman" w:hAnsi="Times New Roman" w:cs="Times New Roman"/>
          <w:szCs w:val="21"/>
          <w:u w:val="single"/>
        </w:rPr>
        <w:t xml:space="preserve">                       </w:t>
      </w:r>
      <w:r>
        <w:rPr>
          <w:rFonts w:hint="eastAsia" w:ascii="Times New Roman" w:hAnsi="Times New Roman" w:cs="Times New Roman"/>
          <w:szCs w:val="21"/>
        </w:rPr>
        <w:t>（采购人）</w:t>
      </w:r>
    </w:p>
    <w:p w14:paraId="23A05D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为推进供应链数字化转型，现就与采购人开通合同及订单电子印章功能情况说明如下：</w:t>
      </w:r>
    </w:p>
    <w:p w14:paraId="38DF2F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本次投标截止日期前我公司符合以下情形中的 </w:t>
      </w:r>
      <w:r>
        <w:rPr>
          <w:rFonts w:hint="eastAsia" w:ascii="Times New Roman" w:hAnsi="Times New Roman" w:cs="Times New Roman"/>
          <w:szCs w:val="21"/>
          <w:u w:val="single"/>
        </w:rPr>
        <w:t xml:space="preserve">           </w:t>
      </w:r>
      <w:r>
        <w:rPr>
          <w:rFonts w:hint="eastAsia" w:ascii="Times New Roman" w:hAnsi="Times New Roman" w:cs="Times New Roman"/>
          <w:szCs w:val="21"/>
        </w:rPr>
        <w:t>。</w:t>
      </w:r>
      <w:r>
        <w:rPr>
          <w:rFonts w:hint="eastAsia" w:cs="Times New Roman" w:asciiTheme="minorEastAsia" w:hAnsiTheme="minorEastAsia"/>
          <w:szCs w:val="21"/>
        </w:rPr>
        <w:t>★</w:t>
      </w:r>
      <w:r>
        <w:rPr>
          <w:rFonts w:hint="eastAsia" w:ascii="Times New Roman" w:hAnsi="Times New Roman" w:cs="Times New Roman"/>
          <w:b/>
          <w:szCs w:val="21"/>
        </w:rPr>
        <w:t>我公司承诺在本说明中如存在虚假情况，将接受被视为弄虚作假行为进行处理</w:t>
      </w:r>
    </w:p>
    <w:p w14:paraId="1E7953B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情形1.1：首次承诺或已承诺未中标</w:t>
      </w:r>
    </w:p>
    <w:p w14:paraId="6EB77C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我公司承诺如中标本项目，在合同签署前开通合同及订单电子印章功能，并在合同、订单签订中开展应用。</w:t>
      </w:r>
    </w:p>
    <w:p w14:paraId="16CCEB76">
      <w:pPr>
        <w:spacing w:line="360" w:lineRule="auto"/>
        <w:ind w:firstLine="422" w:firstLineChars="200"/>
        <w:rPr>
          <w:rFonts w:ascii="Times New Roman" w:hAnsi="Times New Roman" w:cs="Times New Roman"/>
          <w:szCs w:val="21"/>
        </w:rPr>
      </w:pPr>
      <w:r>
        <w:rPr>
          <w:rFonts w:hint="eastAsia" w:ascii="Times New Roman" w:hAnsi="Times New Roman" w:cs="Times New Roman"/>
          <w:b/>
          <w:bCs/>
          <w:szCs w:val="21"/>
        </w:rPr>
        <w:t>情形1.2：已承诺未签订合同</w:t>
      </w:r>
    </w:p>
    <w:p w14:paraId="5399616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我公司在参与采购人其他采购项目中已承诺并中标，但还未签订采购合同。</w:t>
      </w:r>
    </w:p>
    <w:p w14:paraId="1FBDD19A">
      <w:pPr>
        <w:spacing w:line="360" w:lineRule="auto"/>
        <w:ind w:firstLine="560"/>
        <w:rPr>
          <w:rFonts w:ascii="Times New Roman" w:hAnsi="Times New Roman" w:cs="Times New Roman"/>
          <w:b/>
          <w:bCs/>
          <w:szCs w:val="21"/>
        </w:rPr>
      </w:pPr>
      <w:r>
        <w:rPr>
          <w:rFonts w:hint="eastAsia" w:ascii="Times New Roman" w:hAnsi="Times New Roman" w:cs="Times New Roman"/>
          <w:b/>
          <w:bCs/>
          <w:szCs w:val="21"/>
        </w:rPr>
        <w:t>情形2：已承诺并已签订采购合同（</w:t>
      </w:r>
      <w:r>
        <w:rPr>
          <w:rFonts w:hint="eastAsia" w:ascii="Times New Roman" w:hAnsi="Times New Roman" w:cs="Times New Roman"/>
          <w:b/>
          <w:szCs w:val="21"/>
        </w:rPr>
        <w:t>未应用电子印章功能</w:t>
      </w:r>
      <w:r>
        <w:rPr>
          <w:rFonts w:hint="eastAsia" w:ascii="Times New Roman" w:hAnsi="Times New Roman" w:cs="Times New Roman"/>
          <w:b/>
          <w:bCs/>
          <w:szCs w:val="21"/>
        </w:rPr>
        <w:t>）</w:t>
      </w:r>
    </w:p>
    <w:p w14:paraId="406DD30C">
      <w:pPr>
        <w:spacing w:line="360" w:lineRule="auto"/>
        <w:ind w:firstLine="560"/>
        <w:rPr>
          <w:rFonts w:ascii="Times New Roman" w:hAnsi="Times New Roman" w:cs="Times New Roman"/>
          <w:szCs w:val="21"/>
        </w:rPr>
      </w:pPr>
      <w:r>
        <w:rPr>
          <w:rFonts w:hint="eastAsia" w:ascii="Times New Roman" w:hAnsi="Times New Roman" w:cs="Times New Roman"/>
          <w:szCs w:val="21"/>
        </w:rPr>
        <w:t>我公司在参与采购人其他历史采购项目中已承诺开通并应用电子印章功能，且采购合同已生效，但未应用电子印章。</w:t>
      </w:r>
    </w:p>
    <w:p w14:paraId="3808E85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情形3：已开通电子印章功能并在合同或订单签署中运用（须提供相关证明材料）</w:t>
      </w:r>
    </w:p>
    <w:p w14:paraId="03236F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合同电子印章证明扫描件：</w:t>
      </w:r>
    </w:p>
    <w:p w14:paraId="2B4881D4">
      <w:pPr>
        <w:spacing w:line="360" w:lineRule="auto"/>
        <w:ind w:firstLine="420" w:firstLineChars="200"/>
        <w:rPr>
          <w:rFonts w:ascii="Times New Roman" w:hAnsi="Times New Roman" w:cs="Times New Roman"/>
          <w:szCs w:val="21"/>
        </w:rPr>
      </w:pPr>
    </w:p>
    <w:p w14:paraId="746C933E">
      <w:pPr>
        <w:spacing w:line="360" w:lineRule="auto"/>
        <w:ind w:firstLine="420" w:firstLineChars="200"/>
        <w:rPr>
          <w:rFonts w:ascii="Times New Roman" w:hAnsi="Times New Roman" w:cs="Times New Roman"/>
          <w:szCs w:val="21"/>
        </w:rPr>
      </w:pPr>
    </w:p>
    <w:p w14:paraId="661872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订单电子印章证明扫描件：    </w:t>
      </w:r>
    </w:p>
    <w:p w14:paraId="768DEF50">
      <w:pPr>
        <w:rPr>
          <w:rFonts w:ascii="Times New Roman" w:hAnsi="Times New Roman" w:cs="Times New Roman"/>
          <w:szCs w:val="21"/>
        </w:rPr>
      </w:pPr>
    </w:p>
    <w:p w14:paraId="415546E0">
      <w:pPr>
        <w:rPr>
          <w:rFonts w:ascii="Times New Roman" w:hAnsi="Times New Roman" w:cs="Times New Roman"/>
          <w:szCs w:val="21"/>
        </w:rPr>
      </w:pPr>
    </w:p>
    <w:p w14:paraId="4AE9ECB4">
      <w:pPr>
        <w:rPr>
          <w:rFonts w:ascii="Times New Roman" w:hAnsi="Times New Roman" w:cs="Times New Roman"/>
          <w:szCs w:val="21"/>
        </w:rPr>
      </w:pPr>
    </w:p>
    <w:p w14:paraId="671A9AA4">
      <w:pPr>
        <w:rPr>
          <w:rFonts w:ascii="Times New Roman" w:hAnsi="Times New Roman" w:cs="Times New Roman"/>
          <w:szCs w:val="21"/>
        </w:rPr>
      </w:pPr>
    </w:p>
    <w:p w14:paraId="721FB12D">
      <w:pPr>
        <w:rPr>
          <w:rFonts w:ascii="Times New Roman" w:hAnsi="Times New Roman" w:cs="Times New Roman"/>
          <w:szCs w:val="21"/>
        </w:rPr>
      </w:pPr>
    </w:p>
    <w:p w14:paraId="24104534">
      <w:pPr>
        <w:ind w:right="18"/>
        <w:jc w:val="right"/>
        <w:rPr>
          <w:rFonts w:ascii="宋体" w:hAnsi="宋体" w:cs="宋体"/>
          <w:szCs w:val="21"/>
        </w:rPr>
      </w:pPr>
    </w:p>
    <w:p w14:paraId="0FAF8707">
      <w:pPr>
        <w:ind w:right="18"/>
        <w:jc w:val="right"/>
        <w:rPr>
          <w:rFonts w:ascii="宋体" w:hAnsi="宋体" w:cs="宋体"/>
          <w:szCs w:val="21"/>
        </w:rPr>
      </w:pPr>
      <w:r>
        <w:rPr>
          <w:rFonts w:hint="eastAsia" w:ascii="Times New Roman" w:hAnsi="Times New Roman" w:cs="Times New Roman"/>
          <w:szCs w:val="21"/>
        </w:rPr>
        <w:t>投标人名称：</w:t>
      </w:r>
      <w:r>
        <w:rPr>
          <w:rFonts w:hint="eastAsia" w:ascii="宋体" w:hAnsi="宋体" w:cs="宋体"/>
          <w:szCs w:val="21"/>
          <w:u w:val="single"/>
        </w:rPr>
        <w:t xml:space="preserve">                       </w:t>
      </w:r>
      <w:r>
        <w:rPr>
          <w:rFonts w:hint="eastAsia" w:ascii="宋体" w:hAnsi="宋体" w:cs="宋体"/>
          <w:szCs w:val="21"/>
        </w:rPr>
        <w:t>（盖单位公章）</w:t>
      </w:r>
    </w:p>
    <w:p w14:paraId="0630FCF1">
      <w:pPr>
        <w:jc w:val="right"/>
      </w:pPr>
      <w:r>
        <w:rPr>
          <w:rFonts w:hint="eastAsia" w:ascii="宋体" w:hAnsi="宋体" w:cs="宋体"/>
          <w:szCs w:val="21"/>
        </w:rPr>
        <w:t xml:space="preserve"> 年     月    日</w:t>
      </w:r>
      <w:r>
        <w:br w:type="page"/>
      </w:r>
    </w:p>
    <w:p w14:paraId="3207870F"/>
    <w:p w14:paraId="51CADED0">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152" w:name="_Toc4197"/>
      <w:bookmarkStart w:id="1153" w:name="_Toc29565"/>
      <w:bookmarkStart w:id="1154" w:name="_Toc13861"/>
      <w:bookmarkStart w:id="1155" w:name="_Toc32107"/>
      <w:bookmarkStart w:id="1156" w:name="_Toc15954"/>
      <w:bookmarkStart w:id="1157" w:name="_Toc25450"/>
      <w:bookmarkStart w:id="1158" w:name="_Toc11021"/>
      <w:bookmarkStart w:id="1159" w:name="_Toc16159"/>
      <w:bookmarkStart w:id="1160" w:name="_Toc29619"/>
      <w:bookmarkStart w:id="1161" w:name="_Toc8679"/>
      <w:bookmarkStart w:id="1162" w:name="_Toc38008097"/>
      <w:bookmarkStart w:id="1163" w:name="_Toc22773"/>
      <w:bookmarkStart w:id="1164" w:name="_Hlk167300079"/>
      <w:bookmarkStart w:id="1165" w:name="OLE_LINK11"/>
      <w:r>
        <w:rPr>
          <w:rFonts w:hint="eastAsia" w:asciiTheme="minorEastAsia" w:hAnsiTheme="minorEastAsia" w:eastAsiaTheme="minorEastAsia"/>
          <w:sz w:val="24"/>
          <w:szCs w:val="24"/>
          <w:highlight w:val="none"/>
        </w:rPr>
        <w:t>第二分册 技术投标文件</w:t>
      </w:r>
      <w:bookmarkEnd w:id="1152"/>
      <w:bookmarkEnd w:id="1153"/>
      <w:bookmarkEnd w:id="1154"/>
      <w:bookmarkEnd w:id="1155"/>
      <w:bookmarkEnd w:id="1156"/>
      <w:bookmarkEnd w:id="1157"/>
      <w:bookmarkEnd w:id="1158"/>
      <w:bookmarkEnd w:id="1159"/>
      <w:bookmarkEnd w:id="1160"/>
      <w:bookmarkEnd w:id="1161"/>
      <w:bookmarkEnd w:id="1162"/>
      <w:bookmarkEnd w:id="1163"/>
    </w:p>
    <w:p w14:paraId="3701B956">
      <w:pPr>
        <w:pStyle w:val="3"/>
        <w:bidi w:val="0"/>
        <w:rPr>
          <w:rFonts w:hint="eastAsia"/>
          <w:sz w:val="24"/>
          <w:szCs w:val="24"/>
          <w:lang w:val="en-US" w:eastAsia="zh-CN"/>
        </w:rPr>
      </w:pPr>
      <w:bookmarkStart w:id="1166" w:name="_Toc24985"/>
      <w:bookmarkStart w:id="1167" w:name="_Toc21052"/>
      <w:bookmarkStart w:id="1168" w:name="_Toc23174"/>
      <w:bookmarkStart w:id="1169" w:name="_Toc15286"/>
      <w:bookmarkStart w:id="1170" w:name="_Toc4224"/>
      <w:bookmarkStart w:id="1171" w:name="_Toc18891"/>
      <w:bookmarkStart w:id="1172" w:name="_Toc21471"/>
      <w:bookmarkStart w:id="1173" w:name="_Toc14054"/>
      <w:bookmarkStart w:id="1174" w:name="_Toc21965"/>
      <w:bookmarkStart w:id="1175" w:name="_Toc38008098"/>
      <w:r>
        <w:rPr>
          <w:rFonts w:hint="eastAsia"/>
          <w:sz w:val="24"/>
          <w:szCs w:val="24"/>
          <w:lang w:val="en-US" w:eastAsia="zh-CN"/>
        </w:rPr>
        <w:t>28.技术投标文件封面</w:t>
      </w:r>
      <w:bookmarkEnd w:id="1135"/>
      <w:bookmarkEnd w:id="1164"/>
      <w:bookmarkEnd w:id="1166"/>
      <w:bookmarkEnd w:id="1167"/>
      <w:bookmarkEnd w:id="1168"/>
      <w:bookmarkEnd w:id="1169"/>
      <w:bookmarkEnd w:id="1170"/>
      <w:bookmarkEnd w:id="1171"/>
      <w:bookmarkEnd w:id="1172"/>
      <w:bookmarkEnd w:id="1173"/>
      <w:bookmarkEnd w:id="1174"/>
      <w:bookmarkEnd w:id="1175"/>
    </w:p>
    <w:p w14:paraId="26D95FCB">
      <w:pPr>
        <w:spacing w:after="120" w:line="360" w:lineRule="atLeast"/>
        <w:jc w:val="center"/>
        <w:rPr>
          <w:rFonts w:cs="宋体" w:asciiTheme="minorEastAsia" w:hAnsiTheme="minorEastAsia" w:eastAsiaTheme="minorEastAsia"/>
          <w:b/>
          <w:sz w:val="36"/>
          <w:szCs w:val="36"/>
          <w:highlight w:val="none"/>
        </w:rPr>
      </w:pPr>
    </w:p>
    <w:p w14:paraId="19E6E8DF">
      <w:pPr>
        <w:spacing w:after="120" w:line="360" w:lineRule="atLeast"/>
        <w:jc w:val="center"/>
        <w:rPr>
          <w:rFonts w:ascii="宋体" w:hAnsi="宋体" w:cs="宋体"/>
          <w:b/>
          <w:sz w:val="30"/>
          <w:szCs w:val="30"/>
        </w:rPr>
      </w:pPr>
      <w:r>
        <w:rPr>
          <w:rFonts w:hint="eastAsia" w:ascii="宋体" w:hAnsi="宋体"/>
          <w:sz w:val="28"/>
          <w:szCs w:val="28"/>
        </w:rPr>
        <w:t>（项目名称）</w:t>
      </w:r>
    </w:p>
    <w:p w14:paraId="45AF5445">
      <w:pPr>
        <w:jc w:val="center"/>
        <w:rPr>
          <w:rFonts w:cs="宋体" w:asciiTheme="minorEastAsia" w:hAnsiTheme="minorEastAsia" w:eastAsiaTheme="minorEastAsia"/>
          <w:szCs w:val="21"/>
          <w:highlight w:val="none"/>
        </w:rPr>
      </w:pPr>
    </w:p>
    <w:p w14:paraId="3656FE6D">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rPr>
        <w:t>投标文件【技术投标文件】部分</w:t>
      </w:r>
    </w:p>
    <w:p w14:paraId="5D935D7B">
      <w:pPr>
        <w:spacing w:after="120"/>
        <w:jc w:val="center"/>
        <w:rPr>
          <w:rFonts w:cs="宋体" w:asciiTheme="minorEastAsia" w:hAnsiTheme="minorEastAsia" w:eastAsiaTheme="minorEastAsia"/>
          <w:b/>
          <w:sz w:val="32"/>
          <w:szCs w:val="32"/>
          <w:highlight w:val="none"/>
        </w:rPr>
      </w:pPr>
    </w:p>
    <w:p w14:paraId="4710F793">
      <w:pPr>
        <w:spacing w:after="120"/>
        <w:jc w:val="center"/>
        <w:rPr>
          <w:rFonts w:cs="宋体" w:asciiTheme="minorEastAsia" w:hAnsiTheme="minorEastAsia" w:eastAsiaTheme="minorEastAsia"/>
          <w:b/>
          <w:sz w:val="32"/>
          <w:szCs w:val="32"/>
          <w:highlight w:val="none"/>
        </w:rPr>
      </w:pPr>
    </w:p>
    <w:p w14:paraId="2732DE07">
      <w:pPr>
        <w:spacing w:after="120"/>
        <w:jc w:val="center"/>
        <w:rPr>
          <w:rFonts w:cs="宋体" w:asciiTheme="minorEastAsia" w:hAnsiTheme="minorEastAsia" w:eastAsiaTheme="minorEastAsia"/>
          <w:b/>
          <w:sz w:val="32"/>
          <w:szCs w:val="32"/>
          <w:highlight w:val="none"/>
        </w:rPr>
      </w:pPr>
    </w:p>
    <w:p w14:paraId="29FF0D03">
      <w:pPr>
        <w:spacing w:after="120"/>
        <w:jc w:val="center"/>
        <w:rPr>
          <w:rFonts w:cs="宋体" w:asciiTheme="minorEastAsia" w:hAnsiTheme="minorEastAsia" w:eastAsiaTheme="minorEastAsia"/>
          <w:b/>
          <w:sz w:val="32"/>
          <w:szCs w:val="32"/>
          <w:highlight w:val="none"/>
        </w:rPr>
      </w:pPr>
    </w:p>
    <w:p w14:paraId="78033E1D">
      <w:pPr>
        <w:spacing w:after="120"/>
        <w:jc w:val="center"/>
        <w:rPr>
          <w:rFonts w:cs="宋体" w:asciiTheme="minorEastAsia" w:hAnsiTheme="minorEastAsia" w:eastAsiaTheme="minorEastAsia"/>
          <w:b/>
          <w:sz w:val="32"/>
          <w:szCs w:val="32"/>
          <w:highlight w:val="none"/>
        </w:rPr>
      </w:pPr>
    </w:p>
    <w:p w14:paraId="146251BB">
      <w:pPr>
        <w:spacing w:after="120"/>
        <w:jc w:val="center"/>
        <w:rPr>
          <w:rFonts w:cs="宋体" w:asciiTheme="minorEastAsia" w:hAnsiTheme="minorEastAsia" w:eastAsiaTheme="minorEastAsia"/>
          <w:b/>
          <w:sz w:val="32"/>
          <w:szCs w:val="32"/>
          <w:highlight w:val="none"/>
        </w:rPr>
      </w:pPr>
    </w:p>
    <w:p w14:paraId="4782430C">
      <w:pPr>
        <w:spacing w:line="440" w:lineRule="exact"/>
        <w:ind w:firstLine="1456" w:firstLineChars="607"/>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投标人名称：</w:t>
      </w:r>
      <w:r>
        <w:rPr>
          <w:rFonts w:hint="eastAsia" w:asciiTheme="minorEastAsia" w:hAnsiTheme="minorEastAsia" w:eastAsiaTheme="minorEastAsia"/>
          <w:sz w:val="24"/>
          <w:szCs w:val="21"/>
          <w:highlight w:val="none"/>
          <w:u w:val="single"/>
        </w:rPr>
        <w:t xml:space="preserve">　　　　　　　　           </w:t>
      </w:r>
    </w:p>
    <w:p w14:paraId="07956861">
      <w:pPr>
        <w:spacing w:line="440" w:lineRule="exact"/>
        <w:ind w:firstLine="1456" w:firstLineChars="607"/>
        <w:jc w:val="left"/>
        <w:rPr>
          <w:rFonts w:asciiTheme="minorEastAsia" w:hAnsiTheme="minorEastAsia" w:eastAsiaTheme="minorEastAsia"/>
          <w:sz w:val="24"/>
          <w:szCs w:val="21"/>
          <w:highlight w:val="none"/>
        </w:rPr>
      </w:pPr>
      <w:r>
        <w:rPr>
          <w:rFonts w:hint="eastAsia" w:cs="宋体" w:asciiTheme="minorEastAsia" w:hAnsiTheme="minorEastAsia" w:eastAsiaTheme="minorEastAsia"/>
          <w:sz w:val="24"/>
          <w:highlight w:val="none"/>
        </w:rPr>
        <w:t>日期：</w:t>
      </w:r>
      <w:r>
        <w:rPr>
          <w:rFonts w:cs="宋体" w:asciiTheme="minorEastAsia" w:hAnsiTheme="minorEastAsia" w:eastAsiaTheme="minorEastAsia"/>
          <w:sz w:val="24"/>
          <w:highlight w:val="none"/>
          <w:u w:val="single"/>
        </w:rPr>
        <w:t xml:space="preserve">_    </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__ </w:t>
      </w:r>
      <w:r>
        <w:rPr>
          <w:rFonts w:hint="eastAsia" w:cs="宋体" w:asciiTheme="minorEastAsia" w:hAnsiTheme="minorEastAsia" w:eastAsiaTheme="minorEastAsia"/>
          <w:sz w:val="24"/>
          <w:highlight w:val="none"/>
        </w:rPr>
        <w:t>年</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    __</w:t>
      </w:r>
      <w:r>
        <w:rPr>
          <w:rFonts w:hint="eastAsia" w:cs="宋体" w:asciiTheme="minorEastAsia" w:hAnsiTheme="minorEastAsia" w:eastAsiaTheme="minorEastAsia"/>
          <w:sz w:val="24"/>
          <w:highlight w:val="none"/>
        </w:rPr>
        <w:t>月</w:t>
      </w:r>
      <w:r>
        <w:rPr>
          <w:rFonts w:cs="宋体" w:asciiTheme="minorEastAsia" w:hAnsiTheme="minorEastAsia" w:eastAsiaTheme="minorEastAsia"/>
          <w:sz w:val="24"/>
          <w:highlight w:val="none"/>
          <w:u w:val="single"/>
        </w:rPr>
        <w:t>_    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rPr>
        <w:t>日</w:t>
      </w:r>
    </w:p>
    <w:p w14:paraId="3A2FFBB1">
      <w:pPr>
        <w:adjustRightInd w:val="0"/>
        <w:snapToGrid w:val="0"/>
        <w:spacing w:line="440" w:lineRule="exact"/>
        <w:jc w:val="center"/>
        <w:rPr>
          <w:rFonts w:cs="宋体" w:asciiTheme="minorEastAsia" w:hAnsiTheme="minorEastAsia" w:eastAsiaTheme="minorEastAsia"/>
          <w:sz w:val="24"/>
          <w:highlight w:val="none"/>
        </w:rPr>
      </w:pPr>
    </w:p>
    <w:p w14:paraId="4E761E4A">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4D73D982">
      <w:pPr>
        <w:topLinePunct/>
        <w:spacing w:line="440" w:lineRule="exact"/>
        <w:jc w:val="left"/>
        <w:rPr>
          <w:rFonts w:hint="eastAsia" w:asciiTheme="minorEastAsia" w:hAnsiTheme="minorEastAsia" w:eastAsiaTheme="minorEastAsia"/>
          <w:b/>
          <w:highlight w:val="none"/>
          <w:lang w:eastAsia="zh-CN"/>
        </w:rPr>
        <w:sectPr>
          <w:pgSz w:w="11906" w:h="16838"/>
          <w:pgMar w:top="1440" w:right="1800" w:bottom="1440" w:left="1800" w:header="851" w:footer="992" w:gutter="0"/>
          <w:pgNumType w:fmt="decimal"/>
          <w:cols w:space="425" w:num="1"/>
          <w:docGrid w:type="lines" w:linePitch="312" w:charSpace="0"/>
        </w:sectPr>
      </w:pPr>
    </w:p>
    <w:p w14:paraId="7EFF9F88">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76" w:name="_Toc10064"/>
      <w:bookmarkStart w:id="1177" w:name="_Toc6095"/>
      <w:bookmarkStart w:id="1178" w:name="_Toc11261"/>
      <w:bookmarkStart w:id="1179" w:name="_Toc23106"/>
      <w:bookmarkStart w:id="1180" w:name="_Toc7456"/>
      <w:bookmarkStart w:id="1181" w:name="_Toc29583"/>
      <w:bookmarkStart w:id="1182" w:name="_Toc26886"/>
      <w:bookmarkStart w:id="1183" w:name="_Toc38008099"/>
      <w:bookmarkStart w:id="1184" w:name="_Toc475472689"/>
      <w:bookmarkStart w:id="1185" w:name="_Toc19346"/>
      <w:bookmarkStart w:id="1186" w:name="_Toc18427"/>
      <w:bookmarkStart w:id="1187" w:name="_Toc28208"/>
      <w:bookmarkStart w:id="1188" w:name="_Toc3024"/>
      <w:bookmarkStart w:id="1189" w:name="_Hlk167300087"/>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rPr>
        <w:t>技术服务评审索引表</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p>
    <w:bookmarkEnd w:id="1189"/>
    <w:p w14:paraId="7196F3D6">
      <w:pPr>
        <w:rPr>
          <w:rFonts w:asciiTheme="minorEastAsia" w:hAnsiTheme="minorEastAsia" w:eastAsiaTheme="minorEastAsia"/>
          <w:highlight w:val="none"/>
        </w:rPr>
      </w:pPr>
    </w:p>
    <w:p w14:paraId="76F20565">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41DC221">
      <w:pPr>
        <w:jc w:val="left"/>
        <w:rPr>
          <w:rFonts w:asciiTheme="minorEastAsia" w:hAnsiTheme="minorEastAsia" w:eastAsiaTheme="minorEastAsia"/>
          <w:b/>
          <w:highlight w:val="none"/>
        </w:rPr>
      </w:pPr>
    </w:p>
    <w:tbl>
      <w:tblPr>
        <w:tblStyle w:val="85"/>
        <w:tblW w:w="833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76"/>
        <w:gridCol w:w="1843"/>
        <w:gridCol w:w="1984"/>
        <w:gridCol w:w="1544"/>
      </w:tblGrid>
      <w:tr w14:paraId="165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E13D14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1976" w:type="dxa"/>
            <w:vAlign w:val="center"/>
          </w:tcPr>
          <w:p w14:paraId="2113AA59">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843" w:type="dxa"/>
            <w:vAlign w:val="center"/>
          </w:tcPr>
          <w:p w14:paraId="1AA0E91A">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投标文件组成</w:t>
            </w:r>
          </w:p>
        </w:tc>
        <w:tc>
          <w:tcPr>
            <w:tcW w:w="1984" w:type="dxa"/>
            <w:vAlign w:val="center"/>
          </w:tcPr>
          <w:p w14:paraId="5104D3D6">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44" w:type="dxa"/>
            <w:vAlign w:val="center"/>
          </w:tcPr>
          <w:p w14:paraId="13A9F3C3">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9E8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C058CF4">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1976" w:type="dxa"/>
            <w:vAlign w:val="center"/>
          </w:tcPr>
          <w:p w14:paraId="056ECDB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软件产品功能和性能</w:t>
            </w:r>
          </w:p>
        </w:tc>
        <w:tc>
          <w:tcPr>
            <w:tcW w:w="1843" w:type="dxa"/>
          </w:tcPr>
          <w:p w14:paraId="38C2D334">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7F7ADA2F">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5521405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CB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5D38E75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1976" w:type="dxa"/>
            <w:vAlign w:val="center"/>
          </w:tcPr>
          <w:p w14:paraId="253503C8">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产品原型展示</w:t>
            </w:r>
          </w:p>
        </w:tc>
        <w:tc>
          <w:tcPr>
            <w:tcW w:w="1843" w:type="dxa"/>
          </w:tcPr>
          <w:p w14:paraId="1B41BCF8">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3CA745AF">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77D5A38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50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AEFB45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1976" w:type="dxa"/>
            <w:vAlign w:val="center"/>
          </w:tcPr>
          <w:p w14:paraId="2F253123">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1843" w:type="dxa"/>
          </w:tcPr>
          <w:p w14:paraId="2E1E182A">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1E475B40">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64F8221D">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20A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0D066C4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1976" w:type="dxa"/>
            <w:vAlign w:val="center"/>
          </w:tcPr>
          <w:p w14:paraId="611C53F3">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1843" w:type="dxa"/>
          </w:tcPr>
          <w:p w14:paraId="6FEEA4B1">
            <w:pPr>
              <w:tabs>
                <w:tab w:val="left" w:pos="720"/>
              </w:tabs>
              <w:spacing w:line="360" w:lineRule="auto"/>
              <w:jc w:val="center"/>
              <w:rPr>
                <w:rFonts w:asciiTheme="minorEastAsia" w:hAnsiTheme="minorEastAsia" w:eastAsiaTheme="minorEastAsia"/>
                <w:szCs w:val="21"/>
                <w:highlight w:val="none"/>
              </w:rPr>
            </w:pPr>
          </w:p>
        </w:tc>
        <w:tc>
          <w:tcPr>
            <w:tcW w:w="1984" w:type="dxa"/>
            <w:vAlign w:val="center"/>
          </w:tcPr>
          <w:p w14:paraId="0A5EBECB">
            <w:pPr>
              <w:tabs>
                <w:tab w:val="left" w:pos="720"/>
              </w:tabs>
              <w:spacing w:line="360" w:lineRule="auto"/>
              <w:jc w:val="center"/>
              <w:rPr>
                <w:rFonts w:asciiTheme="minorEastAsia" w:hAnsiTheme="minorEastAsia" w:eastAsiaTheme="minorEastAsia"/>
                <w:szCs w:val="21"/>
                <w:highlight w:val="none"/>
              </w:rPr>
            </w:pPr>
          </w:p>
        </w:tc>
        <w:tc>
          <w:tcPr>
            <w:tcW w:w="1544" w:type="dxa"/>
            <w:vAlign w:val="center"/>
          </w:tcPr>
          <w:p w14:paraId="06C856C9">
            <w:pPr>
              <w:tabs>
                <w:tab w:val="left" w:pos="720"/>
              </w:tabs>
              <w:spacing w:line="360" w:lineRule="auto"/>
              <w:jc w:val="center"/>
              <w:rPr>
                <w:rFonts w:asciiTheme="minorEastAsia" w:hAnsiTheme="minorEastAsia" w:eastAsiaTheme="minorEastAsia"/>
                <w:szCs w:val="21"/>
                <w:highlight w:val="none"/>
              </w:rPr>
            </w:pPr>
          </w:p>
        </w:tc>
      </w:tr>
      <w:tr w14:paraId="299C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3F29B0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1976" w:type="dxa"/>
            <w:vAlign w:val="center"/>
          </w:tcPr>
          <w:p w14:paraId="7624B66B">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1843" w:type="dxa"/>
          </w:tcPr>
          <w:p w14:paraId="10ECAA19">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B093394">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78F80E7">
            <w:pPr>
              <w:tabs>
                <w:tab w:val="left" w:pos="720"/>
              </w:tabs>
              <w:spacing w:line="360" w:lineRule="auto"/>
              <w:ind w:left="420"/>
              <w:jc w:val="center"/>
              <w:rPr>
                <w:rFonts w:asciiTheme="minorEastAsia" w:hAnsiTheme="minorEastAsia" w:eastAsiaTheme="minorEastAsia"/>
                <w:szCs w:val="21"/>
                <w:highlight w:val="none"/>
              </w:rPr>
            </w:pPr>
          </w:p>
        </w:tc>
      </w:tr>
      <w:tr w14:paraId="5C3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987" w:type="dxa"/>
            <w:vAlign w:val="center"/>
          </w:tcPr>
          <w:p w14:paraId="7DBE299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1976" w:type="dxa"/>
            <w:vAlign w:val="center"/>
          </w:tcPr>
          <w:p w14:paraId="46CFB822">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1843" w:type="dxa"/>
          </w:tcPr>
          <w:p w14:paraId="14E57C7A">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553E1C3">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B8DC6B4">
            <w:pPr>
              <w:tabs>
                <w:tab w:val="left" w:pos="720"/>
              </w:tabs>
              <w:spacing w:line="360" w:lineRule="auto"/>
              <w:ind w:left="420"/>
              <w:jc w:val="center"/>
              <w:rPr>
                <w:rFonts w:asciiTheme="minorEastAsia" w:hAnsiTheme="minorEastAsia" w:eastAsiaTheme="minorEastAsia"/>
                <w:szCs w:val="21"/>
                <w:highlight w:val="none"/>
              </w:rPr>
            </w:pPr>
          </w:p>
        </w:tc>
      </w:tr>
      <w:tr w14:paraId="1533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6AAFD6B0">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1976" w:type="dxa"/>
            <w:vAlign w:val="center"/>
          </w:tcPr>
          <w:p w14:paraId="0A2211E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1843" w:type="dxa"/>
          </w:tcPr>
          <w:p w14:paraId="5C41F2BE">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0AF7A4A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4CBE193">
            <w:pPr>
              <w:tabs>
                <w:tab w:val="left" w:pos="720"/>
              </w:tabs>
              <w:spacing w:line="360" w:lineRule="auto"/>
              <w:ind w:left="420"/>
              <w:jc w:val="center"/>
              <w:rPr>
                <w:rFonts w:asciiTheme="minorEastAsia" w:hAnsiTheme="minorEastAsia" w:eastAsiaTheme="minorEastAsia"/>
                <w:szCs w:val="21"/>
                <w:highlight w:val="none"/>
              </w:rPr>
            </w:pPr>
          </w:p>
        </w:tc>
      </w:tr>
      <w:tr w14:paraId="3BBB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5026760">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8</w:t>
            </w:r>
          </w:p>
        </w:tc>
        <w:tc>
          <w:tcPr>
            <w:tcW w:w="1976" w:type="dxa"/>
            <w:vAlign w:val="center"/>
          </w:tcPr>
          <w:p w14:paraId="44B37C4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进度安排</w:t>
            </w:r>
          </w:p>
        </w:tc>
        <w:tc>
          <w:tcPr>
            <w:tcW w:w="1843" w:type="dxa"/>
          </w:tcPr>
          <w:p w14:paraId="59740518">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212FD000">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35D4076">
            <w:pPr>
              <w:tabs>
                <w:tab w:val="left" w:pos="720"/>
              </w:tabs>
              <w:spacing w:line="360" w:lineRule="auto"/>
              <w:ind w:left="420"/>
              <w:jc w:val="center"/>
              <w:rPr>
                <w:rFonts w:asciiTheme="minorEastAsia" w:hAnsiTheme="minorEastAsia" w:eastAsiaTheme="minorEastAsia"/>
                <w:szCs w:val="21"/>
                <w:highlight w:val="none"/>
              </w:rPr>
            </w:pPr>
          </w:p>
        </w:tc>
      </w:tr>
      <w:tr w14:paraId="1FD0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72C8A07E">
            <w:pPr>
              <w:tabs>
                <w:tab w:val="left" w:pos="720"/>
              </w:tabs>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9</w:t>
            </w:r>
          </w:p>
        </w:tc>
        <w:tc>
          <w:tcPr>
            <w:tcW w:w="1976" w:type="dxa"/>
            <w:vAlign w:val="center"/>
          </w:tcPr>
          <w:p w14:paraId="0F01053C">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1843" w:type="dxa"/>
          </w:tcPr>
          <w:p w14:paraId="72540493">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78AF906C">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C4F1B9F">
            <w:pPr>
              <w:tabs>
                <w:tab w:val="left" w:pos="720"/>
              </w:tabs>
              <w:spacing w:line="360" w:lineRule="auto"/>
              <w:ind w:left="420"/>
              <w:jc w:val="center"/>
              <w:rPr>
                <w:rFonts w:asciiTheme="minorEastAsia" w:hAnsiTheme="minorEastAsia" w:eastAsiaTheme="minorEastAsia"/>
                <w:szCs w:val="21"/>
                <w:highlight w:val="none"/>
              </w:rPr>
            </w:pPr>
          </w:p>
        </w:tc>
      </w:tr>
      <w:tr w14:paraId="1030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40741A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1976" w:type="dxa"/>
            <w:vAlign w:val="center"/>
          </w:tcPr>
          <w:p w14:paraId="7E09036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网络安全管理能力</w:t>
            </w:r>
          </w:p>
        </w:tc>
        <w:tc>
          <w:tcPr>
            <w:tcW w:w="1843" w:type="dxa"/>
          </w:tcPr>
          <w:p w14:paraId="0A5CF326">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152A0DA8">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7BB99F2E">
            <w:pPr>
              <w:tabs>
                <w:tab w:val="left" w:pos="720"/>
              </w:tabs>
              <w:spacing w:line="360" w:lineRule="auto"/>
              <w:jc w:val="center"/>
              <w:rPr>
                <w:rFonts w:asciiTheme="minorEastAsia" w:hAnsiTheme="minorEastAsia" w:eastAsiaTheme="minorEastAsia"/>
                <w:szCs w:val="21"/>
                <w:highlight w:val="none"/>
              </w:rPr>
            </w:pPr>
          </w:p>
        </w:tc>
      </w:tr>
      <w:tr w14:paraId="35BA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9638C91">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1976" w:type="dxa"/>
            <w:vAlign w:val="center"/>
          </w:tcPr>
          <w:p w14:paraId="560E7A1B">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著作权证书</w:t>
            </w:r>
          </w:p>
        </w:tc>
        <w:tc>
          <w:tcPr>
            <w:tcW w:w="1843" w:type="dxa"/>
          </w:tcPr>
          <w:p w14:paraId="688190BC">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50DB76CF">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365104E3">
            <w:pPr>
              <w:tabs>
                <w:tab w:val="left" w:pos="720"/>
              </w:tabs>
              <w:spacing w:line="360" w:lineRule="auto"/>
              <w:jc w:val="center"/>
              <w:rPr>
                <w:rFonts w:asciiTheme="minorEastAsia" w:hAnsiTheme="minorEastAsia" w:eastAsiaTheme="minorEastAsia"/>
                <w:szCs w:val="21"/>
                <w:highlight w:val="none"/>
              </w:rPr>
            </w:pPr>
          </w:p>
        </w:tc>
      </w:tr>
      <w:tr w14:paraId="6AA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3939DA40">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4C32B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02981B75">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5D6FEF6F">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66E72770">
            <w:pPr>
              <w:tabs>
                <w:tab w:val="left" w:pos="720"/>
              </w:tabs>
              <w:spacing w:line="360" w:lineRule="auto"/>
              <w:jc w:val="center"/>
              <w:rPr>
                <w:rFonts w:asciiTheme="minorEastAsia" w:hAnsiTheme="minorEastAsia" w:eastAsiaTheme="minorEastAsia"/>
                <w:szCs w:val="21"/>
                <w:highlight w:val="none"/>
              </w:rPr>
            </w:pPr>
          </w:p>
        </w:tc>
      </w:tr>
      <w:tr w14:paraId="3A06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22923926">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75793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6E440941">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5FD3DD7">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28B0DD74">
            <w:pPr>
              <w:tabs>
                <w:tab w:val="left" w:pos="720"/>
              </w:tabs>
              <w:spacing w:line="360" w:lineRule="auto"/>
              <w:jc w:val="center"/>
              <w:rPr>
                <w:rFonts w:asciiTheme="minorEastAsia" w:hAnsiTheme="minorEastAsia" w:eastAsiaTheme="minorEastAsia"/>
                <w:szCs w:val="21"/>
                <w:highlight w:val="none"/>
              </w:rPr>
            </w:pPr>
          </w:p>
        </w:tc>
      </w:tr>
      <w:tr w14:paraId="141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vAlign w:val="center"/>
          </w:tcPr>
          <w:p w14:paraId="47D2B56A">
            <w:pPr>
              <w:tabs>
                <w:tab w:val="left" w:pos="720"/>
              </w:tabs>
              <w:spacing w:line="360" w:lineRule="auto"/>
              <w:jc w:val="center"/>
              <w:rPr>
                <w:rFonts w:hint="eastAsia" w:asciiTheme="minorEastAsia" w:hAnsiTheme="minorEastAsia" w:eastAsiaTheme="minorEastAsia"/>
                <w:szCs w:val="21"/>
                <w:highlight w:val="none"/>
                <w:lang w:val="en-US" w:eastAsia="zh-CN"/>
              </w:rPr>
            </w:pPr>
          </w:p>
        </w:tc>
        <w:tc>
          <w:tcPr>
            <w:tcW w:w="1976" w:type="dxa"/>
            <w:vAlign w:val="center"/>
          </w:tcPr>
          <w:p w14:paraId="2E759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43" w:type="dxa"/>
          </w:tcPr>
          <w:p w14:paraId="6684D7FF">
            <w:pPr>
              <w:tabs>
                <w:tab w:val="left" w:pos="720"/>
              </w:tabs>
              <w:spacing w:line="360" w:lineRule="auto"/>
              <w:ind w:left="420"/>
              <w:jc w:val="center"/>
              <w:rPr>
                <w:rFonts w:asciiTheme="minorEastAsia" w:hAnsiTheme="minorEastAsia" w:eastAsiaTheme="minorEastAsia"/>
                <w:szCs w:val="21"/>
                <w:highlight w:val="none"/>
              </w:rPr>
            </w:pPr>
          </w:p>
        </w:tc>
        <w:tc>
          <w:tcPr>
            <w:tcW w:w="1984" w:type="dxa"/>
            <w:vAlign w:val="center"/>
          </w:tcPr>
          <w:p w14:paraId="6311DA79">
            <w:pPr>
              <w:tabs>
                <w:tab w:val="left" w:pos="720"/>
              </w:tabs>
              <w:spacing w:line="360" w:lineRule="auto"/>
              <w:ind w:left="420"/>
              <w:jc w:val="center"/>
              <w:rPr>
                <w:rFonts w:asciiTheme="minorEastAsia" w:hAnsiTheme="minorEastAsia" w:eastAsiaTheme="minorEastAsia"/>
                <w:szCs w:val="21"/>
                <w:highlight w:val="none"/>
              </w:rPr>
            </w:pPr>
          </w:p>
        </w:tc>
        <w:tc>
          <w:tcPr>
            <w:tcW w:w="1544" w:type="dxa"/>
            <w:vAlign w:val="center"/>
          </w:tcPr>
          <w:p w14:paraId="02A30E00">
            <w:pPr>
              <w:tabs>
                <w:tab w:val="left" w:pos="720"/>
              </w:tabs>
              <w:spacing w:line="360" w:lineRule="auto"/>
              <w:jc w:val="center"/>
              <w:rPr>
                <w:rFonts w:asciiTheme="minorEastAsia" w:hAnsiTheme="minorEastAsia" w:eastAsiaTheme="minorEastAsia"/>
                <w:szCs w:val="21"/>
                <w:highlight w:val="none"/>
              </w:rPr>
            </w:pPr>
          </w:p>
        </w:tc>
      </w:tr>
    </w:tbl>
    <w:p w14:paraId="0F0B6AEB">
      <w:pPr>
        <w:topLinePunct/>
        <w:spacing w:line="440" w:lineRule="exact"/>
        <w:ind w:left="360"/>
        <w:jc w:val="left"/>
        <w:rPr>
          <w:rFonts w:asciiTheme="minorEastAsia" w:hAnsiTheme="minorEastAsia" w:eastAsiaTheme="minorEastAsia"/>
          <w:b/>
          <w:highlight w:val="none"/>
        </w:rPr>
      </w:pPr>
    </w:p>
    <w:p w14:paraId="125EE485">
      <w:pPr>
        <w:topLinePunct/>
        <w:spacing w:line="440" w:lineRule="exact"/>
        <w:ind w:left="360"/>
        <w:jc w:val="left"/>
        <w:rPr>
          <w:rFonts w:asciiTheme="minorEastAsia" w:hAnsiTheme="minorEastAsia" w:eastAsiaTheme="minorEastAsia"/>
          <w:b/>
          <w:highlight w:val="none"/>
        </w:rPr>
      </w:pPr>
    </w:p>
    <w:p w14:paraId="1A9050D0">
      <w:pPr>
        <w:topLinePunct/>
        <w:spacing w:line="440" w:lineRule="exact"/>
        <w:jc w:val="left"/>
        <w:rPr>
          <w:rFonts w:hint="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投标人可以根据实际情况对本文件进行调整和修改，但应满足招标文件对本文件</w:t>
      </w:r>
    </w:p>
    <w:p w14:paraId="535FBD21">
      <w:pPr>
        <w:topLinePunct/>
        <w:spacing w:line="440" w:lineRule="exact"/>
        <w:jc w:val="left"/>
        <w:rPr>
          <w:rFonts w:hint="eastAsia"/>
          <w:highlight w:val="none"/>
        </w:rPr>
      </w:pPr>
      <w:r>
        <w:rPr>
          <w:rFonts w:hint="eastAsia"/>
          <w:highlight w:val="none"/>
        </w:rPr>
        <w:t>的要求。</w:t>
      </w:r>
    </w:p>
    <w:p w14:paraId="189ED2C6">
      <w:pPr>
        <w:rPr>
          <w:rFonts w:hint="eastAsia"/>
          <w:highlight w:val="none"/>
        </w:rPr>
      </w:pPr>
    </w:p>
    <w:p w14:paraId="6EECFA76">
      <w:pPr>
        <w:rPr>
          <w:rFonts w:hint="eastAsia"/>
          <w:highlight w:val="none"/>
        </w:rPr>
      </w:pPr>
      <w:r>
        <w:rPr>
          <w:rFonts w:hint="eastAsia"/>
          <w:highlight w:val="none"/>
        </w:rPr>
        <w:br w:type="page"/>
      </w:r>
    </w:p>
    <w:p w14:paraId="0A923036">
      <w:pPr>
        <w:pStyle w:val="81"/>
        <w:numPr>
          <w:ilvl w:val="0"/>
          <w:numId w:val="0"/>
        </w:numPr>
        <w:tabs>
          <w:tab w:val="left" w:pos="588"/>
        </w:tabs>
        <w:snapToGrid w:val="0"/>
        <w:spacing w:before="120" w:after="120" w:line="440" w:lineRule="exact"/>
        <w:ind w:left="635" w:leftChars="0" w:hanging="425" w:firstLineChars="0"/>
        <w:jc w:val="left"/>
        <w:rPr>
          <w:rFonts w:hint="eastAsia" w:asciiTheme="minorEastAsia" w:hAnsiTheme="minorEastAsia" w:eastAsiaTheme="minorEastAsia"/>
          <w:sz w:val="24"/>
          <w:szCs w:val="24"/>
        </w:rPr>
      </w:pPr>
      <w:bookmarkStart w:id="1190" w:name="_Toc11759"/>
      <w:bookmarkStart w:id="1191" w:name="_Toc7322"/>
      <w:bookmarkStart w:id="1192" w:name="_Toc28669"/>
      <w:bookmarkStart w:id="1193" w:name="_Toc29439"/>
      <w:bookmarkStart w:id="1194" w:name="_Toc32116"/>
      <w:bookmarkStart w:id="1195" w:name="_Toc14657"/>
      <w:bookmarkStart w:id="1196" w:name="_Toc31307"/>
      <w:bookmarkStart w:id="1197" w:name="_Toc4122"/>
      <w:bookmarkStart w:id="1198" w:name="_Toc3765"/>
      <w:bookmarkStart w:id="1199" w:name="_Toc12626"/>
      <w:r>
        <w:rPr>
          <w:rFonts w:hint="eastAsia" w:cs="Times New Roman" w:asciiTheme="minorEastAsia" w:hAnsiTheme="minorEastAsia" w:eastAsiaTheme="minorEastAsia"/>
          <w:b/>
          <w:bCs/>
          <w:kern w:val="2"/>
          <w:sz w:val="24"/>
          <w:szCs w:val="24"/>
          <w:lang w:val="en-US" w:eastAsia="zh-CN" w:bidi="ar-SA"/>
        </w:rPr>
        <w:t>30.</w:t>
      </w:r>
      <w:r>
        <w:rPr>
          <w:rFonts w:hint="eastAsia" w:asciiTheme="minorEastAsia" w:hAnsiTheme="minorEastAsia" w:eastAsiaTheme="minorEastAsia"/>
          <w:sz w:val="24"/>
          <w:szCs w:val="24"/>
        </w:rPr>
        <w:t>技术规范书偏离表</w:t>
      </w:r>
      <w:bookmarkEnd w:id="1190"/>
      <w:bookmarkEnd w:id="1191"/>
      <w:bookmarkEnd w:id="1192"/>
      <w:bookmarkEnd w:id="1193"/>
      <w:bookmarkEnd w:id="1194"/>
      <w:bookmarkEnd w:id="1195"/>
      <w:bookmarkEnd w:id="1196"/>
      <w:bookmarkEnd w:id="1197"/>
      <w:bookmarkEnd w:id="1198"/>
      <w:bookmarkEnd w:id="1199"/>
    </w:p>
    <w:p w14:paraId="2EDD2B43">
      <w:pPr>
        <w:pStyle w:val="101"/>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rPr>
        <w:t>技术规范书偏离表</w:t>
      </w:r>
    </w:p>
    <w:p w14:paraId="062CD39C">
      <w:pPr>
        <w:jc w:val="center"/>
        <w:rPr>
          <w:rFonts w:cs="宋体" w:asciiTheme="minorEastAsia" w:hAnsiTheme="minorEastAsia" w:eastAsiaTheme="minorEastAsia"/>
          <w:sz w:val="24"/>
        </w:rPr>
      </w:pPr>
    </w:p>
    <w:p w14:paraId="11B462C1">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cs="宋体" w:asciiTheme="minorEastAsia" w:hAnsiTheme="minorEastAsia" w:eastAsiaTheme="minorEastAsia"/>
          <w:szCs w:val="21"/>
        </w:rPr>
        <w:t>招标编号：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85"/>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6E3EC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0D4415BF">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746" w:type="dxa"/>
            <w:vAlign w:val="center"/>
          </w:tcPr>
          <w:p w14:paraId="3C86D319">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招标文件条目号</w:t>
            </w:r>
          </w:p>
        </w:tc>
        <w:tc>
          <w:tcPr>
            <w:tcW w:w="2208" w:type="dxa"/>
            <w:vAlign w:val="center"/>
          </w:tcPr>
          <w:p w14:paraId="7E66342E">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招标文件的技术条款</w:t>
            </w:r>
          </w:p>
        </w:tc>
        <w:tc>
          <w:tcPr>
            <w:tcW w:w="2435" w:type="dxa"/>
            <w:vAlign w:val="center"/>
          </w:tcPr>
          <w:p w14:paraId="7E838868">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投标文件偏离情况</w:t>
            </w:r>
          </w:p>
        </w:tc>
        <w:tc>
          <w:tcPr>
            <w:tcW w:w="1364" w:type="dxa"/>
            <w:vAlign w:val="center"/>
          </w:tcPr>
          <w:p w14:paraId="2B738620">
            <w:pPr>
              <w:keepNext w:val="0"/>
              <w:keepLines w:val="0"/>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说明</w:t>
            </w:r>
          </w:p>
        </w:tc>
      </w:tr>
      <w:tr w14:paraId="5976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8EC5E0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4B2E80BE">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06A914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331070A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487E9A8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5F96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CABBE1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65A9EA9C">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4135EDF4">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020F601F">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2BFF371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33E51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9BA14F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2B07DAD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42F4D885">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13164511">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4A83564">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509DA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0B6AA7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617538A7">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076549B9">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12DBEF5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289B6E6">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r w14:paraId="14D7A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618C382">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746" w:type="dxa"/>
            <w:vAlign w:val="center"/>
          </w:tcPr>
          <w:p w14:paraId="5506D51A">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208" w:type="dxa"/>
            <w:vAlign w:val="center"/>
          </w:tcPr>
          <w:p w14:paraId="1C7C255F">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2435" w:type="dxa"/>
            <w:vAlign w:val="center"/>
          </w:tcPr>
          <w:p w14:paraId="51F763DC">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c>
          <w:tcPr>
            <w:tcW w:w="1364" w:type="dxa"/>
            <w:vAlign w:val="center"/>
          </w:tcPr>
          <w:p w14:paraId="5DC8EB28">
            <w:pPr>
              <w:keepNext w:val="0"/>
              <w:keepLines w:val="0"/>
              <w:suppressLineNumbers w:val="0"/>
              <w:adjustRightInd w:val="0"/>
              <w:snapToGrid w:val="0"/>
              <w:spacing w:before="0" w:beforeAutospacing="0" w:after="0" w:afterAutospacing="0" w:line="440" w:lineRule="exact"/>
              <w:ind w:left="0" w:right="0"/>
              <w:rPr>
                <w:rFonts w:hint="eastAsia" w:cs="宋体" w:asciiTheme="minorEastAsia" w:hAnsiTheme="minorEastAsia" w:eastAsiaTheme="minorEastAsia"/>
                <w:szCs w:val="21"/>
              </w:rPr>
            </w:pPr>
          </w:p>
        </w:tc>
      </w:tr>
    </w:tbl>
    <w:p w14:paraId="1C874FF3">
      <w:pPr>
        <w:adjustRightInd w:val="0"/>
        <w:snapToGrid w:val="0"/>
        <w:spacing w:after="120" w:line="440" w:lineRule="exact"/>
        <w:ind w:left="693" w:hanging="693" w:hangingChars="330"/>
        <w:rPr>
          <w:rFonts w:cs="宋体" w:asciiTheme="minorEastAsia" w:hAnsiTheme="minorEastAsia" w:eastAsiaTheme="minorEastAsia"/>
          <w:szCs w:val="21"/>
        </w:rPr>
      </w:pPr>
    </w:p>
    <w:p w14:paraId="0B1C630C">
      <w:pPr>
        <w:spacing w:line="440" w:lineRule="exact"/>
        <w:ind w:firstLine="1134" w:firstLineChars="540"/>
        <w:rPr>
          <w:rFonts w:cs="Arial" w:asciiTheme="minorEastAsia" w:hAnsiTheme="minorEastAsia" w:eastAsiaTheme="minorEastAsia"/>
          <w:bCs/>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14:paraId="3EA2D929">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日期：_     __ 年_     __月_    _ _日</w:t>
      </w:r>
    </w:p>
    <w:p w14:paraId="0A04A19E">
      <w:pPr>
        <w:adjustRightInd w:val="0"/>
        <w:snapToGrid w:val="0"/>
        <w:spacing w:line="440" w:lineRule="exact"/>
        <w:rPr>
          <w:rFonts w:cs="宋体" w:asciiTheme="minorEastAsia" w:hAnsiTheme="minorEastAsia" w:eastAsiaTheme="minorEastAsia"/>
          <w:szCs w:val="21"/>
        </w:rPr>
      </w:pPr>
      <w:r>
        <w:rPr>
          <w:rFonts w:hint="eastAsia" w:asciiTheme="minorEastAsia" w:hAnsiTheme="minorEastAsia" w:eastAsiaTheme="minorEastAsia"/>
          <w:b/>
        </w:rPr>
        <w:t>编制要求：</w:t>
      </w:r>
    </w:p>
    <w:p w14:paraId="0CF846CC">
      <w:pPr>
        <w:pStyle w:val="101"/>
        <w:numPr>
          <w:ilvl w:val="0"/>
          <w:numId w:val="101"/>
        </w:numPr>
        <w:adjustRightInd w:val="0"/>
        <w:snapToGrid w:val="0"/>
        <w:spacing w:line="440" w:lineRule="exact"/>
        <w:ind w:left="0" w:firstLine="0" w:firstLineChars="0"/>
        <w:rPr>
          <w:rFonts w:asciiTheme="minorEastAsia" w:hAnsiTheme="minorEastAsia" w:eastAsiaTheme="minorEastAsia"/>
        </w:rPr>
      </w:pPr>
      <w:r>
        <w:rPr>
          <w:rFonts w:hint="eastAsia" w:asciiTheme="minorEastAsia" w:hAnsiTheme="minorEastAsia" w:eastAsiaTheme="minorEastAsia"/>
        </w:rPr>
        <w:t>如对技术条款无任何偏离，投标人仅需在本偏离表中填写“无偏离”即可。当本表为空时，视为投标文件对技术条款全部满足，无偏离；</w:t>
      </w:r>
    </w:p>
    <w:p w14:paraId="1F5A277C">
      <w:pPr>
        <w:rPr>
          <w:rFonts w:hint="eastAsia" w:asciiTheme="minorEastAsia" w:hAnsiTheme="minorEastAsia" w:eastAsiaTheme="minorEastAsia"/>
        </w:rPr>
      </w:pPr>
      <w:r>
        <w:rPr>
          <w:rFonts w:hint="eastAsia" w:asciiTheme="minorEastAsia" w:hAnsiTheme="minorEastAsia" w:eastAsiaTheme="minorEastAsia"/>
        </w:rPr>
        <w:t>如对技术条款存在偏离，投标人需对技术条款存在的偏离逐条做出说明。</w:t>
      </w:r>
    </w:p>
    <w:p w14:paraId="4FB3DCBC">
      <w:pPr>
        <w:rPr>
          <w:rFonts w:hint="eastAsia" w:asciiTheme="minorEastAsia" w:hAnsiTheme="minorEastAsia" w:eastAsiaTheme="minorEastAsia"/>
        </w:rPr>
      </w:pPr>
      <w:r>
        <w:rPr>
          <w:rFonts w:hint="eastAsia" w:asciiTheme="minorEastAsia" w:hAnsiTheme="minorEastAsia" w:eastAsiaTheme="minorEastAsia"/>
        </w:rPr>
        <w:br w:type="page"/>
      </w:r>
    </w:p>
    <w:p w14:paraId="2E37913E">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00" w:name="_Toc10321"/>
      <w:bookmarkStart w:id="1201" w:name="_Toc14144"/>
      <w:bookmarkStart w:id="1202" w:name="_Toc20301"/>
      <w:bookmarkStart w:id="1203" w:name="_Toc395"/>
      <w:bookmarkStart w:id="1204" w:name="_Toc118620245"/>
      <w:bookmarkStart w:id="1205" w:name="_Toc31623"/>
      <w:bookmarkStart w:id="1206" w:name="_Toc4674"/>
      <w:bookmarkStart w:id="1207" w:name="_Toc18033"/>
      <w:bookmarkStart w:id="1208" w:name="_Toc23456"/>
      <w:bookmarkStart w:id="1209" w:name="_Toc11392"/>
      <w:bookmarkStart w:id="1210" w:name="_Toc8619"/>
      <w:bookmarkStart w:id="1211" w:name="_Toc7976"/>
      <w:bookmarkStart w:id="1212" w:name="_Toc155873912"/>
      <w:bookmarkStart w:id="1213" w:name="_Toc144494093"/>
      <w:r>
        <w:rPr>
          <w:rFonts w:hint="eastAsia" w:cs="Times New Roman" w:asciiTheme="minorEastAsia" w:hAnsiTheme="minorEastAsia" w:eastAsiaTheme="minorEastAsia"/>
          <w:b/>
          <w:bCs/>
          <w:kern w:val="2"/>
          <w:sz w:val="24"/>
          <w:szCs w:val="24"/>
          <w:lang w:val="en-US" w:eastAsia="zh-CN" w:bidi="ar-SA"/>
        </w:rPr>
        <w:t>31.</w:t>
      </w:r>
      <w:r>
        <w:rPr>
          <w:rFonts w:hint="eastAsia" w:cs="Times New Roman" w:asciiTheme="minorEastAsia" w:hAnsiTheme="minorEastAsia" w:eastAsiaTheme="minorEastAsia"/>
          <w:sz w:val="24"/>
          <w:szCs w:val="24"/>
        </w:rPr>
        <w:t>技术规范书点对点应答</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7A363A3C">
      <w:pPr>
        <w:rPr>
          <w:rFonts w:ascii="宋体" w:hAnsi="宋体"/>
          <w:color w:val="000000" w:themeColor="text1"/>
          <w14:textFill>
            <w14:solidFill>
              <w14:schemeClr w14:val="tx1"/>
            </w14:solidFill>
          </w14:textFill>
        </w:rPr>
      </w:pPr>
    </w:p>
    <w:p w14:paraId="3519B503">
      <w:pPr>
        <w:rPr>
          <w:rFonts w:ascii="宋体" w:hAnsi="宋体"/>
          <w:color w:val="000000" w:themeColor="text1"/>
          <w14:textFill>
            <w14:solidFill>
              <w14:schemeClr w14:val="tx1"/>
            </w14:solidFill>
          </w14:textFill>
        </w:rPr>
      </w:pPr>
    </w:p>
    <w:p w14:paraId="358BA2EA">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格式自拟</w:t>
      </w:r>
    </w:p>
    <w:p w14:paraId="68B021A6">
      <w:pPr>
        <w:pStyle w:val="58"/>
      </w:pPr>
    </w:p>
    <w:p w14:paraId="716201E0">
      <w:pPr>
        <w:rPr>
          <w:rFonts w:asciiTheme="minorEastAsia" w:hAnsiTheme="minorEastAsia" w:eastAsiaTheme="minorEastAsia"/>
        </w:rPr>
      </w:pPr>
    </w:p>
    <w:p w14:paraId="2D926D64">
      <w:pPr>
        <w:numPr>
          <w:ilvl w:val="0"/>
          <w:numId w:val="102"/>
        </w:numPr>
        <w:topLinePunct/>
        <w:spacing w:line="440" w:lineRule="exact"/>
        <w:ind w:left="422" w:hanging="422" w:hangingChars="201"/>
        <w:jc w:val="left"/>
        <w:rPr>
          <w:rFonts w:asciiTheme="minorEastAsia" w:hAnsiTheme="minorEastAsia" w:eastAsiaTheme="minorEastAsia"/>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26A8788">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14" w:name="_Toc8478"/>
      <w:bookmarkStart w:id="1215" w:name="_Toc9440"/>
      <w:bookmarkStart w:id="1216" w:name="_Toc475472691"/>
      <w:bookmarkStart w:id="1217" w:name="_Toc15798"/>
      <w:bookmarkStart w:id="1218" w:name="_Toc4239"/>
      <w:bookmarkStart w:id="1219" w:name="_Toc6660"/>
      <w:bookmarkStart w:id="1220" w:name="_Toc16554"/>
      <w:bookmarkStart w:id="1221" w:name="_Toc17470"/>
      <w:bookmarkStart w:id="1222" w:name="_Toc15560"/>
      <w:bookmarkStart w:id="1223" w:name="_Toc10908"/>
      <w:bookmarkStart w:id="1224" w:name="_Toc23237"/>
      <w:bookmarkStart w:id="1225" w:name="_Toc38008101"/>
      <w:bookmarkStart w:id="1226" w:name="_Toc30391"/>
      <w:bookmarkStart w:id="1227" w:name="_Hlk167300092"/>
      <w:r>
        <w:rPr>
          <w:rFonts w:hint="eastAsia" w:cs="Times New Roman" w:asciiTheme="minorEastAsia" w:hAnsiTheme="minorEastAsia" w:eastAsiaTheme="minorEastAsia"/>
          <w:b/>
          <w:bCs/>
          <w:kern w:val="2"/>
          <w:sz w:val="24"/>
          <w:szCs w:val="24"/>
          <w:lang w:val="en-US" w:eastAsia="zh-CN" w:bidi="ar-SA"/>
        </w:rPr>
        <w:t>32.</w:t>
      </w:r>
      <w:r>
        <w:rPr>
          <w:rFonts w:hint="eastAsia" w:cs="Times New Roman" w:asciiTheme="minorEastAsia" w:hAnsiTheme="minorEastAsia" w:eastAsiaTheme="minorEastAsia"/>
          <w:sz w:val="24"/>
          <w:szCs w:val="24"/>
        </w:rPr>
        <w:t>技术建议书</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p>
    <w:bookmarkEnd w:id="1227"/>
    <w:p w14:paraId="62D11677">
      <w:pPr>
        <w:rPr>
          <w:rFonts w:hint="eastAsia" w:ascii="宋体" w:hAnsi="宋体" w:eastAsia="宋体" w:cs="宋体"/>
        </w:rPr>
      </w:pPr>
      <w:r>
        <w:rPr>
          <w:rFonts w:hint="eastAsia" w:ascii="宋体" w:hAnsi="宋体" w:eastAsia="宋体" w:cs="宋体"/>
          <w:lang w:val="en-US" w:eastAsia="zh-CN"/>
        </w:rPr>
        <w:t>1.供应商</w:t>
      </w:r>
      <w:r>
        <w:rPr>
          <w:rFonts w:hint="eastAsia" w:ascii="宋体" w:hAnsi="宋体" w:eastAsia="宋体" w:cs="宋体"/>
        </w:rPr>
        <w:t>应根据</w:t>
      </w:r>
      <w:r>
        <w:rPr>
          <w:rFonts w:hint="eastAsia" w:ascii="宋体" w:hAnsi="宋体" w:eastAsia="宋体" w:cs="宋体"/>
          <w:lang w:val="en-US" w:eastAsia="zh-CN"/>
        </w:rPr>
        <w:t>招标</w:t>
      </w:r>
      <w:r>
        <w:rPr>
          <w:rFonts w:hint="eastAsia" w:ascii="宋体" w:hAnsi="宋体" w:eastAsia="宋体" w:cs="宋体"/>
        </w:rPr>
        <w:t>文件第三章详细评分标准要求提供相关信息和资料，按要求填写以下附表1，其余内容格式自拟。</w:t>
      </w:r>
    </w:p>
    <w:p w14:paraId="541EA18E">
      <w:pPr>
        <w:spacing w:line="360" w:lineRule="exact"/>
        <w:ind w:firstLine="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团队</w:t>
      </w:r>
      <w:r>
        <w:rPr>
          <w:rFonts w:hint="eastAsia" w:ascii="宋体" w:hAnsi="宋体" w:eastAsia="宋体" w:cs="宋体"/>
          <w:lang w:val="en-US" w:eastAsia="zh-CN"/>
        </w:rPr>
        <w:t>负责人、团队成员及服务支撑人员</w:t>
      </w:r>
      <w:r>
        <w:rPr>
          <w:rFonts w:hint="eastAsia" w:ascii="宋体" w:hAnsi="宋体" w:eastAsia="宋体" w:cs="宋体"/>
        </w:rPr>
        <w:t>信息以供应商</w:t>
      </w:r>
      <w:r>
        <w:rPr>
          <w:rFonts w:hint="eastAsia" w:ascii="宋体" w:hAnsi="宋体" w:cs="宋体"/>
          <w:lang w:val="en-US" w:eastAsia="zh-CN"/>
        </w:rPr>
        <w:t>投标</w:t>
      </w:r>
      <w:r>
        <w:rPr>
          <w:rFonts w:hint="eastAsia" w:ascii="宋体" w:hAnsi="宋体" w:eastAsia="宋体" w:cs="宋体"/>
        </w:rPr>
        <w:t>文件中提供的为准，人员名单需作为合同附件，名单内人员变更需经甲方书面同意。</w:t>
      </w:r>
    </w:p>
    <w:p w14:paraId="3A3F4F2A">
      <w:pPr>
        <w:pStyle w:val="98"/>
        <w:rPr>
          <w:rFonts w:hint="default" w:eastAsia="宋体"/>
          <w:lang w:val="en-US" w:eastAsia="zh-CN"/>
        </w:rPr>
      </w:pPr>
      <w:r>
        <w:rPr>
          <w:rFonts w:hint="eastAsia" w:ascii="宋体" w:hAnsi="宋体" w:cs="宋体"/>
          <w:lang w:val="en-US" w:eastAsia="zh-CN"/>
        </w:rPr>
        <w:t>附件1：</w:t>
      </w:r>
    </w:p>
    <w:tbl>
      <w:tblPr>
        <w:tblStyle w:val="85"/>
        <w:tblW w:w="5000" w:type="pct"/>
        <w:tblInd w:w="0" w:type="dxa"/>
        <w:tblLayout w:type="fixed"/>
        <w:tblCellMar>
          <w:top w:w="0" w:type="dxa"/>
          <w:left w:w="108" w:type="dxa"/>
          <w:bottom w:w="0" w:type="dxa"/>
          <w:right w:w="108" w:type="dxa"/>
        </w:tblCellMar>
      </w:tblPr>
      <w:tblGrid>
        <w:gridCol w:w="597"/>
        <w:gridCol w:w="1559"/>
        <w:gridCol w:w="1758"/>
        <w:gridCol w:w="755"/>
        <w:gridCol w:w="440"/>
        <w:gridCol w:w="1576"/>
        <w:gridCol w:w="1244"/>
        <w:gridCol w:w="599"/>
      </w:tblGrid>
      <w:tr w14:paraId="3CF9BDFA">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51A2DB32">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序号</w:t>
            </w:r>
          </w:p>
        </w:tc>
        <w:tc>
          <w:tcPr>
            <w:tcW w:w="914" w:type="pct"/>
            <w:vMerge w:val="restart"/>
            <w:tcBorders>
              <w:top w:val="single" w:color="000000" w:sz="4" w:space="0"/>
              <w:left w:val="single" w:color="000000" w:sz="4" w:space="0"/>
              <w:right w:val="single" w:color="000000" w:sz="4" w:space="0"/>
            </w:tcBorders>
            <w:noWrap/>
            <w:vAlign w:val="center"/>
          </w:tcPr>
          <w:p w14:paraId="0974F85E">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类别</w:t>
            </w:r>
          </w:p>
        </w:tc>
        <w:tc>
          <w:tcPr>
            <w:tcW w:w="1030" w:type="pct"/>
            <w:vMerge w:val="restart"/>
            <w:tcBorders>
              <w:top w:val="single" w:color="000000" w:sz="4" w:space="0"/>
              <w:left w:val="single" w:color="000000" w:sz="4" w:space="0"/>
              <w:right w:val="single" w:color="000000" w:sz="4" w:space="0"/>
            </w:tcBorders>
            <w:noWrap/>
            <w:vAlign w:val="center"/>
          </w:tcPr>
          <w:p w14:paraId="1EC142DF">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姓名</w:t>
            </w:r>
          </w:p>
        </w:tc>
        <w:tc>
          <w:tcPr>
            <w:tcW w:w="442" w:type="pct"/>
            <w:vMerge w:val="restart"/>
            <w:tcBorders>
              <w:top w:val="single" w:color="000000" w:sz="4" w:space="0"/>
              <w:left w:val="single" w:color="000000" w:sz="4" w:space="0"/>
              <w:right w:val="single" w:color="000000" w:sz="4" w:space="0"/>
            </w:tcBorders>
            <w:noWrap/>
            <w:vAlign w:val="center"/>
          </w:tcPr>
          <w:p w14:paraId="15D24D70">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角色/职位</w:t>
            </w:r>
          </w:p>
        </w:tc>
        <w:tc>
          <w:tcPr>
            <w:tcW w:w="257" w:type="pct"/>
            <w:vMerge w:val="restart"/>
            <w:tcBorders>
              <w:top w:val="single" w:color="000000" w:sz="4" w:space="0"/>
              <w:left w:val="single" w:color="000000" w:sz="4" w:space="0"/>
              <w:right w:val="single" w:color="000000" w:sz="4" w:space="0"/>
            </w:tcBorders>
            <w:noWrap/>
            <w:vAlign w:val="center"/>
          </w:tcPr>
          <w:p w14:paraId="757FF5AA">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2936DB">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证书名称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20E373">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1704A51">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备注</w:t>
            </w:r>
          </w:p>
        </w:tc>
      </w:tr>
      <w:tr w14:paraId="607AB1AC">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628B5E08">
            <w:pPr>
              <w:spacing w:line="360" w:lineRule="exact"/>
              <w:ind w:firstLine="0"/>
              <w:rPr>
                <w:rFonts w:hint="eastAsia" w:ascii="宋体" w:hAnsi="宋体" w:eastAsia="宋体" w:cs="宋体"/>
                <w:lang w:val="en-US" w:eastAsia="zh-CN"/>
              </w:rPr>
            </w:pPr>
          </w:p>
        </w:tc>
        <w:tc>
          <w:tcPr>
            <w:tcW w:w="914" w:type="pct"/>
            <w:vMerge w:val="continue"/>
            <w:tcBorders>
              <w:left w:val="single" w:color="000000" w:sz="4" w:space="0"/>
              <w:bottom w:val="single" w:color="000000" w:sz="4" w:space="0"/>
              <w:right w:val="single" w:color="000000" w:sz="4" w:space="0"/>
            </w:tcBorders>
            <w:noWrap/>
            <w:vAlign w:val="center"/>
          </w:tcPr>
          <w:p w14:paraId="31FDB433">
            <w:pPr>
              <w:spacing w:line="360" w:lineRule="exact"/>
              <w:ind w:firstLine="0"/>
              <w:rPr>
                <w:rFonts w:hint="eastAsia" w:ascii="宋体" w:hAnsi="宋体" w:eastAsia="宋体" w:cs="宋体"/>
                <w:lang w:val="en-US" w:eastAsia="zh-CN"/>
              </w:rPr>
            </w:pPr>
          </w:p>
        </w:tc>
        <w:tc>
          <w:tcPr>
            <w:tcW w:w="1030" w:type="pct"/>
            <w:vMerge w:val="continue"/>
            <w:tcBorders>
              <w:left w:val="single" w:color="000000" w:sz="4" w:space="0"/>
              <w:bottom w:val="single" w:color="000000" w:sz="4" w:space="0"/>
              <w:right w:val="single" w:color="000000" w:sz="4" w:space="0"/>
            </w:tcBorders>
            <w:noWrap/>
            <w:vAlign w:val="center"/>
          </w:tcPr>
          <w:p w14:paraId="5EE34269">
            <w:pPr>
              <w:spacing w:line="360" w:lineRule="exact"/>
              <w:ind w:firstLine="0"/>
              <w:rPr>
                <w:rFonts w:hint="eastAsia" w:ascii="宋体" w:hAnsi="宋体" w:eastAsia="宋体" w:cs="宋体"/>
                <w:lang w:val="en-US" w:eastAsia="zh-CN"/>
              </w:rPr>
            </w:pPr>
          </w:p>
        </w:tc>
        <w:tc>
          <w:tcPr>
            <w:tcW w:w="442" w:type="pct"/>
            <w:vMerge w:val="continue"/>
            <w:tcBorders>
              <w:left w:val="single" w:color="000000" w:sz="4" w:space="0"/>
              <w:bottom w:val="single" w:color="000000" w:sz="4" w:space="0"/>
              <w:right w:val="single" w:color="000000" w:sz="4" w:space="0"/>
            </w:tcBorders>
            <w:noWrap/>
            <w:vAlign w:val="center"/>
          </w:tcPr>
          <w:p w14:paraId="3D84AF59">
            <w:pPr>
              <w:spacing w:line="360" w:lineRule="exact"/>
              <w:ind w:firstLine="0"/>
              <w:rPr>
                <w:rFonts w:hint="eastAsia" w:ascii="宋体" w:hAnsi="宋体" w:eastAsia="宋体" w:cs="宋体"/>
                <w:lang w:val="en-US" w:eastAsia="zh-CN"/>
              </w:rPr>
            </w:pPr>
          </w:p>
        </w:tc>
        <w:tc>
          <w:tcPr>
            <w:tcW w:w="257" w:type="pct"/>
            <w:vMerge w:val="continue"/>
            <w:tcBorders>
              <w:left w:val="single" w:color="000000" w:sz="4" w:space="0"/>
              <w:bottom w:val="single" w:color="000000" w:sz="4" w:space="0"/>
              <w:right w:val="single" w:color="000000" w:sz="4" w:space="0"/>
            </w:tcBorders>
            <w:noWrap/>
            <w:vAlign w:val="center"/>
          </w:tcPr>
          <w:p w14:paraId="351A1D51">
            <w:pPr>
              <w:spacing w:line="360" w:lineRule="exact"/>
              <w:ind w:firstLine="0"/>
              <w:rPr>
                <w:rFonts w:hint="eastAsia" w:ascii="宋体" w:hAnsi="宋体" w:eastAsia="宋体" w:cs="宋体"/>
                <w:lang w:val="en-US" w:eastAsia="zh-CN"/>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1D7916D">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7EF2C48D">
            <w:pPr>
              <w:spacing w:line="360" w:lineRule="exact"/>
              <w:ind w:firstLine="0"/>
              <w:rPr>
                <w:rFonts w:hint="eastAsia" w:ascii="宋体" w:hAnsi="宋体" w:eastAsia="宋体" w:cs="宋体"/>
                <w:lang w:val="en-US" w:eastAsia="zh-CN"/>
              </w:rPr>
            </w:pPr>
          </w:p>
        </w:tc>
      </w:tr>
      <w:tr w14:paraId="4F246037">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6755515">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1</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462065D9">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团队负责人</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18F14954">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B353D08">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C4C93B5">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145B62A">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46D9573">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B3A7E13">
            <w:pPr>
              <w:spacing w:line="360" w:lineRule="exact"/>
              <w:ind w:firstLine="0"/>
              <w:rPr>
                <w:rFonts w:hint="eastAsia" w:ascii="宋体" w:hAnsi="宋体" w:eastAsia="宋体" w:cs="宋体"/>
                <w:lang w:val="en-US" w:eastAsia="zh-CN"/>
              </w:rPr>
            </w:pPr>
          </w:p>
        </w:tc>
      </w:tr>
      <w:tr w14:paraId="242528A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B4F04C4">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2</w:t>
            </w:r>
          </w:p>
        </w:tc>
        <w:tc>
          <w:tcPr>
            <w:tcW w:w="914" w:type="pct"/>
            <w:vMerge w:val="restart"/>
            <w:tcBorders>
              <w:top w:val="single" w:color="000000" w:sz="4" w:space="0"/>
              <w:left w:val="single" w:color="000000" w:sz="4" w:space="0"/>
              <w:bottom w:val="single" w:color="000000" w:sz="4" w:space="0"/>
              <w:right w:val="single" w:color="000000" w:sz="4" w:space="0"/>
            </w:tcBorders>
            <w:noWrap/>
            <w:vAlign w:val="center"/>
          </w:tcPr>
          <w:p w14:paraId="35A6D7A0">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团队成员</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3A9ED173">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655963A">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61E3C67">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3B701E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97B914E">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63FDD04">
            <w:pPr>
              <w:spacing w:line="360" w:lineRule="exact"/>
              <w:ind w:firstLine="0"/>
              <w:rPr>
                <w:rFonts w:hint="eastAsia" w:ascii="宋体" w:hAnsi="宋体" w:eastAsia="宋体" w:cs="宋体"/>
                <w:lang w:val="en-US" w:eastAsia="zh-CN"/>
              </w:rPr>
            </w:pPr>
          </w:p>
        </w:tc>
      </w:tr>
      <w:tr w14:paraId="31270BD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FF068A4">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3</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5F013E16">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21BAFF4">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CFA11FF">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44C9109">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614DB65">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BC50C6C">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489D109">
            <w:pPr>
              <w:spacing w:line="360" w:lineRule="exact"/>
              <w:ind w:firstLine="0"/>
              <w:rPr>
                <w:rFonts w:hint="eastAsia" w:ascii="宋体" w:hAnsi="宋体" w:eastAsia="宋体" w:cs="宋体"/>
                <w:lang w:val="en-US" w:eastAsia="zh-CN"/>
              </w:rPr>
            </w:pPr>
          </w:p>
        </w:tc>
      </w:tr>
      <w:tr w14:paraId="1856ED5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77A7C6B">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4</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3F82FE94">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2379571">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DD078CC">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A3C8505">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152DA36">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04D684D">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4396368">
            <w:pPr>
              <w:spacing w:line="360" w:lineRule="exact"/>
              <w:ind w:firstLine="0"/>
              <w:rPr>
                <w:rFonts w:hint="eastAsia" w:ascii="宋体" w:hAnsi="宋体" w:eastAsia="宋体" w:cs="宋体"/>
                <w:lang w:val="en-US" w:eastAsia="zh-CN"/>
              </w:rPr>
            </w:pPr>
          </w:p>
        </w:tc>
      </w:tr>
      <w:tr w14:paraId="5393DFE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CEDAF1A">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5</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39A5673C">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4F170AC6">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7ADDF1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505ABFB">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8118F93">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B27BF1">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ABA2419">
            <w:pPr>
              <w:spacing w:line="360" w:lineRule="exact"/>
              <w:ind w:firstLine="0"/>
              <w:rPr>
                <w:rFonts w:hint="eastAsia" w:ascii="宋体" w:hAnsi="宋体" w:eastAsia="宋体" w:cs="宋体"/>
                <w:lang w:val="en-US" w:eastAsia="zh-CN"/>
              </w:rPr>
            </w:pPr>
          </w:p>
        </w:tc>
      </w:tr>
      <w:tr w14:paraId="5E4550D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9A1B29F">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6</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1E5BF967">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6BCA5D95">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1D172092">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D99E3F">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F1596B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49937A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E1CA494">
            <w:pPr>
              <w:spacing w:line="360" w:lineRule="exact"/>
              <w:ind w:firstLine="0"/>
              <w:rPr>
                <w:rFonts w:hint="eastAsia" w:ascii="宋体" w:hAnsi="宋体" w:eastAsia="宋体" w:cs="宋体"/>
                <w:lang w:val="en-US" w:eastAsia="zh-CN"/>
              </w:rPr>
            </w:pPr>
          </w:p>
        </w:tc>
      </w:tr>
      <w:tr w14:paraId="7F5F754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8A8390">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7</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0C39D660">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6530A0B6">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9E3CAD8">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CA4A47B">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F341C63">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B3F40D">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1D1770E">
            <w:pPr>
              <w:spacing w:line="360" w:lineRule="exact"/>
              <w:ind w:firstLine="0"/>
              <w:rPr>
                <w:rFonts w:hint="eastAsia" w:ascii="宋体" w:hAnsi="宋体" w:eastAsia="宋体" w:cs="宋体"/>
                <w:lang w:val="en-US" w:eastAsia="zh-CN"/>
              </w:rPr>
            </w:pPr>
          </w:p>
        </w:tc>
      </w:tr>
      <w:tr w14:paraId="7F6BBB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4FD703">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8</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4107A775">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990C48D">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A8D8CC2">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D287282">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BEEB212">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6EBF75A">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0A2CA44">
            <w:pPr>
              <w:spacing w:line="360" w:lineRule="exact"/>
              <w:ind w:firstLine="0"/>
              <w:rPr>
                <w:rFonts w:hint="eastAsia" w:ascii="宋体" w:hAnsi="宋体" w:eastAsia="宋体" w:cs="宋体"/>
                <w:lang w:val="en-US" w:eastAsia="zh-CN"/>
              </w:rPr>
            </w:pPr>
          </w:p>
        </w:tc>
      </w:tr>
      <w:tr w14:paraId="1CBD1EE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7C0884F">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9</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02EC6682">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B41D300">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9D561D4">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A490DC2">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85A5D8">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FBC43E4">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F780440">
            <w:pPr>
              <w:spacing w:line="360" w:lineRule="exact"/>
              <w:ind w:firstLine="0"/>
              <w:rPr>
                <w:rFonts w:hint="eastAsia" w:ascii="宋体" w:hAnsi="宋体" w:eastAsia="宋体" w:cs="宋体"/>
                <w:lang w:val="en-US" w:eastAsia="zh-CN"/>
              </w:rPr>
            </w:pPr>
          </w:p>
        </w:tc>
      </w:tr>
      <w:tr w14:paraId="1003757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FD7BF0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10</w:t>
            </w:r>
          </w:p>
        </w:tc>
        <w:tc>
          <w:tcPr>
            <w:tcW w:w="914" w:type="pct"/>
            <w:vMerge w:val="continue"/>
            <w:tcBorders>
              <w:top w:val="single" w:color="000000" w:sz="4" w:space="0"/>
              <w:left w:val="single" w:color="000000" w:sz="4" w:space="0"/>
              <w:bottom w:val="single" w:color="000000" w:sz="4" w:space="0"/>
              <w:right w:val="single" w:color="000000" w:sz="4" w:space="0"/>
            </w:tcBorders>
            <w:noWrap/>
            <w:vAlign w:val="center"/>
          </w:tcPr>
          <w:p w14:paraId="531B6CFB">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B52AA5D">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F25FBC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53214E4">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66551E4">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D12A38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B3172E9">
            <w:pPr>
              <w:spacing w:line="360" w:lineRule="exact"/>
              <w:ind w:firstLine="0"/>
              <w:rPr>
                <w:rFonts w:hint="eastAsia" w:ascii="宋体" w:hAnsi="宋体" w:eastAsia="宋体" w:cs="宋体"/>
                <w:lang w:val="en-US" w:eastAsia="zh-CN"/>
              </w:rPr>
            </w:pPr>
          </w:p>
        </w:tc>
      </w:tr>
      <w:tr w14:paraId="0AD1B8F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97D905">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11</w:t>
            </w:r>
          </w:p>
        </w:tc>
        <w:tc>
          <w:tcPr>
            <w:tcW w:w="914" w:type="pct"/>
            <w:vMerge w:val="restart"/>
            <w:tcBorders>
              <w:top w:val="single" w:color="000000" w:sz="4" w:space="0"/>
              <w:left w:val="single" w:color="000000" w:sz="4" w:space="0"/>
              <w:right w:val="single" w:color="000000" w:sz="4" w:space="0"/>
            </w:tcBorders>
            <w:noWrap/>
            <w:vAlign w:val="center"/>
          </w:tcPr>
          <w:p w14:paraId="2BF027C0">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服务支撑人员（非团队成员）</w:t>
            </w: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004242B">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FFE9AED">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941D699">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FE5FC7F">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7CA18EF">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0610A35">
            <w:pPr>
              <w:spacing w:line="360" w:lineRule="exact"/>
              <w:ind w:firstLine="0"/>
              <w:rPr>
                <w:rFonts w:hint="eastAsia" w:ascii="宋体" w:hAnsi="宋体" w:eastAsia="宋体" w:cs="宋体"/>
                <w:lang w:val="en-US" w:eastAsia="zh-CN"/>
              </w:rPr>
            </w:pPr>
          </w:p>
        </w:tc>
      </w:tr>
      <w:tr w14:paraId="37E2C4D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918675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12</w:t>
            </w:r>
          </w:p>
        </w:tc>
        <w:tc>
          <w:tcPr>
            <w:tcW w:w="914" w:type="pct"/>
            <w:vMerge w:val="continue"/>
            <w:tcBorders>
              <w:left w:val="single" w:color="000000" w:sz="4" w:space="0"/>
              <w:bottom w:val="single" w:color="000000" w:sz="4" w:space="0"/>
              <w:right w:val="single" w:color="000000" w:sz="4" w:space="0"/>
            </w:tcBorders>
            <w:noWrap/>
            <w:vAlign w:val="center"/>
          </w:tcPr>
          <w:p w14:paraId="50344CF5">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3CF5C48F">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专职安全生产管理人员</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5C0A1CC">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602EFB6">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D172B2F">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6D8B6C6">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65D1C75">
            <w:pPr>
              <w:spacing w:line="360" w:lineRule="exact"/>
              <w:ind w:firstLine="0"/>
              <w:rPr>
                <w:rFonts w:hint="eastAsia" w:ascii="宋体" w:hAnsi="宋体" w:eastAsia="宋体" w:cs="宋体"/>
                <w:lang w:val="en-US" w:eastAsia="zh-CN"/>
              </w:rPr>
            </w:pPr>
          </w:p>
        </w:tc>
      </w:tr>
      <w:tr w14:paraId="24E55AA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EA006E7">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13</w:t>
            </w:r>
          </w:p>
        </w:tc>
        <w:tc>
          <w:tcPr>
            <w:tcW w:w="914" w:type="pct"/>
            <w:vMerge w:val="continue"/>
            <w:tcBorders>
              <w:left w:val="single" w:color="000000" w:sz="4" w:space="0"/>
              <w:bottom w:val="single" w:color="000000" w:sz="4" w:space="0"/>
              <w:right w:val="single" w:color="000000" w:sz="4" w:space="0"/>
            </w:tcBorders>
            <w:noWrap/>
            <w:vAlign w:val="center"/>
          </w:tcPr>
          <w:p w14:paraId="74125724">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432154D7">
            <w:pPr>
              <w:tabs>
                <w:tab w:val="left" w:pos="7980"/>
              </w:tabs>
              <w:spacing w:line="360" w:lineRule="exact"/>
              <w:jc w:val="left"/>
              <w:rPr>
                <w:rFonts w:hint="eastAsia" w:ascii="宋体" w:hAnsi="宋体" w:eastAsia="宋体" w:cs="宋体"/>
                <w:lang w:val="en-US" w:eastAsia="zh-CN"/>
              </w:rPr>
            </w:pPr>
            <w:r>
              <w:rPr>
                <w:rFonts w:hint="eastAsia" w:ascii="仿宋" w:hAnsi="仿宋" w:eastAsia="仿宋" w:cs="Times New Roman"/>
                <w:kern w:val="0"/>
                <w:sz w:val="24"/>
              </w:rPr>
              <w:t>信息安全责任人</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F641DC4">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3C5FE86">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B53F5D9">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5314593">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D55BDF">
            <w:pPr>
              <w:spacing w:line="360" w:lineRule="exact"/>
              <w:ind w:firstLine="0"/>
              <w:rPr>
                <w:rFonts w:hint="eastAsia" w:ascii="宋体" w:hAnsi="宋体" w:eastAsia="宋体" w:cs="宋体"/>
                <w:lang w:val="en-US" w:eastAsia="zh-CN"/>
              </w:rPr>
            </w:pPr>
          </w:p>
        </w:tc>
      </w:tr>
      <w:tr w14:paraId="13FDF6B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580F973">
            <w:pPr>
              <w:spacing w:line="360" w:lineRule="exact"/>
              <w:ind w:firstLine="0"/>
              <w:rPr>
                <w:rFonts w:hint="default" w:ascii="宋体" w:hAnsi="宋体" w:eastAsia="宋体" w:cs="宋体"/>
                <w:lang w:val="en-US" w:eastAsia="zh-CN"/>
              </w:rPr>
            </w:pPr>
            <w:r>
              <w:rPr>
                <w:rFonts w:hint="eastAsia" w:ascii="宋体" w:hAnsi="宋体" w:eastAsia="宋体" w:cs="宋体"/>
                <w:lang w:val="en-US" w:eastAsia="zh-CN"/>
              </w:rPr>
              <w:t>14</w:t>
            </w:r>
          </w:p>
        </w:tc>
        <w:tc>
          <w:tcPr>
            <w:tcW w:w="914" w:type="pct"/>
            <w:vMerge w:val="continue"/>
            <w:tcBorders>
              <w:left w:val="single" w:color="000000" w:sz="4" w:space="0"/>
              <w:bottom w:val="single" w:color="000000" w:sz="4" w:space="0"/>
              <w:right w:val="single" w:color="000000" w:sz="4" w:space="0"/>
            </w:tcBorders>
            <w:noWrap/>
            <w:vAlign w:val="center"/>
          </w:tcPr>
          <w:p w14:paraId="3FD2A496">
            <w:pPr>
              <w:spacing w:line="360" w:lineRule="exact"/>
              <w:ind w:firstLine="0"/>
              <w:rPr>
                <w:rFonts w:hint="default"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2CD5D67">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34A56B5">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2053EF">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6325A0C">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BD8B992">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E40953">
            <w:pPr>
              <w:spacing w:line="360" w:lineRule="exact"/>
              <w:ind w:firstLine="0"/>
              <w:rPr>
                <w:rFonts w:hint="eastAsia" w:ascii="宋体" w:hAnsi="宋体" w:eastAsia="宋体" w:cs="宋体"/>
                <w:lang w:val="en-US" w:eastAsia="zh-CN"/>
              </w:rPr>
            </w:pPr>
          </w:p>
        </w:tc>
      </w:tr>
      <w:tr w14:paraId="742DF53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083F752">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w:t>
            </w: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5AB5030B">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5A67F31">
            <w:pPr>
              <w:spacing w:line="360" w:lineRule="exact"/>
              <w:ind w:firstLine="0"/>
              <w:rPr>
                <w:rFonts w:hint="eastAsia" w:ascii="宋体" w:hAnsi="宋体" w:eastAsia="宋体" w:cs="宋体"/>
                <w:lang w:val="en-US" w:eastAsia="zh-CN"/>
              </w:rPr>
            </w:pPr>
            <w:r>
              <w:rPr>
                <w:rFonts w:hint="eastAsia" w:ascii="宋体" w:hAnsi="宋体" w:eastAsia="宋体" w:cs="宋体"/>
                <w:lang w:val="en-US" w:eastAsia="zh-CN"/>
              </w:rPr>
              <w:t>……</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5F25791F">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EF2B851">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2B96D4">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291DADB">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444B92F">
            <w:pPr>
              <w:spacing w:line="360" w:lineRule="exact"/>
              <w:ind w:firstLine="0"/>
              <w:rPr>
                <w:rFonts w:hint="eastAsia" w:ascii="宋体" w:hAnsi="宋体" w:eastAsia="宋体" w:cs="宋体"/>
                <w:lang w:val="en-US" w:eastAsia="zh-CN"/>
              </w:rPr>
            </w:pPr>
          </w:p>
        </w:tc>
      </w:tr>
      <w:tr w14:paraId="12F0B5F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73E10AF">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6EEE2656">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552EA9A0">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501E18D">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03709DC">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3FBB96">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777DF1F">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94DE4B3">
            <w:pPr>
              <w:spacing w:line="360" w:lineRule="exact"/>
              <w:ind w:firstLine="0"/>
              <w:rPr>
                <w:rFonts w:hint="eastAsia" w:ascii="宋体" w:hAnsi="宋体" w:eastAsia="宋体" w:cs="宋体"/>
                <w:lang w:val="en-US" w:eastAsia="zh-CN"/>
              </w:rPr>
            </w:pPr>
          </w:p>
        </w:tc>
      </w:tr>
      <w:tr w14:paraId="39FD8C3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F5392C">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0C725631">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2C03D7B7">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6E5210B">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B091CD">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54040A8">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EB09E7">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5E8ABCD">
            <w:pPr>
              <w:spacing w:line="360" w:lineRule="exact"/>
              <w:ind w:firstLine="0"/>
              <w:rPr>
                <w:rFonts w:hint="eastAsia" w:ascii="宋体" w:hAnsi="宋体" w:eastAsia="宋体" w:cs="宋体"/>
                <w:lang w:val="en-US" w:eastAsia="zh-CN"/>
              </w:rPr>
            </w:pPr>
          </w:p>
        </w:tc>
      </w:tr>
      <w:tr w14:paraId="41B1AD0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648B69">
            <w:pPr>
              <w:spacing w:line="360" w:lineRule="exact"/>
              <w:ind w:firstLine="0"/>
              <w:rPr>
                <w:rFonts w:hint="eastAsia" w:ascii="宋体" w:hAnsi="宋体" w:eastAsia="宋体" w:cs="宋体"/>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ign w:val="center"/>
          </w:tcPr>
          <w:p w14:paraId="240774A4">
            <w:pPr>
              <w:spacing w:line="360" w:lineRule="exact"/>
              <w:ind w:firstLine="0"/>
              <w:rPr>
                <w:rFonts w:hint="eastAsia" w:ascii="宋体" w:hAnsi="宋体" w:eastAsia="宋体" w:cs="宋体"/>
                <w:lang w:val="en-US" w:eastAsia="zh-CN"/>
              </w:rPr>
            </w:pPr>
          </w:p>
        </w:tc>
        <w:tc>
          <w:tcPr>
            <w:tcW w:w="1030" w:type="pct"/>
            <w:tcBorders>
              <w:top w:val="single" w:color="000000" w:sz="4" w:space="0"/>
              <w:left w:val="single" w:color="000000" w:sz="4" w:space="0"/>
              <w:bottom w:val="single" w:color="000000" w:sz="4" w:space="0"/>
              <w:right w:val="single" w:color="000000" w:sz="4" w:space="0"/>
            </w:tcBorders>
            <w:noWrap/>
            <w:vAlign w:val="center"/>
          </w:tcPr>
          <w:p w14:paraId="702EA7EA">
            <w:pPr>
              <w:spacing w:line="360" w:lineRule="exact"/>
              <w:ind w:firstLine="0"/>
              <w:rPr>
                <w:rFonts w:hint="eastAsia" w:ascii="宋体" w:hAnsi="宋体" w:eastAsia="宋体" w:cs="宋体"/>
                <w:lang w:val="en-US" w:eastAsia="zh-CN"/>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E0B4345">
            <w:pPr>
              <w:spacing w:line="360" w:lineRule="exact"/>
              <w:ind w:firstLine="0"/>
              <w:rPr>
                <w:rFonts w:hint="eastAsia" w:ascii="宋体" w:hAnsi="宋体" w:eastAsia="宋体" w:cs="宋体"/>
                <w:lang w:val="en-US" w:eastAsia="zh-CN"/>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5BA5FEC">
            <w:pPr>
              <w:spacing w:line="360" w:lineRule="exact"/>
              <w:ind w:firstLine="0"/>
              <w:rPr>
                <w:rFonts w:hint="eastAsia" w:ascii="宋体" w:hAnsi="宋体" w:eastAsia="宋体" w:cs="宋体"/>
                <w:lang w:val="en-US" w:eastAsia="zh-CN"/>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7A1BEF9">
            <w:pPr>
              <w:spacing w:line="360" w:lineRule="exact"/>
              <w:ind w:firstLine="0"/>
              <w:rPr>
                <w:rFonts w:hint="eastAsia" w:ascii="宋体" w:hAnsi="宋体" w:eastAsia="宋体" w:cs="宋体"/>
                <w:lang w:val="en-US" w:eastAsia="zh-CN"/>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295890">
            <w:pPr>
              <w:spacing w:line="360" w:lineRule="exact"/>
              <w:ind w:firstLine="0"/>
              <w:rPr>
                <w:rFonts w:hint="eastAsia" w:ascii="宋体" w:hAnsi="宋体" w:eastAsia="宋体" w:cs="宋体"/>
                <w:lang w:val="en-US" w:eastAsia="zh-CN"/>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B767890">
            <w:pPr>
              <w:spacing w:line="360" w:lineRule="exact"/>
              <w:ind w:firstLine="0"/>
              <w:rPr>
                <w:rFonts w:hint="eastAsia" w:ascii="宋体" w:hAnsi="宋体" w:eastAsia="宋体" w:cs="宋体"/>
                <w:lang w:val="en-US" w:eastAsia="zh-CN"/>
              </w:rPr>
            </w:pPr>
          </w:p>
        </w:tc>
      </w:tr>
    </w:tbl>
    <w:p w14:paraId="0A9EE5A1">
      <w:pPr>
        <w:rPr>
          <w:rFonts w:cs="Times New Roman" w:asciiTheme="minorEastAsia" w:hAnsiTheme="minorEastAsia" w:eastAsiaTheme="minorEastAsia"/>
          <w:highlight w:val="none"/>
        </w:rPr>
      </w:pPr>
    </w:p>
    <w:p w14:paraId="0CE777CC">
      <w:pPr>
        <w:topLinePunct/>
        <w:spacing w:line="440" w:lineRule="exact"/>
        <w:jc w:val="left"/>
        <w:rPr>
          <w:rFonts w:cs="Times New Roman" w:asciiTheme="minorEastAsia" w:hAnsiTheme="minorEastAsia" w:eastAsiaTheme="minorEastAsia"/>
          <w:b/>
          <w:highlight w:val="none"/>
        </w:rPr>
      </w:pPr>
      <w:r>
        <w:rPr>
          <w:rFonts w:hint="eastAsia" w:cs="Times New Roman" w:asciiTheme="minorEastAsia" w:hAnsiTheme="minorEastAsia" w:eastAsiaTheme="minorEastAsia"/>
          <w:b/>
          <w:highlight w:val="none"/>
        </w:rPr>
        <w:t>编制要求：</w:t>
      </w:r>
      <w:r>
        <w:rPr>
          <w:rFonts w:hint="eastAsia" w:cs="Times New Roman" w:asciiTheme="minorEastAsia" w:hAnsiTheme="minorEastAsia" w:eastAsiaTheme="minorEastAsia"/>
          <w:highlight w:val="none"/>
        </w:rPr>
        <w:t>要求提供原件的，需提供文件原件；</w:t>
      </w:r>
      <w:r>
        <w:rPr>
          <w:rFonts w:hint="eastAsia" w:cs="Times New Roman" w:asciiTheme="minorEastAsia" w:hAnsiTheme="minorEastAsia" w:eastAsiaTheme="minorEastAsia"/>
          <w:highlight w:val="none"/>
          <w:lang w:val="en-US" w:eastAsia="zh-CN"/>
        </w:rPr>
        <w:t>其他</w:t>
      </w:r>
      <w:r>
        <w:rPr>
          <w:rFonts w:hint="eastAsia" w:cs="Times New Roman" w:asciiTheme="minorEastAsia" w:hAnsiTheme="minorEastAsia" w:eastAsiaTheme="minorEastAsia"/>
          <w:highlight w:val="none"/>
        </w:rPr>
        <w:t>证明文件可为</w:t>
      </w:r>
      <w:r>
        <w:rPr>
          <w:rFonts w:hint="eastAsia" w:cs="Times New Roman" w:asciiTheme="minorEastAsia" w:hAnsiTheme="minorEastAsia" w:eastAsiaTheme="minorEastAsia"/>
          <w:highlight w:val="none"/>
          <w:lang w:val="en-US" w:eastAsia="zh-CN"/>
        </w:rPr>
        <w:t>扫描件</w:t>
      </w:r>
      <w:r>
        <w:rPr>
          <w:rFonts w:hint="eastAsia" w:cs="Times New Roman" w:asciiTheme="minorEastAsia" w:hAnsiTheme="minorEastAsia" w:eastAsiaTheme="minorEastAsia"/>
          <w:highlight w:val="none"/>
        </w:rPr>
        <w:t>。</w:t>
      </w:r>
    </w:p>
    <w:p w14:paraId="4EB99F57">
      <w:pPr>
        <w:topLinePunct/>
        <w:ind w:firstLine="247" w:firstLineChars="118"/>
        <w:rPr>
          <w:rFonts w:hint="eastAsia" w:ascii="宋体" w:hAnsi="宋体" w:eastAsia="宋体" w:cs="宋体"/>
        </w:rPr>
      </w:pPr>
    </w:p>
    <w:p w14:paraId="410DC0AF">
      <w:pPr>
        <w:topLinePunct/>
        <w:ind w:firstLine="247" w:firstLineChars="118"/>
        <w:rPr>
          <w:rFonts w:hint="eastAsia" w:ascii="宋体" w:hAnsi="宋体" w:eastAsia="宋体" w:cs="宋体"/>
          <w:u w:val="single"/>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p>
    <w:p w14:paraId="60EF4D93">
      <w:pPr>
        <w:topLinePunct/>
        <w:ind w:firstLine="247" w:firstLineChars="118"/>
        <w:rPr>
          <w:rFonts w:hint="eastAsia" w:ascii="宋体" w:hAnsi="宋体" w:eastAsia="宋体" w:cs="宋体"/>
        </w:rPr>
      </w:pPr>
      <w:r>
        <w:rPr>
          <w:rFonts w:hint="eastAsia" w:ascii="宋体" w:hAnsi="宋体" w:eastAsia="宋体" w:cs="宋体"/>
        </w:rPr>
        <w:t>日期：      年     月    日</w:t>
      </w:r>
    </w:p>
    <w:p w14:paraId="5221D5A9">
      <w:pPr>
        <w:topLinePunct/>
        <w:ind w:firstLine="247" w:firstLineChars="118"/>
        <w:rPr>
          <w:rFonts w:hint="eastAsia" w:ascii="宋体" w:hAnsi="宋体" w:eastAsia="宋体" w:cs="宋体"/>
        </w:rPr>
      </w:pPr>
    </w:p>
    <w:p w14:paraId="23325FF7">
      <w:pPr>
        <w:rPr>
          <w:rFonts w:cs="Times New Roman" w:asciiTheme="minorEastAsia" w:hAnsiTheme="minorEastAsia" w:eastAsiaTheme="minorEastAsia"/>
          <w:highlight w:val="none"/>
        </w:rPr>
      </w:pPr>
      <w:r>
        <w:rPr>
          <w:rFonts w:hint="eastAsia" w:ascii="宋体" w:hAnsi="宋体" w:eastAsia="宋体" w:cs="宋体"/>
        </w:rPr>
        <w:t>注：1、项目负责人须按</w:t>
      </w:r>
      <w:r>
        <w:rPr>
          <w:rFonts w:hint="eastAsia" w:ascii="宋体" w:hAnsi="宋体" w:eastAsia="宋体" w:cs="宋体"/>
          <w:lang w:val="en-US" w:eastAsia="zh-CN"/>
        </w:rPr>
        <w:t>询比</w:t>
      </w:r>
      <w:r>
        <w:rPr>
          <w:rFonts w:hint="eastAsia" w:ascii="宋体" w:hAnsi="宋体" w:eastAsia="宋体" w:cs="宋体"/>
        </w:rPr>
        <w:t>文件要求附相应证明材料等</w:t>
      </w:r>
    </w:p>
    <w:p w14:paraId="5EDCBA81">
      <w:pPr>
        <w:topLinePunct/>
        <w:ind w:firstLine="247" w:firstLineChars="118"/>
        <w:jc w:val="right"/>
        <w:rPr>
          <w:rFonts w:ascii="宋体" w:hAnsi="宋体"/>
          <w:highlight w:val="none"/>
        </w:rPr>
      </w:pPr>
    </w:p>
    <w:p w14:paraId="50F63C08">
      <w:pPr>
        <w:topLinePunct/>
        <w:ind w:firstLine="247" w:firstLineChars="118"/>
        <w:rPr>
          <w:rFonts w:ascii="宋体" w:hAnsi="宋体"/>
          <w:highlight w:val="none"/>
        </w:rPr>
      </w:pPr>
    </w:p>
    <w:p w14:paraId="475E5C6A">
      <w:pPr>
        <w:rPr>
          <w:rFonts w:ascii="宋体" w:hAnsi="宋体"/>
          <w:highlight w:val="none"/>
        </w:rPr>
      </w:pPr>
      <w:r>
        <w:rPr>
          <w:rFonts w:ascii="宋体" w:hAnsi="宋体"/>
          <w:highlight w:val="none"/>
        </w:rPr>
        <w:br w:type="page"/>
      </w:r>
    </w:p>
    <w:p w14:paraId="4A599496">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28" w:name="_Toc31174"/>
      <w:bookmarkStart w:id="1229" w:name="_Toc5019"/>
      <w:bookmarkStart w:id="1230" w:name="_Toc27344"/>
      <w:bookmarkStart w:id="1231" w:name="_Toc6455"/>
      <w:bookmarkStart w:id="1232" w:name="_Toc21507"/>
      <w:bookmarkStart w:id="1233" w:name="_Toc38008102"/>
      <w:bookmarkStart w:id="1234" w:name="_Toc24106"/>
      <w:bookmarkStart w:id="1235" w:name="_Toc14516"/>
      <w:bookmarkStart w:id="1236" w:name="_Toc26300"/>
      <w:bookmarkStart w:id="1237" w:name="_Toc2123"/>
      <w:bookmarkStart w:id="1238" w:name="_Toc475472692"/>
      <w:bookmarkStart w:id="1239" w:name="_Toc14942"/>
      <w:bookmarkStart w:id="1240" w:name="_Toc25224"/>
      <w:bookmarkStart w:id="1241" w:name="_Hlk167300100"/>
      <w:r>
        <w:rPr>
          <w:rFonts w:hint="eastAsia" w:cs="Times New Roman" w:asciiTheme="minorEastAsia" w:hAnsiTheme="minorEastAsia" w:eastAsiaTheme="minorEastAsia"/>
          <w:b/>
          <w:bCs/>
          <w:kern w:val="2"/>
          <w:sz w:val="24"/>
          <w:szCs w:val="24"/>
          <w:lang w:val="en-US" w:eastAsia="zh-CN" w:bidi="ar-SA"/>
        </w:rPr>
        <w:t>33.</w:t>
      </w:r>
      <w:r>
        <w:rPr>
          <w:rFonts w:hint="eastAsia" w:cs="Times New Roman" w:asciiTheme="minorEastAsia" w:hAnsiTheme="minorEastAsia" w:eastAsiaTheme="minorEastAsia"/>
          <w:sz w:val="24"/>
          <w:szCs w:val="24"/>
        </w:rPr>
        <w:t>技术规范书中明确要求投标人提供的其他相关文件</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p>
    <w:bookmarkEnd w:id="1241"/>
    <w:p w14:paraId="228D3E89">
      <w:pPr>
        <w:rPr>
          <w:rFonts w:asciiTheme="minorEastAsia" w:hAnsiTheme="minorEastAsia" w:eastAsiaTheme="minorEastAsia"/>
          <w:highlight w:val="none"/>
        </w:rPr>
      </w:pPr>
    </w:p>
    <w:p w14:paraId="41AF66E7">
      <w:pPr>
        <w:rPr>
          <w:rFonts w:asciiTheme="minorEastAsia" w:hAnsiTheme="minorEastAsia" w:eastAsiaTheme="minorEastAsia"/>
          <w:highlight w:val="none"/>
        </w:rPr>
      </w:pPr>
    </w:p>
    <w:p w14:paraId="51AA4C94">
      <w:pPr>
        <w:rPr>
          <w:rFonts w:asciiTheme="minorEastAsia" w:hAnsiTheme="minorEastAsia" w:eastAsiaTheme="minorEastAsia"/>
          <w:highlight w:val="none"/>
        </w:rPr>
      </w:pPr>
    </w:p>
    <w:p w14:paraId="5F6958D5">
      <w:pPr>
        <w:rPr>
          <w:rFonts w:asciiTheme="minorEastAsia" w:hAnsiTheme="minorEastAsia" w:eastAsiaTheme="minorEastAsia"/>
          <w:szCs w:val="21"/>
          <w:highlight w:val="none"/>
        </w:rPr>
      </w:pPr>
    </w:p>
    <w:p w14:paraId="0BA6FEAB">
      <w:pPr>
        <w:topLinePunct/>
        <w:spacing w:line="440" w:lineRule="exact"/>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1AC1CEFC">
      <w:pPr>
        <w:numPr>
          <w:ilvl w:val="0"/>
          <w:numId w:val="103"/>
        </w:numPr>
        <w:topLinePunct/>
        <w:spacing w:line="440" w:lineRule="exact"/>
        <w:ind w:left="424" w:hanging="424" w:hangingChars="202"/>
        <w:jc w:val="left"/>
        <w:rPr>
          <w:rFonts w:asciiTheme="minorEastAsia" w:hAnsiTheme="minorEastAsia" w:eastAsiaTheme="minorEastAsia"/>
          <w:highlight w:val="none"/>
        </w:rPr>
      </w:pPr>
      <w:r>
        <w:rPr>
          <w:rFonts w:hint="eastAsia" w:asciiTheme="minorEastAsia" w:hAnsiTheme="minorEastAsia" w:eastAsiaTheme="minorEastAsia"/>
          <w:highlight w:val="none"/>
        </w:rPr>
        <w:t>应按照技术规范书规定的先后顺序提供。</w:t>
      </w:r>
    </w:p>
    <w:p w14:paraId="1D4F7D9C">
      <w:pPr>
        <w:numPr>
          <w:ilvl w:val="0"/>
          <w:numId w:val="103"/>
        </w:numPr>
        <w:topLinePunct/>
        <w:spacing w:line="440" w:lineRule="exact"/>
        <w:ind w:left="424" w:hanging="424" w:hangingChars="202"/>
        <w:jc w:val="left"/>
        <w:rPr>
          <w:rFonts w:asciiTheme="minorEastAsia" w:hAnsiTheme="minorEastAsia" w:eastAsiaTheme="minorEastAsia"/>
          <w:highlight w:val="none"/>
        </w:rPr>
      </w:pPr>
      <w:r>
        <w:rPr>
          <w:rFonts w:hint="eastAsia" w:asciiTheme="minorEastAsia" w:hAnsiTheme="minorEastAsia" w:eastAsiaTheme="minorEastAsia"/>
          <w:highlight w:val="none"/>
        </w:rPr>
        <w:t>要求提供原件的，需提供文件原件；需要提供证明文件的，可为相关证明文件复印件。</w:t>
      </w:r>
    </w:p>
    <w:p w14:paraId="449214F8">
      <w:pPr>
        <w:rPr>
          <w:rFonts w:asciiTheme="minorEastAsia" w:hAnsiTheme="minorEastAsia" w:eastAsiaTheme="minorEastAsia"/>
          <w:highlight w:val="none"/>
        </w:rPr>
      </w:pPr>
      <w:r>
        <w:rPr>
          <w:rFonts w:asciiTheme="minorEastAsia" w:hAnsiTheme="minorEastAsia" w:eastAsiaTheme="minorEastAsia"/>
          <w:highlight w:val="none"/>
        </w:rPr>
        <w:br w:type="page"/>
      </w:r>
    </w:p>
    <w:p w14:paraId="4C5B7C12">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b/>
          <w:bCs/>
          <w:kern w:val="2"/>
          <w:sz w:val="24"/>
          <w:szCs w:val="24"/>
          <w:lang w:val="en-US" w:eastAsia="zh-CN" w:bidi="ar-SA"/>
        </w:rPr>
      </w:pPr>
      <w:bookmarkStart w:id="1242" w:name="_Toc15432"/>
      <w:bookmarkStart w:id="1243" w:name="_Toc26672"/>
      <w:bookmarkStart w:id="1244" w:name="_Toc31810"/>
      <w:bookmarkStart w:id="1245" w:name="_Toc4123"/>
      <w:bookmarkStart w:id="1246" w:name="_Toc9550"/>
      <w:bookmarkStart w:id="1247" w:name="_Toc20526"/>
      <w:r>
        <w:rPr>
          <w:rFonts w:hint="eastAsia" w:cs="Times New Roman" w:asciiTheme="minorEastAsia" w:hAnsiTheme="minorEastAsia" w:eastAsiaTheme="minorEastAsia"/>
          <w:b/>
          <w:bCs/>
          <w:kern w:val="2"/>
          <w:sz w:val="24"/>
          <w:szCs w:val="24"/>
          <w:lang w:val="en-US" w:eastAsia="zh-CN" w:bidi="ar-SA"/>
        </w:rPr>
        <w:t>34.外部组件软件成分信息清单模版</w:t>
      </w:r>
      <w:bookmarkEnd w:id="1242"/>
      <w:bookmarkEnd w:id="1243"/>
      <w:bookmarkEnd w:id="1244"/>
      <w:bookmarkEnd w:id="1245"/>
      <w:bookmarkEnd w:id="1246"/>
      <w:bookmarkEnd w:id="1247"/>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8" w:name="_Toc28372"/>
      <w:bookmarkStart w:id="1249" w:name="_Toc28754"/>
      <w:bookmarkStart w:id="1250" w:name="_Toc21382"/>
      <w:bookmarkStart w:id="1251" w:name="_Toc26262"/>
      <w:bookmarkStart w:id="1252" w:name="_Toc20111"/>
      <w:bookmarkStart w:id="1253" w:name="_Toc11963"/>
      <w:r>
        <w:rPr>
          <w:rFonts w:hint="eastAsia" w:ascii="等线" w:hAnsi="等线" w:eastAsia="等线" w:cs="Times New Roman"/>
          <w:b/>
          <w:kern w:val="2"/>
          <w:sz w:val="24"/>
          <w:szCs w:val="24"/>
          <w:lang w:val="en-US" w:eastAsia="zh-CN" w:bidi="ar-SA"/>
        </w:rPr>
        <w:t>一、软件基本信息</w:t>
      </w:r>
      <w:bookmarkEnd w:id="1248"/>
      <w:bookmarkEnd w:id="1249"/>
      <w:bookmarkEnd w:id="1250"/>
      <w:bookmarkEnd w:id="1251"/>
      <w:bookmarkEnd w:id="1252"/>
      <w:bookmarkEnd w:id="1253"/>
    </w:p>
    <w:tbl>
      <w:tblPr>
        <w:tblStyle w:val="85"/>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54" w:name="_Toc28005"/>
      <w:bookmarkStart w:id="1255" w:name="_Toc26995"/>
      <w:bookmarkStart w:id="1256" w:name="_Toc29308"/>
      <w:bookmarkStart w:id="1257" w:name="_Toc2252"/>
      <w:bookmarkStart w:id="1258" w:name="_Toc10885"/>
      <w:bookmarkStart w:id="1259" w:name="_Toc17273"/>
      <w:r>
        <w:rPr>
          <w:rFonts w:hint="eastAsia" w:ascii="等线" w:hAnsi="等线" w:eastAsia="等线" w:cs="Times New Roman"/>
          <w:b/>
          <w:kern w:val="2"/>
          <w:sz w:val="24"/>
          <w:szCs w:val="24"/>
          <w:lang w:val="en-US" w:eastAsia="zh-CN" w:bidi="ar-SA"/>
        </w:rPr>
        <w:t>二、软件成分明细</w:t>
      </w:r>
      <w:bookmarkEnd w:id="1254"/>
      <w:bookmarkEnd w:id="1255"/>
      <w:bookmarkEnd w:id="1256"/>
      <w:bookmarkEnd w:id="1257"/>
      <w:bookmarkEnd w:id="1258"/>
      <w:bookmarkEnd w:id="1259"/>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60" w:name="_Toc32002"/>
      <w:bookmarkStart w:id="1261" w:name="_Toc31716"/>
      <w:bookmarkStart w:id="1262" w:name="_Toc1819"/>
      <w:bookmarkStart w:id="1263" w:name="_Toc10668"/>
      <w:bookmarkStart w:id="1264" w:name="_Toc2236"/>
      <w:bookmarkStart w:id="1265" w:name="_Toc18199"/>
      <w:r>
        <w:rPr>
          <w:rFonts w:hint="eastAsia" w:ascii="等线" w:hAnsi="等线" w:eastAsia="等线" w:cs="Times New Roman"/>
          <w:b/>
          <w:kern w:val="2"/>
          <w:sz w:val="24"/>
          <w:szCs w:val="24"/>
          <w:lang w:val="en-US" w:eastAsia="zh-CN" w:bidi="ar-SA"/>
        </w:rPr>
        <w:t>2.1 开发工具类</w:t>
      </w:r>
      <w:bookmarkEnd w:id="1260"/>
      <w:bookmarkEnd w:id="1261"/>
      <w:bookmarkEnd w:id="1262"/>
      <w:bookmarkEnd w:id="1263"/>
      <w:bookmarkEnd w:id="1264"/>
      <w:bookmarkEnd w:id="1265"/>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85"/>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66" w:name="_Toc19217"/>
      <w:bookmarkStart w:id="1267" w:name="_Toc10963"/>
      <w:bookmarkStart w:id="1268" w:name="_Toc18802"/>
      <w:bookmarkStart w:id="1269" w:name="_Toc28432"/>
      <w:bookmarkStart w:id="1270" w:name="_Toc15531"/>
      <w:bookmarkStart w:id="1271" w:name="_Toc20841"/>
      <w:r>
        <w:rPr>
          <w:rFonts w:hint="eastAsia" w:ascii="等线" w:hAnsi="等线" w:eastAsia="等线" w:cs="Times New Roman"/>
          <w:b/>
          <w:kern w:val="2"/>
          <w:sz w:val="24"/>
          <w:szCs w:val="24"/>
          <w:lang w:val="en-US" w:eastAsia="zh-CN" w:bidi="ar-SA"/>
        </w:rPr>
        <w:t>2.2 第三方软件类</w:t>
      </w:r>
      <w:bookmarkEnd w:id="1266"/>
      <w:bookmarkEnd w:id="1267"/>
      <w:bookmarkEnd w:id="1268"/>
      <w:bookmarkEnd w:id="1269"/>
      <w:bookmarkEnd w:id="1270"/>
      <w:bookmarkEnd w:id="1271"/>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85"/>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72" w:name="_Toc14755"/>
      <w:bookmarkStart w:id="1273" w:name="_Toc30470"/>
      <w:bookmarkStart w:id="1274" w:name="_Toc757"/>
      <w:bookmarkStart w:id="1275" w:name="_Toc7003"/>
      <w:bookmarkStart w:id="1276" w:name="_Toc23186"/>
      <w:bookmarkStart w:id="1277" w:name="_Toc18551"/>
      <w:r>
        <w:rPr>
          <w:rFonts w:hint="eastAsia" w:ascii="等线" w:hAnsi="等线" w:eastAsia="等线" w:cs="Times New Roman"/>
          <w:b/>
          <w:kern w:val="2"/>
          <w:sz w:val="24"/>
          <w:szCs w:val="24"/>
          <w:lang w:val="en-US" w:eastAsia="zh-CN" w:bidi="ar-SA"/>
        </w:rPr>
        <w:t>2.3 开源软件类</w:t>
      </w:r>
      <w:bookmarkEnd w:id="1272"/>
      <w:bookmarkEnd w:id="1273"/>
      <w:bookmarkEnd w:id="1274"/>
      <w:bookmarkEnd w:id="1275"/>
      <w:bookmarkEnd w:id="1276"/>
      <w:bookmarkEnd w:id="1277"/>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50318B21">
      <w:pPr>
        <w:keepNext/>
        <w:keepLines/>
        <w:widowControl w:val="0"/>
        <w:spacing w:before="260" w:after="260" w:line="413" w:lineRule="auto"/>
        <w:jc w:val="left"/>
        <w:outlineLvl w:val="2"/>
        <w:rPr>
          <w:rFonts w:ascii="微软雅黑" w:hAnsi="微软雅黑" w:eastAsia="微软雅黑" w:cs="Times New Roman"/>
          <w:sz w:val="24"/>
          <w:szCs w:val="22"/>
        </w:rPr>
      </w:pPr>
      <w:bookmarkStart w:id="1278" w:name="_Toc7528"/>
      <w:bookmarkStart w:id="1279" w:name="_Toc13385"/>
      <w:bookmarkStart w:id="1280" w:name="_Toc15329"/>
      <w:bookmarkStart w:id="1281" w:name="_Toc13658"/>
      <w:bookmarkStart w:id="1282" w:name="_Toc7"/>
      <w:bookmarkStart w:id="1283" w:name="_Toc12137"/>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278"/>
      <w:bookmarkEnd w:id="1279"/>
      <w:bookmarkEnd w:id="1280"/>
      <w:bookmarkEnd w:id="1281"/>
      <w:bookmarkEnd w:id="1282"/>
      <w:bookmarkEnd w:id="1283"/>
    </w:p>
    <w:p w14:paraId="27E70889">
      <w:pPr>
        <w:pStyle w:val="98"/>
      </w:pPr>
    </w:p>
    <w:p w14:paraId="402AD2D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425" w:num="1"/>
          <w:docGrid w:type="lines" w:linePitch="312" w:charSpace="0"/>
        </w:sectPr>
      </w:pPr>
    </w:p>
    <w:tbl>
      <w:tblPr>
        <w:tblStyle w:val="8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3B9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2929BA2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4014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3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1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F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3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F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9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F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7D47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33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C4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2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E9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D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A0B">
            <w:pPr>
              <w:jc w:val="center"/>
              <w:rPr>
                <w:rFonts w:hint="eastAsia" w:ascii="宋体" w:hAnsi="宋体" w:eastAsia="宋体" w:cs="宋体"/>
                <w:i w:val="0"/>
                <w:iCs w:val="0"/>
                <w:color w:val="000000"/>
                <w:sz w:val="22"/>
                <w:szCs w:val="22"/>
                <w:u w:val="none"/>
              </w:rPr>
            </w:pPr>
          </w:p>
        </w:tc>
      </w:tr>
      <w:tr w14:paraId="0D99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F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68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1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70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DD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D87">
            <w:pPr>
              <w:jc w:val="center"/>
              <w:rPr>
                <w:rFonts w:hint="eastAsia" w:ascii="宋体" w:hAnsi="宋体" w:eastAsia="宋体" w:cs="宋体"/>
                <w:i w:val="0"/>
                <w:iCs w:val="0"/>
                <w:color w:val="000000"/>
                <w:sz w:val="22"/>
                <w:szCs w:val="22"/>
                <w:u w:val="none"/>
              </w:rPr>
            </w:pPr>
          </w:p>
        </w:tc>
      </w:tr>
      <w:tr w14:paraId="48B6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6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D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F7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DC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C5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9C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6B68">
            <w:pPr>
              <w:jc w:val="center"/>
              <w:rPr>
                <w:rFonts w:hint="eastAsia" w:ascii="宋体" w:hAnsi="宋体" w:eastAsia="宋体" w:cs="宋体"/>
                <w:i w:val="0"/>
                <w:iCs w:val="0"/>
                <w:color w:val="000000"/>
                <w:sz w:val="22"/>
                <w:szCs w:val="22"/>
                <w:u w:val="none"/>
              </w:rPr>
            </w:pPr>
          </w:p>
        </w:tc>
      </w:tr>
      <w:tr w14:paraId="431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CC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F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C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CA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E4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5D3C">
            <w:pPr>
              <w:jc w:val="center"/>
              <w:rPr>
                <w:rFonts w:hint="eastAsia" w:ascii="宋体" w:hAnsi="宋体" w:eastAsia="宋体" w:cs="宋体"/>
                <w:i w:val="0"/>
                <w:iCs w:val="0"/>
                <w:color w:val="000000"/>
                <w:sz w:val="22"/>
                <w:szCs w:val="22"/>
                <w:u w:val="none"/>
              </w:rPr>
            </w:pPr>
          </w:p>
        </w:tc>
      </w:tr>
      <w:tr w14:paraId="0CA4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D2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75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6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4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1B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5276">
            <w:pPr>
              <w:jc w:val="center"/>
              <w:rPr>
                <w:rFonts w:hint="eastAsia" w:ascii="宋体" w:hAnsi="宋体" w:eastAsia="宋体" w:cs="宋体"/>
                <w:i w:val="0"/>
                <w:iCs w:val="0"/>
                <w:color w:val="000000"/>
                <w:sz w:val="22"/>
                <w:szCs w:val="22"/>
                <w:u w:val="none"/>
              </w:rPr>
            </w:pPr>
          </w:p>
        </w:tc>
      </w:tr>
      <w:tr w14:paraId="5F1C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55E964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投标人须如实提供本申报表，如存在涉及骗取中标、违约、质量或者安全问题的行政处罚须提供有关资料（包括相关行业主管部门的行政处罚决定文件等，附于本表之后）；未如实填报上述行政处罚的将可能被否决投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2、如投标人无行政处罚的，则应在表格中第一行“行政处罚具体项目名称/事件”列填写“不涉及”。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089814ED">
      <w:pPr>
        <w:rPr>
          <w:rFonts w:asciiTheme="minorEastAsia" w:hAnsiTheme="minorEastAsia" w:eastAsiaTheme="minorEastAsia"/>
          <w:highlight w:val="none"/>
        </w:rPr>
      </w:pPr>
    </w:p>
    <w:p w14:paraId="55AEDCB4">
      <w:pPr>
        <w:ind w:left="424" w:hanging="424" w:hangingChars="202"/>
        <w:rPr>
          <w:rFonts w:asciiTheme="minorEastAsia" w:hAnsiTheme="minorEastAsia" w:eastAsiaTheme="minorEastAsia"/>
          <w:highlight w:val="none"/>
        </w:rPr>
        <w:sectPr>
          <w:pgSz w:w="16838" w:h="11906" w:orient="landscape"/>
          <w:pgMar w:top="1797" w:right="1440" w:bottom="1797" w:left="1440" w:header="851" w:footer="992" w:gutter="0"/>
          <w:pgNumType w:fmt="decimal"/>
          <w:cols w:space="0" w:num="1"/>
          <w:rtlGutter w:val="0"/>
          <w:docGrid w:type="lines" w:linePitch="319" w:charSpace="0"/>
        </w:sectPr>
      </w:pPr>
    </w:p>
    <w:bookmarkEnd w:id="1165"/>
    <w:p w14:paraId="3B9FA880">
      <w:pPr>
        <w:pStyle w:val="81"/>
        <w:tabs>
          <w:tab w:val="left" w:pos="588"/>
        </w:tabs>
        <w:snapToGrid w:val="0"/>
        <w:spacing w:before="120" w:after="120" w:line="440" w:lineRule="exact"/>
        <w:jc w:val="left"/>
        <w:rPr>
          <w:rFonts w:asciiTheme="minorEastAsia" w:hAnsiTheme="minorEastAsia" w:eastAsiaTheme="minorEastAsia"/>
          <w:sz w:val="24"/>
          <w:szCs w:val="24"/>
          <w:highlight w:val="none"/>
        </w:rPr>
      </w:pPr>
      <w:bookmarkStart w:id="1284" w:name="_Toc28966"/>
      <w:bookmarkStart w:id="1285" w:name="_Toc1822"/>
      <w:bookmarkStart w:id="1286" w:name="_Toc30593"/>
      <w:bookmarkStart w:id="1287" w:name="_Toc27798"/>
      <w:bookmarkStart w:id="1288" w:name="_Toc8184"/>
      <w:bookmarkStart w:id="1289" w:name="_Toc30206"/>
      <w:bookmarkStart w:id="1290" w:name="_Toc26541"/>
      <w:bookmarkStart w:id="1291" w:name="_Toc16170"/>
      <w:bookmarkStart w:id="1292" w:name="_Toc17692"/>
      <w:bookmarkStart w:id="1293" w:name="_Toc38008103"/>
      <w:bookmarkStart w:id="1294" w:name="_Toc1340"/>
      <w:bookmarkStart w:id="1295" w:name="_Toc20178"/>
      <w:bookmarkStart w:id="1296" w:name="_Toc475472693"/>
      <w:bookmarkStart w:id="1297" w:name="_Hlk167300106"/>
      <w:bookmarkStart w:id="1298" w:name="OLE_LINK12"/>
      <w:r>
        <w:rPr>
          <w:rFonts w:hint="eastAsia" w:asciiTheme="minorEastAsia" w:hAnsiTheme="minorEastAsia" w:eastAsiaTheme="minorEastAsia"/>
          <w:sz w:val="24"/>
          <w:szCs w:val="24"/>
          <w:highlight w:val="none"/>
        </w:rPr>
        <w:t>第三分册 报价文件</w:t>
      </w:r>
      <w:bookmarkEnd w:id="1284"/>
      <w:bookmarkEnd w:id="1285"/>
      <w:bookmarkEnd w:id="1286"/>
      <w:bookmarkEnd w:id="1287"/>
      <w:bookmarkEnd w:id="1288"/>
      <w:bookmarkEnd w:id="1289"/>
      <w:bookmarkEnd w:id="1290"/>
      <w:bookmarkEnd w:id="1291"/>
      <w:bookmarkEnd w:id="1292"/>
      <w:bookmarkEnd w:id="1293"/>
      <w:bookmarkEnd w:id="1294"/>
      <w:bookmarkEnd w:id="1295"/>
    </w:p>
    <w:p w14:paraId="01A5BABC">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299" w:name="_Toc25936"/>
      <w:bookmarkStart w:id="1300" w:name="_Toc17894"/>
      <w:bookmarkStart w:id="1301" w:name="_Toc693"/>
      <w:bookmarkStart w:id="1302" w:name="_Toc12680"/>
      <w:bookmarkStart w:id="1303" w:name="_Toc20474"/>
      <w:bookmarkStart w:id="1304" w:name="_Toc31323"/>
      <w:bookmarkStart w:id="1305" w:name="_Toc25306"/>
      <w:bookmarkStart w:id="1306" w:name="_Toc38008104"/>
      <w:bookmarkStart w:id="1307" w:name="_Toc19069"/>
      <w:bookmarkStart w:id="1308" w:name="_Toc30523"/>
      <w:bookmarkStart w:id="1309" w:name="_Toc8425"/>
      <w:bookmarkStart w:id="1310" w:name="_Toc20116"/>
      <w:r>
        <w:rPr>
          <w:rFonts w:hint="eastAsia" w:cs="Times New Roman" w:asciiTheme="minorEastAsia" w:hAnsiTheme="minorEastAsia" w:eastAsiaTheme="minorEastAsia"/>
          <w:b/>
          <w:bCs/>
          <w:kern w:val="2"/>
          <w:sz w:val="24"/>
          <w:szCs w:val="24"/>
          <w:lang w:val="en-US" w:eastAsia="zh-CN" w:bidi="ar-SA"/>
        </w:rPr>
        <w:t>35.</w:t>
      </w:r>
      <w:r>
        <w:rPr>
          <w:rFonts w:hint="eastAsia" w:cs="Times New Roman" w:asciiTheme="minorEastAsia" w:hAnsiTheme="minorEastAsia" w:eastAsiaTheme="minorEastAsia"/>
          <w:sz w:val="24"/>
          <w:szCs w:val="24"/>
        </w:rPr>
        <w:t>报价文件封面</w:t>
      </w:r>
      <w:bookmarkEnd w:id="1296"/>
      <w:bookmarkEnd w:id="1299"/>
      <w:bookmarkEnd w:id="1300"/>
      <w:bookmarkEnd w:id="1301"/>
      <w:bookmarkEnd w:id="1302"/>
      <w:bookmarkEnd w:id="1303"/>
      <w:bookmarkEnd w:id="1304"/>
      <w:bookmarkEnd w:id="1305"/>
      <w:bookmarkEnd w:id="1306"/>
      <w:bookmarkEnd w:id="1307"/>
      <w:bookmarkEnd w:id="1308"/>
      <w:bookmarkEnd w:id="1309"/>
      <w:bookmarkEnd w:id="1310"/>
    </w:p>
    <w:bookmarkEnd w:id="1297"/>
    <w:p w14:paraId="23279482">
      <w:pPr>
        <w:spacing w:after="120" w:line="360" w:lineRule="atLeast"/>
        <w:jc w:val="center"/>
        <w:rPr>
          <w:rFonts w:cs="宋体" w:asciiTheme="minorEastAsia" w:hAnsiTheme="minorEastAsia" w:eastAsiaTheme="minorEastAsia"/>
          <w:sz w:val="32"/>
          <w:szCs w:val="32"/>
          <w:highlight w:val="none"/>
          <w:u w:val="single"/>
        </w:rPr>
      </w:pPr>
    </w:p>
    <w:p w14:paraId="0C18709F">
      <w:pPr>
        <w:spacing w:after="120" w:line="360" w:lineRule="atLeast"/>
        <w:jc w:val="center"/>
        <w:rPr>
          <w:rFonts w:cs="宋体" w:asciiTheme="minorEastAsia" w:hAnsiTheme="minorEastAsia" w:eastAsiaTheme="minorEastAsia"/>
          <w:b/>
          <w:sz w:val="36"/>
          <w:szCs w:val="36"/>
          <w:highlight w:val="none"/>
        </w:rPr>
      </w:pPr>
    </w:p>
    <w:p w14:paraId="7449883D">
      <w:pPr>
        <w:jc w:val="center"/>
        <w:rPr>
          <w:rFonts w:hint="default"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（项目名称）</w:t>
      </w:r>
    </w:p>
    <w:p w14:paraId="15D73FB4">
      <w:pPr>
        <w:spacing w:after="120"/>
        <w:jc w:val="center"/>
        <w:rPr>
          <w:rFonts w:hint="eastAsia" w:cs="宋体" w:asciiTheme="minorEastAsia" w:hAnsiTheme="minorEastAsia" w:eastAsiaTheme="minorEastAsia"/>
          <w:b/>
          <w:sz w:val="36"/>
          <w:szCs w:val="36"/>
          <w:highlight w:val="none"/>
        </w:rPr>
      </w:pPr>
    </w:p>
    <w:p w14:paraId="17EFA705">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rPr>
        <w:t>投标文件【报价文件】部分</w:t>
      </w:r>
    </w:p>
    <w:p w14:paraId="580D5F83">
      <w:pPr>
        <w:spacing w:after="120"/>
        <w:jc w:val="center"/>
        <w:rPr>
          <w:rFonts w:cs="宋体" w:asciiTheme="minorEastAsia" w:hAnsiTheme="minorEastAsia" w:eastAsiaTheme="minorEastAsia"/>
          <w:b/>
          <w:sz w:val="32"/>
          <w:szCs w:val="32"/>
          <w:highlight w:val="none"/>
        </w:rPr>
      </w:pPr>
    </w:p>
    <w:p w14:paraId="10730E64">
      <w:pPr>
        <w:spacing w:after="120"/>
        <w:jc w:val="center"/>
        <w:rPr>
          <w:rFonts w:cs="宋体" w:asciiTheme="minorEastAsia" w:hAnsiTheme="minorEastAsia" w:eastAsiaTheme="minorEastAsia"/>
          <w:b/>
          <w:sz w:val="32"/>
          <w:szCs w:val="32"/>
          <w:highlight w:val="none"/>
        </w:rPr>
      </w:pPr>
    </w:p>
    <w:p w14:paraId="702DC9E7">
      <w:pPr>
        <w:spacing w:after="120"/>
        <w:jc w:val="center"/>
        <w:rPr>
          <w:rFonts w:cs="宋体" w:asciiTheme="minorEastAsia" w:hAnsiTheme="minorEastAsia" w:eastAsiaTheme="minorEastAsia"/>
          <w:b/>
          <w:sz w:val="32"/>
          <w:szCs w:val="32"/>
          <w:highlight w:val="none"/>
        </w:rPr>
      </w:pPr>
    </w:p>
    <w:p w14:paraId="7AB3C7A2">
      <w:pPr>
        <w:spacing w:after="120"/>
        <w:jc w:val="center"/>
        <w:rPr>
          <w:rFonts w:cs="宋体" w:asciiTheme="minorEastAsia" w:hAnsiTheme="minorEastAsia" w:eastAsiaTheme="minorEastAsia"/>
          <w:b/>
          <w:sz w:val="32"/>
          <w:szCs w:val="32"/>
          <w:highlight w:val="none"/>
        </w:rPr>
      </w:pPr>
    </w:p>
    <w:p w14:paraId="42890A46">
      <w:pPr>
        <w:spacing w:after="120"/>
        <w:jc w:val="center"/>
        <w:rPr>
          <w:rFonts w:cs="宋体" w:asciiTheme="minorEastAsia" w:hAnsiTheme="minorEastAsia" w:eastAsiaTheme="minorEastAsia"/>
          <w:b/>
          <w:sz w:val="32"/>
          <w:szCs w:val="32"/>
          <w:highlight w:val="none"/>
        </w:rPr>
      </w:pPr>
    </w:p>
    <w:p w14:paraId="413C94C8">
      <w:pPr>
        <w:spacing w:after="120"/>
        <w:jc w:val="center"/>
        <w:rPr>
          <w:rFonts w:cs="宋体" w:asciiTheme="minorEastAsia" w:hAnsiTheme="minorEastAsia" w:eastAsiaTheme="minorEastAsia"/>
          <w:b/>
          <w:sz w:val="32"/>
          <w:szCs w:val="32"/>
          <w:highlight w:val="none"/>
        </w:rPr>
      </w:pPr>
    </w:p>
    <w:p w14:paraId="59FDCF84">
      <w:pPr>
        <w:spacing w:line="440" w:lineRule="exact"/>
        <w:ind w:firstLine="1456" w:firstLineChars="607"/>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投标人名称：</w:t>
      </w:r>
      <w:r>
        <w:rPr>
          <w:rFonts w:hint="eastAsia" w:asciiTheme="minorEastAsia" w:hAnsiTheme="minorEastAsia" w:eastAsiaTheme="minorEastAsia"/>
          <w:sz w:val="24"/>
          <w:szCs w:val="21"/>
          <w:highlight w:val="none"/>
          <w:u w:val="single"/>
        </w:rPr>
        <w:t xml:space="preserve">　　　　　　　　            </w:t>
      </w:r>
    </w:p>
    <w:p w14:paraId="5A85A8FA">
      <w:pPr>
        <w:spacing w:line="440" w:lineRule="exact"/>
        <w:ind w:firstLine="1456" w:firstLineChars="607"/>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w:t>
      </w:r>
      <w:r>
        <w:rPr>
          <w:rFonts w:cs="宋体" w:asciiTheme="minorEastAsia" w:hAnsiTheme="minorEastAsia" w:eastAsiaTheme="minorEastAsia"/>
          <w:sz w:val="24"/>
          <w:highlight w:val="none"/>
          <w:u w:val="single"/>
        </w:rPr>
        <w:t xml:space="preserve">_    </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__ </w:t>
      </w:r>
      <w:r>
        <w:rPr>
          <w:rFonts w:hint="eastAsia" w:cs="宋体" w:asciiTheme="minorEastAsia" w:hAnsiTheme="minorEastAsia" w:eastAsiaTheme="minorEastAsia"/>
          <w:sz w:val="24"/>
          <w:highlight w:val="none"/>
        </w:rPr>
        <w:t>年</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 xml:space="preserve">    __</w:t>
      </w:r>
      <w:r>
        <w:rPr>
          <w:rFonts w:hint="eastAsia" w:cs="宋体" w:asciiTheme="minorEastAsia" w:hAnsiTheme="minorEastAsia" w:eastAsiaTheme="minorEastAsia"/>
          <w:sz w:val="24"/>
          <w:highlight w:val="none"/>
        </w:rPr>
        <w:t>月</w:t>
      </w:r>
      <w:r>
        <w:rPr>
          <w:rFonts w:cs="宋体" w:asciiTheme="minorEastAsia" w:hAnsiTheme="minorEastAsia" w:eastAsiaTheme="minorEastAsia"/>
          <w:sz w:val="24"/>
          <w:highlight w:val="none"/>
          <w:u w:val="single"/>
        </w:rPr>
        <w:t>_    _</w:t>
      </w:r>
      <w:r>
        <w:rPr>
          <w:rFonts w:hint="eastAsia" w:cs="宋体" w:asciiTheme="minorEastAsia" w:hAnsiTheme="minorEastAsia" w:eastAsiaTheme="minorEastAsia"/>
          <w:sz w:val="24"/>
          <w:highlight w:val="none"/>
          <w:u w:val="single"/>
        </w:rPr>
        <w:t xml:space="preserve"> </w:t>
      </w:r>
      <w:r>
        <w:rPr>
          <w:rFonts w:cs="宋体" w:asciiTheme="minorEastAsia" w:hAnsiTheme="minorEastAsia" w:eastAsiaTheme="minorEastAsia"/>
          <w:sz w:val="24"/>
          <w:highlight w:val="none"/>
          <w:u w:val="single"/>
        </w:rPr>
        <w:t>_</w:t>
      </w:r>
      <w:r>
        <w:rPr>
          <w:rFonts w:hint="eastAsia" w:cs="宋体" w:asciiTheme="minorEastAsia" w:hAnsiTheme="minorEastAsia" w:eastAsiaTheme="minorEastAsia"/>
          <w:sz w:val="24"/>
          <w:highlight w:val="none"/>
        </w:rPr>
        <w:t>日</w:t>
      </w:r>
    </w:p>
    <w:p w14:paraId="7BFC8A68">
      <w:pPr>
        <w:spacing w:line="440" w:lineRule="exact"/>
        <w:ind w:firstLine="1274" w:firstLineChars="607"/>
        <w:jc w:val="left"/>
        <w:rPr>
          <w:rFonts w:asciiTheme="minorEastAsia" w:hAnsiTheme="minorEastAsia" w:eastAsiaTheme="minorEastAsia"/>
          <w:szCs w:val="21"/>
          <w:highlight w:val="none"/>
        </w:rPr>
      </w:pPr>
    </w:p>
    <w:p w14:paraId="4D56163F">
      <w:pPr>
        <w:topLinePunct/>
        <w:spacing w:line="440" w:lineRule="exact"/>
        <w:jc w:val="left"/>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编制要求：投标人可以根据实际情况对本文件进行调整和修改，但应满足集中招标文件对本文件的要求。</w:t>
      </w:r>
    </w:p>
    <w:p w14:paraId="178D2B3B">
      <w:pPr>
        <w:topLinePunct/>
        <w:spacing w:line="440" w:lineRule="exact"/>
        <w:jc w:val="left"/>
        <w:rPr>
          <w:rFonts w:hint="eastAsia" w:asciiTheme="minorEastAsia" w:hAnsiTheme="minorEastAsia" w:eastAsiaTheme="minorEastAsia"/>
          <w:b/>
          <w:highlight w:val="none"/>
          <w:lang w:eastAsia="zh-CN"/>
        </w:rPr>
        <w:sectPr>
          <w:pgSz w:w="11906" w:h="16838"/>
          <w:pgMar w:top="1440" w:right="1797" w:bottom="1440" w:left="1797" w:header="851" w:footer="992" w:gutter="0"/>
          <w:pgNumType w:fmt="decimal"/>
          <w:cols w:space="425" w:num="1"/>
          <w:docGrid w:type="lines" w:linePitch="312" w:charSpace="0"/>
        </w:sectPr>
      </w:pPr>
    </w:p>
    <w:p w14:paraId="71BAFB7F">
      <w:pPr>
        <w:pStyle w:val="81"/>
        <w:numPr>
          <w:ilvl w:val="0"/>
          <w:numId w:val="0"/>
        </w:numPr>
        <w:tabs>
          <w:tab w:val="left" w:pos="588"/>
        </w:tabs>
        <w:snapToGrid w:val="0"/>
        <w:spacing w:before="120" w:after="120" w:line="440" w:lineRule="exact"/>
        <w:ind w:left="635" w:leftChars="0" w:hanging="425" w:firstLineChars="0"/>
        <w:jc w:val="left"/>
        <w:rPr>
          <w:rFonts w:hint="eastAsia" w:cs="Times New Roman" w:asciiTheme="minorEastAsia" w:hAnsiTheme="minorEastAsia" w:eastAsiaTheme="minorEastAsia"/>
          <w:sz w:val="24"/>
          <w:szCs w:val="24"/>
        </w:rPr>
      </w:pPr>
      <w:bookmarkStart w:id="1311" w:name="_Toc2309"/>
      <w:bookmarkStart w:id="1312" w:name="_Toc6737"/>
      <w:bookmarkStart w:id="1313" w:name="_Toc7537"/>
      <w:bookmarkStart w:id="1314" w:name="_Toc20848"/>
      <w:bookmarkStart w:id="1315" w:name="_Toc447265349"/>
      <w:bookmarkStart w:id="1316" w:name="_Toc475472694"/>
      <w:bookmarkStart w:id="1317" w:name="_Toc27793"/>
      <w:bookmarkStart w:id="1318" w:name="_Toc19258"/>
      <w:bookmarkStart w:id="1319" w:name="_Toc38008105"/>
      <w:bookmarkStart w:id="1320" w:name="_Toc18393"/>
      <w:bookmarkStart w:id="1321" w:name="_Toc447265635"/>
      <w:bookmarkStart w:id="1322" w:name="_Toc22756"/>
      <w:bookmarkStart w:id="1323" w:name="_Toc23997"/>
      <w:bookmarkStart w:id="1324" w:name="_Toc15312"/>
      <w:bookmarkStart w:id="1325" w:name="_Toc2257"/>
      <w:bookmarkStart w:id="1326" w:name="_Hlk167300112"/>
      <w:r>
        <w:rPr>
          <w:rFonts w:hint="eastAsia" w:cs="Times New Roman" w:asciiTheme="minorEastAsia" w:hAnsiTheme="minorEastAsia" w:eastAsiaTheme="minorEastAsia"/>
          <w:b/>
          <w:bCs/>
          <w:kern w:val="2"/>
          <w:sz w:val="24"/>
          <w:szCs w:val="24"/>
          <w:lang w:val="en-US" w:eastAsia="zh-CN" w:bidi="ar-SA"/>
        </w:rPr>
        <w:t>36.</w:t>
      </w:r>
      <w:r>
        <w:rPr>
          <w:rFonts w:hint="eastAsia" w:cs="Times New Roman" w:asciiTheme="minorEastAsia" w:hAnsiTheme="minorEastAsia" w:eastAsiaTheme="minorEastAsia"/>
          <w:sz w:val="24"/>
          <w:szCs w:val="24"/>
        </w:rPr>
        <w:t>投标一览表</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bookmarkEnd w:id="1326"/>
    <w:p w14:paraId="0FAB44C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投标一览表</w:t>
      </w:r>
    </w:p>
    <w:p w14:paraId="5F329C56">
      <w:pPr>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 xml:space="preserve">名称：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招标编号：</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货币单位：元人民币</w:t>
      </w:r>
    </w:p>
    <w:tbl>
      <w:tblPr>
        <w:tblStyle w:val="85"/>
        <w:tblW w:w="139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3564"/>
        <w:gridCol w:w="3212"/>
        <w:gridCol w:w="2100"/>
        <w:gridCol w:w="3268"/>
        <w:gridCol w:w="1213"/>
      </w:tblGrid>
      <w:tr w14:paraId="1DA8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4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不含税总价报价</w:t>
            </w:r>
            <w:r>
              <w:rPr>
                <w:rFonts w:hint="eastAsia" w:ascii="宋体" w:hAnsi="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5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税率</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含税总价报价</w:t>
            </w:r>
            <w:r>
              <w:rPr>
                <w:rFonts w:hint="eastAsia" w:ascii="宋体" w:hAnsi="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none"/>
                <w:lang w:val="en-US" w:eastAsia="zh-CN" w:bidi="ar"/>
              </w:rPr>
              <w:t>（元）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33D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E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8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Theme="minorEastAsia" w:hAnsiTheme="minorEastAsia" w:eastAsiaTheme="minorEastAsia"/>
                <w:highlight w:val="none"/>
                <w:u w:val="none"/>
                <w:lang w:eastAsia="zh-CN"/>
              </w:rPr>
              <w:t>2025年中国电信遵义分公司中间件框架物资采购（</w:t>
            </w:r>
            <w:r>
              <w:rPr>
                <w:rFonts w:hint="eastAsia" w:asciiTheme="minorEastAsia" w:hAnsiTheme="minorEastAsia" w:eastAsiaTheme="minorEastAsia"/>
                <w:highlight w:val="none"/>
                <w:u w:val="none"/>
                <w:lang w:val="en-US" w:eastAsia="zh-CN"/>
              </w:rPr>
              <w:t>标包2）</w:t>
            </w: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B123">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A5FE">
            <w:pPr>
              <w:jc w:val="center"/>
              <w:rPr>
                <w:rFonts w:hint="eastAsia" w:ascii="宋体" w:hAnsi="宋体" w:eastAsia="宋体" w:cs="宋体"/>
                <w:i w:val="0"/>
                <w:iCs w:val="0"/>
                <w:color w:val="000000"/>
                <w:sz w:val="20"/>
                <w:szCs w:val="20"/>
                <w:u w:val="none"/>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6F0A">
            <w:pPr>
              <w:jc w:val="center"/>
              <w:rPr>
                <w:rFonts w:hint="eastAsia" w:ascii="宋体" w:hAnsi="宋体" w:eastAsia="宋体" w:cs="宋体"/>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A4D">
            <w:pPr>
              <w:jc w:val="center"/>
              <w:rPr>
                <w:rFonts w:hint="eastAsia" w:ascii="宋体" w:hAnsi="宋体" w:eastAsia="宋体" w:cs="宋体"/>
                <w:i w:val="0"/>
                <w:iCs w:val="0"/>
                <w:color w:val="000000"/>
                <w:sz w:val="20"/>
                <w:szCs w:val="20"/>
                <w:u w:val="none"/>
              </w:rPr>
            </w:pPr>
          </w:p>
        </w:tc>
      </w:tr>
      <w:tr w14:paraId="15D3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13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DAE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备注:1.价格评审时以不含税总价合计进行评审；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2.本项目所需相关服务的报价，应包含技术服务费、资料费、税费、管理费、培训费等一切费用。该报价为此项目技术规范书规定的工作，若出现漏报，我单位将承担所漏报的价格，并保证项目能够正常完成。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3.报价方式：报价单位为人民币元，小写金额保留小数点后两位，第三位四舍五入。</w:t>
            </w:r>
          </w:p>
        </w:tc>
      </w:tr>
    </w:tbl>
    <w:p w14:paraId="4D11342C">
      <w:pPr>
        <w:spacing w:line="440" w:lineRule="exact"/>
        <w:ind w:right="840" w:firstLine="9061" w:firstLineChars="4315"/>
        <w:rPr>
          <w:rFonts w:hint="eastAsia" w:asciiTheme="minorEastAsia" w:hAnsiTheme="minorEastAsia" w:eastAsiaTheme="minorEastAsia"/>
          <w:szCs w:val="21"/>
          <w:highlight w:val="none"/>
        </w:rPr>
      </w:pPr>
    </w:p>
    <w:p w14:paraId="31835600">
      <w:pPr>
        <w:spacing w:line="440" w:lineRule="exact"/>
        <w:ind w:right="84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投标人名称：</w:t>
      </w:r>
    </w:p>
    <w:p w14:paraId="2C2F23B0">
      <w:pPr>
        <w:spacing w:line="440" w:lineRule="exact"/>
        <w:ind w:right="840" w:firstLine="2551" w:firstLineChars="1215"/>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006822E7">
      <w:pPr>
        <w:topLinePunct/>
        <w:spacing w:line="440" w:lineRule="exact"/>
        <w:jc w:val="left"/>
        <w:rPr>
          <w:rFonts w:cs="宋体"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highlight w:val="none"/>
        </w:rPr>
        <w:t>除本文件允许投标人进行填写的内容以外，投标人不得对本文件进行修改</w:t>
      </w:r>
      <w:r>
        <w:rPr>
          <w:rFonts w:hint="eastAsia" w:asciiTheme="minorEastAsia" w:hAnsiTheme="minorEastAsia" w:eastAsiaTheme="minorEastAsia"/>
          <w:color w:val="000000"/>
          <w:szCs w:val="21"/>
          <w:highlight w:val="none"/>
        </w:rPr>
        <w:t>。</w:t>
      </w:r>
    </w:p>
    <w:p w14:paraId="14D8128B">
      <w:pPr>
        <w:snapToGrid w:val="0"/>
        <w:spacing w:line="440" w:lineRule="exact"/>
        <w:jc w:val="center"/>
        <w:rPr>
          <w:rFonts w:hint="eastAsia"/>
          <w:b/>
          <w:bCs/>
          <w:lang w:val="en-US" w:eastAsia="zh-CN"/>
        </w:rPr>
        <w:sectPr>
          <w:pgSz w:w="16840" w:h="11905" w:orient="landscape"/>
          <w:pgMar w:top="1440" w:right="1797" w:bottom="1440" w:left="1797" w:header="850" w:footer="992" w:gutter="0"/>
          <w:pgNumType w:fmt="decimal"/>
          <w:cols w:space="0" w:num="1"/>
          <w:rtlGutter w:val="0"/>
          <w:docGrid w:linePitch="0" w:charSpace="0"/>
        </w:sectPr>
      </w:pPr>
    </w:p>
    <w:p w14:paraId="22A11CA8">
      <w:pPr>
        <w:snapToGrid w:val="0"/>
        <w:spacing w:line="440" w:lineRule="exact"/>
        <w:jc w:val="center"/>
        <w:rPr>
          <w:rFonts w:hint="default" w:eastAsia="宋体"/>
          <w:b/>
          <w:bCs/>
          <w:lang w:val="en-US" w:eastAsia="zh-CN"/>
        </w:rPr>
      </w:pPr>
      <w:r>
        <w:rPr>
          <w:rFonts w:hint="eastAsia"/>
          <w:b/>
          <w:bCs/>
          <w:lang w:val="en-US" w:eastAsia="zh-CN"/>
        </w:rPr>
        <w:t>分项报价表</w:t>
      </w:r>
    </w:p>
    <w:p w14:paraId="6CE260D2">
      <w:pPr>
        <w:snapToGrid w:val="0"/>
        <w:spacing w:line="440" w:lineRule="exact"/>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 xml:space="preserve">名称：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招标编号：</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货币单位：元人民币</w:t>
      </w:r>
    </w:p>
    <w:tbl>
      <w:tblPr>
        <w:tblStyle w:val="8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375"/>
        <w:gridCol w:w="1071"/>
        <w:gridCol w:w="929"/>
        <w:gridCol w:w="971"/>
        <w:gridCol w:w="886"/>
        <w:gridCol w:w="1028"/>
        <w:gridCol w:w="1243"/>
        <w:gridCol w:w="1401"/>
        <w:gridCol w:w="1656"/>
        <w:gridCol w:w="1656"/>
        <w:gridCol w:w="697"/>
      </w:tblGrid>
      <w:tr w14:paraId="1431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7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预估数量（套）</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C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不含税总价报价（元）</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C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含税总价报价（元）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8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所投产品品牌</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所投产品型号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5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545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中间件2（应用服务器软件企业版）</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0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6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23195">
            <w:pPr>
              <w:jc w:val="center"/>
              <w:rPr>
                <w:rFonts w:hint="eastAsia" w:ascii="宋体" w:hAnsi="宋体" w:eastAsia="宋体" w:cs="宋体"/>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4AD05">
            <w:pPr>
              <w:jc w:val="center"/>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72B5C">
            <w:pPr>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09D29">
            <w:pPr>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D0279">
            <w:pPr>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B031E">
            <w:pPr>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E590">
            <w:pPr>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AF0A4">
            <w:pPr>
              <w:rPr>
                <w:rFonts w:hint="eastAsia" w:ascii="宋体" w:hAnsi="宋体" w:eastAsia="宋体" w:cs="宋体"/>
                <w:i w:val="0"/>
                <w:iCs w:val="0"/>
                <w:color w:val="000000"/>
                <w:sz w:val="21"/>
                <w:szCs w:val="21"/>
                <w:u w:val="none"/>
              </w:rPr>
            </w:pPr>
          </w:p>
        </w:tc>
      </w:tr>
      <w:tr w14:paraId="6F47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5" w:type="dxa"/>
            <w:tcBorders>
              <w:top w:val="single" w:color="000000" w:sz="4" w:space="0"/>
              <w:left w:val="single" w:color="000000" w:sz="4" w:space="0"/>
              <w:bottom w:val="nil"/>
              <w:right w:val="single" w:color="000000" w:sz="4" w:space="0"/>
            </w:tcBorders>
            <w:shd w:val="clear" w:color="auto" w:fill="auto"/>
            <w:vAlign w:val="center"/>
          </w:tcPr>
          <w:p w14:paraId="29D32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中间件2（负载均衡软件）</w:t>
            </w:r>
          </w:p>
        </w:tc>
        <w:tc>
          <w:tcPr>
            <w:tcW w:w="1071" w:type="dxa"/>
            <w:tcBorders>
              <w:top w:val="single" w:color="000000" w:sz="4" w:space="0"/>
              <w:left w:val="single" w:color="000000" w:sz="4" w:space="0"/>
              <w:bottom w:val="nil"/>
              <w:right w:val="single" w:color="000000" w:sz="4" w:space="0"/>
            </w:tcBorders>
            <w:shd w:val="clear" w:color="auto" w:fill="auto"/>
            <w:vAlign w:val="center"/>
          </w:tcPr>
          <w:p w14:paraId="653DB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15929</w:t>
            </w:r>
          </w:p>
        </w:tc>
        <w:tc>
          <w:tcPr>
            <w:tcW w:w="929" w:type="dxa"/>
            <w:tcBorders>
              <w:top w:val="single" w:color="000000" w:sz="4" w:space="0"/>
              <w:left w:val="single" w:color="000000" w:sz="4" w:space="0"/>
              <w:bottom w:val="nil"/>
              <w:right w:val="single" w:color="000000" w:sz="4" w:space="0"/>
            </w:tcBorders>
            <w:shd w:val="clear" w:color="auto" w:fill="auto"/>
            <w:vAlign w:val="center"/>
          </w:tcPr>
          <w:p w14:paraId="05EB9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A8F4A">
            <w:pPr>
              <w:jc w:val="center"/>
              <w:rPr>
                <w:rFonts w:hint="eastAsia" w:ascii="宋体" w:hAnsi="宋体" w:eastAsia="宋体" w:cs="宋体"/>
                <w:i w:val="0"/>
                <w:iCs w:val="0"/>
                <w:color w:val="000000"/>
                <w:sz w:val="21"/>
                <w:szCs w:val="21"/>
                <w:u w:val="none"/>
              </w:rPr>
            </w:pPr>
          </w:p>
        </w:tc>
        <w:tc>
          <w:tcPr>
            <w:tcW w:w="886" w:type="dxa"/>
            <w:tcBorders>
              <w:top w:val="single" w:color="000000" w:sz="4" w:space="0"/>
              <w:left w:val="single" w:color="000000" w:sz="4" w:space="0"/>
              <w:bottom w:val="nil"/>
              <w:right w:val="single" w:color="000000" w:sz="4" w:space="0"/>
            </w:tcBorders>
            <w:shd w:val="clear" w:color="auto" w:fill="auto"/>
            <w:noWrap/>
            <w:vAlign w:val="center"/>
          </w:tcPr>
          <w:p w14:paraId="0F47EFFA">
            <w:pPr>
              <w:jc w:val="left"/>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nil"/>
              <w:right w:val="single" w:color="000000" w:sz="4" w:space="0"/>
            </w:tcBorders>
            <w:shd w:val="clear" w:color="auto" w:fill="auto"/>
            <w:noWrap/>
            <w:vAlign w:val="center"/>
          </w:tcPr>
          <w:p w14:paraId="27CDE306">
            <w:pPr>
              <w:jc w:val="lef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nil"/>
              <w:right w:val="single" w:color="000000" w:sz="4" w:space="0"/>
            </w:tcBorders>
            <w:shd w:val="clear" w:color="auto" w:fill="auto"/>
            <w:noWrap/>
            <w:vAlign w:val="bottom"/>
          </w:tcPr>
          <w:p w14:paraId="34966567">
            <w:pPr>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nil"/>
              <w:right w:val="single" w:color="000000" w:sz="4" w:space="0"/>
            </w:tcBorders>
            <w:shd w:val="clear" w:color="auto" w:fill="auto"/>
            <w:noWrap/>
            <w:vAlign w:val="center"/>
          </w:tcPr>
          <w:p w14:paraId="5F3CB983">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1CF545CE">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3D4D05FB">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nil"/>
              <w:right w:val="single" w:color="000000" w:sz="4" w:space="0"/>
            </w:tcBorders>
            <w:shd w:val="clear" w:color="auto" w:fill="auto"/>
            <w:noWrap/>
            <w:vAlign w:val="center"/>
          </w:tcPr>
          <w:p w14:paraId="09886A2C">
            <w:pPr>
              <w:jc w:val="left"/>
              <w:rPr>
                <w:rFonts w:hint="eastAsia" w:ascii="宋体" w:hAnsi="宋体" w:eastAsia="宋体" w:cs="宋体"/>
                <w:i w:val="0"/>
                <w:iCs w:val="0"/>
                <w:color w:val="000000"/>
                <w:sz w:val="21"/>
                <w:szCs w:val="21"/>
                <w:u w:val="none"/>
              </w:rPr>
            </w:pPr>
          </w:p>
        </w:tc>
      </w:tr>
      <w:tr w14:paraId="4F92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中间件2（内存数据缓存软件）</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F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6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F21A8">
            <w:pPr>
              <w:jc w:val="center"/>
              <w:rPr>
                <w:rFonts w:hint="eastAsia" w:ascii="宋体" w:hAnsi="宋体" w:eastAsia="宋体" w:cs="宋体"/>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1D6">
            <w:pPr>
              <w:jc w:val="center"/>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A2E8">
            <w:pPr>
              <w:jc w:val="lef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8C3C">
            <w:pPr>
              <w:jc w:val="left"/>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0CA">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E133">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361E">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B8E1">
            <w:pPr>
              <w:jc w:val="left"/>
              <w:rPr>
                <w:rFonts w:hint="eastAsia" w:ascii="宋体" w:hAnsi="宋体" w:eastAsia="宋体" w:cs="宋体"/>
                <w:i w:val="0"/>
                <w:iCs w:val="0"/>
                <w:color w:val="000000"/>
                <w:sz w:val="21"/>
                <w:szCs w:val="21"/>
                <w:u w:val="none"/>
              </w:rPr>
            </w:pPr>
          </w:p>
        </w:tc>
      </w:tr>
      <w:tr w14:paraId="485A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2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中间件2（分布式消息队列软件）</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0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ABD64">
            <w:pPr>
              <w:jc w:val="center"/>
              <w:rPr>
                <w:rFonts w:hint="eastAsia" w:ascii="宋体" w:hAnsi="宋体" w:eastAsia="宋体" w:cs="宋体"/>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46D6">
            <w:pPr>
              <w:jc w:val="center"/>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3C16">
            <w:pPr>
              <w:jc w:val="left"/>
              <w:rPr>
                <w:rFonts w:hint="eastAsia" w:ascii="宋体" w:hAnsi="宋体" w:eastAsia="宋体" w:cs="宋体"/>
                <w:i w:val="0"/>
                <w:iCs w:val="0"/>
                <w:color w:val="000000"/>
                <w:sz w:val="21"/>
                <w:szCs w:val="21"/>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058D">
            <w:pPr>
              <w:jc w:val="left"/>
              <w:rPr>
                <w:rFonts w:hint="eastAsia" w:ascii="宋体" w:hAnsi="宋体" w:eastAsia="宋体" w:cs="宋体"/>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E4EE">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DE75">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BE03">
            <w:pPr>
              <w:jc w:val="left"/>
              <w:rPr>
                <w:rFonts w:hint="eastAsia" w:ascii="宋体" w:hAnsi="宋体" w:eastAsia="宋体" w:cs="宋体"/>
                <w:i w:val="0"/>
                <w:iCs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A465">
            <w:pPr>
              <w:jc w:val="left"/>
              <w:rPr>
                <w:rFonts w:hint="eastAsia" w:ascii="宋体" w:hAnsi="宋体" w:eastAsia="宋体" w:cs="宋体"/>
                <w:i w:val="0"/>
                <w:iCs w:val="0"/>
                <w:color w:val="000000"/>
                <w:sz w:val="21"/>
                <w:szCs w:val="21"/>
                <w:u w:val="none"/>
              </w:rPr>
            </w:pPr>
          </w:p>
        </w:tc>
      </w:tr>
      <w:tr w14:paraId="20B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8C61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合计=序号1+……+序号4</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D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74C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8E65">
            <w:pPr>
              <w:jc w:val="left"/>
              <w:rPr>
                <w:rFonts w:hint="eastAsia" w:ascii="宋体" w:hAnsi="宋体" w:eastAsia="宋体" w:cs="宋体"/>
                <w:i w:val="0"/>
                <w:iCs w:val="0"/>
                <w:color w:val="000000"/>
                <w:sz w:val="21"/>
                <w:szCs w:val="21"/>
                <w:u w:val="none"/>
                <w:lang w:val="en-US" w:eastAsia="zh-CN"/>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2B3D">
            <w:pPr>
              <w:jc w:val="left"/>
              <w:rPr>
                <w:rFonts w:hint="eastAsia" w:ascii="宋体" w:hAnsi="宋体" w:eastAsia="宋体" w:cs="宋体"/>
                <w:i w:val="0"/>
                <w:iCs w:val="0"/>
                <w:color w:val="000000"/>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8602">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12CA">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1854">
            <w:pPr>
              <w:jc w:val="left"/>
              <w:rPr>
                <w:rFonts w:hint="eastAsia" w:ascii="宋体" w:hAnsi="宋体" w:eastAsia="宋体" w:cs="宋体"/>
                <w:i w:val="0"/>
                <w:iCs w:val="0"/>
                <w:color w:val="000000"/>
                <w:sz w:val="21"/>
                <w:szCs w:val="21"/>
                <w:u w:val="none"/>
              </w:rPr>
            </w:pPr>
          </w:p>
        </w:tc>
      </w:tr>
      <w:tr w14:paraId="0444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3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BAF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1.价格评审时以不含税总价合计进行评审；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2.本项目所需相关服务的报价，应包含技术服务费、资料费、税费、管理费、培训费等一切费用。该报价为此项目技术规范书规定的工作，若出现漏报，我单位将承担所漏报的价格，并保证项目能够正常完成。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3.报价方式：报价单位为人民币元，小写金额保留小数点后两位，第三位四舍五入。</w:t>
            </w:r>
          </w:p>
        </w:tc>
      </w:tr>
    </w:tbl>
    <w:p w14:paraId="2D55CA56">
      <w:pPr>
        <w:spacing w:line="440" w:lineRule="exact"/>
        <w:ind w:right="84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投标人名称：</w:t>
      </w:r>
    </w:p>
    <w:p w14:paraId="56B8FFB0">
      <w:pPr>
        <w:spacing w:line="440" w:lineRule="exact"/>
        <w:ind w:right="840" w:firstLine="2551" w:firstLineChars="1215"/>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_     __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_     __</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_    _ _</w:t>
      </w:r>
      <w:r>
        <w:rPr>
          <w:rFonts w:hint="eastAsia" w:ascii="宋体" w:hAnsi="宋体" w:eastAsia="宋体" w:cs="宋体"/>
          <w:sz w:val="21"/>
          <w:szCs w:val="21"/>
          <w:highlight w:val="none"/>
        </w:rPr>
        <w:t>日</w:t>
      </w:r>
    </w:p>
    <w:p w14:paraId="0B7E0961">
      <w:pPr>
        <w:topLinePunct/>
        <w:spacing w:line="440" w:lineRule="exact"/>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编制要求：</w:t>
      </w:r>
      <w:r>
        <w:rPr>
          <w:rFonts w:hint="eastAsia" w:ascii="宋体" w:hAnsi="宋体" w:eastAsia="宋体" w:cs="宋体"/>
          <w:sz w:val="21"/>
          <w:szCs w:val="21"/>
          <w:highlight w:val="none"/>
        </w:rPr>
        <w:t>除本文件允许投标人进行填写的内容以外，投标人不得对本文件进行修改</w:t>
      </w:r>
      <w:r>
        <w:rPr>
          <w:rFonts w:hint="eastAsia" w:ascii="宋体" w:hAnsi="宋体" w:eastAsia="宋体" w:cs="宋体"/>
          <w:color w:val="000000"/>
          <w:sz w:val="21"/>
          <w:szCs w:val="21"/>
          <w:highlight w:val="none"/>
        </w:rPr>
        <w:t>。</w:t>
      </w:r>
    </w:p>
    <w:p w14:paraId="6D5BCB46">
      <w:pPr>
        <w:rPr>
          <w:rFonts w:hint="eastAsia" w:ascii="宋体" w:hAnsi="宋体" w:eastAsia="宋体" w:cs="宋体"/>
          <w:sz w:val="21"/>
          <w:szCs w:val="21"/>
        </w:rPr>
      </w:pPr>
      <w:r>
        <w:rPr>
          <w:rFonts w:hint="eastAsia" w:ascii="宋体" w:hAnsi="宋体" w:eastAsia="宋体" w:cs="宋体"/>
          <w:sz w:val="21"/>
          <w:szCs w:val="21"/>
          <w:highlight w:val="none"/>
        </w:rPr>
        <w:br w:type="page"/>
      </w:r>
    </w:p>
    <w:p w14:paraId="4CE263CF">
      <w:pPr>
        <w:pStyle w:val="98"/>
        <w:sectPr>
          <w:footerReference r:id="rId14" w:type="default"/>
          <w:pgSz w:w="16840" w:h="11905" w:orient="landscape"/>
          <w:pgMar w:top="1440" w:right="1797" w:bottom="1440" w:left="1797" w:header="850" w:footer="992" w:gutter="0"/>
          <w:pgNumType w:fmt="decimal"/>
          <w:cols w:space="0" w:num="1"/>
          <w:rtlGutter w:val="0"/>
          <w:docGrid w:linePitch="0" w:charSpace="0"/>
        </w:sectPr>
      </w:pPr>
    </w:p>
    <w:p w14:paraId="4B9B346D">
      <w:pPr>
        <w:rPr>
          <w:rFonts w:cs="宋体" w:asciiTheme="minorEastAsia" w:hAnsiTheme="minorEastAsia" w:eastAsiaTheme="minorEastAsia"/>
          <w:szCs w:val="21"/>
          <w:highlight w:val="none"/>
        </w:rPr>
      </w:pPr>
    </w:p>
    <w:bookmarkEnd w:id="1298"/>
    <w:p w14:paraId="05AB681F">
      <w:pPr>
        <w:bidi w:val="0"/>
      </w:pPr>
      <w:bookmarkStart w:id="1327" w:name="_Toc17186"/>
      <w:bookmarkStart w:id="1328" w:name="_Toc2652"/>
      <w:bookmarkStart w:id="1329" w:name="_Toc2133"/>
    </w:p>
    <w:p w14:paraId="383061D4"/>
    <w:p w14:paraId="4FE4B185">
      <w:pPr>
        <w:pStyle w:val="100"/>
        <w:spacing w:before="240" w:after="120"/>
        <w:rPr>
          <w:rFonts w:cs="宋体" w:asciiTheme="minorEastAsia" w:hAnsiTheme="minorEastAsia" w:eastAsiaTheme="minorEastAsia"/>
          <w:b/>
          <w:bCs w:val="0"/>
          <w:kern w:val="0"/>
          <w:sz w:val="28"/>
          <w:szCs w:val="28"/>
          <w:highlight w:val="none"/>
        </w:rPr>
      </w:pPr>
      <w:bookmarkStart w:id="1330" w:name="_Toc16892"/>
      <w:bookmarkStart w:id="1331" w:name="_Toc13584"/>
      <w:bookmarkStart w:id="1332" w:name="_Toc7674"/>
      <w:bookmarkStart w:id="1333" w:name="_Toc9767"/>
      <w:bookmarkStart w:id="1334" w:name="_Toc11068"/>
      <w:bookmarkStart w:id="1335" w:name="_Toc23982"/>
      <w:bookmarkStart w:id="1336" w:name="_Toc14565"/>
      <w:bookmarkStart w:id="1337" w:name="_Toc5634"/>
      <w:r>
        <w:rPr>
          <w:rFonts w:hint="eastAsia" w:cs="宋体" w:asciiTheme="minorEastAsia" w:hAnsiTheme="minorEastAsia" w:eastAsiaTheme="minorEastAsia"/>
          <w:b/>
          <w:bCs w:val="0"/>
          <w:kern w:val="0"/>
          <w:sz w:val="28"/>
          <w:szCs w:val="28"/>
          <w:highlight w:val="none"/>
        </w:rPr>
        <w:t>第七章  其他</w:t>
      </w:r>
      <w:bookmarkEnd w:id="1327"/>
      <w:bookmarkEnd w:id="1328"/>
      <w:bookmarkEnd w:id="1329"/>
      <w:bookmarkEnd w:id="1330"/>
      <w:bookmarkEnd w:id="1331"/>
      <w:bookmarkEnd w:id="1332"/>
      <w:bookmarkEnd w:id="1333"/>
      <w:bookmarkEnd w:id="1334"/>
      <w:bookmarkEnd w:id="1335"/>
      <w:bookmarkEnd w:id="1336"/>
      <w:bookmarkEnd w:id="1337"/>
    </w:p>
    <w:p w14:paraId="66D4F244">
      <w:pPr>
        <w:rPr>
          <w:rFonts w:asciiTheme="minorEastAsia" w:hAnsiTheme="minorEastAsia" w:eastAsiaTheme="minorEastAsia"/>
          <w:highlight w:val="none"/>
        </w:rPr>
      </w:pPr>
    </w:p>
    <w:p w14:paraId="4CA08E21">
      <w:pPr>
        <w:pStyle w:val="81"/>
        <w:snapToGrid w:val="0"/>
        <w:spacing w:before="0" w:after="0" w:line="360" w:lineRule="auto"/>
        <w:ind w:right="84" w:rightChars="40"/>
        <w:rPr>
          <w:rFonts w:asciiTheme="minorEastAsia" w:hAnsiTheme="minorEastAsia" w:eastAsiaTheme="minorEastAsia"/>
          <w:sz w:val="28"/>
          <w:szCs w:val="28"/>
          <w:highlight w:val="none"/>
        </w:rPr>
      </w:pPr>
      <w:bookmarkStart w:id="1338" w:name="_Toc5664"/>
      <w:bookmarkStart w:id="1339" w:name="_Toc19415"/>
      <w:bookmarkStart w:id="1340" w:name="_Toc25772"/>
      <w:bookmarkStart w:id="1341" w:name="_Toc17902"/>
      <w:bookmarkStart w:id="1342" w:name="_Toc8722"/>
      <w:bookmarkStart w:id="1343" w:name="_Toc32346"/>
      <w:bookmarkStart w:id="1344" w:name="_Toc31588"/>
      <w:bookmarkStart w:id="1345" w:name="_Toc24335"/>
      <w:bookmarkStart w:id="1346" w:name="_Toc32223"/>
      <w:bookmarkStart w:id="1347" w:name="_Toc22061"/>
      <w:bookmarkStart w:id="1348" w:name="_Toc16810"/>
      <w:bookmarkStart w:id="1349" w:name="_Toc29556649"/>
      <w:r>
        <w:rPr>
          <w:rFonts w:hint="eastAsia" w:asciiTheme="minorEastAsia" w:hAnsiTheme="minorEastAsia" w:eastAsiaTheme="minorEastAsia"/>
          <w:sz w:val="28"/>
          <w:szCs w:val="28"/>
          <w:highlight w:val="none"/>
        </w:rPr>
        <w:t>中国电信供应商不良行为管理规则</w:t>
      </w:r>
      <w:bookmarkEnd w:id="1338"/>
      <w:bookmarkEnd w:id="1339"/>
      <w:bookmarkEnd w:id="1340"/>
      <w:bookmarkEnd w:id="1341"/>
      <w:bookmarkEnd w:id="1342"/>
      <w:bookmarkEnd w:id="1343"/>
      <w:bookmarkEnd w:id="1344"/>
      <w:bookmarkEnd w:id="1345"/>
      <w:bookmarkEnd w:id="1346"/>
      <w:bookmarkEnd w:id="1347"/>
      <w:bookmarkEnd w:id="1348"/>
    </w:p>
    <w:bookmarkEnd w:id="1349"/>
    <w:p w14:paraId="485CEBA8">
      <w:pPr>
        <w:wordWrap w:val="0"/>
        <w:snapToGrid w:val="0"/>
        <w:spacing w:line="360" w:lineRule="auto"/>
        <w:ind w:firstLine="424" w:firstLineChars="202"/>
        <w:jc w:val="left"/>
        <w:rPr>
          <w:highlight w:val="none"/>
        </w:rPr>
      </w:pPr>
      <w:bookmarkStart w:id="1350" w:name="_Hlk167348058"/>
      <w:r>
        <w:rPr>
          <w:rFonts w:hint="eastAsia" w:asciiTheme="minorEastAsia" w:hAnsiTheme="minorEastAsia" w:eastAsiaTheme="minorEastAsia"/>
          <w:szCs w:val="21"/>
          <w:highlight w:val="none"/>
        </w:rPr>
        <w:t>本项目将按照最新的《中国电信供应商不良行为管理规则》执行供应商不良行为处理结果，请务必登录</w:t>
      </w:r>
      <w:r>
        <w:rPr>
          <w:highlight w:val="none"/>
        </w:rPr>
        <w:t>中国电信阳光采购网</w:t>
      </w:r>
      <w:r>
        <w:rPr>
          <w:rFonts w:hint="eastAsia" w:asciiTheme="minorEastAsia" w:hAnsiTheme="minorEastAsia" w:eastAsiaTheme="minorEastAsia" w:cstheme="minorEastAsia"/>
          <w:highlight w:val="none"/>
        </w:rPr>
        <w:t>（https://caigou.chinatelecom.com.cn）</w:t>
      </w:r>
      <w:r>
        <w:rPr>
          <w:rFonts w:hint="eastAsia" w:asciiTheme="minorEastAsia" w:hAnsiTheme="minorEastAsia" w:eastAsiaTheme="minorEastAsia"/>
          <w:szCs w:val="21"/>
          <w:highlight w:val="none"/>
        </w:rPr>
        <w:t>查阅《中国电信供应商不良行为管理规则》。</w:t>
      </w:r>
      <w:bookmarkEnd w:id="1350"/>
    </w:p>
    <w:sectPr>
      <w:pgSz w:w="11905" w:h="16840"/>
      <w:pgMar w:top="1797" w:right="1440" w:bottom="1797" w:left="1440" w:header="85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34"/>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34"/>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77"/>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长城仿宋">
    <w:altName w:val="黑体"/>
    <w:panose1 w:val="00000000000000000000"/>
    <w:charset w:val="86"/>
    <w:family w:val="auto"/>
    <w:pitch w:val="default"/>
    <w:sig w:usb0="00000000" w:usb1="00000000" w:usb2="00000010" w:usb3="00000000" w:csb0="00040000" w:csb1="00000000"/>
  </w:font>
  <w:font w:name="..">
    <w:altName w:val="微软雅黑"/>
    <w:panose1 w:val="00000000000000000000"/>
    <w:charset w:val="34"/>
    <w:family w:val="auto"/>
    <w:pitch w:val="default"/>
    <w:sig w:usb0="00000000" w:usb1="00000000" w:usb2="00000010" w:usb3="00000000" w:csb0="0004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2000009F" w:csb1="DFD70000"/>
  </w:font>
  <w:font w:name="Tempus Sans ITC">
    <w:altName w:val="Gabriola"/>
    <w:panose1 w:val="04020404030D07020202"/>
    <w:charset w:val="00"/>
    <w:family w:val="decorative"/>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abon Serif for Nokia">
    <w:altName w:val="Times New Roman"/>
    <w:panose1 w:val="00000000000000000000"/>
    <w:charset w:val="00"/>
    <w:family w:val="roman"/>
    <w:pitch w:val="default"/>
    <w:sig w:usb0="00000000" w:usb1="00000000" w:usb2="00000000" w:usb3="00000000" w:csb0="00000001" w:csb1="00000000"/>
  </w:font>
  <w:font w:name="ITCCenturyBookT">
    <w:altName w:val="Times New Roman"/>
    <w:panose1 w:val="00000000000000000000"/>
    <w:charset w:val="00"/>
    <w:family w:val="auto"/>
    <w:pitch w:val="default"/>
    <w:sig w:usb0="00000000" w:usb1="00000000" w:usb2="00000000" w:usb3="00000000" w:csb0="00000001"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方正黑体简体">
    <w:altName w:val="微软雅黑"/>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E936">
    <w:pPr>
      <w:pStyle w:val="5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1BA9">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91BA9">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8C14">
    <w:pPr>
      <w:pStyle w:val="5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86D77">
                          <w:pPr>
                            <w:pStyle w:val="5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86D77">
                    <w:pPr>
                      <w:pStyle w:val="5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798A">
    <w:pPr>
      <w:pStyle w:val="5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1AFD8">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D1AFD8">
                    <w:pPr>
                      <w:pStyle w:val="5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F2F3">
    <w:pPr>
      <w:pStyle w:val="5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ABB8C">
                          <w:pPr>
                            <w:pStyle w:val="5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AABB8C">
                    <w:pPr>
                      <w:pStyle w:val="5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572F">
    <w:pPr>
      <w:pStyle w:val="5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5F728">
                          <w:pPr>
                            <w:pStyle w:val="5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7D5F728">
                    <w:pPr>
                      <w:pStyle w:val="5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B9F0">
    <w:pPr>
      <w:pStyle w:val="54"/>
      <w:ind w:firstLine="316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62B3">
    <w:pPr>
      <w:pStyle w:val="54"/>
      <w:ind w:firstLine="316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8F0C">
    <w:pPr>
      <w:pStyle w:val="54"/>
      <w:tabs>
        <w:tab w:val="center" w:pos="6623"/>
        <w:tab w:val="clear" w:pos="4153"/>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84F6">
                          <w:pPr>
                            <w:pStyle w:val="5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984F6">
                    <w:pPr>
                      <w:pStyle w:val="54"/>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CB04">
    <w:pPr>
      <w:pStyle w:val="56"/>
      <w:jc w:val="both"/>
      <w:rPr>
        <w:rFonts w:hint="eastAsia" w:ascii="宋体" w:hAnsi="宋体"/>
        <w:sz w:val="21"/>
        <w:szCs w:val="21"/>
      </w:rPr>
    </w:pPr>
  </w:p>
  <w:p w14:paraId="2F056A1C">
    <w:pPr>
      <w:pStyle w:val="56"/>
      <w:jc w:val="right"/>
      <w:rPr>
        <w:rFonts w:ascii="宋体" w:hAnsi="宋体"/>
        <w:sz w:val="21"/>
        <w:szCs w:val="21"/>
      </w:rPr>
    </w:pPr>
    <w:r>
      <w:rPr>
        <w:rFonts w:hint="eastAsia" w:ascii="宋体" w:hAnsi="宋体"/>
        <w:sz w:val="21"/>
        <w:szCs w:val="21"/>
      </w:rPr>
      <w:t>V14.</w:t>
    </w:r>
    <w:r>
      <w:rPr>
        <w:rFonts w:hint="eastAsia" w:ascii="宋体" w:hAnsi="宋体"/>
        <w:sz w:val="21"/>
        <w:szCs w:val="21"/>
        <w:lang w:val="en-US" w:eastAsia="zh-CN"/>
      </w:rPr>
      <w:t>8</w:t>
    </w:r>
    <w:r>
      <w:rPr>
        <w:rFonts w:hint="eastAsia" w:ascii="宋体" w:hAnsi="宋体"/>
        <w:sz w:val="21"/>
        <w:szCs w:val="21"/>
      </w:rPr>
      <w:t>（2</w:t>
    </w:r>
    <w:r>
      <w:rPr>
        <w:rFonts w:ascii="宋体" w:hAnsi="宋体"/>
        <w:sz w:val="21"/>
        <w:szCs w:val="21"/>
      </w:rPr>
      <w:t>02</w:t>
    </w:r>
    <w:r>
      <w:rPr>
        <w:rFonts w:hint="eastAsia" w:ascii="宋体" w:hAnsi="宋体"/>
        <w:sz w:val="21"/>
        <w:szCs w:val="21"/>
        <w:lang w:val="en-US" w:eastAsia="zh-CN"/>
      </w:rPr>
      <w:t>5</w:t>
    </w:r>
    <w:r>
      <w:rPr>
        <w:rFonts w:hint="eastAsia" w:ascii="宋体" w:hAnsi="宋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1248">
    <w:pPr>
      <w:pStyle w:val="56"/>
      <w:jc w:val="right"/>
      <w:rPr>
        <w:rFonts w:hint="default" w:ascii="宋体" w:hAnsi="宋体" w:eastAsia="宋体"/>
        <w:lang w:val="en-US" w:eastAsia="zh-CN"/>
      </w:rPr>
    </w:pPr>
    <w:r>
      <w:rPr>
        <w:rFonts w:hint="eastAsia" w:ascii="宋体" w:hAnsi="宋体"/>
      </w:rPr>
      <w:t>V</w:t>
    </w:r>
    <w:r>
      <w:rPr>
        <w:rFonts w:hint="eastAsia" w:ascii="宋体" w:hAnsi="宋体"/>
        <w:lang w:val="en-US" w:eastAsia="zh-CN"/>
      </w:rPr>
      <w:t>14.</w:t>
    </w:r>
    <w:r>
      <w:rPr>
        <w:rFonts w:hint="eastAsia" w:ascii="宋体" w:hAnsi="宋体"/>
      </w:rPr>
      <w:t>5.</w:t>
    </w:r>
    <w:r>
      <w:rPr>
        <w:rFonts w:hint="eastAsia" w:ascii="宋体" w:hAnsi="宋体"/>
        <w:lang w:val="en-US" w:eastAsia="zh-CN"/>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7170">
    <w:pPr>
      <w:pStyle w:val="56"/>
      <w:ind w:firstLine="316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BE6E">
    <w:pPr>
      <w:pStyle w:val="56"/>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4055F"/>
    <w:multiLevelType w:val="singleLevel"/>
    <w:tmpl w:val="A334055F"/>
    <w:lvl w:ilvl="0" w:tentative="0">
      <w:start w:val="6"/>
      <w:numFmt w:val="chineseCounting"/>
      <w:suff w:val="space"/>
      <w:lvlText w:val="第%1章"/>
      <w:lvlJc w:val="left"/>
      <w:rPr>
        <w:rFonts w:hint="eastAsia"/>
      </w:rPr>
    </w:lvl>
  </w:abstractNum>
  <w:abstractNum w:abstractNumId="1">
    <w:nsid w:val="B1D408D2"/>
    <w:multiLevelType w:val="singleLevel"/>
    <w:tmpl w:val="B1D408D2"/>
    <w:lvl w:ilvl="0" w:tentative="0">
      <w:start w:val="1"/>
      <w:numFmt w:val="chineseCounting"/>
      <w:suff w:val="nothing"/>
      <w:lvlText w:val="%1、"/>
      <w:lvlJc w:val="left"/>
      <w:rPr>
        <w:rFonts w:hint="eastAsia"/>
      </w:rPr>
    </w:lvl>
  </w:abstractNum>
  <w:abstractNum w:abstractNumId="2">
    <w:nsid w:val="B6CB9648"/>
    <w:multiLevelType w:val="singleLevel"/>
    <w:tmpl w:val="B6CB9648"/>
    <w:lvl w:ilvl="0" w:tentative="0">
      <w:start w:val="1"/>
      <w:numFmt w:val="decimal"/>
      <w:lvlText w:val="%1."/>
      <w:lvlJc w:val="left"/>
      <w:pPr>
        <w:tabs>
          <w:tab w:val="left" w:pos="312"/>
        </w:tabs>
      </w:pPr>
    </w:lvl>
  </w:abstractNum>
  <w:abstractNum w:abstractNumId="3">
    <w:nsid w:val="00000027"/>
    <w:multiLevelType w:val="multilevel"/>
    <w:tmpl w:val="00000027"/>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pStyle w:val="1009"/>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abstractNum w:abstractNumId="4">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205CF6"/>
    <w:multiLevelType w:val="multilevel"/>
    <w:tmpl w:val="10205CF6"/>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A41391"/>
    <w:multiLevelType w:val="multilevel"/>
    <w:tmpl w:val="10A41391"/>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54230B7"/>
    <w:multiLevelType w:val="multilevel"/>
    <w:tmpl w:val="154230B7"/>
    <w:lvl w:ilvl="0" w:tentative="0">
      <w:start w:val="6"/>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276"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BB6522B"/>
    <w:multiLevelType w:val="multilevel"/>
    <w:tmpl w:val="1BB652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677976"/>
    <w:multiLevelType w:val="multilevel"/>
    <w:tmpl w:val="22677976"/>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2BD99F5"/>
    <w:multiLevelType w:val="singleLevel"/>
    <w:tmpl w:val="22BD99F5"/>
    <w:lvl w:ilvl="0" w:tentative="0">
      <w:start w:val="4"/>
      <w:numFmt w:val="decimal"/>
      <w:suff w:val="nothing"/>
      <w:lvlText w:val="%1、"/>
      <w:lvlJc w:val="left"/>
    </w:lvl>
  </w:abstractNum>
  <w:abstractNum w:abstractNumId="13">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F000005"/>
    <w:multiLevelType w:val="multilevel"/>
    <w:tmpl w:val="2F000005"/>
    <w:lvl w:ilvl="0" w:tentative="0">
      <w:start w:val="1"/>
      <w:numFmt w:val="decimal"/>
      <w:pStyle w:val="47"/>
      <w:lvlText w:val="%1."/>
      <w:lvlJc w:val="left"/>
      <w:pPr>
        <w:tabs>
          <w:tab w:val="left" w:pos="1620"/>
        </w:tabs>
        <w:ind w:left="1620" w:leftChars="1260" w:hanging="360"/>
      </w:pPr>
    </w:lvl>
    <w:lvl w:ilvl="1" w:tentative="0">
      <w:start w:val="1"/>
      <w:numFmt w:val="decimal"/>
      <w:lvlText w:val="%1."/>
      <w:lvlJc w:val="left"/>
      <w:pPr>
        <w:tabs>
          <w:tab w:val="left" w:pos="1620"/>
        </w:tabs>
        <w:ind w:left="1620" w:leftChars="1260" w:hanging="360"/>
      </w:pPr>
    </w:lvl>
    <w:lvl w:ilvl="2" w:tentative="0">
      <w:start w:val="1"/>
      <w:numFmt w:val="decimal"/>
      <w:lvlText w:val="%1."/>
      <w:lvlJc w:val="left"/>
      <w:pPr>
        <w:tabs>
          <w:tab w:val="left" w:pos="1620"/>
        </w:tabs>
        <w:ind w:left="1620" w:leftChars="1260" w:hanging="360"/>
      </w:pPr>
    </w:lvl>
    <w:lvl w:ilvl="3" w:tentative="0">
      <w:start w:val="1"/>
      <w:numFmt w:val="decimal"/>
      <w:lvlText w:val="%1."/>
      <w:lvlJc w:val="left"/>
      <w:pPr>
        <w:tabs>
          <w:tab w:val="left" w:pos="1620"/>
        </w:tabs>
        <w:ind w:left="1620" w:leftChars="1260" w:hanging="360"/>
      </w:pPr>
    </w:lvl>
    <w:lvl w:ilvl="4" w:tentative="0">
      <w:start w:val="1"/>
      <w:numFmt w:val="decimal"/>
      <w:lvlText w:val="%1."/>
      <w:lvlJc w:val="left"/>
      <w:pPr>
        <w:tabs>
          <w:tab w:val="left" w:pos="1620"/>
        </w:tabs>
        <w:ind w:left="1620" w:leftChars="1260" w:hanging="360"/>
      </w:pPr>
    </w:lvl>
    <w:lvl w:ilvl="5" w:tentative="0">
      <w:start w:val="1"/>
      <w:numFmt w:val="decimal"/>
      <w:lvlText w:val="%1."/>
      <w:lvlJc w:val="left"/>
      <w:pPr>
        <w:tabs>
          <w:tab w:val="left" w:pos="1620"/>
        </w:tabs>
        <w:ind w:left="1620" w:leftChars="1260" w:hanging="360"/>
      </w:pPr>
    </w:lvl>
    <w:lvl w:ilvl="6" w:tentative="0">
      <w:start w:val="1"/>
      <w:numFmt w:val="decimal"/>
      <w:lvlText w:val="%1."/>
      <w:lvlJc w:val="left"/>
      <w:pPr>
        <w:tabs>
          <w:tab w:val="left" w:pos="1620"/>
        </w:tabs>
        <w:ind w:left="1620" w:leftChars="1260" w:hanging="360"/>
      </w:pPr>
    </w:lvl>
    <w:lvl w:ilvl="7" w:tentative="0">
      <w:start w:val="1"/>
      <w:numFmt w:val="decimal"/>
      <w:lvlText w:val="%1."/>
      <w:lvlJc w:val="left"/>
      <w:pPr>
        <w:tabs>
          <w:tab w:val="left" w:pos="1620"/>
        </w:tabs>
        <w:ind w:left="1620" w:leftChars="1260" w:hanging="360"/>
      </w:pPr>
    </w:lvl>
    <w:lvl w:ilvl="8" w:tentative="0">
      <w:start w:val="1"/>
      <w:numFmt w:val="decimal"/>
      <w:lvlText w:val="%1."/>
      <w:lvlJc w:val="left"/>
      <w:pPr>
        <w:tabs>
          <w:tab w:val="left" w:pos="1620"/>
        </w:tabs>
        <w:ind w:left="1620" w:leftChars="1260" w:hanging="360"/>
      </w:pPr>
    </w:lvl>
  </w:abstractNum>
  <w:abstractNum w:abstractNumId="15">
    <w:nsid w:val="2F000006"/>
    <w:multiLevelType w:val="multilevel"/>
    <w:tmpl w:val="2F000006"/>
    <w:lvl w:ilvl="0" w:tentative="0">
      <w:start w:val="1"/>
      <w:numFmt w:val="bullet"/>
      <w:pStyle w:val="46"/>
      <w:lvlText w:val="l"/>
      <w:lvlJc w:val="left"/>
      <w:pPr>
        <w:tabs>
          <w:tab w:val="left" w:pos="2040"/>
        </w:tabs>
        <w:ind w:left="2040" w:leftChars="1680" w:hanging="360"/>
      </w:pPr>
      <w:rPr>
        <w:rFonts w:hint="default" w:ascii="Wingdings" w:hAnsi="Wingdings"/>
      </w:rPr>
    </w:lvl>
    <w:lvl w:ilvl="1" w:tentative="0">
      <w:start w:val="1"/>
      <w:numFmt w:val="bullet"/>
      <w:lvlText w:val="l"/>
      <w:lvlJc w:val="left"/>
      <w:pPr>
        <w:tabs>
          <w:tab w:val="left" w:pos="2040"/>
        </w:tabs>
        <w:ind w:left="2040" w:leftChars="1680" w:hanging="360"/>
      </w:pPr>
      <w:rPr>
        <w:rFonts w:hint="default" w:ascii="Wingdings" w:hAnsi="Wingdings"/>
      </w:rPr>
    </w:lvl>
    <w:lvl w:ilvl="2" w:tentative="0">
      <w:start w:val="1"/>
      <w:numFmt w:val="bullet"/>
      <w:lvlText w:val="l"/>
      <w:lvlJc w:val="left"/>
      <w:pPr>
        <w:tabs>
          <w:tab w:val="left" w:pos="2040"/>
        </w:tabs>
        <w:ind w:left="2040" w:leftChars="1680" w:hanging="360"/>
      </w:pPr>
      <w:rPr>
        <w:rFonts w:hint="default" w:ascii="Wingdings" w:hAnsi="Wingdings"/>
      </w:rPr>
    </w:lvl>
    <w:lvl w:ilvl="3" w:tentative="0">
      <w:start w:val="1"/>
      <w:numFmt w:val="bullet"/>
      <w:lvlText w:val="l"/>
      <w:lvlJc w:val="left"/>
      <w:pPr>
        <w:tabs>
          <w:tab w:val="left" w:pos="2040"/>
        </w:tabs>
        <w:ind w:left="2040" w:leftChars="1680" w:hanging="360"/>
      </w:pPr>
      <w:rPr>
        <w:rFonts w:hint="default" w:ascii="Wingdings" w:hAnsi="Wingdings"/>
      </w:rPr>
    </w:lvl>
    <w:lvl w:ilvl="4" w:tentative="0">
      <w:start w:val="1"/>
      <w:numFmt w:val="bullet"/>
      <w:lvlText w:val="l"/>
      <w:lvlJc w:val="left"/>
      <w:pPr>
        <w:tabs>
          <w:tab w:val="left" w:pos="2040"/>
        </w:tabs>
        <w:ind w:left="2040" w:leftChars="1680" w:hanging="360"/>
      </w:pPr>
      <w:rPr>
        <w:rFonts w:hint="default" w:ascii="Wingdings" w:hAnsi="Wingdings"/>
      </w:rPr>
    </w:lvl>
    <w:lvl w:ilvl="5" w:tentative="0">
      <w:start w:val="1"/>
      <w:numFmt w:val="bullet"/>
      <w:lvlText w:val="l"/>
      <w:lvlJc w:val="left"/>
      <w:pPr>
        <w:tabs>
          <w:tab w:val="left" w:pos="2040"/>
        </w:tabs>
        <w:ind w:left="2040" w:leftChars="1680" w:hanging="360"/>
      </w:pPr>
      <w:rPr>
        <w:rFonts w:hint="default" w:ascii="Wingdings" w:hAnsi="Wingdings"/>
      </w:rPr>
    </w:lvl>
    <w:lvl w:ilvl="6" w:tentative="0">
      <w:start w:val="1"/>
      <w:numFmt w:val="bullet"/>
      <w:lvlText w:val="l"/>
      <w:lvlJc w:val="left"/>
      <w:pPr>
        <w:tabs>
          <w:tab w:val="left" w:pos="2040"/>
        </w:tabs>
        <w:ind w:left="2040" w:leftChars="1680" w:hanging="360"/>
      </w:pPr>
      <w:rPr>
        <w:rFonts w:hint="default" w:ascii="Wingdings" w:hAnsi="Wingdings"/>
      </w:rPr>
    </w:lvl>
    <w:lvl w:ilvl="7" w:tentative="0">
      <w:start w:val="1"/>
      <w:numFmt w:val="bullet"/>
      <w:lvlText w:val="l"/>
      <w:lvlJc w:val="left"/>
      <w:pPr>
        <w:tabs>
          <w:tab w:val="left" w:pos="2040"/>
        </w:tabs>
        <w:ind w:left="2040" w:leftChars="1680" w:hanging="360"/>
      </w:pPr>
      <w:rPr>
        <w:rFonts w:hint="default" w:ascii="Wingdings" w:hAnsi="Wingdings"/>
      </w:rPr>
    </w:lvl>
    <w:lvl w:ilvl="8" w:tentative="0">
      <w:start w:val="1"/>
      <w:numFmt w:val="bullet"/>
      <w:lvlText w:val="l"/>
      <w:lvlJc w:val="left"/>
      <w:pPr>
        <w:tabs>
          <w:tab w:val="left" w:pos="2040"/>
        </w:tabs>
        <w:ind w:left="2040" w:leftChars="1680" w:hanging="360"/>
      </w:pPr>
      <w:rPr>
        <w:rFonts w:hint="default" w:ascii="Wingdings" w:hAnsi="Wingdings"/>
      </w:rPr>
    </w:lvl>
  </w:abstractNum>
  <w:abstractNum w:abstractNumId="16">
    <w:nsid w:val="2F000007"/>
    <w:multiLevelType w:val="multilevel"/>
    <w:tmpl w:val="2F000007"/>
    <w:lvl w:ilvl="0" w:tentative="0">
      <w:start w:val="1"/>
      <w:numFmt w:val="bullet"/>
      <w:pStyle w:val="33"/>
      <w:lvlText w:val="l"/>
      <w:lvlJc w:val="left"/>
      <w:pPr>
        <w:tabs>
          <w:tab w:val="left" w:pos="1200"/>
        </w:tabs>
        <w:ind w:left="1200" w:leftChars="840" w:hanging="360"/>
      </w:pPr>
      <w:rPr>
        <w:rFonts w:hint="default" w:ascii="Wingdings" w:hAnsi="Wingdings"/>
      </w:rPr>
    </w:lvl>
    <w:lvl w:ilvl="1" w:tentative="0">
      <w:start w:val="1"/>
      <w:numFmt w:val="bullet"/>
      <w:lvlText w:val="l"/>
      <w:lvlJc w:val="left"/>
      <w:pPr>
        <w:tabs>
          <w:tab w:val="left" w:pos="1200"/>
        </w:tabs>
        <w:ind w:left="1200" w:leftChars="840" w:hanging="360"/>
      </w:pPr>
      <w:rPr>
        <w:rFonts w:hint="default" w:ascii="Wingdings" w:hAnsi="Wingdings"/>
      </w:rPr>
    </w:lvl>
    <w:lvl w:ilvl="2" w:tentative="0">
      <w:start w:val="1"/>
      <w:numFmt w:val="bullet"/>
      <w:lvlText w:val="l"/>
      <w:lvlJc w:val="left"/>
      <w:pPr>
        <w:tabs>
          <w:tab w:val="left" w:pos="1200"/>
        </w:tabs>
        <w:ind w:left="1200" w:leftChars="840" w:hanging="360"/>
      </w:pPr>
      <w:rPr>
        <w:rFonts w:hint="default" w:ascii="Wingdings" w:hAnsi="Wingdings"/>
      </w:rPr>
    </w:lvl>
    <w:lvl w:ilvl="3" w:tentative="0">
      <w:start w:val="1"/>
      <w:numFmt w:val="bullet"/>
      <w:lvlText w:val="l"/>
      <w:lvlJc w:val="left"/>
      <w:pPr>
        <w:tabs>
          <w:tab w:val="left" w:pos="1200"/>
        </w:tabs>
        <w:ind w:left="1200" w:leftChars="840" w:hanging="360"/>
      </w:pPr>
      <w:rPr>
        <w:rFonts w:hint="default" w:ascii="Wingdings" w:hAnsi="Wingdings"/>
      </w:rPr>
    </w:lvl>
    <w:lvl w:ilvl="4" w:tentative="0">
      <w:start w:val="1"/>
      <w:numFmt w:val="bullet"/>
      <w:lvlText w:val="l"/>
      <w:lvlJc w:val="left"/>
      <w:pPr>
        <w:tabs>
          <w:tab w:val="left" w:pos="1200"/>
        </w:tabs>
        <w:ind w:left="1200" w:leftChars="840" w:hanging="360"/>
      </w:pPr>
      <w:rPr>
        <w:rFonts w:hint="default" w:ascii="Wingdings" w:hAnsi="Wingdings"/>
      </w:rPr>
    </w:lvl>
    <w:lvl w:ilvl="5" w:tentative="0">
      <w:start w:val="1"/>
      <w:numFmt w:val="bullet"/>
      <w:lvlText w:val="l"/>
      <w:lvlJc w:val="left"/>
      <w:pPr>
        <w:tabs>
          <w:tab w:val="left" w:pos="1200"/>
        </w:tabs>
        <w:ind w:left="1200" w:leftChars="840" w:hanging="360"/>
      </w:pPr>
      <w:rPr>
        <w:rFonts w:hint="default" w:ascii="Wingdings" w:hAnsi="Wingdings"/>
      </w:rPr>
    </w:lvl>
    <w:lvl w:ilvl="6" w:tentative="0">
      <w:start w:val="1"/>
      <w:numFmt w:val="bullet"/>
      <w:lvlText w:val="l"/>
      <w:lvlJc w:val="left"/>
      <w:pPr>
        <w:tabs>
          <w:tab w:val="left" w:pos="1200"/>
        </w:tabs>
        <w:ind w:left="1200" w:leftChars="840" w:hanging="360"/>
      </w:pPr>
      <w:rPr>
        <w:rFonts w:hint="default" w:ascii="Wingdings" w:hAnsi="Wingdings"/>
      </w:rPr>
    </w:lvl>
    <w:lvl w:ilvl="7" w:tentative="0">
      <w:start w:val="1"/>
      <w:numFmt w:val="bullet"/>
      <w:lvlText w:val="l"/>
      <w:lvlJc w:val="left"/>
      <w:pPr>
        <w:tabs>
          <w:tab w:val="left" w:pos="1200"/>
        </w:tabs>
        <w:ind w:left="1200" w:leftChars="840" w:hanging="360"/>
      </w:pPr>
      <w:rPr>
        <w:rFonts w:hint="default" w:ascii="Wingdings" w:hAnsi="Wingdings"/>
      </w:rPr>
    </w:lvl>
    <w:lvl w:ilvl="8" w:tentative="0">
      <w:start w:val="1"/>
      <w:numFmt w:val="bullet"/>
      <w:lvlText w:val="l"/>
      <w:lvlJc w:val="left"/>
      <w:pPr>
        <w:tabs>
          <w:tab w:val="left" w:pos="1200"/>
        </w:tabs>
        <w:ind w:left="1200" w:leftChars="840" w:hanging="360"/>
      </w:pPr>
      <w:rPr>
        <w:rFonts w:hint="default" w:ascii="Wingdings" w:hAnsi="Wingdings"/>
      </w:rPr>
    </w:lvl>
  </w:abstractNum>
  <w:abstractNum w:abstractNumId="17">
    <w:nsid w:val="2F000008"/>
    <w:multiLevelType w:val="multilevel"/>
    <w:tmpl w:val="2F000008"/>
    <w:lvl w:ilvl="0" w:tentative="0">
      <w:start w:val="1"/>
      <w:numFmt w:val="decimal"/>
      <w:pStyle w:val="20"/>
      <w:lvlText w:val="%1."/>
      <w:lvlJc w:val="left"/>
      <w:pPr>
        <w:tabs>
          <w:tab w:val="left" w:pos="360"/>
        </w:tabs>
        <w:ind w:left="360" w:hanging="360"/>
      </w:pPr>
    </w:lvl>
    <w:lvl w:ilvl="1" w:tentative="0">
      <w:start w:val="1"/>
      <w:numFmt w:val="decimal"/>
      <w:lvlText w:val="%1."/>
      <w:lvlJc w:val="left"/>
      <w:pPr>
        <w:tabs>
          <w:tab w:val="left" w:pos="360"/>
        </w:tabs>
        <w:ind w:left="360" w:hanging="360"/>
      </w:pPr>
    </w:lvl>
    <w:lvl w:ilvl="2" w:tentative="0">
      <w:start w:val="1"/>
      <w:numFmt w:val="decimal"/>
      <w:lvlText w:val="%1."/>
      <w:lvlJc w:val="left"/>
      <w:pPr>
        <w:tabs>
          <w:tab w:val="left" w:pos="360"/>
        </w:tabs>
        <w:ind w:left="360" w:hanging="360"/>
      </w:pPr>
    </w:lvl>
    <w:lvl w:ilvl="3" w:tentative="0">
      <w:start w:val="1"/>
      <w:numFmt w:val="decimal"/>
      <w:lvlText w:val="%1."/>
      <w:lvlJc w:val="left"/>
      <w:pPr>
        <w:tabs>
          <w:tab w:val="left" w:pos="360"/>
        </w:tabs>
        <w:ind w:left="360" w:hanging="360"/>
      </w:pPr>
    </w:lvl>
    <w:lvl w:ilvl="4" w:tentative="0">
      <w:start w:val="1"/>
      <w:numFmt w:val="decimal"/>
      <w:lvlText w:val="%1."/>
      <w:lvlJc w:val="left"/>
      <w:pPr>
        <w:tabs>
          <w:tab w:val="left" w:pos="360"/>
        </w:tabs>
        <w:ind w:left="360" w:hanging="360"/>
      </w:pPr>
    </w:lvl>
    <w:lvl w:ilvl="5" w:tentative="0">
      <w:start w:val="1"/>
      <w:numFmt w:val="decimal"/>
      <w:lvlText w:val="%1."/>
      <w:lvlJc w:val="left"/>
      <w:pPr>
        <w:tabs>
          <w:tab w:val="left" w:pos="360"/>
        </w:tabs>
        <w:ind w:left="360" w:hanging="360"/>
      </w:pPr>
    </w:lvl>
    <w:lvl w:ilvl="6" w:tentative="0">
      <w:start w:val="1"/>
      <w:numFmt w:val="decimal"/>
      <w:lvlText w:val="%1."/>
      <w:lvlJc w:val="left"/>
      <w:pPr>
        <w:tabs>
          <w:tab w:val="left" w:pos="360"/>
        </w:tabs>
        <w:ind w:left="360" w:hanging="360"/>
      </w:pPr>
    </w:lvl>
    <w:lvl w:ilvl="7" w:tentative="0">
      <w:start w:val="1"/>
      <w:numFmt w:val="decimal"/>
      <w:lvlText w:val="%1."/>
      <w:lvlJc w:val="left"/>
      <w:pPr>
        <w:tabs>
          <w:tab w:val="left" w:pos="360"/>
        </w:tabs>
        <w:ind w:left="360" w:hanging="360"/>
      </w:pPr>
    </w:lvl>
    <w:lvl w:ilvl="8" w:tentative="0">
      <w:start w:val="1"/>
      <w:numFmt w:val="decimal"/>
      <w:lvlText w:val="%1."/>
      <w:lvlJc w:val="left"/>
      <w:pPr>
        <w:tabs>
          <w:tab w:val="left" w:pos="360"/>
        </w:tabs>
        <w:ind w:left="360" w:hanging="360"/>
      </w:pPr>
    </w:lvl>
  </w:abstractNum>
  <w:abstractNum w:abstractNumId="18">
    <w:nsid w:val="2F000009"/>
    <w:multiLevelType w:val="multilevel"/>
    <w:tmpl w:val="2F000009"/>
    <w:lvl w:ilvl="0" w:tentative="0">
      <w:start w:val="1"/>
      <w:numFmt w:val="bullet"/>
      <w:pStyle w:val="517"/>
      <w:lvlText w:val="Ø"/>
      <w:lvlJc w:val="left"/>
      <w:pPr>
        <w:tabs>
          <w:tab w:val="left" w:pos="852"/>
        </w:tabs>
        <w:ind w:left="852" w:hanging="420"/>
      </w:pPr>
      <w:rPr>
        <w:rFonts w:hint="default" w:ascii="Wingdings" w:hAnsi="Wingdings"/>
      </w:rPr>
    </w:lvl>
    <w:lvl w:ilvl="1" w:tentative="0">
      <w:start w:val="1"/>
      <w:numFmt w:val="bullet"/>
      <w:lvlText w:val="n"/>
      <w:lvlJc w:val="left"/>
      <w:pPr>
        <w:tabs>
          <w:tab w:val="left" w:pos="1272"/>
        </w:tabs>
        <w:ind w:left="1272" w:hanging="420"/>
      </w:pPr>
      <w:rPr>
        <w:rFonts w:hint="default" w:ascii="Wingdings" w:hAnsi="Wingdings"/>
      </w:rPr>
    </w:lvl>
    <w:lvl w:ilvl="2" w:tentative="0">
      <w:start w:val="1"/>
      <w:numFmt w:val="bullet"/>
      <w:lvlText w:val="u"/>
      <w:lvlJc w:val="left"/>
      <w:pPr>
        <w:tabs>
          <w:tab w:val="left" w:pos="1692"/>
        </w:tabs>
        <w:ind w:left="1692" w:hanging="420"/>
      </w:pPr>
      <w:rPr>
        <w:rFonts w:hint="default" w:ascii="Wingdings" w:hAnsi="Wingdings"/>
      </w:rPr>
    </w:lvl>
    <w:lvl w:ilvl="3" w:tentative="0">
      <w:start w:val="1"/>
      <w:numFmt w:val="bullet"/>
      <w:lvlText w:val="l"/>
      <w:lvlJc w:val="left"/>
      <w:pPr>
        <w:tabs>
          <w:tab w:val="left" w:pos="2112"/>
        </w:tabs>
        <w:ind w:left="2112" w:hanging="420"/>
      </w:pPr>
      <w:rPr>
        <w:rFonts w:hint="default" w:ascii="Wingdings" w:hAnsi="Wingdings"/>
      </w:rPr>
    </w:lvl>
    <w:lvl w:ilvl="4" w:tentative="0">
      <w:start w:val="1"/>
      <w:numFmt w:val="bullet"/>
      <w:lvlText w:val="n"/>
      <w:lvlJc w:val="left"/>
      <w:pPr>
        <w:tabs>
          <w:tab w:val="left" w:pos="2532"/>
        </w:tabs>
        <w:ind w:left="2532" w:hanging="420"/>
      </w:pPr>
      <w:rPr>
        <w:rFonts w:hint="default" w:ascii="Wingdings" w:hAnsi="Wingdings"/>
      </w:rPr>
    </w:lvl>
    <w:lvl w:ilvl="5" w:tentative="0">
      <w:start w:val="1"/>
      <w:numFmt w:val="bullet"/>
      <w:lvlText w:val="u"/>
      <w:lvlJc w:val="left"/>
      <w:pPr>
        <w:tabs>
          <w:tab w:val="left" w:pos="2952"/>
        </w:tabs>
        <w:ind w:left="2952" w:hanging="420"/>
      </w:pPr>
      <w:rPr>
        <w:rFonts w:hint="default" w:ascii="Wingdings" w:hAnsi="Wingdings"/>
      </w:rPr>
    </w:lvl>
    <w:lvl w:ilvl="6" w:tentative="0">
      <w:start w:val="1"/>
      <w:numFmt w:val="bullet"/>
      <w:lvlText w:val="l"/>
      <w:lvlJc w:val="left"/>
      <w:pPr>
        <w:tabs>
          <w:tab w:val="left" w:pos="3372"/>
        </w:tabs>
        <w:ind w:left="3372" w:hanging="420"/>
      </w:pPr>
      <w:rPr>
        <w:rFonts w:hint="default" w:ascii="Wingdings" w:hAnsi="Wingdings"/>
      </w:rPr>
    </w:lvl>
    <w:lvl w:ilvl="7" w:tentative="0">
      <w:start w:val="1"/>
      <w:numFmt w:val="bullet"/>
      <w:lvlText w:val="n"/>
      <w:lvlJc w:val="left"/>
      <w:pPr>
        <w:tabs>
          <w:tab w:val="left" w:pos="3792"/>
        </w:tabs>
        <w:ind w:left="3792" w:hanging="420"/>
      </w:pPr>
      <w:rPr>
        <w:rFonts w:hint="default" w:ascii="Wingdings" w:hAnsi="Wingdings"/>
      </w:rPr>
    </w:lvl>
    <w:lvl w:ilvl="8" w:tentative="0">
      <w:start w:val="1"/>
      <w:numFmt w:val="bullet"/>
      <w:lvlText w:val="u"/>
      <w:lvlJc w:val="left"/>
      <w:pPr>
        <w:tabs>
          <w:tab w:val="left" w:pos="4212"/>
        </w:tabs>
        <w:ind w:left="4212" w:hanging="420"/>
      </w:pPr>
      <w:rPr>
        <w:rFonts w:hint="default" w:ascii="Wingdings" w:hAnsi="Wingdings"/>
      </w:rPr>
    </w:lvl>
  </w:abstractNum>
  <w:abstractNum w:abstractNumId="19">
    <w:nsid w:val="2F00000A"/>
    <w:multiLevelType w:val="multilevel"/>
    <w:tmpl w:val="2F00000A"/>
    <w:lvl w:ilvl="0" w:tentative="0">
      <w:start w:val="1"/>
      <w:numFmt w:val="bullet"/>
      <w:pStyle w:val="529"/>
      <w:lvlText w:val="l"/>
      <w:lvlJc w:val="left"/>
      <w:pPr>
        <w:tabs>
          <w:tab w:val="left" w:pos="360"/>
        </w:tabs>
        <w:ind w:left="360" w:hanging="360"/>
      </w:pPr>
      <w:rPr>
        <w:rFonts w:hint="default" w:ascii="Wingdings" w:hAnsi="Wingdings"/>
      </w:rPr>
    </w:lvl>
    <w:lvl w:ilvl="1" w:tentative="0">
      <w:start w:val="1"/>
      <w:numFmt w:val="bullet"/>
      <w:lvlText w:val="l"/>
      <w:lvlJc w:val="left"/>
      <w:pPr>
        <w:tabs>
          <w:tab w:val="left" w:pos="360"/>
        </w:tabs>
        <w:ind w:left="360" w:hanging="360"/>
      </w:pPr>
      <w:rPr>
        <w:rFonts w:hint="default" w:ascii="Wingdings" w:hAnsi="Wingdings"/>
      </w:rPr>
    </w:lvl>
    <w:lvl w:ilvl="2" w:tentative="0">
      <w:start w:val="1"/>
      <w:numFmt w:val="bullet"/>
      <w:lvlText w:val="l"/>
      <w:lvlJc w:val="left"/>
      <w:pPr>
        <w:tabs>
          <w:tab w:val="left" w:pos="360"/>
        </w:tabs>
        <w:ind w:left="360" w:hanging="360"/>
      </w:pPr>
      <w:rPr>
        <w:rFonts w:hint="default" w:ascii="Wingdings" w:hAnsi="Wingdings"/>
      </w:rPr>
    </w:lvl>
    <w:lvl w:ilvl="3" w:tentative="0">
      <w:start w:val="1"/>
      <w:numFmt w:val="bullet"/>
      <w:lvlText w:val="l"/>
      <w:lvlJc w:val="left"/>
      <w:pPr>
        <w:tabs>
          <w:tab w:val="left" w:pos="360"/>
        </w:tabs>
        <w:ind w:left="360" w:hanging="360"/>
      </w:pPr>
      <w:rPr>
        <w:rFonts w:hint="default" w:ascii="Wingdings" w:hAnsi="Wingdings"/>
      </w:rPr>
    </w:lvl>
    <w:lvl w:ilvl="4" w:tentative="0">
      <w:start w:val="1"/>
      <w:numFmt w:val="bullet"/>
      <w:lvlText w:val="l"/>
      <w:lvlJc w:val="left"/>
      <w:pPr>
        <w:tabs>
          <w:tab w:val="left" w:pos="360"/>
        </w:tabs>
        <w:ind w:left="360" w:hanging="360"/>
      </w:pPr>
      <w:rPr>
        <w:rFonts w:hint="default" w:ascii="Wingdings" w:hAnsi="Wingdings"/>
      </w:rPr>
    </w:lvl>
    <w:lvl w:ilvl="5" w:tentative="0">
      <w:start w:val="1"/>
      <w:numFmt w:val="bullet"/>
      <w:lvlText w:val="l"/>
      <w:lvlJc w:val="left"/>
      <w:pPr>
        <w:tabs>
          <w:tab w:val="left" w:pos="360"/>
        </w:tabs>
        <w:ind w:left="360" w:hanging="360"/>
      </w:pPr>
      <w:rPr>
        <w:rFonts w:hint="default" w:ascii="Wingdings" w:hAnsi="Wingdings"/>
      </w:rPr>
    </w:lvl>
    <w:lvl w:ilvl="6" w:tentative="0">
      <w:start w:val="1"/>
      <w:numFmt w:val="bullet"/>
      <w:lvlText w:val="l"/>
      <w:lvlJc w:val="left"/>
      <w:pPr>
        <w:tabs>
          <w:tab w:val="left" w:pos="360"/>
        </w:tabs>
        <w:ind w:left="360" w:hanging="360"/>
      </w:pPr>
      <w:rPr>
        <w:rFonts w:hint="default" w:ascii="Wingdings" w:hAnsi="Wingdings"/>
      </w:rPr>
    </w:lvl>
    <w:lvl w:ilvl="7" w:tentative="0">
      <w:start w:val="1"/>
      <w:numFmt w:val="bullet"/>
      <w:lvlText w:val="l"/>
      <w:lvlJc w:val="left"/>
      <w:pPr>
        <w:tabs>
          <w:tab w:val="left" w:pos="360"/>
        </w:tabs>
        <w:ind w:left="360" w:hanging="360"/>
      </w:pPr>
      <w:rPr>
        <w:rFonts w:hint="default" w:ascii="Wingdings" w:hAnsi="Wingdings"/>
      </w:rPr>
    </w:lvl>
    <w:lvl w:ilvl="8" w:tentative="0">
      <w:start w:val="1"/>
      <w:numFmt w:val="bullet"/>
      <w:lvlText w:val="l"/>
      <w:lvlJc w:val="left"/>
      <w:pPr>
        <w:tabs>
          <w:tab w:val="left" w:pos="360"/>
        </w:tabs>
        <w:ind w:left="360" w:hanging="360"/>
      </w:pPr>
      <w:rPr>
        <w:rFonts w:hint="default" w:ascii="Wingdings" w:hAnsi="Wingdings"/>
      </w:rPr>
    </w:lvl>
  </w:abstractNum>
  <w:abstractNum w:abstractNumId="20">
    <w:nsid w:val="2F00000B"/>
    <w:multiLevelType w:val="multilevel"/>
    <w:tmpl w:val="2F00000B"/>
    <w:lvl w:ilvl="0" w:tentative="0">
      <w:start w:val="1"/>
      <w:numFmt w:val="bullet"/>
      <w:pStyle w:val="518"/>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2F00000C"/>
    <w:multiLevelType w:val="multilevel"/>
    <w:tmpl w:val="2F00000C"/>
    <w:lvl w:ilvl="0" w:tentative="0">
      <w:start w:val="1"/>
      <w:numFmt w:val="bullet"/>
      <w:pStyle w:val="348"/>
      <w:lvlText w:val="²"/>
      <w:lvlJc w:val="left"/>
      <w:pPr>
        <w:tabs>
          <w:tab w:val="left" w:pos="3114"/>
        </w:tabs>
        <w:ind w:left="3114"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F00000D"/>
    <w:multiLevelType w:val="multilevel"/>
    <w:tmpl w:val="2F00000D"/>
    <w:lvl w:ilvl="0" w:tentative="0">
      <w:start w:val="0"/>
      <w:numFmt w:val="decimal"/>
      <w:pStyle w:val="52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2F00000E"/>
    <w:multiLevelType w:val="multilevel"/>
    <w:tmpl w:val="2F00000E"/>
    <w:lvl w:ilvl="0" w:tentative="0">
      <w:start w:val="1"/>
      <w:numFmt w:val="decimal"/>
      <w:pStyle w:val="52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2F00000F"/>
    <w:multiLevelType w:val="multilevel"/>
    <w:tmpl w:val="2F00000F"/>
    <w:lvl w:ilvl="0" w:tentative="0">
      <w:start w:val="1"/>
      <w:numFmt w:val="bullet"/>
      <w:pStyle w:val="530"/>
      <w:lvlText w:val="Ø"/>
      <w:lvlJc w:val="left"/>
      <w:pPr>
        <w:ind w:left="420" w:hanging="420"/>
      </w:pPr>
      <w:rPr>
        <w:rFonts w:hint="default" w:ascii="Wingdings" w:hAnsi="Wingdings"/>
      </w:rPr>
    </w:lvl>
    <w:lvl w:ilvl="1" w:tentative="0">
      <w:start w:val="1"/>
      <w:numFmt w:val="bullet"/>
      <w:lvlText w:val="n"/>
      <w:lvlJc w:val="left"/>
      <w:pPr>
        <w:ind w:left="840" w:hanging="420"/>
      </w:pPr>
      <w:rPr>
        <w:rFonts w:hint="default" w:ascii="Wingdings" w:hAnsi="Wingdings"/>
      </w:rPr>
    </w:lvl>
    <w:lvl w:ilvl="2" w:tentative="0">
      <w:start w:val="1"/>
      <w:numFmt w:val="bullet"/>
      <w:lvlText w:val="u"/>
      <w:lvlJc w:val="left"/>
      <w:pPr>
        <w:ind w:left="1260" w:hanging="420"/>
      </w:pPr>
      <w:rPr>
        <w:rFonts w:hint="default" w:ascii="Wingdings" w:hAnsi="Wingdings"/>
      </w:rPr>
    </w:lvl>
    <w:lvl w:ilvl="3" w:tentative="0">
      <w:start w:val="1"/>
      <w:numFmt w:val="bullet"/>
      <w:lvlText w:val="l"/>
      <w:lvlJc w:val="left"/>
      <w:pPr>
        <w:ind w:left="1680" w:hanging="420"/>
      </w:pPr>
      <w:rPr>
        <w:rFonts w:hint="default" w:ascii="Wingdings" w:hAnsi="Wingdings"/>
      </w:rPr>
    </w:lvl>
    <w:lvl w:ilvl="4" w:tentative="0">
      <w:start w:val="1"/>
      <w:numFmt w:val="bullet"/>
      <w:lvlText w:val="n"/>
      <w:lvlJc w:val="left"/>
      <w:pPr>
        <w:ind w:left="2100" w:hanging="420"/>
      </w:pPr>
      <w:rPr>
        <w:rFonts w:hint="default" w:ascii="Wingdings" w:hAnsi="Wingdings"/>
      </w:rPr>
    </w:lvl>
    <w:lvl w:ilvl="5" w:tentative="0">
      <w:start w:val="1"/>
      <w:numFmt w:val="bullet"/>
      <w:lvlText w:val="u"/>
      <w:lvlJc w:val="left"/>
      <w:pPr>
        <w:ind w:left="2520" w:hanging="420"/>
      </w:pPr>
      <w:rPr>
        <w:rFonts w:hint="default" w:ascii="Wingdings" w:hAnsi="Wingdings"/>
      </w:rPr>
    </w:lvl>
    <w:lvl w:ilvl="6" w:tentative="0">
      <w:start w:val="1"/>
      <w:numFmt w:val="bullet"/>
      <w:lvlText w:val="l"/>
      <w:lvlJc w:val="left"/>
      <w:pPr>
        <w:ind w:left="2940" w:hanging="420"/>
      </w:pPr>
      <w:rPr>
        <w:rFonts w:hint="default" w:ascii="Wingdings" w:hAnsi="Wingdings"/>
      </w:rPr>
    </w:lvl>
    <w:lvl w:ilvl="7" w:tentative="0">
      <w:start w:val="1"/>
      <w:numFmt w:val="bullet"/>
      <w:lvlText w:val="n"/>
      <w:lvlJc w:val="left"/>
      <w:pPr>
        <w:ind w:left="3360" w:hanging="420"/>
      </w:pPr>
      <w:rPr>
        <w:rFonts w:hint="default" w:ascii="Wingdings" w:hAnsi="Wingdings"/>
      </w:rPr>
    </w:lvl>
    <w:lvl w:ilvl="8" w:tentative="0">
      <w:start w:val="1"/>
      <w:numFmt w:val="bullet"/>
      <w:lvlText w:val="u"/>
      <w:lvlJc w:val="left"/>
      <w:pPr>
        <w:ind w:left="3780" w:hanging="420"/>
      </w:pPr>
      <w:rPr>
        <w:rFonts w:hint="default" w:ascii="Wingdings" w:hAnsi="Wingdings"/>
      </w:rPr>
    </w:lvl>
  </w:abstractNum>
  <w:abstractNum w:abstractNumId="25">
    <w:nsid w:val="2F000010"/>
    <w:multiLevelType w:val="multilevel"/>
    <w:tmpl w:val="2F000010"/>
    <w:lvl w:ilvl="0" w:tentative="0">
      <w:start w:val="1"/>
      <w:numFmt w:val="decimal"/>
      <w:lvlText w:val="%1）"/>
      <w:lvlJc w:val="left"/>
      <w:pPr>
        <w:tabs>
          <w:tab w:val="left" w:pos="900"/>
        </w:tabs>
        <w:ind w:left="900" w:hanging="360"/>
      </w:pPr>
      <w:rPr>
        <w:rFonts w:hint="default"/>
      </w:rPr>
    </w:lvl>
    <w:lvl w:ilvl="1" w:tentative="0">
      <w:start w:val="1"/>
      <w:numFmt w:val="lowerLetter"/>
      <w:pStyle w:val="525"/>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6">
    <w:nsid w:val="2F000011"/>
    <w:multiLevelType w:val="multilevel"/>
    <w:tmpl w:val="2F000011"/>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pStyle w:val="520"/>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2F000012"/>
    <w:multiLevelType w:val="multilevel"/>
    <w:tmpl w:val="2F000012"/>
    <w:lvl w:ilvl="0" w:tentative="0">
      <w:start w:val="0"/>
      <w:numFmt w:val="decimal"/>
      <w:pStyle w:val="52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2F000013"/>
    <w:multiLevelType w:val="multilevel"/>
    <w:tmpl w:val="2F000013"/>
    <w:lvl w:ilvl="0" w:tentative="0">
      <w:start w:val="1"/>
      <w:numFmt w:val="decimal"/>
      <w:pStyle w:val="934"/>
      <w:lvlText w:val="%1)"/>
      <w:lvlJc w:val="left"/>
      <w:pPr>
        <w:tabs>
          <w:tab w:val="left" w:pos="902"/>
        </w:tabs>
        <w:ind w:left="902" w:hanging="420"/>
      </w:pPr>
    </w:lvl>
    <w:lvl w:ilvl="1" w:tentative="0">
      <w:start w:val="1"/>
      <w:numFmt w:val="decimal"/>
      <w:lvlText w:val="(%2)"/>
      <w:lvlJc w:val="left"/>
      <w:pPr>
        <w:tabs>
          <w:tab w:val="left" w:pos="1382"/>
        </w:tabs>
        <w:ind w:left="1382" w:hanging="480"/>
      </w:pPr>
      <w:rPr>
        <w:rFonts w:hint="eastAsia"/>
      </w:rPr>
    </w:lvl>
    <w:lvl w:ilvl="2" w:tentative="0">
      <w:start w:val="1"/>
      <w:numFmt w:val="decimal"/>
      <w:lvlText w:val="（%3）"/>
      <w:lvlJc w:val="left"/>
      <w:pPr>
        <w:tabs>
          <w:tab w:val="left" w:pos="2372"/>
        </w:tabs>
        <w:ind w:left="2372" w:hanging="1050"/>
      </w:pPr>
      <w:rPr>
        <w:rFonts w:hint="default" w:hAnsi="Times New Roman"/>
      </w:rPr>
    </w:lvl>
    <w:lvl w:ilvl="3" w:tentative="0">
      <w:start w:val="1"/>
      <w:numFmt w:val="japaneseCounting"/>
      <w:lvlText w:val="%4、"/>
      <w:lvlJc w:val="left"/>
      <w:pPr>
        <w:tabs>
          <w:tab w:val="left" w:pos="2222"/>
        </w:tabs>
        <w:ind w:left="2222" w:hanging="480"/>
      </w:pPr>
      <w:rPr>
        <w:rFonts w:hint="default"/>
      </w:r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9">
    <w:nsid w:val="2F000014"/>
    <w:multiLevelType w:val="multilevel"/>
    <w:tmpl w:val="2F000014"/>
    <w:lvl w:ilvl="0" w:tentative="0">
      <w:start w:val="1"/>
      <w:numFmt w:val="decimal"/>
      <w:pStyle w:val="713"/>
      <w:lvlText w:val="7-%1"/>
      <w:lvlJc w:val="left"/>
      <w:pPr>
        <w:tabs>
          <w:tab w:val="left" w:pos="720"/>
        </w:tabs>
        <w:ind w:left="720" w:hanging="720"/>
      </w:pPr>
      <w:rPr>
        <w:rFonts w:hint="eastAsia" w:eastAsia="宋体"/>
        <w:b/>
        <w:i w:val="0"/>
        <w:sz w:val="24"/>
        <w:szCs w:val="24"/>
      </w:rPr>
    </w:lvl>
    <w:lvl w:ilvl="1" w:tentative="0">
      <w:start w:val="1"/>
      <w:numFmt w:val="bullet"/>
      <w:lvlText w:val="q"/>
      <w:lvlJc w:val="left"/>
      <w:pPr>
        <w:tabs>
          <w:tab w:val="left" w:pos="840"/>
        </w:tabs>
        <w:ind w:left="840" w:hanging="420"/>
      </w:pPr>
      <w:rPr>
        <w:rFonts w:hint="default" w:ascii="Wingdings" w:hAnsi="Wingdings"/>
        <w:b w:val="0"/>
        <w:i w:val="0"/>
        <w:sz w:val="24"/>
        <w:szCs w:val="24"/>
      </w:rPr>
    </w:lvl>
    <w:lvl w:ilvl="2" w:tentative="0">
      <w:start w:val="1"/>
      <w:numFmt w:val="decimal"/>
      <w:lvlText w:val="（%3）"/>
      <w:lvlJc w:val="left"/>
      <w:pPr>
        <w:tabs>
          <w:tab w:val="left" w:pos="1440"/>
        </w:tabs>
        <w:ind w:left="1440" w:hanging="600"/>
      </w:pPr>
      <w:rPr>
        <w:rFonts w:hint="default"/>
        <w:b/>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2F000015"/>
    <w:multiLevelType w:val="multilevel"/>
    <w:tmpl w:val="2F000015"/>
    <w:lvl w:ilvl="0" w:tentative="0">
      <w:start w:val="1"/>
      <w:numFmt w:val="bullet"/>
      <w:pStyle w:val="840"/>
      <w:lvlText w:val="u"/>
      <w:lvlJc w:val="left"/>
      <w:pPr>
        <w:ind w:left="420" w:hanging="420"/>
      </w:pPr>
      <w:rPr>
        <w:rFonts w:hint="default" w:ascii="Wingdings" w:hAnsi="Wingdings"/>
      </w:rPr>
    </w:lvl>
    <w:lvl w:ilvl="1" w:tentative="0">
      <w:start w:val="1"/>
      <w:numFmt w:val="bullet"/>
      <w:lvlText w:val="n"/>
      <w:lvlJc w:val="left"/>
      <w:pPr>
        <w:ind w:left="840" w:hanging="420"/>
      </w:pPr>
      <w:rPr>
        <w:rFonts w:hint="default" w:ascii="Wingdings" w:hAnsi="Wingdings"/>
      </w:rPr>
    </w:lvl>
    <w:lvl w:ilvl="2" w:tentative="0">
      <w:start w:val="1"/>
      <w:numFmt w:val="bullet"/>
      <w:lvlText w:val="u"/>
      <w:lvlJc w:val="left"/>
      <w:pPr>
        <w:ind w:left="1260" w:hanging="420"/>
      </w:pPr>
      <w:rPr>
        <w:rFonts w:hint="default" w:ascii="Wingdings" w:hAnsi="Wingdings"/>
      </w:rPr>
    </w:lvl>
    <w:lvl w:ilvl="3" w:tentative="0">
      <w:start w:val="1"/>
      <w:numFmt w:val="bullet"/>
      <w:lvlText w:val="l"/>
      <w:lvlJc w:val="left"/>
      <w:pPr>
        <w:ind w:left="1680" w:hanging="420"/>
      </w:pPr>
      <w:rPr>
        <w:rFonts w:hint="default" w:ascii="Wingdings" w:hAnsi="Wingdings"/>
      </w:rPr>
    </w:lvl>
    <w:lvl w:ilvl="4" w:tentative="0">
      <w:start w:val="1"/>
      <w:numFmt w:val="bullet"/>
      <w:lvlText w:val="n"/>
      <w:lvlJc w:val="left"/>
      <w:pPr>
        <w:ind w:left="2100" w:hanging="420"/>
      </w:pPr>
      <w:rPr>
        <w:rFonts w:hint="default" w:ascii="Wingdings" w:hAnsi="Wingdings"/>
      </w:rPr>
    </w:lvl>
    <w:lvl w:ilvl="5" w:tentative="0">
      <w:start w:val="1"/>
      <w:numFmt w:val="bullet"/>
      <w:lvlText w:val="u"/>
      <w:lvlJc w:val="left"/>
      <w:pPr>
        <w:ind w:left="2520" w:hanging="420"/>
      </w:pPr>
      <w:rPr>
        <w:rFonts w:hint="default" w:ascii="Wingdings" w:hAnsi="Wingdings"/>
      </w:rPr>
    </w:lvl>
    <w:lvl w:ilvl="6" w:tentative="0">
      <w:start w:val="1"/>
      <w:numFmt w:val="bullet"/>
      <w:lvlText w:val="l"/>
      <w:lvlJc w:val="left"/>
      <w:pPr>
        <w:ind w:left="2940" w:hanging="420"/>
      </w:pPr>
      <w:rPr>
        <w:rFonts w:hint="default" w:ascii="Wingdings" w:hAnsi="Wingdings"/>
      </w:rPr>
    </w:lvl>
    <w:lvl w:ilvl="7" w:tentative="0">
      <w:start w:val="1"/>
      <w:numFmt w:val="bullet"/>
      <w:lvlText w:val="n"/>
      <w:lvlJc w:val="left"/>
      <w:pPr>
        <w:ind w:left="3360" w:hanging="420"/>
      </w:pPr>
      <w:rPr>
        <w:rFonts w:hint="default" w:ascii="Wingdings" w:hAnsi="Wingdings"/>
      </w:rPr>
    </w:lvl>
    <w:lvl w:ilvl="8" w:tentative="0">
      <w:start w:val="1"/>
      <w:numFmt w:val="bullet"/>
      <w:lvlText w:val="u"/>
      <w:lvlJc w:val="left"/>
      <w:pPr>
        <w:ind w:left="3780" w:hanging="420"/>
      </w:pPr>
      <w:rPr>
        <w:rFonts w:hint="default" w:ascii="Wingdings" w:hAnsi="Wingdings"/>
      </w:rPr>
    </w:lvl>
  </w:abstractNum>
  <w:abstractNum w:abstractNumId="31">
    <w:nsid w:val="2F000016"/>
    <w:multiLevelType w:val="multilevel"/>
    <w:tmpl w:val="2F000016"/>
    <w:lvl w:ilvl="0" w:tentative="0">
      <w:start w:val="1"/>
      <w:numFmt w:val="decimalEnclosedCircle"/>
      <w:pStyle w:val="733"/>
      <w:lvlText w:val="%1"/>
      <w:lvlJc w:val="left"/>
      <w:pPr>
        <w:tabs>
          <w:tab w:val="left" w:pos="227"/>
        </w:tabs>
        <w:ind w:left="743" w:hanging="233"/>
      </w:pPr>
      <w:rPr>
        <w:rFonts w:hint="default" w:ascii="Times New Roman" w:hAnsi="Times New Roman" w:eastAsia="宋体"/>
        <w:b w:val="0"/>
        <w:i w:val="0"/>
        <w:color w:val="auto"/>
        <w:sz w:val="24"/>
        <w:szCs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F000017"/>
    <w:multiLevelType w:val="multilevel"/>
    <w:tmpl w:val="2F00001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89"/>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3">
    <w:nsid w:val="2F000018"/>
    <w:multiLevelType w:val="multilevel"/>
    <w:tmpl w:val="2F000018"/>
    <w:lvl w:ilvl="0" w:tentative="0">
      <w:start w:val="1"/>
      <w:numFmt w:val="chineseCountingThousand"/>
      <w:pStyle w:val="833"/>
      <w:suff w:val="space"/>
      <w:lvlText w:val="%1. "/>
      <w:lvlJc w:val="left"/>
      <w:pPr>
        <w:ind w:left="907" w:hanging="907"/>
      </w:pPr>
      <w:rPr>
        <w:rFonts w:hint="eastAsia"/>
      </w:rPr>
    </w:lvl>
    <w:lvl w:ilvl="1" w:tentative="0">
      <w:start w:val="1"/>
      <w:numFmt w:val="decimal"/>
      <w:suff w:val="space"/>
      <w:lvlText w:val="%1.%2 "/>
      <w:lvlJc w:val="left"/>
      <w:pPr>
        <w:ind w:left="794" w:hanging="794"/>
      </w:pPr>
      <w:rPr>
        <w:rFonts w:hint="eastAsia"/>
      </w:rPr>
    </w:lvl>
    <w:lvl w:ilvl="2" w:tentative="0">
      <w:start w:val="1"/>
      <w:numFmt w:val="decimal"/>
      <w:suff w:val="space"/>
      <w:lvlText w:val="%1.%2.%3 "/>
      <w:lvlJc w:val="left"/>
      <w:pPr>
        <w:ind w:left="907" w:hanging="907"/>
      </w:pPr>
      <w:rPr>
        <w:rFonts w:hint="eastAsia"/>
      </w:rPr>
    </w:lvl>
    <w:lvl w:ilvl="3" w:tentative="0">
      <w:start w:val="1"/>
      <w:numFmt w:val="decimal"/>
      <w:suff w:val="space"/>
      <w:lvlText w:val="%1.%2.%3.%4 "/>
      <w:lvlJc w:val="left"/>
      <w:pPr>
        <w:ind w:left="1021" w:hanging="1021"/>
      </w:pPr>
      <w:rPr>
        <w:rFonts w:hint="eastAsia"/>
      </w:rPr>
    </w:lvl>
    <w:lvl w:ilvl="4" w:tentative="0">
      <w:start w:val="1"/>
      <w:numFmt w:val="decimal"/>
      <w:pStyle w:val="834"/>
      <w:suff w:val="space"/>
      <w:lvlText w:val="%1.%2.%3.%4.%5 "/>
      <w:lvlJc w:val="left"/>
      <w:pPr>
        <w:ind w:left="1134" w:hanging="1134"/>
      </w:pPr>
      <w:rPr>
        <w:rFonts w:hint="eastAsia"/>
      </w:rPr>
    </w:lvl>
    <w:lvl w:ilvl="5" w:tentative="0">
      <w:start w:val="1"/>
      <w:numFmt w:val="decimal"/>
      <w:pStyle w:val="835"/>
      <w:suff w:val="space"/>
      <w:lvlText w:val="%1.%2.%3.%4.%5.%6 "/>
      <w:lvlJc w:val="left"/>
      <w:pPr>
        <w:ind w:left="1247" w:hanging="1247"/>
      </w:pPr>
      <w:rPr>
        <w:rFonts w:hint="eastAsia"/>
      </w:rPr>
    </w:lvl>
    <w:lvl w:ilvl="6" w:tentative="0">
      <w:start w:val="1"/>
      <w:numFmt w:val="decimal"/>
      <w:lvlRestart w:val="1"/>
      <w:pStyle w:val="836"/>
      <w:suff w:val="space"/>
      <w:lvlText w:val="图 %1.%7 "/>
      <w:lvlJc w:val="left"/>
      <w:pPr>
        <w:ind w:left="0" w:firstLine="0"/>
      </w:pPr>
      <w:rPr>
        <w:rFonts w:hint="eastAsia"/>
      </w:rPr>
    </w:lvl>
    <w:lvl w:ilvl="7" w:tentative="0">
      <w:start w:val="1"/>
      <w:numFmt w:val="decimal"/>
      <w:lvlRestart w:val="1"/>
      <w:suff w:val="space"/>
      <w:lvlText w:val="表 %1.%8 "/>
      <w:lvlJc w:val="left"/>
      <w:pPr>
        <w:ind w:left="0" w:firstLine="0"/>
      </w:pPr>
      <w:rPr>
        <w:rFonts w:hint="eastAsia"/>
      </w:rPr>
    </w:lvl>
    <w:lvl w:ilvl="8" w:tentative="0">
      <w:start w:val="1"/>
      <w:numFmt w:val="bullet"/>
      <w:suff w:val="nothing"/>
      <w:lvlText w:val=""/>
      <w:lvlJc w:val="left"/>
      <w:pPr>
        <w:ind w:left="0" w:firstLine="0"/>
      </w:pPr>
      <w:rPr>
        <w:rFonts w:hint="eastAsia"/>
      </w:rPr>
    </w:lvl>
  </w:abstractNum>
  <w:abstractNum w:abstractNumId="34">
    <w:nsid w:val="2F000019"/>
    <w:multiLevelType w:val="multilevel"/>
    <w:tmpl w:val="2F000019"/>
    <w:lvl w:ilvl="0" w:tentative="0">
      <w:start w:val="1"/>
      <w:numFmt w:val="bullet"/>
      <w:pStyle w:val="694"/>
      <w:lvlText w:val="§"/>
      <w:lvlJc w:val="left"/>
      <w:pPr>
        <w:tabs>
          <w:tab w:val="left" w:pos="720"/>
        </w:tabs>
        <w:ind w:left="360" w:firstLine="0"/>
      </w:pPr>
      <w:rPr>
        <w:rFonts w:hint="default" w:ascii="Wingdings" w:hAnsi="Wingdings"/>
      </w:rPr>
    </w:lvl>
    <w:lvl w:ilvl="1" w:tentative="0">
      <w:start w:val="1"/>
      <w:numFmt w:val="bullet"/>
      <w:lvlText w:val="§"/>
      <w:lvlJc w:val="left"/>
      <w:pPr>
        <w:tabs>
          <w:tab w:val="left" w:pos="720"/>
        </w:tabs>
        <w:ind w:left="360" w:firstLine="0"/>
      </w:pPr>
      <w:rPr>
        <w:rFonts w:hint="default" w:ascii="Wingdings" w:hAnsi="Wingdings"/>
      </w:rPr>
    </w:lvl>
    <w:lvl w:ilvl="2" w:tentative="0">
      <w:start w:val="1"/>
      <w:numFmt w:val="bullet"/>
      <w:lvlText w:val="§"/>
      <w:lvlJc w:val="left"/>
      <w:pPr>
        <w:tabs>
          <w:tab w:val="left" w:pos="720"/>
        </w:tabs>
        <w:ind w:left="360" w:firstLine="0"/>
      </w:pPr>
      <w:rPr>
        <w:rFonts w:hint="default" w:ascii="Wingdings" w:hAnsi="Wingdings"/>
      </w:rPr>
    </w:lvl>
    <w:lvl w:ilvl="3" w:tentative="0">
      <w:start w:val="1"/>
      <w:numFmt w:val="bullet"/>
      <w:lvlText w:val="§"/>
      <w:lvlJc w:val="left"/>
      <w:pPr>
        <w:tabs>
          <w:tab w:val="left" w:pos="720"/>
        </w:tabs>
        <w:ind w:left="360" w:firstLine="0"/>
      </w:pPr>
      <w:rPr>
        <w:rFonts w:hint="default" w:ascii="Wingdings" w:hAnsi="Wingdings"/>
      </w:rPr>
    </w:lvl>
    <w:lvl w:ilvl="4" w:tentative="0">
      <w:start w:val="1"/>
      <w:numFmt w:val="bullet"/>
      <w:lvlText w:val="§"/>
      <w:lvlJc w:val="left"/>
      <w:pPr>
        <w:tabs>
          <w:tab w:val="left" w:pos="720"/>
        </w:tabs>
        <w:ind w:left="360" w:firstLine="0"/>
      </w:pPr>
      <w:rPr>
        <w:rFonts w:hint="default" w:ascii="Wingdings" w:hAnsi="Wingdings"/>
      </w:rPr>
    </w:lvl>
    <w:lvl w:ilvl="5" w:tentative="0">
      <w:start w:val="1"/>
      <w:numFmt w:val="bullet"/>
      <w:lvlText w:val="§"/>
      <w:lvlJc w:val="left"/>
      <w:pPr>
        <w:tabs>
          <w:tab w:val="left" w:pos="720"/>
        </w:tabs>
        <w:ind w:left="360" w:firstLine="0"/>
      </w:pPr>
      <w:rPr>
        <w:rFonts w:hint="default" w:ascii="Wingdings" w:hAnsi="Wingdings"/>
      </w:rPr>
    </w:lvl>
    <w:lvl w:ilvl="6" w:tentative="0">
      <w:start w:val="1"/>
      <w:numFmt w:val="bullet"/>
      <w:lvlText w:val="§"/>
      <w:lvlJc w:val="left"/>
      <w:pPr>
        <w:tabs>
          <w:tab w:val="left" w:pos="720"/>
        </w:tabs>
        <w:ind w:left="360" w:firstLine="0"/>
      </w:pPr>
      <w:rPr>
        <w:rFonts w:hint="default" w:ascii="Wingdings" w:hAnsi="Wingdings"/>
      </w:rPr>
    </w:lvl>
    <w:lvl w:ilvl="7" w:tentative="0">
      <w:start w:val="1"/>
      <w:numFmt w:val="bullet"/>
      <w:lvlText w:val="§"/>
      <w:lvlJc w:val="left"/>
      <w:pPr>
        <w:tabs>
          <w:tab w:val="left" w:pos="720"/>
        </w:tabs>
        <w:ind w:left="360" w:firstLine="0"/>
      </w:pPr>
      <w:rPr>
        <w:rFonts w:hint="default" w:ascii="Wingdings" w:hAnsi="Wingdings"/>
      </w:rPr>
    </w:lvl>
    <w:lvl w:ilvl="8" w:tentative="0">
      <w:start w:val="1"/>
      <w:numFmt w:val="bullet"/>
      <w:lvlText w:val="§"/>
      <w:lvlJc w:val="left"/>
      <w:pPr>
        <w:tabs>
          <w:tab w:val="left" w:pos="720"/>
        </w:tabs>
        <w:ind w:left="360" w:firstLine="0"/>
      </w:pPr>
      <w:rPr>
        <w:rFonts w:hint="default" w:ascii="Wingdings" w:hAnsi="Wingdings"/>
      </w:rPr>
    </w:lvl>
  </w:abstractNum>
  <w:abstractNum w:abstractNumId="35">
    <w:nsid w:val="2F00001A"/>
    <w:multiLevelType w:val="multilevel"/>
    <w:tmpl w:val="2F00001A"/>
    <w:lvl w:ilvl="0" w:tentative="0">
      <w:start w:val="1"/>
      <w:numFmt w:val="bullet"/>
      <w:pStyle w:val="330"/>
      <w:lvlText w:val="u"/>
      <w:lvlJc w:val="left"/>
      <w:pPr>
        <w:tabs>
          <w:tab w:val="left" w:pos="620"/>
        </w:tabs>
        <w:ind w:left="6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2F00001C"/>
    <w:multiLevelType w:val="multilevel"/>
    <w:tmpl w:val="2F00001C"/>
    <w:lvl w:ilvl="0" w:tentative="0">
      <w:start w:val="1"/>
      <w:numFmt w:val="decimal"/>
      <w:pStyle w:val="933"/>
      <w:lvlText w:val="图 %1 "/>
      <w:lvlJc w:val="left"/>
      <w:pPr>
        <w:tabs>
          <w:tab w:val="left" w:pos="720"/>
        </w:tabs>
        <w:ind w:left="0" w:firstLine="0"/>
      </w:pPr>
      <w:rPr>
        <w:rFonts w:hint="default" w:ascii="Times New Roman" w:hAnsi="Times New Roman"/>
      </w:rPr>
    </w:lvl>
    <w:lvl w:ilvl="1" w:tentative="0">
      <w:start w:val="1"/>
      <w:numFmt w:val="decimal"/>
      <w:lvlText w:val="图 %1 "/>
      <w:lvlJc w:val="left"/>
      <w:pPr>
        <w:tabs>
          <w:tab w:val="left" w:pos="720"/>
        </w:tabs>
        <w:ind w:left="0" w:firstLine="0"/>
      </w:pPr>
      <w:rPr>
        <w:rFonts w:hint="default" w:ascii="Times New Roman" w:hAnsi="Times New Roman"/>
      </w:rPr>
    </w:lvl>
    <w:lvl w:ilvl="2" w:tentative="0">
      <w:start w:val="1"/>
      <w:numFmt w:val="decimal"/>
      <w:lvlText w:val="图 %1 "/>
      <w:lvlJc w:val="left"/>
      <w:pPr>
        <w:tabs>
          <w:tab w:val="left" w:pos="720"/>
        </w:tabs>
        <w:ind w:left="0" w:firstLine="0"/>
      </w:pPr>
      <w:rPr>
        <w:rFonts w:hint="default" w:ascii="Times New Roman" w:hAnsi="Times New Roman"/>
      </w:rPr>
    </w:lvl>
    <w:lvl w:ilvl="3" w:tentative="0">
      <w:start w:val="1"/>
      <w:numFmt w:val="decimal"/>
      <w:lvlText w:val="图 %1 "/>
      <w:lvlJc w:val="left"/>
      <w:pPr>
        <w:tabs>
          <w:tab w:val="left" w:pos="720"/>
        </w:tabs>
        <w:ind w:left="0" w:firstLine="0"/>
      </w:pPr>
      <w:rPr>
        <w:rFonts w:hint="default" w:ascii="Times New Roman" w:hAnsi="Times New Roman"/>
      </w:rPr>
    </w:lvl>
    <w:lvl w:ilvl="4" w:tentative="0">
      <w:start w:val="1"/>
      <w:numFmt w:val="decimal"/>
      <w:lvlText w:val="图 %1 "/>
      <w:lvlJc w:val="left"/>
      <w:pPr>
        <w:tabs>
          <w:tab w:val="left" w:pos="720"/>
        </w:tabs>
        <w:ind w:left="0" w:firstLine="0"/>
      </w:pPr>
      <w:rPr>
        <w:rFonts w:hint="default" w:ascii="Times New Roman" w:hAnsi="Times New Roman"/>
      </w:rPr>
    </w:lvl>
    <w:lvl w:ilvl="5" w:tentative="0">
      <w:start w:val="1"/>
      <w:numFmt w:val="decimal"/>
      <w:lvlText w:val="图 %1 "/>
      <w:lvlJc w:val="left"/>
      <w:pPr>
        <w:tabs>
          <w:tab w:val="left" w:pos="720"/>
        </w:tabs>
        <w:ind w:left="0" w:firstLine="0"/>
      </w:pPr>
      <w:rPr>
        <w:rFonts w:hint="default" w:ascii="Times New Roman" w:hAnsi="Times New Roman"/>
      </w:rPr>
    </w:lvl>
    <w:lvl w:ilvl="6" w:tentative="0">
      <w:start w:val="1"/>
      <w:numFmt w:val="decimal"/>
      <w:lvlText w:val="图 %1 "/>
      <w:lvlJc w:val="left"/>
      <w:pPr>
        <w:tabs>
          <w:tab w:val="left" w:pos="720"/>
        </w:tabs>
        <w:ind w:left="0" w:firstLine="0"/>
      </w:pPr>
      <w:rPr>
        <w:rFonts w:hint="default" w:ascii="Times New Roman" w:hAnsi="Times New Roman"/>
      </w:rPr>
    </w:lvl>
    <w:lvl w:ilvl="7" w:tentative="0">
      <w:start w:val="1"/>
      <w:numFmt w:val="decimal"/>
      <w:lvlText w:val="图 %1 "/>
      <w:lvlJc w:val="left"/>
      <w:pPr>
        <w:tabs>
          <w:tab w:val="left" w:pos="720"/>
        </w:tabs>
        <w:ind w:left="0" w:firstLine="0"/>
      </w:pPr>
      <w:rPr>
        <w:rFonts w:hint="default" w:ascii="Times New Roman" w:hAnsi="Times New Roman"/>
      </w:rPr>
    </w:lvl>
    <w:lvl w:ilvl="8" w:tentative="0">
      <w:start w:val="1"/>
      <w:numFmt w:val="decimal"/>
      <w:lvlText w:val="图 %1 "/>
      <w:lvlJc w:val="left"/>
      <w:pPr>
        <w:tabs>
          <w:tab w:val="left" w:pos="720"/>
        </w:tabs>
        <w:ind w:left="0" w:firstLine="0"/>
      </w:pPr>
      <w:rPr>
        <w:rFonts w:hint="default" w:ascii="Times New Roman" w:hAnsi="Times New Roman"/>
      </w:rPr>
    </w:lvl>
  </w:abstractNum>
  <w:abstractNum w:abstractNumId="37">
    <w:nsid w:val="2F00001D"/>
    <w:multiLevelType w:val="multilevel"/>
    <w:tmpl w:val="2F00001D"/>
    <w:lvl w:ilvl="0" w:tentative="0">
      <w:start w:val="1"/>
      <w:numFmt w:val="decimal"/>
      <w:pStyle w:val="827"/>
      <w:suff w:val="nothing"/>
      <w:lvlText w:val="第%1章 "/>
      <w:lvlJc w:val="left"/>
      <w:pPr>
        <w:ind w:left="-426" w:firstLine="426"/>
      </w:pPr>
      <w:rPr>
        <w:rFonts w:hint="eastAsia"/>
      </w:rPr>
    </w:lvl>
    <w:lvl w:ilvl="1" w:tentative="0">
      <w:start w:val="1"/>
      <w:numFmt w:val="decimal"/>
      <w:lvlText w:val="%1.%2"/>
      <w:lvlJc w:val="left"/>
      <w:pPr>
        <w:tabs>
          <w:tab w:val="left" w:pos="141"/>
        </w:tabs>
        <w:ind w:left="141" w:hanging="567"/>
      </w:pPr>
      <w:rPr>
        <w:rFonts w:hint="eastAsia"/>
      </w:rPr>
    </w:lvl>
    <w:lvl w:ilvl="2" w:tentative="0">
      <w:start w:val="1"/>
      <w:numFmt w:val="decimal"/>
      <w:suff w:val="nothing"/>
      <w:lvlText w:val="%2.%1.%3"/>
      <w:lvlJc w:val="left"/>
      <w:pPr>
        <w:ind w:left="567" w:hanging="567"/>
      </w:pPr>
      <w:rPr>
        <w:rFonts w:hint="eastAsia"/>
      </w:rPr>
    </w:lvl>
    <w:lvl w:ilvl="3" w:tentative="0">
      <w:start w:val="1"/>
      <w:numFmt w:val="decimal"/>
      <w:lvlText w:val="%1.%2.%3.%4"/>
      <w:lvlJc w:val="left"/>
      <w:pPr>
        <w:tabs>
          <w:tab w:val="left" w:pos="1133"/>
        </w:tabs>
        <w:ind w:left="1133" w:hanging="708"/>
      </w:pPr>
      <w:rPr>
        <w:rFonts w:hint="eastAsia"/>
      </w:rPr>
    </w:lvl>
    <w:lvl w:ilvl="4" w:tentative="0">
      <w:start w:val="1"/>
      <w:numFmt w:val="decimal"/>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38">
    <w:nsid w:val="2F00001F"/>
    <w:multiLevelType w:val="multilevel"/>
    <w:tmpl w:val="2F00001F"/>
    <w:lvl w:ilvl="0" w:tentative="0">
      <w:start w:val="1"/>
      <w:numFmt w:val="bullet"/>
      <w:pStyle w:val="223"/>
      <w:lvlText w:val="l"/>
      <w:lvlJc w:val="left"/>
      <w:pPr>
        <w:tabs>
          <w:tab w:val="left" w:pos="567"/>
        </w:tabs>
        <w:ind w:left="567" w:firstLine="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39">
    <w:nsid w:val="2F000020"/>
    <w:multiLevelType w:val="multilevel"/>
    <w:tmpl w:val="2F000020"/>
    <w:lvl w:ilvl="0" w:tentative="0">
      <w:start w:val="1"/>
      <w:numFmt w:val="bullet"/>
      <w:lvlText w:val="Ø"/>
      <w:lvlJc w:val="left"/>
      <w:pPr>
        <w:tabs>
          <w:tab w:val="left" w:pos="720"/>
        </w:tabs>
        <w:ind w:left="720" w:hanging="360"/>
      </w:pPr>
      <w:rPr>
        <w:rFonts w:hint="default" w:ascii="Wingdings" w:hAnsi="Wingdings"/>
      </w:rPr>
    </w:lvl>
    <w:lvl w:ilvl="1" w:tentative="0">
      <w:start w:val="187"/>
      <w:numFmt w:val="bullet"/>
      <w:pStyle w:val="979"/>
      <w:lvlText w:val="–"/>
      <w:lvlJc w:val="left"/>
      <w:pPr>
        <w:tabs>
          <w:tab w:val="left" w:pos="1440"/>
        </w:tabs>
        <w:ind w:left="1440" w:hanging="360"/>
      </w:pPr>
      <w:rPr>
        <w:rFonts w:hint="default" w:ascii="宋体" w:hAnsi="宋体"/>
      </w:rPr>
    </w:lvl>
    <w:lvl w:ilvl="2" w:tentative="0">
      <w:start w:val="1"/>
      <w:numFmt w:val="bullet"/>
      <w:lvlText w:val="Ø"/>
      <w:lvlJc w:val="left"/>
      <w:pPr>
        <w:tabs>
          <w:tab w:val="left" w:pos="2160"/>
        </w:tabs>
        <w:ind w:left="2160" w:hanging="360"/>
      </w:pPr>
      <w:rPr>
        <w:rFonts w:hint="default" w:ascii="Wingdings" w:hAnsi="Wingdings"/>
      </w:rPr>
    </w:lvl>
    <w:lvl w:ilvl="3" w:tentative="0">
      <w:start w:val="0"/>
      <w:numFmt w:val="bullet"/>
      <w:lvlText w:val="•"/>
      <w:lvlJc w:val="left"/>
      <w:pPr>
        <w:tabs>
          <w:tab w:val="left" w:pos="2520"/>
        </w:tabs>
        <w:ind w:left="2520" w:firstLine="0"/>
      </w:pPr>
      <w:rPr>
        <w:rFonts w:hint="default" w:ascii="Arial" w:hAnsi="Arial"/>
        <w:sz w:val="16"/>
        <w:szCs w:val="16"/>
      </w:rPr>
    </w:lvl>
    <w:lvl w:ilvl="4" w:tentative="0">
      <w:start w:val="1"/>
      <w:numFmt w:val="bullet"/>
      <w:lvlText w:val="Ø"/>
      <w:lvlJc w:val="left"/>
      <w:pPr>
        <w:tabs>
          <w:tab w:val="left" w:pos="3600"/>
        </w:tabs>
        <w:ind w:left="3600" w:hanging="360"/>
      </w:pPr>
      <w:rPr>
        <w:rFonts w:hint="default" w:ascii="Wingdings" w:hAnsi="Wingdings"/>
      </w:rPr>
    </w:lvl>
    <w:lvl w:ilvl="5" w:tentative="0">
      <w:start w:val="1"/>
      <w:numFmt w:val="bullet"/>
      <w:lvlText w:val="Ø"/>
      <w:lvlJc w:val="left"/>
      <w:pPr>
        <w:tabs>
          <w:tab w:val="left" w:pos="4320"/>
        </w:tabs>
        <w:ind w:left="4320" w:hanging="360"/>
      </w:pPr>
      <w:rPr>
        <w:rFonts w:hint="default" w:ascii="Wingdings" w:hAnsi="Wingdings"/>
      </w:rPr>
    </w:lvl>
    <w:lvl w:ilvl="6" w:tentative="0">
      <w:start w:val="1"/>
      <w:numFmt w:val="bullet"/>
      <w:lvlText w:val="Ø"/>
      <w:lvlJc w:val="left"/>
      <w:pPr>
        <w:tabs>
          <w:tab w:val="left" w:pos="5040"/>
        </w:tabs>
        <w:ind w:left="5040" w:hanging="360"/>
      </w:pPr>
      <w:rPr>
        <w:rFonts w:hint="default" w:ascii="Wingdings" w:hAnsi="Wingdings"/>
      </w:rPr>
    </w:lvl>
    <w:lvl w:ilvl="7" w:tentative="0">
      <w:start w:val="1"/>
      <w:numFmt w:val="bullet"/>
      <w:lvlText w:val="Ø"/>
      <w:lvlJc w:val="left"/>
      <w:pPr>
        <w:tabs>
          <w:tab w:val="left" w:pos="5760"/>
        </w:tabs>
        <w:ind w:left="5760" w:hanging="360"/>
      </w:pPr>
      <w:rPr>
        <w:rFonts w:hint="default" w:ascii="Wingdings" w:hAnsi="Wingdings"/>
      </w:rPr>
    </w:lvl>
    <w:lvl w:ilvl="8" w:tentative="0">
      <w:start w:val="1"/>
      <w:numFmt w:val="bullet"/>
      <w:lvlText w:val="Ø"/>
      <w:lvlJc w:val="left"/>
      <w:pPr>
        <w:tabs>
          <w:tab w:val="left" w:pos="6480"/>
        </w:tabs>
        <w:ind w:left="6480" w:hanging="360"/>
      </w:pPr>
      <w:rPr>
        <w:rFonts w:hint="default" w:ascii="Wingdings" w:hAnsi="Wingdings"/>
      </w:rPr>
    </w:lvl>
  </w:abstractNum>
  <w:abstractNum w:abstractNumId="40">
    <w:nsid w:val="2F000021"/>
    <w:multiLevelType w:val="multilevel"/>
    <w:tmpl w:val="2F00002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58"/>
      <w:lvlText w:val="%1.%2.%3.%4."/>
      <w:lvlJc w:val="left"/>
      <w:pPr>
        <w:tabs>
          <w:tab w:val="left" w:pos="851"/>
        </w:tabs>
        <w:ind w:left="851" w:hanging="851"/>
      </w:pPr>
      <w:rPr>
        <w:rFonts w:hint="default" w:ascii="Times New Roman" w:hAnsi="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2F000023"/>
    <w:multiLevelType w:val="multilevel"/>
    <w:tmpl w:val="2F000023"/>
    <w:lvl w:ilvl="0" w:tentative="0">
      <w:start w:val="1"/>
      <w:numFmt w:val="bullet"/>
      <w:pStyle w:val="455"/>
      <w:lvlText w:val="l"/>
      <w:lvlJc w:val="left"/>
      <w:pPr>
        <w:tabs>
          <w:tab w:val="left" w:pos="840"/>
        </w:tabs>
        <w:ind w:left="840" w:hanging="42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42">
    <w:nsid w:val="2F000027"/>
    <w:multiLevelType w:val="multilevel"/>
    <w:tmpl w:val="2F000027"/>
    <w:lvl w:ilvl="0" w:tentative="0">
      <w:start w:val="1"/>
      <w:numFmt w:val="bullet"/>
      <w:pStyle w:val="910"/>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2F000028"/>
    <w:multiLevelType w:val="multilevel"/>
    <w:tmpl w:val="2F000028"/>
    <w:lvl w:ilvl="0" w:tentative="0">
      <w:start w:val="1"/>
      <w:numFmt w:val="decimal"/>
      <w:pStyle w:val="264"/>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2F000029"/>
    <w:multiLevelType w:val="multilevel"/>
    <w:tmpl w:val="2F000029"/>
    <w:lvl w:ilvl="0" w:tentative="0">
      <w:start w:val="1"/>
      <w:numFmt w:val="decimal"/>
      <w:pStyle w:val="241"/>
      <w:lvlText w:val="附图%1. "/>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2F00002B"/>
    <w:multiLevelType w:val="multilevel"/>
    <w:tmpl w:val="2F00002B"/>
    <w:lvl w:ilvl="0" w:tentative="0">
      <w:start w:val="1"/>
      <w:numFmt w:val="bullet"/>
      <w:pStyle w:val="434"/>
      <w:lvlText w:val="u"/>
      <w:lvlJc w:val="left"/>
      <w:pPr>
        <w:tabs>
          <w:tab w:val="left" w:pos="874"/>
        </w:tabs>
        <w:ind w:left="874" w:hanging="454"/>
      </w:pPr>
      <w:rPr>
        <w:rFonts w:hint="default" w:ascii="Wingdings" w:hAnsi="Wingdings"/>
        <w:color w:val="auto"/>
      </w:rPr>
    </w:lvl>
    <w:lvl w:ilvl="1" w:tentative="0">
      <w:start w:val="1"/>
      <w:numFmt w:val="decimal"/>
      <w:lvlText w:val="%2）"/>
      <w:lvlJc w:val="left"/>
      <w:pPr>
        <w:tabs>
          <w:tab w:val="left" w:pos="420"/>
        </w:tabs>
        <w:ind w:left="42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2F00002C"/>
    <w:multiLevelType w:val="multilevel"/>
    <w:tmpl w:val="2F00002C"/>
    <w:lvl w:ilvl="0" w:tentative="0">
      <w:start w:val="1"/>
      <w:numFmt w:val="lowerLetter"/>
      <w:pStyle w:val="937"/>
      <w:lvlText w:val="%1)"/>
      <w:lvlJc w:val="left"/>
      <w:pPr>
        <w:tabs>
          <w:tab w:val="left" w:pos="709"/>
        </w:tabs>
        <w:ind w:left="0" w:firstLine="420"/>
      </w:pPr>
      <w:rPr>
        <w:rFonts w:hint="eastAsia"/>
      </w:rPr>
    </w:lvl>
    <w:lvl w:ilvl="1" w:tentative="0">
      <w:start w:val="1"/>
      <w:numFmt w:val="upperLetter"/>
      <w:lvlText w:val="%2."/>
      <w:lvlJc w:val="left"/>
      <w:pPr>
        <w:tabs>
          <w:tab w:val="left" w:pos="850"/>
        </w:tabs>
        <w:ind w:left="850" w:hanging="425"/>
      </w:pPr>
      <w:rPr>
        <w:rFonts w:hint="eastAsia"/>
      </w:rPr>
    </w:lvl>
    <w:lvl w:ilvl="2" w:tentative="0">
      <w:start w:val="1"/>
      <w:numFmt w:val="decimal"/>
      <w:lvlText w:val="%3."/>
      <w:lvlJc w:val="left"/>
      <w:pPr>
        <w:tabs>
          <w:tab w:val="left" w:pos="1276"/>
        </w:tabs>
        <w:ind w:left="1276" w:hanging="426"/>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7">
    <w:nsid w:val="2F00002D"/>
    <w:multiLevelType w:val="multilevel"/>
    <w:tmpl w:val="2F00002D"/>
    <w:lvl w:ilvl="0" w:tentative="0">
      <w:start w:val="1"/>
      <w:numFmt w:val="chineseCountingThousand"/>
      <w:pStyle w:val="731"/>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default" w:ascii="Times New Roman" w:hAnsi="Times New Roman" w:cs="Times New Roman"/>
        <w:sz w:val="30"/>
        <w:szCs w:val="3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8">
    <w:nsid w:val="2F00002E"/>
    <w:multiLevelType w:val="multilevel"/>
    <w:tmpl w:val="2F00002E"/>
    <w:lvl w:ilvl="0" w:tentative="0">
      <w:start w:val="1"/>
      <w:numFmt w:val="bullet"/>
      <w:pStyle w:val="973"/>
      <w:lvlText w:val="•"/>
      <w:lvlJc w:val="left"/>
      <w:pPr>
        <w:tabs>
          <w:tab w:val="left" w:pos="720"/>
        </w:tabs>
        <w:ind w:left="720" w:hanging="360"/>
      </w:pPr>
      <w:rPr>
        <w:rFonts w:hint="default" w:ascii="宋体" w:hAnsi="宋体"/>
        <w:lang w:eastAsia="zh-CN"/>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49">
    <w:nsid w:val="2F00002F"/>
    <w:multiLevelType w:val="multilevel"/>
    <w:tmpl w:val="2F00002F"/>
    <w:lvl w:ilvl="0" w:tentative="0">
      <w:start w:val="1"/>
      <w:numFmt w:val="bullet"/>
      <w:pStyle w:val="666"/>
      <w:lvlText w:val="·"/>
      <w:lvlJc w:val="left"/>
      <w:pPr>
        <w:tabs>
          <w:tab w:val="left" w:pos="720"/>
        </w:tabs>
        <w:ind w:left="720" w:hanging="360"/>
      </w:pPr>
      <w:rPr>
        <w:rFonts w:hint="default" w:ascii="Symbol" w:hAnsi="Symbol"/>
        <w:b w:val="0"/>
        <w:i w:val="0"/>
        <w:sz w:val="20"/>
        <w:szCs w:val="20"/>
      </w:rPr>
    </w:lvl>
    <w:lvl w:ilvl="1" w:tentative="0">
      <w:start w:val="1"/>
      <w:numFmt w:val="bullet"/>
      <w:lvlText w:val="·"/>
      <w:lvlJc w:val="left"/>
      <w:pPr>
        <w:tabs>
          <w:tab w:val="left" w:pos="720"/>
        </w:tabs>
        <w:ind w:left="720" w:hanging="360"/>
      </w:pPr>
      <w:rPr>
        <w:rFonts w:hint="default" w:ascii="Symbol" w:hAnsi="Symbol"/>
        <w:b w:val="0"/>
        <w:i w:val="0"/>
        <w:sz w:val="20"/>
        <w:szCs w:val="20"/>
      </w:rPr>
    </w:lvl>
    <w:lvl w:ilvl="2" w:tentative="0">
      <w:start w:val="1"/>
      <w:numFmt w:val="bullet"/>
      <w:lvlText w:val="·"/>
      <w:lvlJc w:val="left"/>
      <w:pPr>
        <w:tabs>
          <w:tab w:val="left" w:pos="720"/>
        </w:tabs>
        <w:ind w:left="720" w:hanging="360"/>
      </w:pPr>
      <w:rPr>
        <w:rFonts w:hint="default" w:ascii="Symbol" w:hAnsi="Symbol"/>
        <w:b w:val="0"/>
        <w:i w:val="0"/>
        <w:sz w:val="20"/>
        <w:szCs w:val="20"/>
      </w:rPr>
    </w:lvl>
    <w:lvl w:ilvl="3" w:tentative="0">
      <w:start w:val="1"/>
      <w:numFmt w:val="bullet"/>
      <w:lvlText w:val="·"/>
      <w:lvlJc w:val="left"/>
      <w:pPr>
        <w:tabs>
          <w:tab w:val="left" w:pos="720"/>
        </w:tabs>
        <w:ind w:left="720" w:hanging="360"/>
      </w:pPr>
      <w:rPr>
        <w:rFonts w:hint="default" w:ascii="Symbol" w:hAnsi="Symbol"/>
        <w:b w:val="0"/>
        <w:i w:val="0"/>
        <w:sz w:val="20"/>
        <w:szCs w:val="20"/>
      </w:rPr>
    </w:lvl>
    <w:lvl w:ilvl="4" w:tentative="0">
      <w:start w:val="1"/>
      <w:numFmt w:val="bullet"/>
      <w:lvlText w:val="·"/>
      <w:lvlJc w:val="left"/>
      <w:pPr>
        <w:tabs>
          <w:tab w:val="left" w:pos="720"/>
        </w:tabs>
        <w:ind w:left="720" w:hanging="360"/>
      </w:pPr>
      <w:rPr>
        <w:rFonts w:hint="default" w:ascii="Symbol" w:hAnsi="Symbol"/>
        <w:b w:val="0"/>
        <w:i w:val="0"/>
        <w:sz w:val="20"/>
        <w:szCs w:val="20"/>
      </w:rPr>
    </w:lvl>
    <w:lvl w:ilvl="5" w:tentative="0">
      <w:start w:val="1"/>
      <w:numFmt w:val="bullet"/>
      <w:lvlText w:val="·"/>
      <w:lvlJc w:val="left"/>
      <w:pPr>
        <w:tabs>
          <w:tab w:val="left" w:pos="720"/>
        </w:tabs>
        <w:ind w:left="720" w:hanging="360"/>
      </w:pPr>
      <w:rPr>
        <w:rFonts w:hint="default" w:ascii="Symbol" w:hAnsi="Symbol"/>
        <w:b w:val="0"/>
        <w:i w:val="0"/>
        <w:sz w:val="20"/>
        <w:szCs w:val="20"/>
      </w:rPr>
    </w:lvl>
    <w:lvl w:ilvl="6" w:tentative="0">
      <w:start w:val="1"/>
      <w:numFmt w:val="bullet"/>
      <w:lvlText w:val="·"/>
      <w:lvlJc w:val="left"/>
      <w:pPr>
        <w:tabs>
          <w:tab w:val="left" w:pos="720"/>
        </w:tabs>
        <w:ind w:left="720" w:hanging="360"/>
      </w:pPr>
      <w:rPr>
        <w:rFonts w:hint="default" w:ascii="Symbol" w:hAnsi="Symbol"/>
        <w:b w:val="0"/>
        <w:i w:val="0"/>
        <w:sz w:val="20"/>
        <w:szCs w:val="20"/>
      </w:rPr>
    </w:lvl>
    <w:lvl w:ilvl="7" w:tentative="0">
      <w:start w:val="1"/>
      <w:numFmt w:val="bullet"/>
      <w:lvlText w:val="·"/>
      <w:lvlJc w:val="left"/>
      <w:pPr>
        <w:tabs>
          <w:tab w:val="left" w:pos="720"/>
        </w:tabs>
        <w:ind w:left="720" w:hanging="360"/>
      </w:pPr>
      <w:rPr>
        <w:rFonts w:hint="default" w:ascii="Symbol" w:hAnsi="Symbol"/>
        <w:b w:val="0"/>
        <w:i w:val="0"/>
        <w:sz w:val="20"/>
        <w:szCs w:val="20"/>
      </w:rPr>
    </w:lvl>
    <w:lvl w:ilvl="8" w:tentative="0">
      <w:start w:val="1"/>
      <w:numFmt w:val="bullet"/>
      <w:lvlText w:val="·"/>
      <w:lvlJc w:val="left"/>
      <w:pPr>
        <w:tabs>
          <w:tab w:val="left" w:pos="720"/>
        </w:tabs>
        <w:ind w:left="720" w:hanging="360"/>
      </w:pPr>
      <w:rPr>
        <w:rFonts w:hint="default" w:ascii="Symbol" w:hAnsi="Symbol"/>
        <w:b w:val="0"/>
        <w:i w:val="0"/>
        <w:sz w:val="20"/>
        <w:szCs w:val="20"/>
      </w:rPr>
    </w:lvl>
  </w:abstractNum>
  <w:abstractNum w:abstractNumId="50">
    <w:nsid w:val="2F000030"/>
    <w:multiLevelType w:val="multilevel"/>
    <w:tmpl w:val="2F000030"/>
    <w:lvl w:ilvl="0" w:tentative="0">
      <w:start w:val="1"/>
      <w:numFmt w:val="decimal"/>
      <w:pStyle w:val="538"/>
      <w:lvlText w:val="%1"/>
      <w:lvlJc w:val="left"/>
      <w:pPr>
        <w:tabs>
          <w:tab w:val="left" w:pos="1708"/>
        </w:tabs>
        <w:ind w:left="1708" w:hanging="432"/>
      </w:pPr>
      <w:rPr>
        <w:rFonts w:hint="eastAsia"/>
      </w:rPr>
    </w:lvl>
    <w:lvl w:ilvl="1" w:tentative="0">
      <w:start w:val="1"/>
      <w:numFmt w:val="decimal"/>
      <w:lvlText w:val="%1.%2"/>
      <w:lvlJc w:val="left"/>
      <w:pPr>
        <w:tabs>
          <w:tab w:val="left" w:pos="1852"/>
        </w:tabs>
        <w:ind w:left="1852" w:hanging="576"/>
      </w:pPr>
      <w:rPr>
        <w:rFonts w:ascii="Times New Roman" w:hAnsi="Times New Roman" w:cs="Times New Roman"/>
        <w:b w:val="0"/>
        <w:i w:val="0"/>
        <w:caps/>
        <w:smallCaps w:val="0"/>
        <w:color w:val="000000"/>
        <w:spacing w:val="0"/>
        <w:position w:val="0"/>
        <w:u w:val="none"/>
      </w:rPr>
    </w:lvl>
    <w:lvl w:ilvl="2" w:tentative="0">
      <w:start w:val="1"/>
      <w:numFmt w:val="decimal"/>
      <w:lvlText w:val="%1.%2.%3"/>
      <w:lvlJc w:val="left"/>
      <w:pPr>
        <w:tabs>
          <w:tab w:val="left" w:pos="1996"/>
        </w:tabs>
        <w:ind w:left="1996" w:hanging="720"/>
      </w:pPr>
      <w:rPr>
        <w:rFonts w:hint="eastAsia"/>
        <w:lang w:eastAsia="zh-CN"/>
      </w:rPr>
    </w:lvl>
    <w:lvl w:ilvl="3" w:tentative="0">
      <w:start w:val="1"/>
      <w:numFmt w:val="decimal"/>
      <w:lvlText w:val="%1.%2.%3.%4"/>
      <w:lvlJc w:val="left"/>
      <w:pPr>
        <w:tabs>
          <w:tab w:val="left" w:pos="2140"/>
        </w:tabs>
        <w:ind w:left="2140" w:hanging="864"/>
      </w:pPr>
      <w:rPr>
        <w:rFonts w:ascii="Times New Roman" w:hAnsi="Times New Roman" w:cs="Times New Roman"/>
        <w:b w:val="0"/>
        <w:i w:val="0"/>
        <w:caps/>
        <w:smallCaps w:val="0"/>
        <w:color w:val="000000"/>
        <w:spacing w:val="0"/>
        <w:position w:val="0"/>
        <w:u w:val="none"/>
      </w:rPr>
    </w:lvl>
    <w:lvl w:ilvl="4" w:tentative="0">
      <w:start w:val="1"/>
      <w:numFmt w:val="decimal"/>
      <w:lvlText w:val="%1.%2.%3.%4.%5"/>
      <w:lvlJc w:val="left"/>
      <w:pPr>
        <w:tabs>
          <w:tab w:val="left" w:pos="2284"/>
        </w:tabs>
        <w:ind w:left="2284" w:hanging="1008"/>
      </w:pPr>
      <w:rPr>
        <w:rFonts w:hint="eastAsia"/>
      </w:rPr>
    </w:lvl>
    <w:lvl w:ilvl="5" w:tentative="0">
      <w:start w:val="1"/>
      <w:numFmt w:val="decimal"/>
      <w:lvlText w:val="%1.%2.%3.%4.%5.%6"/>
      <w:lvlJc w:val="left"/>
      <w:pPr>
        <w:tabs>
          <w:tab w:val="left" w:pos="2428"/>
        </w:tabs>
        <w:ind w:left="2428" w:hanging="1152"/>
      </w:pPr>
      <w:rPr>
        <w:rFonts w:hint="eastAsia"/>
      </w:rPr>
    </w:lvl>
    <w:lvl w:ilvl="6" w:tentative="0">
      <w:start w:val="1"/>
      <w:numFmt w:val="decimal"/>
      <w:lvlText w:val="%1.%2.%3.%4.%5.%6.%7"/>
      <w:lvlJc w:val="left"/>
      <w:pPr>
        <w:tabs>
          <w:tab w:val="left" w:pos="2572"/>
        </w:tabs>
        <w:ind w:left="2572" w:hanging="1296"/>
      </w:pPr>
      <w:rPr>
        <w:rFonts w:hint="eastAsia"/>
      </w:rPr>
    </w:lvl>
    <w:lvl w:ilvl="7" w:tentative="0">
      <w:start w:val="1"/>
      <w:numFmt w:val="decimal"/>
      <w:lvlText w:val="%1.%2.%3.%4.%5.%6.%7.%8"/>
      <w:lvlJc w:val="left"/>
      <w:pPr>
        <w:tabs>
          <w:tab w:val="left" w:pos="2716"/>
        </w:tabs>
        <w:ind w:left="2716" w:hanging="1440"/>
      </w:pPr>
      <w:rPr>
        <w:rFonts w:hint="eastAsia"/>
      </w:rPr>
    </w:lvl>
    <w:lvl w:ilvl="8" w:tentative="0">
      <w:start w:val="1"/>
      <w:numFmt w:val="decimal"/>
      <w:lvlText w:val="%1.%2.%3.%4.%5.%6.%7.%8.%9"/>
      <w:lvlJc w:val="left"/>
      <w:pPr>
        <w:tabs>
          <w:tab w:val="left" w:pos="2860"/>
        </w:tabs>
        <w:ind w:left="2860" w:hanging="1584"/>
      </w:pPr>
      <w:rPr>
        <w:rFonts w:hint="eastAsia"/>
      </w:rPr>
    </w:lvl>
  </w:abstractNum>
  <w:abstractNum w:abstractNumId="51">
    <w:nsid w:val="2F000031"/>
    <w:multiLevelType w:val="multilevel"/>
    <w:tmpl w:val="2F000031"/>
    <w:lvl w:ilvl="0" w:tentative="0">
      <w:start w:val="1"/>
      <w:numFmt w:val="decimal"/>
      <w:pStyle w:val="826"/>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F000033"/>
    <w:multiLevelType w:val="multilevel"/>
    <w:tmpl w:val="2F000033"/>
    <w:lvl w:ilvl="0" w:tentative="0">
      <w:start w:val="1"/>
      <w:numFmt w:val="decimal"/>
      <w:pStyle w:val="548"/>
      <w:lvlText w:val="图%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2F000034"/>
    <w:multiLevelType w:val="multilevel"/>
    <w:tmpl w:val="2F000034"/>
    <w:lvl w:ilvl="0" w:tentative="0">
      <w:start w:val="1"/>
      <w:numFmt w:val="bullet"/>
      <w:pStyle w:val="938"/>
      <w:lvlText w:val="l"/>
      <w:lvlJc w:val="left"/>
      <w:pPr>
        <w:tabs>
          <w:tab w:val="left" w:pos="845"/>
        </w:tabs>
        <w:ind w:left="845" w:hanging="420"/>
      </w:pPr>
      <w:rPr>
        <w:rFonts w:hint="default" w:ascii="Wingdings" w:hAnsi="Wingdings"/>
      </w:rPr>
    </w:lvl>
    <w:lvl w:ilvl="1" w:tentative="0">
      <w:start w:val="1"/>
      <w:numFmt w:val="decimal"/>
      <w:lvlText w:val="%2."/>
      <w:lvlJc w:val="left"/>
      <w:pPr>
        <w:tabs>
          <w:tab w:val="left" w:pos="1265"/>
        </w:tabs>
        <w:ind w:left="1265" w:hanging="420"/>
      </w:pPr>
      <w:rPr>
        <w:rFonts w:hint="default"/>
      </w:rPr>
    </w:lvl>
    <w:lvl w:ilvl="2" w:tentative="0">
      <w:start w:val="1"/>
      <w:numFmt w:val="bullet"/>
      <w:lvlText w:val="u"/>
      <w:lvlJc w:val="left"/>
      <w:pPr>
        <w:tabs>
          <w:tab w:val="left" w:pos="1685"/>
        </w:tabs>
        <w:ind w:left="1685" w:hanging="420"/>
      </w:pPr>
      <w:rPr>
        <w:rFonts w:hint="default" w:ascii="Wingdings" w:hAnsi="Wingdings"/>
      </w:rPr>
    </w:lvl>
    <w:lvl w:ilvl="3" w:tentative="0">
      <w:start w:val="1"/>
      <w:numFmt w:val="bullet"/>
      <w:lvlText w:val="l"/>
      <w:lvlJc w:val="left"/>
      <w:pPr>
        <w:tabs>
          <w:tab w:val="left" w:pos="2105"/>
        </w:tabs>
        <w:ind w:left="2105" w:hanging="420"/>
      </w:pPr>
      <w:rPr>
        <w:rFonts w:hint="default" w:ascii="Wingdings" w:hAnsi="Wingdings"/>
      </w:rPr>
    </w:lvl>
    <w:lvl w:ilvl="4" w:tentative="0">
      <w:start w:val="1"/>
      <w:numFmt w:val="bullet"/>
      <w:lvlText w:val="n"/>
      <w:lvlJc w:val="left"/>
      <w:pPr>
        <w:tabs>
          <w:tab w:val="left" w:pos="2525"/>
        </w:tabs>
        <w:ind w:left="2525" w:hanging="420"/>
      </w:pPr>
      <w:rPr>
        <w:rFonts w:hint="default" w:ascii="Wingdings" w:hAnsi="Wingdings"/>
      </w:rPr>
    </w:lvl>
    <w:lvl w:ilvl="5" w:tentative="0">
      <w:start w:val="1"/>
      <w:numFmt w:val="bullet"/>
      <w:lvlText w:val="u"/>
      <w:lvlJc w:val="left"/>
      <w:pPr>
        <w:tabs>
          <w:tab w:val="left" w:pos="2945"/>
        </w:tabs>
        <w:ind w:left="2945" w:hanging="420"/>
      </w:pPr>
      <w:rPr>
        <w:rFonts w:hint="default" w:ascii="Wingdings" w:hAnsi="Wingdings"/>
      </w:rPr>
    </w:lvl>
    <w:lvl w:ilvl="6" w:tentative="0">
      <w:start w:val="1"/>
      <w:numFmt w:val="bullet"/>
      <w:lvlText w:val="l"/>
      <w:lvlJc w:val="left"/>
      <w:pPr>
        <w:tabs>
          <w:tab w:val="left" w:pos="3365"/>
        </w:tabs>
        <w:ind w:left="3365" w:hanging="420"/>
      </w:pPr>
      <w:rPr>
        <w:rFonts w:hint="default" w:ascii="Wingdings" w:hAnsi="Wingdings"/>
      </w:rPr>
    </w:lvl>
    <w:lvl w:ilvl="7" w:tentative="0">
      <w:start w:val="1"/>
      <w:numFmt w:val="bullet"/>
      <w:lvlText w:val="n"/>
      <w:lvlJc w:val="left"/>
      <w:pPr>
        <w:tabs>
          <w:tab w:val="left" w:pos="3785"/>
        </w:tabs>
        <w:ind w:left="3785" w:hanging="420"/>
      </w:pPr>
      <w:rPr>
        <w:rFonts w:hint="default" w:ascii="Wingdings" w:hAnsi="Wingdings"/>
      </w:rPr>
    </w:lvl>
    <w:lvl w:ilvl="8" w:tentative="0">
      <w:start w:val="1"/>
      <w:numFmt w:val="bullet"/>
      <w:lvlText w:val="u"/>
      <w:lvlJc w:val="left"/>
      <w:pPr>
        <w:tabs>
          <w:tab w:val="left" w:pos="4205"/>
        </w:tabs>
        <w:ind w:left="4205" w:hanging="420"/>
      </w:pPr>
      <w:rPr>
        <w:rFonts w:hint="default" w:ascii="Wingdings" w:hAnsi="Wingdings"/>
      </w:rPr>
    </w:lvl>
  </w:abstractNum>
  <w:abstractNum w:abstractNumId="54">
    <w:nsid w:val="2F000035"/>
    <w:multiLevelType w:val="multilevel"/>
    <w:tmpl w:val="2F000035"/>
    <w:lvl w:ilvl="0" w:tentative="0">
      <w:start w:val="1"/>
      <w:numFmt w:val="bullet"/>
      <w:pStyle w:val="422"/>
      <w:lvlText w:val="Ø"/>
      <w:lvlJc w:val="left"/>
      <w:pPr>
        <w:tabs>
          <w:tab w:val="left" w:pos="987"/>
        </w:tabs>
        <w:ind w:left="987" w:hanging="420"/>
      </w:pPr>
      <w:rPr>
        <w:rFonts w:hint="default" w:ascii="Wingdings" w:hAnsi="Wingdings"/>
        <w:lang w:eastAsia="zh-CN"/>
      </w:rPr>
    </w:lvl>
    <w:lvl w:ilvl="1" w:tentative="0">
      <w:start w:val="1"/>
      <w:numFmt w:val="bullet"/>
      <w:lvlText w:val="ü"/>
      <w:lvlJc w:val="left"/>
      <w:pPr>
        <w:tabs>
          <w:tab w:val="left" w:pos="1407"/>
        </w:tabs>
        <w:ind w:left="1407" w:hanging="420"/>
      </w:pPr>
      <w:rPr>
        <w:rFonts w:hint="default" w:ascii="Wingdings" w:hAnsi="Wingdings"/>
      </w:rPr>
    </w:lvl>
    <w:lvl w:ilvl="2" w:tentative="0">
      <w:start w:val="1"/>
      <w:numFmt w:val="bullet"/>
      <w:lvlText w:val="u"/>
      <w:lvlJc w:val="left"/>
      <w:pPr>
        <w:tabs>
          <w:tab w:val="left" w:pos="1827"/>
        </w:tabs>
        <w:ind w:left="1827" w:hanging="420"/>
      </w:pPr>
      <w:rPr>
        <w:rFonts w:hint="default" w:ascii="Wingdings" w:hAnsi="Wingdings"/>
      </w:rPr>
    </w:lvl>
    <w:lvl w:ilvl="3" w:tentative="0">
      <w:start w:val="1"/>
      <w:numFmt w:val="bullet"/>
      <w:lvlText w:val="l"/>
      <w:lvlJc w:val="left"/>
      <w:pPr>
        <w:tabs>
          <w:tab w:val="left" w:pos="2247"/>
        </w:tabs>
        <w:ind w:left="2247" w:hanging="420"/>
      </w:pPr>
      <w:rPr>
        <w:rFonts w:hint="default" w:ascii="Wingdings" w:hAnsi="Wingdings"/>
      </w:rPr>
    </w:lvl>
    <w:lvl w:ilvl="4" w:tentative="0">
      <w:start w:val="1"/>
      <w:numFmt w:val="bullet"/>
      <w:lvlText w:val="n"/>
      <w:lvlJc w:val="left"/>
      <w:pPr>
        <w:tabs>
          <w:tab w:val="left" w:pos="2667"/>
        </w:tabs>
        <w:ind w:left="2667" w:hanging="420"/>
      </w:pPr>
      <w:rPr>
        <w:rFonts w:hint="default" w:ascii="Wingdings" w:hAnsi="Wingdings"/>
      </w:rPr>
    </w:lvl>
    <w:lvl w:ilvl="5" w:tentative="0">
      <w:start w:val="1"/>
      <w:numFmt w:val="bullet"/>
      <w:lvlText w:val="u"/>
      <w:lvlJc w:val="left"/>
      <w:pPr>
        <w:tabs>
          <w:tab w:val="left" w:pos="3087"/>
        </w:tabs>
        <w:ind w:left="3087" w:hanging="420"/>
      </w:pPr>
      <w:rPr>
        <w:rFonts w:hint="default" w:ascii="Wingdings" w:hAnsi="Wingdings"/>
      </w:rPr>
    </w:lvl>
    <w:lvl w:ilvl="6" w:tentative="0">
      <w:start w:val="1"/>
      <w:numFmt w:val="bullet"/>
      <w:lvlText w:val="l"/>
      <w:lvlJc w:val="left"/>
      <w:pPr>
        <w:tabs>
          <w:tab w:val="left" w:pos="3507"/>
        </w:tabs>
        <w:ind w:left="3507" w:hanging="420"/>
      </w:pPr>
      <w:rPr>
        <w:rFonts w:hint="default" w:ascii="Wingdings" w:hAnsi="Wingdings"/>
      </w:rPr>
    </w:lvl>
    <w:lvl w:ilvl="7" w:tentative="0">
      <w:start w:val="1"/>
      <w:numFmt w:val="bullet"/>
      <w:lvlText w:val="n"/>
      <w:lvlJc w:val="left"/>
      <w:pPr>
        <w:tabs>
          <w:tab w:val="left" w:pos="3927"/>
        </w:tabs>
        <w:ind w:left="3927" w:hanging="420"/>
      </w:pPr>
      <w:rPr>
        <w:rFonts w:hint="default" w:ascii="Wingdings" w:hAnsi="Wingdings"/>
      </w:rPr>
    </w:lvl>
    <w:lvl w:ilvl="8" w:tentative="0">
      <w:start w:val="1"/>
      <w:numFmt w:val="bullet"/>
      <w:lvlText w:val="u"/>
      <w:lvlJc w:val="left"/>
      <w:pPr>
        <w:tabs>
          <w:tab w:val="left" w:pos="4347"/>
        </w:tabs>
        <w:ind w:left="4347" w:hanging="420"/>
      </w:pPr>
      <w:rPr>
        <w:rFonts w:hint="default" w:ascii="Wingdings" w:hAnsi="Wingdings"/>
      </w:rPr>
    </w:lvl>
  </w:abstractNum>
  <w:abstractNum w:abstractNumId="55">
    <w:nsid w:val="2F000036"/>
    <w:multiLevelType w:val="multilevel"/>
    <w:tmpl w:val="2F000036"/>
    <w:lvl w:ilvl="0" w:tentative="0">
      <w:start w:val="1"/>
      <w:numFmt w:val="bullet"/>
      <w:pStyle w:val="672"/>
      <w:lvlText w:val="ü"/>
      <w:lvlJc w:val="left"/>
      <w:pPr>
        <w:tabs>
          <w:tab w:val="left" w:pos="1554"/>
        </w:tabs>
        <w:ind w:left="1554" w:hanging="420"/>
      </w:pPr>
      <w:rPr>
        <w:rFonts w:hint="default" w:ascii="Wingdings" w:hAnsi="Wingdings"/>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pStyle w:val="337"/>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56">
    <w:nsid w:val="2F000037"/>
    <w:multiLevelType w:val="multilevel"/>
    <w:tmpl w:val="2F000037"/>
    <w:lvl w:ilvl="0" w:tentative="0">
      <w:start w:val="1"/>
      <w:numFmt w:val="decimal"/>
      <w:pStyle w:val="863"/>
      <w:suff w:val="space"/>
      <w:lvlText w:val="%1."/>
      <w:lvlJc w:val="left"/>
      <w:pPr>
        <w:ind w:left="425" w:hanging="425"/>
      </w:pPr>
      <w:rPr>
        <w:rFonts w:hint="eastAsia"/>
        <w:b/>
        <w:i w:val="0"/>
        <w:sz w:val="36"/>
        <w:szCs w:val="36"/>
      </w:rPr>
    </w:lvl>
    <w:lvl w:ilvl="1" w:tentative="0">
      <w:start w:val="1"/>
      <w:numFmt w:val="decimal"/>
      <w:suff w:val="space"/>
      <w:lvlText w:val="%1.%2."/>
      <w:lvlJc w:val="left"/>
      <w:pPr>
        <w:ind w:left="454" w:hanging="454"/>
      </w:pPr>
      <w:rPr>
        <w:rFonts w:hint="eastAsia" w:ascii="宋体" w:eastAsia="宋体"/>
        <w:b/>
        <w:i w:val="0"/>
        <w:sz w:val="30"/>
        <w:szCs w:val="30"/>
      </w:rPr>
    </w:lvl>
    <w:lvl w:ilvl="2" w:tentative="0">
      <w:start w:val="1"/>
      <w:numFmt w:val="decimal"/>
      <w:suff w:val="space"/>
      <w:lvlText w:val="%1.%2.%3."/>
      <w:lvlJc w:val="left"/>
      <w:pPr>
        <w:ind w:left="709" w:hanging="709"/>
      </w:pPr>
      <w:rPr>
        <w:rFonts w:hint="eastAsia" w:ascii="宋体" w:eastAsia="宋体"/>
        <w:b/>
        <w:i w:val="0"/>
        <w:sz w:val="28"/>
        <w:szCs w:val="28"/>
      </w:rPr>
    </w:lvl>
    <w:lvl w:ilvl="3" w:tentative="0">
      <w:start w:val="1"/>
      <w:numFmt w:val="decimal"/>
      <w:suff w:val="space"/>
      <w:lvlText w:val="%1.%2.%3.%4."/>
      <w:lvlJc w:val="left"/>
      <w:pPr>
        <w:ind w:left="851" w:hanging="851"/>
      </w:pPr>
      <w:rPr>
        <w:rFonts w:hint="eastAsia" w:ascii="宋体" w:eastAsia="宋体"/>
        <w:b/>
        <w:i w:val="0"/>
        <w:sz w:val="28"/>
        <w:szCs w:val="28"/>
      </w:rPr>
    </w:lvl>
    <w:lvl w:ilvl="4" w:tentative="0">
      <w:start w:val="1"/>
      <w:numFmt w:val="decimal"/>
      <w:suff w:val="space"/>
      <w:lvlText w:val="%1.%2.%3.%4.%5."/>
      <w:lvlJc w:val="left"/>
      <w:pPr>
        <w:ind w:left="992" w:hanging="992"/>
      </w:pPr>
      <w:rPr>
        <w:rFonts w:hint="eastAsia" w:ascii="宋体" w:eastAsia="宋体"/>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sz w:val="24"/>
        <w:szCs w:val="24"/>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2F000038"/>
    <w:multiLevelType w:val="multilevel"/>
    <w:tmpl w:val="2F000038"/>
    <w:lvl w:ilvl="0" w:tentative="0">
      <w:start w:val="1"/>
      <w:numFmt w:val="bullet"/>
      <w:pStyle w:val="219"/>
      <w:lvlText w:val="²"/>
      <w:lvlJc w:val="left"/>
      <w:pPr>
        <w:tabs>
          <w:tab w:val="left" w:pos="1460"/>
        </w:tabs>
        <w:ind w:left="1974" w:hanging="283"/>
      </w:pPr>
      <w:rPr>
        <w:rFonts w:hint="default" w:ascii="Wingdings" w:hAnsi="Wingdings"/>
      </w:rPr>
    </w:lvl>
    <w:lvl w:ilvl="1" w:tentative="0">
      <w:start w:val="1"/>
      <w:numFmt w:val="bullet"/>
      <w:lvlText w:val="n"/>
      <w:lvlJc w:val="left"/>
      <w:pPr>
        <w:tabs>
          <w:tab w:val="left" w:pos="1680"/>
        </w:tabs>
        <w:ind w:left="1680" w:hanging="420"/>
      </w:pPr>
      <w:rPr>
        <w:rFonts w:hint="default" w:ascii="Wingdings" w:hAnsi="Wingdings"/>
      </w:rPr>
    </w:lvl>
    <w:lvl w:ilvl="2" w:tentative="0">
      <w:start w:val="1"/>
      <w:numFmt w:val="bullet"/>
      <w:lvlText w:val="u"/>
      <w:lvlJc w:val="left"/>
      <w:pPr>
        <w:tabs>
          <w:tab w:val="left" w:pos="2100"/>
        </w:tabs>
        <w:ind w:left="2100" w:hanging="420"/>
      </w:pPr>
      <w:rPr>
        <w:rFonts w:hint="default" w:ascii="Wingdings" w:hAnsi="Wingdings"/>
      </w:rPr>
    </w:lvl>
    <w:lvl w:ilvl="3" w:tentative="0">
      <w:start w:val="1"/>
      <w:numFmt w:val="bullet"/>
      <w:lvlText w:val="l"/>
      <w:lvlJc w:val="left"/>
      <w:pPr>
        <w:tabs>
          <w:tab w:val="left" w:pos="2520"/>
        </w:tabs>
        <w:ind w:left="2520" w:hanging="420"/>
      </w:pPr>
      <w:rPr>
        <w:rFonts w:hint="default" w:ascii="Wingdings" w:hAnsi="Wingdings"/>
      </w:rPr>
    </w:lvl>
    <w:lvl w:ilvl="4" w:tentative="0">
      <w:start w:val="1"/>
      <w:numFmt w:val="bullet"/>
      <w:lvlText w:val="n"/>
      <w:lvlJc w:val="left"/>
      <w:pPr>
        <w:tabs>
          <w:tab w:val="left" w:pos="2940"/>
        </w:tabs>
        <w:ind w:left="2940" w:hanging="420"/>
      </w:pPr>
      <w:rPr>
        <w:rFonts w:hint="default" w:ascii="Wingdings" w:hAnsi="Wingdings"/>
      </w:rPr>
    </w:lvl>
    <w:lvl w:ilvl="5" w:tentative="0">
      <w:start w:val="1"/>
      <w:numFmt w:val="bullet"/>
      <w:lvlText w:val="u"/>
      <w:lvlJc w:val="left"/>
      <w:pPr>
        <w:tabs>
          <w:tab w:val="left" w:pos="3360"/>
        </w:tabs>
        <w:ind w:left="3360" w:hanging="420"/>
      </w:pPr>
      <w:rPr>
        <w:rFonts w:hint="default" w:ascii="Wingdings" w:hAnsi="Wingdings"/>
      </w:rPr>
    </w:lvl>
    <w:lvl w:ilvl="6" w:tentative="0">
      <w:start w:val="1"/>
      <w:numFmt w:val="bullet"/>
      <w:lvlText w:val="l"/>
      <w:lvlJc w:val="left"/>
      <w:pPr>
        <w:tabs>
          <w:tab w:val="left" w:pos="3780"/>
        </w:tabs>
        <w:ind w:left="3780" w:hanging="420"/>
      </w:pPr>
      <w:rPr>
        <w:rFonts w:hint="default" w:ascii="Wingdings" w:hAnsi="Wingdings"/>
      </w:rPr>
    </w:lvl>
    <w:lvl w:ilvl="7" w:tentative="0">
      <w:start w:val="1"/>
      <w:numFmt w:val="bullet"/>
      <w:lvlText w:val="n"/>
      <w:lvlJc w:val="left"/>
      <w:pPr>
        <w:tabs>
          <w:tab w:val="left" w:pos="4200"/>
        </w:tabs>
        <w:ind w:left="4200" w:hanging="420"/>
      </w:pPr>
      <w:rPr>
        <w:rFonts w:hint="default" w:ascii="Wingdings" w:hAnsi="Wingdings"/>
      </w:rPr>
    </w:lvl>
    <w:lvl w:ilvl="8" w:tentative="0">
      <w:start w:val="1"/>
      <w:numFmt w:val="bullet"/>
      <w:lvlText w:val="u"/>
      <w:lvlJc w:val="left"/>
      <w:pPr>
        <w:tabs>
          <w:tab w:val="left" w:pos="4620"/>
        </w:tabs>
        <w:ind w:left="4620" w:hanging="420"/>
      </w:pPr>
      <w:rPr>
        <w:rFonts w:hint="default" w:ascii="Wingdings" w:hAnsi="Wingdings"/>
      </w:rPr>
    </w:lvl>
  </w:abstractNum>
  <w:abstractNum w:abstractNumId="58">
    <w:nsid w:val="2F000039"/>
    <w:multiLevelType w:val="multilevel"/>
    <w:tmpl w:val="2F000039"/>
    <w:lvl w:ilvl="0" w:tentative="0">
      <w:start w:val="1"/>
      <w:numFmt w:val="bullet"/>
      <w:pStyle w:val="718"/>
      <w:lvlText w:val="·"/>
      <w:lvlJc w:val="left"/>
      <w:pPr>
        <w:tabs>
          <w:tab w:val="left" w:pos="360"/>
        </w:tabs>
        <w:ind w:left="360" w:hanging="360"/>
      </w:pPr>
      <w:rPr>
        <w:rFonts w:hint="default" w:ascii="Symbol" w:hAnsi="Symbol"/>
      </w:rPr>
    </w:lvl>
    <w:lvl w:ilvl="1" w:tentative="0">
      <w:start w:val="1"/>
      <w:numFmt w:val="bullet"/>
      <w:lvlText w:val="·"/>
      <w:lvlJc w:val="left"/>
      <w:pPr>
        <w:tabs>
          <w:tab w:val="left" w:pos="360"/>
        </w:tabs>
        <w:ind w:left="360" w:hanging="360"/>
      </w:pPr>
      <w:rPr>
        <w:rFonts w:hint="default" w:ascii="Symbol" w:hAnsi="Symbol"/>
      </w:rPr>
    </w:lvl>
    <w:lvl w:ilvl="2" w:tentative="0">
      <w:start w:val="1"/>
      <w:numFmt w:val="bullet"/>
      <w:lvlText w:val="·"/>
      <w:lvlJc w:val="left"/>
      <w:pPr>
        <w:tabs>
          <w:tab w:val="left" w:pos="360"/>
        </w:tabs>
        <w:ind w:left="360" w:hanging="360"/>
      </w:pPr>
      <w:rPr>
        <w:rFonts w:hint="default" w:ascii="Symbol" w:hAnsi="Symbol"/>
      </w:rPr>
    </w:lvl>
    <w:lvl w:ilvl="3" w:tentative="0">
      <w:start w:val="1"/>
      <w:numFmt w:val="bullet"/>
      <w:lvlText w:val="·"/>
      <w:lvlJc w:val="left"/>
      <w:pPr>
        <w:tabs>
          <w:tab w:val="left" w:pos="360"/>
        </w:tabs>
        <w:ind w:left="360" w:hanging="360"/>
      </w:pPr>
      <w:rPr>
        <w:rFonts w:hint="default" w:ascii="Symbol" w:hAnsi="Symbol"/>
      </w:rPr>
    </w:lvl>
    <w:lvl w:ilvl="4" w:tentative="0">
      <w:start w:val="1"/>
      <w:numFmt w:val="bullet"/>
      <w:lvlText w:val="·"/>
      <w:lvlJc w:val="left"/>
      <w:pPr>
        <w:tabs>
          <w:tab w:val="left" w:pos="360"/>
        </w:tabs>
        <w:ind w:left="360" w:hanging="360"/>
      </w:pPr>
      <w:rPr>
        <w:rFonts w:hint="default" w:ascii="Symbol" w:hAnsi="Symbol"/>
      </w:rPr>
    </w:lvl>
    <w:lvl w:ilvl="5" w:tentative="0">
      <w:start w:val="1"/>
      <w:numFmt w:val="bullet"/>
      <w:lvlText w:val="·"/>
      <w:lvlJc w:val="left"/>
      <w:pPr>
        <w:tabs>
          <w:tab w:val="left" w:pos="360"/>
        </w:tabs>
        <w:ind w:left="360" w:hanging="360"/>
      </w:pPr>
      <w:rPr>
        <w:rFonts w:hint="default" w:ascii="Symbol" w:hAnsi="Symbol"/>
      </w:rPr>
    </w:lvl>
    <w:lvl w:ilvl="6" w:tentative="0">
      <w:start w:val="1"/>
      <w:numFmt w:val="bullet"/>
      <w:lvlText w:val="·"/>
      <w:lvlJc w:val="left"/>
      <w:pPr>
        <w:tabs>
          <w:tab w:val="left" w:pos="360"/>
        </w:tabs>
        <w:ind w:left="360" w:hanging="360"/>
      </w:pPr>
      <w:rPr>
        <w:rFonts w:hint="default" w:ascii="Symbol" w:hAnsi="Symbol"/>
      </w:rPr>
    </w:lvl>
    <w:lvl w:ilvl="7" w:tentative="0">
      <w:start w:val="1"/>
      <w:numFmt w:val="bullet"/>
      <w:lvlText w:val="·"/>
      <w:lvlJc w:val="left"/>
      <w:pPr>
        <w:tabs>
          <w:tab w:val="left" w:pos="360"/>
        </w:tabs>
        <w:ind w:left="360" w:hanging="360"/>
      </w:pPr>
      <w:rPr>
        <w:rFonts w:hint="default" w:ascii="Symbol" w:hAnsi="Symbol"/>
      </w:rPr>
    </w:lvl>
    <w:lvl w:ilvl="8" w:tentative="0">
      <w:start w:val="1"/>
      <w:numFmt w:val="bullet"/>
      <w:lvlText w:val="·"/>
      <w:lvlJc w:val="left"/>
      <w:pPr>
        <w:tabs>
          <w:tab w:val="left" w:pos="360"/>
        </w:tabs>
        <w:ind w:left="360" w:hanging="360"/>
      </w:pPr>
      <w:rPr>
        <w:rFonts w:hint="default" w:ascii="Symbol" w:hAnsi="Symbol"/>
      </w:rPr>
    </w:lvl>
  </w:abstractNum>
  <w:abstractNum w:abstractNumId="59">
    <w:nsid w:val="2F00003B"/>
    <w:multiLevelType w:val="multilevel"/>
    <w:tmpl w:val="2F00003B"/>
    <w:lvl w:ilvl="0" w:tentative="0">
      <w:start w:val="1"/>
      <w:numFmt w:val="decimal"/>
      <w:pStyle w:val="551"/>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2F00003C"/>
    <w:multiLevelType w:val="multilevel"/>
    <w:tmpl w:val="2F00003C"/>
    <w:lvl w:ilvl="0" w:tentative="0">
      <w:start w:val="1"/>
      <w:numFmt w:val="decimal"/>
      <w:pStyle w:val="564"/>
      <w:suff w:val="nothing"/>
      <w:lvlText w:val="%1    "/>
      <w:lvlJc w:val="left"/>
      <w:pPr>
        <w:ind w:left="432" w:hanging="432"/>
      </w:pPr>
      <w:rPr>
        <w:rFonts w:hint="default" w:ascii="Times New Roman" w:hAnsi="Times New Roman" w:eastAsia="宋体"/>
        <w:b/>
        <w:i w:val="0"/>
      </w:rPr>
    </w:lvl>
    <w:lvl w:ilvl="1" w:tentative="0">
      <w:start w:val="1"/>
      <w:numFmt w:val="decimal"/>
      <w:pStyle w:val="565"/>
      <w:suff w:val="nothing"/>
      <w:lvlText w:val="%1.%2    "/>
      <w:lvlJc w:val="left"/>
      <w:pPr>
        <w:ind w:left="576" w:hanging="576"/>
      </w:pPr>
      <w:rPr>
        <w:rFonts w:hint="default" w:ascii="Times New Roman" w:hAnsi="Times New Roman" w:eastAsia="宋体"/>
        <w:b/>
        <w:i w:val="0"/>
      </w:rPr>
    </w:lvl>
    <w:lvl w:ilvl="2" w:tentative="0">
      <w:start w:val="1"/>
      <w:numFmt w:val="decimal"/>
      <w:suff w:val="nothing"/>
      <w:lvlText w:val="%1.%2.%3    "/>
      <w:lvlJc w:val="left"/>
      <w:pPr>
        <w:ind w:left="2340" w:hanging="720"/>
      </w:pPr>
      <w:rPr>
        <w:rFonts w:hint="default" w:ascii="Times New Roman" w:hAnsi="Times New Roman" w:eastAsia="宋体"/>
      </w:rPr>
    </w:lvl>
    <w:lvl w:ilvl="3" w:tentative="0">
      <w:start w:val="1"/>
      <w:numFmt w:val="decimal"/>
      <w:suff w:val="nothing"/>
      <w:lvlText w:val="%1.%2.%3.%4    "/>
      <w:lvlJc w:val="left"/>
      <w:pPr>
        <w:ind w:left="864" w:hanging="864"/>
      </w:pPr>
      <w:rPr>
        <w:rFonts w:hint="default" w:ascii="Times New Roman" w:hAnsi="Times New Roman" w:eastAsia="宋体"/>
        <w:b w:val="0"/>
        <w:i w:val="0"/>
        <w:sz w:val="24"/>
        <w:szCs w:val="24"/>
      </w:rPr>
    </w:lvl>
    <w:lvl w:ilvl="4" w:tentative="0">
      <w:start w:val="1"/>
      <w:numFmt w:val="decimal"/>
      <w:suff w:val="nothing"/>
      <w:lvlText w:val="%1.%2.%3.%4.%5  "/>
      <w:lvlJc w:val="left"/>
      <w:pPr>
        <w:ind w:left="1008" w:hanging="1008"/>
      </w:pPr>
      <w:rPr>
        <w:rFonts w:hint="eastAsia"/>
      </w:rPr>
    </w:lvl>
    <w:lvl w:ilvl="5" w:tentative="0">
      <w:start w:val="1"/>
      <w:numFmt w:val="decimal"/>
      <w:lvlRestart w:val="2"/>
      <w:suff w:val="nothing"/>
      <w:lvlText w:val="图%1.%2-%6    "/>
      <w:lvlJc w:val="left"/>
      <w:pPr>
        <w:ind w:left="1152" w:hanging="1152"/>
      </w:pPr>
      <w:rPr>
        <w:rFonts w:hint="default" w:ascii="Times New Roman" w:hAnsi="Times New Roman" w:eastAsia="宋体"/>
      </w:rPr>
    </w:lvl>
    <w:lvl w:ilvl="6" w:tentative="0">
      <w:start w:val="1"/>
      <w:numFmt w:val="decimal"/>
      <w:lvlRestart w:val="2"/>
      <w:suff w:val="nothing"/>
      <w:lvlText w:val="表%1.%2-%7    "/>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1">
    <w:nsid w:val="2F00003D"/>
    <w:multiLevelType w:val="multilevel"/>
    <w:tmpl w:val="2F00003D"/>
    <w:lvl w:ilvl="0" w:tentative="0">
      <w:start w:val="1"/>
      <w:numFmt w:val="decimal"/>
      <w:pStyle w:val="599"/>
      <w:suff w:val="nothing"/>
      <w:lvlText w:val="图%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Times New Roman" w:hAnsi="Times New Roman" w:eastAsia="黑体"/>
        <w:b w:val="0"/>
        <w:i w:val="0"/>
        <w:sz w:val="21"/>
        <w:szCs w:val="21"/>
      </w:rPr>
    </w:lvl>
    <w:lvl w:ilvl="2" w:tentative="0">
      <w:start w:val="1"/>
      <w:numFmt w:val="decimal"/>
      <w:suff w:val="nothing"/>
      <w:lvlText w:val="%1%2.%3　"/>
      <w:lvlJc w:val="left"/>
      <w:pPr>
        <w:ind w:left="0" w:firstLine="0"/>
      </w:pPr>
      <w:rPr>
        <w:rFonts w:hint="default" w:ascii="Times New Roman" w:hAnsi="Times New Roman" w:eastAsia="黑体"/>
        <w:b w:val="0"/>
        <w:i w:val="0"/>
        <w:sz w:val="21"/>
        <w:szCs w:val="21"/>
      </w:rPr>
    </w:lvl>
    <w:lvl w:ilvl="3" w:tentative="0">
      <w:start w:val="1"/>
      <w:numFmt w:val="decimal"/>
      <w:suff w:val="nothing"/>
      <w:lvlText w:val="%1%2.%3.%4　"/>
      <w:lvlJc w:val="left"/>
      <w:pPr>
        <w:ind w:left="0" w:firstLine="0"/>
      </w:pPr>
      <w:rPr>
        <w:rFonts w:hint="default" w:ascii="Times New Roman" w:hAnsi="Times New Roman" w:eastAsia="黑体"/>
        <w:b w:val="0"/>
        <w:i w:val="0"/>
        <w:sz w:val="21"/>
        <w:szCs w:val="21"/>
      </w:rPr>
    </w:lvl>
    <w:lvl w:ilvl="4" w:tentative="0">
      <w:start w:val="1"/>
      <w:numFmt w:val="decimal"/>
      <w:suff w:val="nothing"/>
      <w:lvlText w:val="%1%2.%3.%4.%5　"/>
      <w:lvlJc w:val="left"/>
      <w:pPr>
        <w:ind w:left="0" w:firstLine="0"/>
      </w:pPr>
      <w:rPr>
        <w:rFonts w:hint="default" w:ascii="Times New Roman" w:hAnsi="Times New Roman" w:eastAsia="黑体"/>
        <w:b w:val="0"/>
        <w:i w:val="0"/>
        <w:sz w:val="21"/>
        <w:szCs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szCs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2">
    <w:nsid w:val="2F00003E"/>
    <w:multiLevelType w:val="multilevel"/>
    <w:tmpl w:val="2F00003E"/>
    <w:lvl w:ilvl="0" w:tentative="0">
      <w:start w:val="1"/>
      <w:numFmt w:val="bullet"/>
      <w:pStyle w:val="665"/>
      <w:lvlText w:val="l"/>
      <w:lvlJc w:val="left"/>
      <w:pPr>
        <w:tabs>
          <w:tab w:val="left" w:pos="360"/>
        </w:tabs>
        <w:ind w:left="360" w:hanging="360"/>
      </w:pPr>
      <w:rPr>
        <w:rFonts w:hint="default" w:ascii="Wingdings" w:hAnsi="Wingdings"/>
        <w:b w:val="0"/>
        <w:i w:val="0"/>
        <w:sz w:val="16"/>
        <w:szCs w:val="16"/>
      </w:rPr>
    </w:lvl>
    <w:lvl w:ilvl="1" w:tentative="0">
      <w:start w:val="1"/>
      <w:numFmt w:val="bullet"/>
      <w:lvlText w:val="l"/>
      <w:lvlJc w:val="left"/>
      <w:pPr>
        <w:tabs>
          <w:tab w:val="left" w:pos="360"/>
        </w:tabs>
        <w:ind w:left="360" w:hanging="360"/>
      </w:pPr>
      <w:rPr>
        <w:rFonts w:hint="default" w:ascii="Wingdings" w:hAnsi="Wingdings"/>
        <w:b w:val="0"/>
        <w:i w:val="0"/>
        <w:sz w:val="16"/>
        <w:szCs w:val="16"/>
      </w:rPr>
    </w:lvl>
    <w:lvl w:ilvl="2" w:tentative="0">
      <w:start w:val="1"/>
      <w:numFmt w:val="bullet"/>
      <w:lvlText w:val="l"/>
      <w:lvlJc w:val="left"/>
      <w:pPr>
        <w:tabs>
          <w:tab w:val="left" w:pos="360"/>
        </w:tabs>
        <w:ind w:left="360" w:hanging="360"/>
      </w:pPr>
      <w:rPr>
        <w:rFonts w:hint="default" w:ascii="Wingdings" w:hAnsi="Wingdings"/>
        <w:b w:val="0"/>
        <w:i w:val="0"/>
        <w:sz w:val="16"/>
        <w:szCs w:val="16"/>
      </w:rPr>
    </w:lvl>
    <w:lvl w:ilvl="3" w:tentative="0">
      <w:start w:val="1"/>
      <w:numFmt w:val="bullet"/>
      <w:lvlText w:val="l"/>
      <w:lvlJc w:val="left"/>
      <w:pPr>
        <w:tabs>
          <w:tab w:val="left" w:pos="360"/>
        </w:tabs>
        <w:ind w:left="360" w:hanging="360"/>
      </w:pPr>
      <w:rPr>
        <w:rFonts w:hint="default" w:ascii="Wingdings" w:hAnsi="Wingdings"/>
        <w:b w:val="0"/>
        <w:i w:val="0"/>
        <w:sz w:val="16"/>
        <w:szCs w:val="16"/>
      </w:rPr>
    </w:lvl>
    <w:lvl w:ilvl="4" w:tentative="0">
      <w:start w:val="1"/>
      <w:numFmt w:val="bullet"/>
      <w:lvlText w:val="l"/>
      <w:lvlJc w:val="left"/>
      <w:pPr>
        <w:tabs>
          <w:tab w:val="left" w:pos="360"/>
        </w:tabs>
        <w:ind w:left="360" w:hanging="360"/>
      </w:pPr>
      <w:rPr>
        <w:rFonts w:hint="default" w:ascii="Wingdings" w:hAnsi="Wingdings"/>
        <w:b w:val="0"/>
        <w:i w:val="0"/>
        <w:sz w:val="16"/>
        <w:szCs w:val="16"/>
      </w:rPr>
    </w:lvl>
    <w:lvl w:ilvl="5" w:tentative="0">
      <w:start w:val="1"/>
      <w:numFmt w:val="bullet"/>
      <w:lvlText w:val="l"/>
      <w:lvlJc w:val="left"/>
      <w:pPr>
        <w:tabs>
          <w:tab w:val="left" w:pos="360"/>
        </w:tabs>
        <w:ind w:left="360" w:hanging="360"/>
      </w:pPr>
      <w:rPr>
        <w:rFonts w:hint="default" w:ascii="Wingdings" w:hAnsi="Wingdings"/>
        <w:b w:val="0"/>
        <w:i w:val="0"/>
        <w:sz w:val="16"/>
        <w:szCs w:val="16"/>
      </w:rPr>
    </w:lvl>
    <w:lvl w:ilvl="6" w:tentative="0">
      <w:start w:val="1"/>
      <w:numFmt w:val="bullet"/>
      <w:lvlText w:val="l"/>
      <w:lvlJc w:val="left"/>
      <w:pPr>
        <w:tabs>
          <w:tab w:val="left" w:pos="360"/>
        </w:tabs>
        <w:ind w:left="360" w:hanging="360"/>
      </w:pPr>
      <w:rPr>
        <w:rFonts w:hint="default" w:ascii="Wingdings" w:hAnsi="Wingdings"/>
        <w:b w:val="0"/>
        <w:i w:val="0"/>
        <w:sz w:val="16"/>
        <w:szCs w:val="16"/>
      </w:rPr>
    </w:lvl>
    <w:lvl w:ilvl="7" w:tentative="0">
      <w:start w:val="1"/>
      <w:numFmt w:val="bullet"/>
      <w:lvlText w:val="l"/>
      <w:lvlJc w:val="left"/>
      <w:pPr>
        <w:tabs>
          <w:tab w:val="left" w:pos="360"/>
        </w:tabs>
        <w:ind w:left="360" w:hanging="360"/>
      </w:pPr>
      <w:rPr>
        <w:rFonts w:hint="default" w:ascii="Wingdings" w:hAnsi="Wingdings"/>
        <w:b w:val="0"/>
        <w:i w:val="0"/>
        <w:sz w:val="16"/>
        <w:szCs w:val="16"/>
      </w:rPr>
    </w:lvl>
    <w:lvl w:ilvl="8" w:tentative="0">
      <w:start w:val="1"/>
      <w:numFmt w:val="bullet"/>
      <w:lvlText w:val="l"/>
      <w:lvlJc w:val="left"/>
      <w:pPr>
        <w:tabs>
          <w:tab w:val="left" w:pos="360"/>
        </w:tabs>
        <w:ind w:left="360" w:hanging="360"/>
      </w:pPr>
      <w:rPr>
        <w:rFonts w:hint="default" w:ascii="Wingdings" w:hAnsi="Wingdings"/>
        <w:b w:val="0"/>
        <w:i w:val="0"/>
        <w:sz w:val="16"/>
        <w:szCs w:val="16"/>
      </w:rPr>
    </w:lvl>
  </w:abstractNum>
  <w:abstractNum w:abstractNumId="63">
    <w:nsid w:val="2F000040"/>
    <w:multiLevelType w:val="multilevel"/>
    <w:tmpl w:val="2F000040"/>
    <w:lvl w:ilvl="0" w:tentative="0">
      <w:start w:val="1"/>
      <w:numFmt w:val="decimal"/>
      <w:pStyle w:val="821"/>
      <w:lvlText w:val="%1."/>
      <w:lvlJc w:val="left"/>
      <w:pPr>
        <w:tabs>
          <w:tab w:val="left" w:pos="709"/>
        </w:tabs>
        <w:ind w:left="709" w:hanging="284"/>
      </w:pPr>
      <w:rPr>
        <w:rFonts w:hint="eastAsia"/>
      </w:rPr>
    </w:lvl>
    <w:lvl w:ilvl="1" w:tentative="0">
      <w:start w:val="1"/>
      <w:numFmt w:val="decimal"/>
      <w:lvlText w:val="%2"/>
      <w:lvlJc w:val="left"/>
      <w:pPr>
        <w:tabs>
          <w:tab w:val="left" w:pos="1276"/>
        </w:tabs>
        <w:ind w:left="1276" w:hanging="425"/>
      </w:pPr>
      <w:rPr>
        <w:rFonts w:hint="default"/>
      </w:rPr>
    </w:lvl>
    <w:lvl w:ilvl="2" w:tentative="0">
      <w:start w:val="1"/>
      <w:numFmt w:val="lowerLetter"/>
      <w:lvlText w:val="%3)"/>
      <w:lvlJc w:val="left"/>
      <w:pPr>
        <w:tabs>
          <w:tab w:val="left" w:pos="1701"/>
        </w:tabs>
        <w:ind w:left="1701" w:hanging="425"/>
      </w:pPr>
      <w:rPr>
        <w:rFonts w:hint="eastAsia"/>
      </w:rPr>
    </w:lvl>
    <w:lvl w:ilvl="3" w:tentative="0">
      <w:start w:val="1"/>
      <w:numFmt w:val="bullet"/>
      <w:lvlText w:val="w"/>
      <w:lvlJc w:val="left"/>
      <w:pPr>
        <w:tabs>
          <w:tab w:val="left" w:pos="2126"/>
        </w:tabs>
        <w:ind w:left="2126" w:hanging="425"/>
      </w:pPr>
      <w:rPr>
        <w:rFonts w:hint="default" w:ascii="Wingdings" w:hAnsi="Wingdings"/>
      </w:rPr>
    </w:lvl>
    <w:lvl w:ilvl="4" w:tentative="0">
      <w:start w:val="1"/>
      <w:numFmt w:val="lowerLetter"/>
      <w:lvlText w:val="%5)"/>
      <w:lvlJc w:val="left"/>
      <w:pPr>
        <w:tabs>
          <w:tab w:val="left" w:pos="2810"/>
        </w:tabs>
        <w:ind w:left="2810" w:hanging="420"/>
      </w:pPr>
      <w:rPr>
        <w:rFonts w:hint="eastAsia"/>
      </w:rPr>
    </w:lvl>
    <w:lvl w:ilvl="5" w:tentative="0">
      <w:start w:val="1"/>
      <w:numFmt w:val="lowerRoman"/>
      <w:lvlText w:val="%6."/>
      <w:lvlJc w:val="right"/>
      <w:pPr>
        <w:tabs>
          <w:tab w:val="left" w:pos="3230"/>
        </w:tabs>
        <w:ind w:left="3230" w:hanging="420"/>
      </w:pPr>
      <w:rPr>
        <w:rFonts w:hint="eastAsia"/>
      </w:rPr>
    </w:lvl>
    <w:lvl w:ilvl="6" w:tentative="0">
      <w:start w:val="1"/>
      <w:numFmt w:val="decimal"/>
      <w:lvlText w:val="%7."/>
      <w:lvlJc w:val="left"/>
      <w:pPr>
        <w:tabs>
          <w:tab w:val="left" w:pos="3650"/>
        </w:tabs>
        <w:ind w:left="3650" w:hanging="420"/>
      </w:pPr>
      <w:rPr>
        <w:rFonts w:hint="eastAsia"/>
      </w:rPr>
    </w:lvl>
    <w:lvl w:ilvl="7" w:tentative="0">
      <w:start w:val="1"/>
      <w:numFmt w:val="lowerLetter"/>
      <w:lvlText w:val="%8)"/>
      <w:lvlJc w:val="left"/>
      <w:pPr>
        <w:tabs>
          <w:tab w:val="left" w:pos="4070"/>
        </w:tabs>
        <w:ind w:left="4070" w:hanging="420"/>
      </w:pPr>
      <w:rPr>
        <w:rFonts w:hint="eastAsia"/>
      </w:rPr>
    </w:lvl>
    <w:lvl w:ilvl="8" w:tentative="0">
      <w:start w:val="1"/>
      <w:numFmt w:val="lowerRoman"/>
      <w:lvlText w:val="%9."/>
      <w:lvlJc w:val="right"/>
      <w:pPr>
        <w:tabs>
          <w:tab w:val="left" w:pos="4490"/>
        </w:tabs>
        <w:ind w:left="4490" w:hanging="420"/>
      </w:pPr>
      <w:rPr>
        <w:rFonts w:hint="eastAsia"/>
      </w:rPr>
    </w:lvl>
  </w:abstractNum>
  <w:abstractNum w:abstractNumId="64">
    <w:nsid w:val="2F000041"/>
    <w:multiLevelType w:val="multilevel"/>
    <w:tmpl w:val="2F000041"/>
    <w:lvl w:ilvl="0" w:tentative="0">
      <w:start w:val="1"/>
      <w:numFmt w:val="bullet"/>
      <w:pStyle w:val="440"/>
      <w:lvlText w:val="Ø"/>
      <w:lvlJc w:val="left"/>
      <w:pPr>
        <w:tabs>
          <w:tab w:val="left" w:pos="874"/>
        </w:tabs>
        <w:ind w:left="874" w:hanging="420"/>
      </w:pPr>
      <w:rPr>
        <w:rFonts w:hint="default" w:ascii="Wingdings" w:hAnsi="Wingdings"/>
      </w:rPr>
    </w:lvl>
    <w:lvl w:ilvl="1" w:tentative="0">
      <w:start w:val="1"/>
      <w:numFmt w:val="bullet"/>
      <w:lvlText w:val="n"/>
      <w:lvlJc w:val="left"/>
      <w:pPr>
        <w:tabs>
          <w:tab w:val="left" w:pos="1294"/>
        </w:tabs>
        <w:ind w:left="1294" w:hanging="420"/>
      </w:pPr>
      <w:rPr>
        <w:rFonts w:hint="default" w:ascii="Wingdings" w:hAnsi="Wingdings"/>
      </w:rPr>
    </w:lvl>
    <w:lvl w:ilvl="2" w:tentative="0">
      <w:start w:val="1"/>
      <w:numFmt w:val="bullet"/>
      <w:lvlText w:val="u"/>
      <w:lvlJc w:val="left"/>
      <w:pPr>
        <w:tabs>
          <w:tab w:val="left" w:pos="1714"/>
        </w:tabs>
        <w:ind w:left="1714" w:hanging="420"/>
      </w:pPr>
      <w:rPr>
        <w:rFonts w:hint="default" w:ascii="Wingdings" w:hAnsi="Wingdings"/>
      </w:rPr>
    </w:lvl>
    <w:lvl w:ilvl="3" w:tentative="0">
      <w:start w:val="1"/>
      <w:numFmt w:val="bullet"/>
      <w:lvlText w:val="l"/>
      <w:lvlJc w:val="left"/>
      <w:pPr>
        <w:tabs>
          <w:tab w:val="left" w:pos="2134"/>
        </w:tabs>
        <w:ind w:left="2134" w:hanging="420"/>
      </w:pPr>
      <w:rPr>
        <w:rFonts w:hint="default" w:ascii="Wingdings" w:hAnsi="Wingdings"/>
      </w:rPr>
    </w:lvl>
    <w:lvl w:ilvl="4" w:tentative="0">
      <w:start w:val="1"/>
      <w:numFmt w:val="bullet"/>
      <w:lvlText w:val="n"/>
      <w:lvlJc w:val="left"/>
      <w:pPr>
        <w:tabs>
          <w:tab w:val="left" w:pos="2554"/>
        </w:tabs>
        <w:ind w:left="2554" w:hanging="420"/>
      </w:pPr>
      <w:rPr>
        <w:rFonts w:hint="default" w:ascii="Wingdings" w:hAnsi="Wingdings"/>
      </w:rPr>
    </w:lvl>
    <w:lvl w:ilvl="5" w:tentative="0">
      <w:start w:val="1"/>
      <w:numFmt w:val="bullet"/>
      <w:lvlText w:val="u"/>
      <w:lvlJc w:val="left"/>
      <w:pPr>
        <w:tabs>
          <w:tab w:val="left" w:pos="2974"/>
        </w:tabs>
        <w:ind w:left="2974" w:hanging="420"/>
      </w:pPr>
      <w:rPr>
        <w:rFonts w:hint="default" w:ascii="Wingdings" w:hAnsi="Wingdings"/>
      </w:rPr>
    </w:lvl>
    <w:lvl w:ilvl="6" w:tentative="0">
      <w:start w:val="1"/>
      <w:numFmt w:val="bullet"/>
      <w:lvlText w:val="l"/>
      <w:lvlJc w:val="left"/>
      <w:pPr>
        <w:tabs>
          <w:tab w:val="left" w:pos="3394"/>
        </w:tabs>
        <w:ind w:left="3394" w:hanging="420"/>
      </w:pPr>
      <w:rPr>
        <w:rFonts w:hint="default" w:ascii="Wingdings" w:hAnsi="Wingdings"/>
      </w:rPr>
    </w:lvl>
    <w:lvl w:ilvl="7" w:tentative="0">
      <w:start w:val="1"/>
      <w:numFmt w:val="bullet"/>
      <w:lvlText w:val="n"/>
      <w:lvlJc w:val="left"/>
      <w:pPr>
        <w:tabs>
          <w:tab w:val="left" w:pos="3814"/>
        </w:tabs>
        <w:ind w:left="3814" w:hanging="420"/>
      </w:pPr>
      <w:rPr>
        <w:rFonts w:hint="default" w:ascii="Wingdings" w:hAnsi="Wingdings"/>
      </w:rPr>
    </w:lvl>
    <w:lvl w:ilvl="8" w:tentative="0">
      <w:start w:val="1"/>
      <w:numFmt w:val="bullet"/>
      <w:lvlText w:val="u"/>
      <w:lvlJc w:val="left"/>
      <w:pPr>
        <w:tabs>
          <w:tab w:val="left" w:pos="4234"/>
        </w:tabs>
        <w:ind w:left="4234" w:hanging="420"/>
      </w:pPr>
      <w:rPr>
        <w:rFonts w:hint="default" w:ascii="Wingdings" w:hAnsi="Wingdings"/>
      </w:rPr>
    </w:lvl>
  </w:abstractNum>
  <w:abstractNum w:abstractNumId="65">
    <w:nsid w:val="2F000043"/>
    <w:multiLevelType w:val="multilevel"/>
    <w:tmpl w:val="2F000043"/>
    <w:lvl w:ilvl="0" w:tentative="0">
      <w:start w:val="1"/>
      <w:numFmt w:val="decimal"/>
      <w:pStyle w:val="957"/>
      <w:lvlText w:val="（%1）"/>
      <w:lvlJc w:val="left"/>
      <w:pPr>
        <w:tabs>
          <w:tab w:val="left" w:pos="403"/>
        </w:tabs>
        <w:ind w:left="0" w:firstLine="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2F000044"/>
    <w:multiLevelType w:val="multilevel"/>
    <w:tmpl w:val="2F000044"/>
    <w:lvl w:ilvl="0" w:tentative="0">
      <w:start w:val="1"/>
      <w:numFmt w:val="bullet"/>
      <w:pStyle w:val="297"/>
      <w:lvlText w:val="u"/>
      <w:lvlJc w:val="left"/>
      <w:pPr>
        <w:tabs>
          <w:tab w:val="left" w:pos="1260"/>
        </w:tabs>
        <w:ind w:left="1260" w:hanging="420"/>
      </w:pPr>
      <w:rPr>
        <w:rFonts w:hint="default" w:ascii="Wingdings" w:hAnsi="Wingdings"/>
      </w:rPr>
    </w:lvl>
    <w:lvl w:ilvl="1" w:tentative="0">
      <w:start w:val="1"/>
      <w:numFmt w:val="bullet"/>
      <w:lvlText w:val="n"/>
      <w:lvlJc w:val="left"/>
      <w:pPr>
        <w:tabs>
          <w:tab w:val="left" w:pos="1680"/>
        </w:tabs>
        <w:ind w:left="1680" w:hanging="420"/>
      </w:pPr>
      <w:rPr>
        <w:rFonts w:hint="default" w:ascii="Wingdings" w:hAnsi="Wingdings"/>
      </w:rPr>
    </w:lvl>
    <w:lvl w:ilvl="2" w:tentative="0">
      <w:start w:val="1"/>
      <w:numFmt w:val="bullet"/>
      <w:lvlText w:val="u"/>
      <w:lvlJc w:val="left"/>
      <w:pPr>
        <w:tabs>
          <w:tab w:val="left" w:pos="2100"/>
        </w:tabs>
        <w:ind w:left="2100" w:hanging="420"/>
      </w:pPr>
      <w:rPr>
        <w:rFonts w:hint="default" w:ascii="Wingdings" w:hAnsi="Wingdings"/>
      </w:rPr>
    </w:lvl>
    <w:lvl w:ilvl="3" w:tentative="0">
      <w:start w:val="1"/>
      <w:numFmt w:val="bullet"/>
      <w:lvlText w:val="l"/>
      <w:lvlJc w:val="left"/>
      <w:pPr>
        <w:tabs>
          <w:tab w:val="left" w:pos="2520"/>
        </w:tabs>
        <w:ind w:left="2520" w:hanging="420"/>
      </w:pPr>
      <w:rPr>
        <w:rFonts w:hint="default" w:ascii="Wingdings" w:hAnsi="Wingdings"/>
      </w:rPr>
    </w:lvl>
    <w:lvl w:ilvl="4" w:tentative="0">
      <w:start w:val="1"/>
      <w:numFmt w:val="bullet"/>
      <w:lvlText w:val="n"/>
      <w:lvlJc w:val="left"/>
      <w:pPr>
        <w:tabs>
          <w:tab w:val="left" w:pos="2940"/>
        </w:tabs>
        <w:ind w:left="2940" w:hanging="420"/>
      </w:pPr>
      <w:rPr>
        <w:rFonts w:hint="default" w:ascii="Wingdings" w:hAnsi="Wingdings"/>
      </w:rPr>
    </w:lvl>
    <w:lvl w:ilvl="5" w:tentative="0">
      <w:start w:val="1"/>
      <w:numFmt w:val="bullet"/>
      <w:lvlText w:val="u"/>
      <w:lvlJc w:val="left"/>
      <w:pPr>
        <w:tabs>
          <w:tab w:val="left" w:pos="3360"/>
        </w:tabs>
        <w:ind w:left="3360" w:hanging="420"/>
      </w:pPr>
      <w:rPr>
        <w:rFonts w:hint="default" w:ascii="Wingdings" w:hAnsi="Wingdings"/>
      </w:rPr>
    </w:lvl>
    <w:lvl w:ilvl="6" w:tentative="0">
      <w:start w:val="1"/>
      <w:numFmt w:val="bullet"/>
      <w:lvlText w:val="l"/>
      <w:lvlJc w:val="left"/>
      <w:pPr>
        <w:tabs>
          <w:tab w:val="left" w:pos="3780"/>
        </w:tabs>
        <w:ind w:left="3780" w:hanging="420"/>
      </w:pPr>
      <w:rPr>
        <w:rFonts w:hint="default" w:ascii="Wingdings" w:hAnsi="Wingdings"/>
      </w:rPr>
    </w:lvl>
    <w:lvl w:ilvl="7" w:tentative="0">
      <w:start w:val="1"/>
      <w:numFmt w:val="bullet"/>
      <w:lvlText w:val="n"/>
      <w:lvlJc w:val="left"/>
      <w:pPr>
        <w:tabs>
          <w:tab w:val="left" w:pos="4200"/>
        </w:tabs>
        <w:ind w:left="4200" w:hanging="420"/>
      </w:pPr>
      <w:rPr>
        <w:rFonts w:hint="default" w:ascii="Wingdings" w:hAnsi="Wingdings"/>
      </w:rPr>
    </w:lvl>
    <w:lvl w:ilvl="8" w:tentative="0">
      <w:start w:val="1"/>
      <w:numFmt w:val="bullet"/>
      <w:lvlText w:val="u"/>
      <w:lvlJc w:val="left"/>
      <w:pPr>
        <w:tabs>
          <w:tab w:val="left" w:pos="4620"/>
        </w:tabs>
        <w:ind w:left="4620" w:hanging="420"/>
      </w:pPr>
      <w:rPr>
        <w:rFonts w:hint="default" w:ascii="Wingdings" w:hAnsi="Wingdings"/>
      </w:rPr>
    </w:lvl>
  </w:abstractNum>
  <w:abstractNum w:abstractNumId="67">
    <w:nsid w:val="2F000045"/>
    <w:multiLevelType w:val="multilevel"/>
    <w:tmpl w:val="2F000045"/>
    <w:lvl w:ilvl="0" w:tentative="0">
      <w:start w:val="1"/>
      <w:numFmt w:val="decimal"/>
      <w:pStyle w:val="722"/>
      <w:lvlText w:val="%1."/>
      <w:lvlJc w:val="left"/>
      <w:pPr>
        <w:tabs>
          <w:tab w:val="left" w:pos="0"/>
        </w:tabs>
        <w:ind w:left="0" w:firstLine="0"/>
      </w:pPr>
      <w:rPr>
        <w:rFonts w:hint="eastAsia"/>
      </w:rPr>
    </w:lvl>
    <w:lvl w:ilvl="1" w:tentative="0">
      <w:start w:val="1"/>
      <w:numFmt w:val="decimal"/>
      <w:lvlText w:val="%1.%2."/>
      <w:lvlJc w:val="left"/>
      <w:pPr>
        <w:tabs>
          <w:tab w:val="left" w:pos="567"/>
        </w:tabs>
        <w:ind w:left="567" w:hanging="567"/>
      </w:pPr>
      <w:rPr>
        <w:rFonts w:hint="eastAsia"/>
        <w:lang w:eastAsia="zh-CN"/>
      </w:rPr>
    </w:lvl>
    <w:lvl w:ilvl="2" w:tentative="0">
      <w:start w:val="1"/>
      <w:numFmt w:val="decimal"/>
      <w:lvlText w:val="%1.%2.%3."/>
      <w:lvlJc w:val="left"/>
      <w:pPr>
        <w:tabs>
          <w:tab w:val="left" w:pos="709"/>
        </w:tabs>
        <w:ind w:left="709" w:hanging="709"/>
      </w:pPr>
      <w:rPr>
        <w:rFonts w:hint="eastAsia"/>
        <w:lang w:eastAsia="zh-C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8">
    <w:nsid w:val="2F000046"/>
    <w:multiLevelType w:val="multilevel"/>
    <w:tmpl w:val="2F000046"/>
    <w:lvl w:ilvl="0" w:tentative="0">
      <w:start w:val="1"/>
      <w:numFmt w:val="decimal"/>
      <w:pStyle w:val="670"/>
      <w:lvlText w:val="%1."/>
      <w:lvlJc w:val="left"/>
      <w:pPr>
        <w:tabs>
          <w:tab w:val="left" w:pos="360"/>
        </w:tabs>
        <w:ind w:left="360" w:hanging="360"/>
      </w:pPr>
    </w:lvl>
    <w:lvl w:ilvl="1" w:tentative="0">
      <w:start w:val="1"/>
      <w:numFmt w:val="decimal"/>
      <w:lvlText w:val="%1."/>
      <w:lvlJc w:val="left"/>
      <w:pPr>
        <w:tabs>
          <w:tab w:val="left" w:pos="360"/>
        </w:tabs>
        <w:ind w:left="360" w:hanging="360"/>
      </w:pPr>
    </w:lvl>
    <w:lvl w:ilvl="2" w:tentative="0">
      <w:start w:val="1"/>
      <w:numFmt w:val="decimal"/>
      <w:lvlText w:val="%1."/>
      <w:lvlJc w:val="left"/>
      <w:pPr>
        <w:tabs>
          <w:tab w:val="left" w:pos="360"/>
        </w:tabs>
        <w:ind w:left="360" w:hanging="360"/>
      </w:pPr>
    </w:lvl>
    <w:lvl w:ilvl="3" w:tentative="0">
      <w:start w:val="1"/>
      <w:numFmt w:val="decimal"/>
      <w:lvlText w:val="%1."/>
      <w:lvlJc w:val="left"/>
      <w:pPr>
        <w:tabs>
          <w:tab w:val="left" w:pos="360"/>
        </w:tabs>
        <w:ind w:left="360" w:hanging="360"/>
      </w:pPr>
    </w:lvl>
    <w:lvl w:ilvl="4" w:tentative="0">
      <w:start w:val="1"/>
      <w:numFmt w:val="decimal"/>
      <w:lvlText w:val="%1."/>
      <w:lvlJc w:val="left"/>
      <w:pPr>
        <w:tabs>
          <w:tab w:val="left" w:pos="360"/>
        </w:tabs>
        <w:ind w:left="360" w:hanging="360"/>
      </w:pPr>
    </w:lvl>
    <w:lvl w:ilvl="5" w:tentative="0">
      <w:start w:val="1"/>
      <w:numFmt w:val="decimal"/>
      <w:lvlText w:val="%1."/>
      <w:lvlJc w:val="left"/>
      <w:pPr>
        <w:tabs>
          <w:tab w:val="left" w:pos="360"/>
        </w:tabs>
        <w:ind w:left="360" w:hanging="360"/>
      </w:pPr>
    </w:lvl>
    <w:lvl w:ilvl="6" w:tentative="0">
      <w:start w:val="1"/>
      <w:numFmt w:val="decimal"/>
      <w:lvlText w:val="%1."/>
      <w:lvlJc w:val="left"/>
      <w:pPr>
        <w:tabs>
          <w:tab w:val="left" w:pos="360"/>
        </w:tabs>
        <w:ind w:left="360" w:hanging="360"/>
      </w:pPr>
    </w:lvl>
    <w:lvl w:ilvl="7" w:tentative="0">
      <w:start w:val="1"/>
      <w:numFmt w:val="decimal"/>
      <w:lvlText w:val="%1."/>
      <w:lvlJc w:val="left"/>
      <w:pPr>
        <w:tabs>
          <w:tab w:val="left" w:pos="360"/>
        </w:tabs>
        <w:ind w:left="360" w:hanging="360"/>
      </w:pPr>
    </w:lvl>
    <w:lvl w:ilvl="8" w:tentative="0">
      <w:start w:val="1"/>
      <w:numFmt w:val="decimal"/>
      <w:lvlText w:val="%1."/>
      <w:lvlJc w:val="left"/>
      <w:pPr>
        <w:tabs>
          <w:tab w:val="left" w:pos="360"/>
        </w:tabs>
        <w:ind w:left="360" w:hanging="360"/>
      </w:pPr>
    </w:lvl>
  </w:abstractNum>
  <w:abstractNum w:abstractNumId="69">
    <w:nsid w:val="2F000047"/>
    <w:multiLevelType w:val="multilevel"/>
    <w:tmpl w:val="2F000047"/>
    <w:lvl w:ilvl="0" w:tentative="0">
      <w:start w:val="1"/>
      <w:numFmt w:val="bullet"/>
      <w:pStyle w:val="296"/>
      <w:lvlText w:val="Ø"/>
      <w:lvlJc w:val="left"/>
      <w:pPr>
        <w:tabs>
          <w:tab w:val="left" w:pos="720"/>
        </w:tabs>
        <w:ind w:left="7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2F000048"/>
    <w:multiLevelType w:val="multilevel"/>
    <w:tmpl w:val="2F000048"/>
    <w:lvl w:ilvl="0" w:tentative="0">
      <w:start w:val="1"/>
      <w:numFmt w:val="bullet"/>
      <w:pStyle w:val="721"/>
      <w:lvlText w:val="Ø"/>
      <w:lvlJc w:val="left"/>
      <w:pPr>
        <w:tabs>
          <w:tab w:val="left" w:pos="1112"/>
        </w:tabs>
        <w:ind w:left="1112" w:hanging="420"/>
      </w:pPr>
      <w:rPr>
        <w:rFonts w:hint="default" w:ascii="Wingdings" w:hAnsi="Wingdings"/>
      </w:rPr>
    </w:lvl>
    <w:lvl w:ilvl="1" w:tentative="0">
      <w:start w:val="1"/>
      <w:numFmt w:val="bullet"/>
      <w:lvlText w:val="n"/>
      <w:lvlJc w:val="left"/>
      <w:pPr>
        <w:tabs>
          <w:tab w:val="left" w:pos="1530"/>
        </w:tabs>
        <w:ind w:left="1530" w:hanging="420"/>
      </w:pPr>
      <w:rPr>
        <w:rFonts w:hint="default" w:ascii="Wingdings" w:hAnsi="Wingdings"/>
      </w:rPr>
    </w:lvl>
    <w:lvl w:ilvl="2" w:tentative="0">
      <w:start w:val="1"/>
      <w:numFmt w:val="bullet"/>
      <w:lvlText w:val="u"/>
      <w:lvlJc w:val="left"/>
      <w:pPr>
        <w:tabs>
          <w:tab w:val="left" w:pos="1950"/>
        </w:tabs>
        <w:ind w:left="1950" w:hanging="420"/>
      </w:pPr>
      <w:rPr>
        <w:rFonts w:hint="default" w:ascii="Wingdings" w:hAnsi="Wingdings"/>
      </w:rPr>
    </w:lvl>
    <w:lvl w:ilvl="3" w:tentative="0">
      <w:start w:val="1"/>
      <w:numFmt w:val="bullet"/>
      <w:lvlText w:val="l"/>
      <w:lvlJc w:val="left"/>
      <w:pPr>
        <w:tabs>
          <w:tab w:val="left" w:pos="2370"/>
        </w:tabs>
        <w:ind w:left="2370" w:hanging="420"/>
      </w:pPr>
      <w:rPr>
        <w:rFonts w:hint="default" w:ascii="Wingdings" w:hAnsi="Wingdings"/>
      </w:rPr>
    </w:lvl>
    <w:lvl w:ilvl="4" w:tentative="0">
      <w:start w:val="1"/>
      <w:numFmt w:val="bullet"/>
      <w:lvlText w:val="n"/>
      <w:lvlJc w:val="left"/>
      <w:pPr>
        <w:tabs>
          <w:tab w:val="left" w:pos="2790"/>
        </w:tabs>
        <w:ind w:left="2790" w:hanging="420"/>
      </w:pPr>
      <w:rPr>
        <w:rFonts w:hint="default" w:ascii="Wingdings" w:hAnsi="Wingdings"/>
      </w:rPr>
    </w:lvl>
    <w:lvl w:ilvl="5" w:tentative="0">
      <w:start w:val="1"/>
      <w:numFmt w:val="bullet"/>
      <w:lvlText w:val="u"/>
      <w:lvlJc w:val="left"/>
      <w:pPr>
        <w:tabs>
          <w:tab w:val="left" w:pos="3210"/>
        </w:tabs>
        <w:ind w:left="3210" w:hanging="420"/>
      </w:pPr>
      <w:rPr>
        <w:rFonts w:hint="default" w:ascii="Wingdings" w:hAnsi="Wingdings"/>
      </w:rPr>
    </w:lvl>
    <w:lvl w:ilvl="6" w:tentative="0">
      <w:start w:val="1"/>
      <w:numFmt w:val="bullet"/>
      <w:lvlText w:val="l"/>
      <w:lvlJc w:val="left"/>
      <w:pPr>
        <w:tabs>
          <w:tab w:val="left" w:pos="3630"/>
        </w:tabs>
        <w:ind w:left="3630" w:hanging="420"/>
      </w:pPr>
      <w:rPr>
        <w:rFonts w:hint="default" w:ascii="Wingdings" w:hAnsi="Wingdings"/>
      </w:rPr>
    </w:lvl>
    <w:lvl w:ilvl="7" w:tentative="0">
      <w:start w:val="1"/>
      <w:numFmt w:val="bullet"/>
      <w:lvlText w:val="n"/>
      <w:lvlJc w:val="left"/>
      <w:pPr>
        <w:tabs>
          <w:tab w:val="left" w:pos="4050"/>
        </w:tabs>
        <w:ind w:left="4050" w:hanging="420"/>
      </w:pPr>
      <w:rPr>
        <w:rFonts w:hint="default" w:ascii="Wingdings" w:hAnsi="Wingdings"/>
      </w:rPr>
    </w:lvl>
    <w:lvl w:ilvl="8" w:tentative="0">
      <w:start w:val="1"/>
      <w:numFmt w:val="bullet"/>
      <w:lvlText w:val="u"/>
      <w:lvlJc w:val="left"/>
      <w:pPr>
        <w:tabs>
          <w:tab w:val="left" w:pos="4470"/>
        </w:tabs>
        <w:ind w:left="4470" w:hanging="420"/>
      </w:pPr>
      <w:rPr>
        <w:rFonts w:hint="default" w:ascii="Wingdings" w:hAnsi="Wingdings"/>
      </w:rPr>
    </w:lvl>
  </w:abstractNum>
  <w:abstractNum w:abstractNumId="71">
    <w:nsid w:val="2F000049"/>
    <w:multiLevelType w:val="multilevel"/>
    <w:tmpl w:val="2F000049"/>
    <w:lvl w:ilvl="0" w:tentative="0">
      <w:start w:val="1"/>
      <w:numFmt w:val="bullet"/>
      <w:pStyle w:val="668"/>
      <w:lvlText w:val="-"/>
      <w:lvlJc w:val="left"/>
      <w:pPr>
        <w:tabs>
          <w:tab w:val="left" w:pos="1440"/>
        </w:tabs>
        <w:ind w:left="1440" w:hanging="360"/>
      </w:pPr>
      <w:rPr>
        <w:rFonts w:hint="default" w:ascii="Symbol" w:hAnsi="Symbol"/>
        <w:b w:val="0"/>
        <w:i w:val="0"/>
        <w:sz w:val="12"/>
        <w:szCs w:val="12"/>
      </w:rPr>
    </w:lvl>
    <w:lvl w:ilvl="1" w:tentative="0">
      <w:start w:val="1"/>
      <w:numFmt w:val="bullet"/>
      <w:lvlText w:val="-"/>
      <w:lvlJc w:val="left"/>
      <w:pPr>
        <w:tabs>
          <w:tab w:val="left" w:pos="1440"/>
        </w:tabs>
        <w:ind w:left="1440" w:hanging="360"/>
      </w:pPr>
      <w:rPr>
        <w:rFonts w:hint="default" w:ascii="Symbol" w:hAnsi="Symbol"/>
        <w:b w:val="0"/>
        <w:i w:val="0"/>
        <w:sz w:val="12"/>
        <w:szCs w:val="12"/>
      </w:rPr>
    </w:lvl>
    <w:lvl w:ilvl="2" w:tentative="0">
      <w:start w:val="1"/>
      <w:numFmt w:val="bullet"/>
      <w:lvlText w:val="-"/>
      <w:lvlJc w:val="left"/>
      <w:pPr>
        <w:tabs>
          <w:tab w:val="left" w:pos="1440"/>
        </w:tabs>
        <w:ind w:left="1440" w:hanging="360"/>
      </w:pPr>
      <w:rPr>
        <w:rFonts w:hint="default" w:ascii="Symbol" w:hAnsi="Symbol"/>
        <w:b w:val="0"/>
        <w:i w:val="0"/>
        <w:sz w:val="12"/>
        <w:szCs w:val="12"/>
      </w:rPr>
    </w:lvl>
    <w:lvl w:ilvl="3" w:tentative="0">
      <w:start w:val="1"/>
      <w:numFmt w:val="bullet"/>
      <w:lvlText w:val="-"/>
      <w:lvlJc w:val="left"/>
      <w:pPr>
        <w:tabs>
          <w:tab w:val="left" w:pos="1440"/>
        </w:tabs>
        <w:ind w:left="1440" w:hanging="360"/>
      </w:pPr>
      <w:rPr>
        <w:rFonts w:hint="default" w:ascii="Symbol" w:hAnsi="Symbol"/>
        <w:b w:val="0"/>
        <w:i w:val="0"/>
        <w:sz w:val="12"/>
        <w:szCs w:val="12"/>
      </w:rPr>
    </w:lvl>
    <w:lvl w:ilvl="4" w:tentative="0">
      <w:start w:val="1"/>
      <w:numFmt w:val="bullet"/>
      <w:lvlText w:val="-"/>
      <w:lvlJc w:val="left"/>
      <w:pPr>
        <w:tabs>
          <w:tab w:val="left" w:pos="1440"/>
        </w:tabs>
        <w:ind w:left="1440" w:hanging="360"/>
      </w:pPr>
      <w:rPr>
        <w:rFonts w:hint="default" w:ascii="Symbol" w:hAnsi="Symbol"/>
        <w:b w:val="0"/>
        <w:i w:val="0"/>
        <w:sz w:val="12"/>
        <w:szCs w:val="12"/>
      </w:rPr>
    </w:lvl>
    <w:lvl w:ilvl="5" w:tentative="0">
      <w:start w:val="1"/>
      <w:numFmt w:val="bullet"/>
      <w:lvlText w:val="-"/>
      <w:lvlJc w:val="left"/>
      <w:pPr>
        <w:tabs>
          <w:tab w:val="left" w:pos="1440"/>
        </w:tabs>
        <w:ind w:left="1440" w:hanging="360"/>
      </w:pPr>
      <w:rPr>
        <w:rFonts w:hint="default" w:ascii="Symbol" w:hAnsi="Symbol"/>
        <w:b w:val="0"/>
        <w:i w:val="0"/>
        <w:sz w:val="12"/>
        <w:szCs w:val="12"/>
      </w:rPr>
    </w:lvl>
    <w:lvl w:ilvl="6" w:tentative="0">
      <w:start w:val="1"/>
      <w:numFmt w:val="bullet"/>
      <w:lvlText w:val="-"/>
      <w:lvlJc w:val="left"/>
      <w:pPr>
        <w:tabs>
          <w:tab w:val="left" w:pos="1440"/>
        </w:tabs>
        <w:ind w:left="1440" w:hanging="360"/>
      </w:pPr>
      <w:rPr>
        <w:rFonts w:hint="default" w:ascii="Symbol" w:hAnsi="Symbol"/>
        <w:b w:val="0"/>
        <w:i w:val="0"/>
        <w:sz w:val="12"/>
        <w:szCs w:val="12"/>
      </w:rPr>
    </w:lvl>
    <w:lvl w:ilvl="7" w:tentative="0">
      <w:start w:val="1"/>
      <w:numFmt w:val="bullet"/>
      <w:lvlText w:val="-"/>
      <w:lvlJc w:val="left"/>
      <w:pPr>
        <w:tabs>
          <w:tab w:val="left" w:pos="1440"/>
        </w:tabs>
        <w:ind w:left="1440" w:hanging="360"/>
      </w:pPr>
      <w:rPr>
        <w:rFonts w:hint="default" w:ascii="Symbol" w:hAnsi="Symbol"/>
        <w:b w:val="0"/>
        <w:i w:val="0"/>
        <w:sz w:val="12"/>
        <w:szCs w:val="12"/>
      </w:rPr>
    </w:lvl>
    <w:lvl w:ilvl="8" w:tentative="0">
      <w:start w:val="1"/>
      <w:numFmt w:val="bullet"/>
      <w:lvlText w:val="-"/>
      <w:lvlJc w:val="left"/>
      <w:pPr>
        <w:tabs>
          <w:tab w:val="left" w:pos="1440"/>
        </w:tabs>
        <w:ind w:left="1440" w:hanging="360"/>
      </w:pPr>
      <w:rPr>
        <w:rFonts w:hint="default" w:ascii="Symbol" w:hAnsi="Symbol"/>
        <w:b w:val="0"/>
        <w:i w:val="0"/>
        <w:sz w:val="12"/>
        <w:szCs w:val="12"/>
      </w:rPr>
    </w:lvl>
  </w:abstractNum>
  <w:abstractNum w:abstractNumId="72">
    <w:nsid w:val="2F00004A"/>
    <w:multiLevelType w:val="multilevel"/>
    <w:tmpl w:val="2F00004A"/>
    <w:lvl w:ilvl="0" w:tentative="0">
      <w:start w:val="1"/>
      <w:numFmt w:val="decimal"/>
      <w:pStyle w:val="405"/>
      <w:lvlText w:val="%1."/>
      <w:lvlJc w:val="left"/>
      <w:pPr>
        <w:tabs>
          <w:tab w:val="left" w:pos="360"/>
        </w:tabs>
        <w:ind w:left="360" w:hanging="360"/>
      </w:pPr>
    </w:lvl>
    <w:lvl w:ilvl="1" w:tentative="0">
      <w:start w:val="1"/>
      <w:numFmt w:val="decimal"/>
      <w:pStyle w:val="406"/>
      <w:lvlText w:val="%1.%2."/>
      <w:lvlJc w:val="left"/>
      <w:pPr>
        <w:tabs>
          <w:tab w:val="left" w:pos="1080"/>
        </w:tabs>
        <w:ind w:left="432" w:hanging="432"/>
      </w:pPr>
    </w:lvl>
    <w:lvl w:ilvl="2" w:tentative="0">
      <w:start w:val="1"/>
      <w:numFmt w:val="decimal"/>
      <w:lvlText w:val="%1.%2.%3."/>
      <w:lvlJc w:val="left"/>
      <w:pPr>
        <w:tabs>
          <w:tab w:val="left" w:pos="1800"/>
        </w:tabs>
        <w:ind w:left="504" w:hanging="504"/>
      </w:pPr>
    </w:lvl>
    <w:lvl w:ilvl="3" w:tentative="0">
      <w:start w:val="1"/>
      <w:numFmt w:val="decimal"/>
      <w:pStyle w:val="444"/>
      <w:lvlText w:val="%1.%2.%3.%4."/>
      <w:lvlJc w:val="left"/>
      <w:pPr>
        <w:tabs>
          <w:tab w:val="left" w:pos="2160"/>
        </w:tabs>
        <w:ind w:left="648" w:hanging="648"/>
      </w:pPr>
    </w:lvl>
    <w:lvl w:ilvl="4" w:tentative="0">
      <w:start w:val="1"/>
      <w:numFmt w:val="decimal"/>
      <w:lvlText w:val="%1.%2.%3.%4.%5."/>
      <w:lvlJc w:val="left"/>
      <w:pPr>
        <w:tabs>
          <w:tab w:val="left" w:pos="2880"/>
        </w:tabs>
        <w:ind w:left="2232" w:hanging="792"/>
      </w:pPr>
    </w:lvl>
    <w:lvl w:ilvl="5" w:tentative="0">
      <w:start w:val="1"/>
      <w:numFmt w:val="decimal"/>
      <w:lvlText w:val="%1.%2.%3.%4.%5.%6."/>
      <w:lvlJc w:val="left"/>
      <w:pPr>
        <w:tabs>
          <w:tab w:val="left" w:pos="3600"/>
        </w:tabs>
        <w:ind w:left="2736" w:hanging="936"/>
      </w:pPr>
    </w:lvl>
    <w:lvl w:ilvl="6" w:tentative="0">
      <w:start w:val="1"/>
      <w:numFmt w:val="decimal"/>
      <w:lvlText w:val="%1.%2.%3.%4.%5.%6.%7."/>
      <w:lvlJc w:val="left"/>
      <w:pPr>
        <w:tabs>
          <w:tab w:val="left" w:pos="3960"/>
        </w:tabs>
        <w:ind w:left="3240" w:hanging="1080"/>
      </w:pPr>
    </w:lvl>
    <w:lvl w:ilvl="7" w:tentative="0">
      <w:start w:val="1"/>
      <w:numFmt w:val="decimal"/>
      <w:lvlText w:val="%1.%2.%3.%4.%5.%6.%7.%8."/>
      <w:lvlJc w:val="left"/>
      <w:pPr>
        <w:tabs>
          <w:tab w:val="left" w:pos="4680"/>
        </w:tabs>
        <w:ind w:left="3744" w:hanging="1224"/>
      </w:pPr>
    </w:lvl>
    <w:lvl w:ilvl="8" w:tentative="0">
      <w:start w:val="1"/>
      <w:numFmt w:val="decimal"/>
      <w:lvlText w:val="%1.%2.%3.%4.%5.%6.%7.%8.%9."/>
      <w:lvlJc w:val="left"/>
      <w:pPr>
        <w:tabs>
          <w:tab w:val="left" w:pos="5400"/>
        </w:tabs>
        <w:ind w:left="4320" w:hanging="1440"/>
      </w:pPr>
    </w:lvl>
  </w:abstractNum>
  <w:abstractNum w:abstractNumId="73">
    <w:nsid w:val="2F00004B"/>
    <w:multiLevelType w:val="multilevel"/>
    <w:tmpl w:val="2F00004B"/>
    <w:lvl w:ilvl="0" w:tentative="0">
      <w:start w:val="1"/>
      <w:numFmt w:val="decimal"/>
      <w:pStyle w:val="578"/>
      <w:lvlText w:val="图 %1."/>
      <w:lvlJc w:val="left"/>
      <w:pPr>
        <w:tabs>
          <w:tab w:val="left" w:pos="737"/>
        </w:tabs>
        <w:ind w:left="425" w:hanging="425"/>
      </w:pPr>
    </w:lvl>
    <w:lvl w:ilvl="1" w:tentative="0">
      <w:start w:val="1"/>
      <w:numFmt w:val="decimal"/>
      <w:lvlText w:val="图 %1."/>
      <w:lvlJc w:val="left"/>
      <w:pPr>
        <w:tabs>
          <w:tab w:val="left" w:pos="737"/>
        </w:tabs>
        <w:ind w:left="425" w:hanging="425"/>
      </w:pPr>
    </w:lvl>
    <w:lvl w:ilvl="2" w:tentative="0">
      <w:start w:val="1"/>
      <w:numFmt w:val="decimal"/>
      <w:lvlText w:val="图 %1."/>
      <w:lvlJc w:val="left"/>
      <w:pPr>
        <w:tabs>
          <w:tab w:val="left" w:pos="737"/>
        </w:tabs>
        <w:ind w:left="425" w:hanging="425"/>
      </w:pPr>
    </w:lvl>
    <w:lvl w:ilvl="3" w:tentative="0">
      <w:start w:val="1"/>
      <w:numFmt w:val="decimal"/>
      <w:lvlText w:val="图 %1."/>
      <w:lvlJc w:val="left"/>
      <w:pPr>
        <w:tabs>
          <w:tab w:val="left" w:pos="737"/>
        </w:tabs>
        <w:ind w:left="425" w:hanging="425"/>
      </w:pPr>
    </w:lvl>
    <w:lvl w:ilvl="4" w:tentative="0">
      <w:start w:val="1"/>
      <w:numFmt w:val="decimal"/>
      <w:lvlText w:val="图 %1."/>
      <w:lvlJc w:val="left"/>
      <w:pPr>
        <w:tabs>
          <w:tab w:val="left" w:pos="737"/>
        </w:tabs>
        <w:ind w:left="425" w:hanging="425"/>
      </w:pPr>
    </w:lvl>
    <w:lvl w:ilvl="5" w:tentative="0">
      <w:start w:val="1"/>
      <w:numFmt w:val="decimal"/>
      <w:lvlText w:val="图 %1."/>
      <w:lvlJc w:val="left"/>
      <w:pPr>
        <w:tabs>
          <w:tab w:val="left" w:pos="737"/>
        </w:tabs>
        <w:ind w:left="425" w:hanging="425"/>
      </w:pPr>
    </w:lvl>
    <w:lvl w:ilvl="6" w:tentative="0">
      <w:start w:val="1"/>
      <w:numFmt w:val="decimal"/>
      <w:lvlText w:val="图 %1."/>
      <w:lvlJc w:val="left"/>
      <w:pPr>
        <w:tabs>
          <w:tab w:val="left" w:pos="737"/>
        </w:tabs>
        <w:ind w:left="425" w:hanging="425"/>
      </w:pPr>
    </w:lvl>
    <w:lvl w:ilvl="7" w:tentative="0">
      <w:start w:val="1"/>
      <w:numFmt w:val="decimal"/>
      <w:lvlText w:val="图 %1."/>
      <w:lvlJc w:val="left"/>
      <w:pPr>
        <w:tabs>
          <w:tab w:val="left" w:pos="737"/>
        </w:tabs>
        <w:ind w:left="425" w:hanging="425"/>
      </w:pPr>
    </w:lvl>
    <w:lvl w:ilvl="8" w:tentative="0">
      <w:start w:val="1"/>
      <w:numFmt w:val="decimal"/>
      <w:lvlText w:val="图 %1."/>
      <w:lvlJc w:val="left"/>
      <w:pPr>
        <w:tabs>
          <w:tab w:val="left" w:pos="737"/>
        </w:tabs>
        <w:ind w:left="425" w:hanging="425"/>
      </w:pPr>
    </w:lvl>
  </w:abstractNum>
  <w:abstractNum w:abstractNumId="74">
    <w:nsid w:val="2F00004C"/>
    <w:multiLevelType w:val="multilevel"/>
    <w:tmpl w:val="2F00004C"/>
    <w:lvl w:ilvl="0" w:tentative="0">
      <w:start w:val="1"/>
      <w:numFmt w:val="bullet"/>
      <w:pStyle w:val="667"/>
      <w:lvlText w:val="-"/>
      <w:lvlJc w:val="left"/>
      <w:pPr>
        <w:tabs>
          <w:tab w:val="left" w:pos="1080"/>
        </w:tabs>
        <w:ind w:left="1080" w:hanging="360"/>
      </w:pPr>
      <w:rPr>
        <w:rFonts w:hint="default" w:ascii="Symbol" w:hAnsi="Symbol"/>
        <w:b w:val="0"/>
        <w:i w:val="0"/>
        <w:sz w:val="24"/>
        <w:szCs w:val="24"/>
      </w:rPr>
    </w:lvl>
    <w:lvl w:ilvl="1" w:tentative="0">
      <w:start w:val="1"/>
      <w:numFmt w:val="bullet"/>
      <w:lvlText w:val="-"/>
      <w:lvlJc w:val="left"/>
      <w:pPr>
        <w:tabs>
          <w:tab w:val="left" w:pos="1080"/>
        </w:tabs>
        <w:ind w:left="1080" w:hanging="360"/>
      </w:pPr>
      <w:rPr>
        <w:rFonts w:hint="default" w:ascii="Symbol" w:hAnsi="Symbol"/>
        <w:b w:val="0"/>
        <w:i w:val="0"/>
        <w:sz w:val="24"/>
        <w:szCs w:val="24"/>
      </w:rPr>
    </w:lvl>
    <w:lvl w:ilvl="2" w:tentative="0">
      <w:start w:val="1"/>
      <w:numFmt w:val="bullet"/>
      <w:lvlText w:val="-"/>
      <w:lvlJc w:val="left"/>
      <w:pPr>
        <w:tabs>
          <w:tab w:val="left" w:pos="1080"/>
        </w:tabs>
        <w:ind w:left="1080" w:hanging="360"/>
      </w:pPr>
      <w:rPr>
        <w:rFonts w:hint="default" w:ascii="Symbol" w:hAnsi="Symbol"/>
        <w:b w:val="0"/>
        <w:i w:val="0"/>
        <w:sz w:val="24"/>
        <w:szCs w:val="24"/>
      </w:rPr>
    </w:lvl>
    <w:lvl w:ilvl="3" w:tentative="0">
      <w:start w:val="1"/>
      <w:numFmt w:val="bullet"/>
      <w:lvlText w:val="-"/>
      <w:lvlJc w:val="left"/>
      <w:pPr>
        <w:tabs>
          <w:tab w:val="left" w:pos="1080"/>
        </w:tabs>
        <w:ind w:left="1080" w:hanging="360"/>
      </w:pPr>
      <w:rPr>
        <w:rFonts w:hint="default" w:ascii="Symbol" w:hAnsi="Symbol"/>
        <w:b w:val="0"/>
        <w:i w:val="0"/>
        <w:sz w:val="24"/>
        <w:szCs w:val="24"/>
      </w:rPr>
    </w:lvl>
    <w:lvl w:ilvl="4" w:tentative="0">
      <w:start w:val="1"/>
      <w:numFmt w:val="bullet"/>
      <w:lvlText w:val="-"/>
      <w:lvlJc w:val="left"/>
      <w:pPr>
        <w:tabs>
          <w:tab w:val="left" w:pos="1080"/>
        </w:tabs>
        <w:ind w:left="1080" w:hanging="360"/>
      </w:pPr>
      <w:rPr>
        <w:rFonts w:hint="default" w:ascii="Symbol" w:hAnsi="Symbol"/>
        <w:b w:val="0"/>
        <w:i w:val="0"/>
        <w:sz w:val="24"/>
        <w:szCs w:val="24"/>
      </w:rPr>
    </w:lvl>
    <w:lvl w:ilvl="5" w:tentative="0">
      <w:start w:val="1"/>
      <w:numFmt w:val="bullet"/>
      <w:lvlText w:val="-"/>
      <w:lvlJc w:val="left"/>
      <w:pPr>
        <w:tabs>
          <w:tab w:val="left" w:pos="1080"/>
        </w:tabs>
        <w:ind w:left="1080" w:hanging="360"/>
      </w:pPr>
      <w:rPr>
        <w:rFonts w:hint="default" w:ascii="Symbol" w:hAnsi="Symbol"/>
        <w:b w:val="0"/>
        <w:i w:val="0"/>
        <w:sz w:val="24"/>
        <w:szCs w:val="24"/>
      </w:rPr>
    </w:lvl>
    <w:lvl w:ilvl="6" w:tentative="0">
      <w:start w:val="1"/>
      <w:numFmt w:val="bullet"/>
      <w:lvlText w:val="-"/>
      <w:lvlJc w:val="left"/>
      <w:pPr>
        <w:tabs>
          <w:tab w:val="left" w:pos="1080"/>
        </w:tabs>
        <w:ind w:left="1080" w:hanging="360"/>
      </w:pPr>
      <w:rPr>
        <w:rFonts w:hint="default" w:ascii="Symbol" w:hAnsi="Symbol"/>
        <w:b w:val="0"/>
        <w:i w:val="0"/>
        <w:sz w:val="24"/>
        <w:szCs w:val="24"/>
      </w:rPr>
    </w:lvl>
    <w:lvl w:ilvl="7" w:tentative="0">
      <w:start w:val="1"/>
      <w:numFmt w:val="bullet"/>
      <w:lvlText w:val="-"/>
      <w:lvlJc w:val="left"/>
      <w:pPr>
        <w:tabs>
          <w:tab w:val="left" w:pos="1080"/>
        </w:tabs>
        <w:ind w:left="1080" w:hanging="360"/>
      </w:pPr>
      <w:rPr>
        <w:rFonts w:hint="default" w:ascii="Symbol" w:hAnsi="Symbol"/>
        <w:b w:val="0"/>
        <w:i w:val="0"/>
        <w:sz w:val="24"/>
        <w:szCs w:val="24"/>
      </w:rPr>
    </w:lvl>
    <w:lvl w:ilvl="8" w:tentative="0">
      <w:start w:val="1"/>
      <w:numFmt w:val="bullet"/>
      <w:lvlText w:val="-"/>
      <w:lvlJc w:val="left"/>
      <w:pPr>
        <w:tabs>
          <w:tab w:val="left" w:pos="1080"/>
        </w:tabs>
        <w:ind w:left="1080" w:hanging="360"/>
      </w:pPr>
      <w:rPr>
        <w:rFonts w:hint="default" w:ascii="Symbol" w:hAnsi="Symbol"/>
        <w:b w:val="0"/>
        <w:i w:val="0"/>
        <w:sz w:val="24"/>
        <w:szCs w:val="24"/>
      </w:rPr>
    </w:lvl>
  </w:abstractNum>
  <w:abstractNum w:abstractNumId="75">
    <w:nsid w:val="2F00004D"/>
    <w:multiLevelType w:val="multilevel"/>
    <w:tmpl w:val="2F00004D"/>
    <w:lvl w:ilvl="0" w:tentative="0">
      <w:start w:val="1"/>
      <w:numFmt w:val="bullet"/>
      <w:pStyle w:val="247"/>
      <w:lvlText w:val="u"/>
      <w:lvlJc w:val="left"/>
      <w:pPr>
        <w:tabs>
          <w:tab w:val="left" w:pos="780"/>
        </w:tabs>
        <w:ind w:left="672" w:hanging="252"/>
      </w:pPr>
      <w:rPr>
        <w:rFonts w:hint="default" w:ascii="Wingdings" w:hAnsi="Wingdings"/>
        <w:sz w:val="16"/>
        <w:szCs w:val="16"/>
      </w:rPr>
    </w:lvl>
    <w:lvl w:ilvl="1" w:tentative="0">
      <w:start w:val="1"/>
      <w:numFmt w:val="bullet"/>
      <w:lvlText w:val="n"/>
      <w:lvlJc w:val="left"/>
      <w:pPr>
        <w:tabs>
          <w:tab w:val="left" w:pos="1260"/>
        </w:tabs>
        <w:ind w:left="1260" w:hanging="420"/>
      </w:pPr>
      <w:rPr>
        <w:rFonts w:hint="default" w:ascii="Wingdings" w:hAnsi="Wingdings"/>
      </w:rPr>
    </w:lvl>
    <w:lvl w:ilvl="2" w:tentative="0">
      <w:start w:val="1"/>
      <w:numFmt w:val="bullet"/>
      <w:lvlText w:val="u"/>
      <w:lvlJc w:val="left"/>
      <w:pPr>
        <w:tabs>
          <w:tab w:val="left" w:pos="1680"/>
        </w:tabs>
        <w:ind w:left="1680" w:hanging="420"/>
      </w:pPr>
      <w:rPr>
        <w:rFonts w:hint="default" w:ascii="Wingdings" w:hAnsi="Wingdings"/>
      </w:rPr>
    </w:lvl>
    <w:lvl w:ilvl="3" w:tentative="0">
      <w:start w:val="1"/>
      <w:numFmt w:val="bullet"/>
      <w:lvlText w:val="l"/>
      <w:lvlJc w:val="left"/>
      <w:pPr>
        <w:tabs>
          <w:tab w:val="left" w:pos="2100"/>
        </w:tabs>
        <w:ind w:left="2100" w:hanging="420"/>
      </w:pPr>
      <w:rPr>
        <w:rFonts w:hint="default" w:ascii="Wingdings" w:hAnsi="Wingdings"/>
      </w:rPr>
    </w:lvl>
    <w:lvl w:ilvl="4" w:tentative="0">
      <w:start w:val="1"/>
      <w:numFmt w:val="bullet"/>
      <w:lvlText w:val="n"/>
      <w:lvlJc w:val="left"/>
      <w:pPr>
        <w:tabs>
          <w:tab w:val="left" w:pos="2520"/>
        </w:tabs>
        <w:ind w:left="2520" w:hanging="420"/>
      </w:pPr>
      <w:rPr>
        <w:rFonts w:hint="default" w:ascii="Wingdings" w:hAnsi="Wingdings"/>
      </w:rPr>
    </w:lvl>
    <w:lvl w:ilvl="5" w:tentative="0">
      <w:start w:val="1"/>
      <w:numFmt w:val="bullet"/>
      <w:lvlText w:val="u"/>
      <w:lvlJc w:val="left"/>
      <w:pPr>
        <w:tabs>
          <w:tab w:val="left" w:pos="2940"/>
        </w:tabs>
        <w:ind w:left="2940" w:hanging="420"/>
      </w:pPr>
      <w:rPr>
        <w:rFonts w:hint="default" w:ascii="Wingdings" w:hAnsi="Wingdings"/>
      </w:rPr>
    </w:lvl>
    <w:lvl w:ilvl="6" w:tentative="0">
      <w:start w:val="1"/>
      <w:numFmt w:val="bullet"/>
      <w:lvlText w:val="l"/>
      <w:lvlJc w:val="left"/>
      <w:pPr>
        <w:tabs>
          <w:tab w:val="left" w:pos="3360"/>
        </w:tabs>
        <w:ind w:left="3360" w:hanging="420"/>
      </w:pPr>
      <w:rPr>
        <w:rFonts w:hint="default" w:ascii="Wingdings" w:hAnsi="Wingdings"/>
      </w:rPr>
    </w:lvl>
    <w:lvl w:ilvl="7" w:tentative="0">
      <w:start w:val="1"/>
      <w:numFmt w:val="bullet"/>
      <w:lvlText w:val="n"/>
      <w:lvlJc w:val="left"/>
      <w:pPr>
        <w:tabs>
          <w:tab w:val="left" w:pos="3780"/>
        </w:tabs>
        <w:ind w:left="3780" w:hanging="420"/>
      </w:pPr>
      <w:rPr>
        <w:rFonts w:hint="default" w:ascii="Wingdings" w:hAnsi="Wingdings"/>
      </w:rPr>
    </w:lvl>
    <w:lvl w:ilvl="8" w:tentative="0">
      <w:start w:val="1"/>
      <w:numFmt w:val="bullet"/>
      <w:lvlText w:val="u"/>
      <w:lvlJc w:val="left"/>
      <w:pPr>
        <w:tabs>
          <w:tab w:val="left" w:pos="4200"/>
        </w:tabs>
        <w:ind w:left="4200" w:hanging="420"/>
      </w:pPr>
      <w:rPr>
        <w:rFonts w:hint="default" w:ascii="Wingdings" w:hAnsi="Wingdings"/>
      </w:rPr>
    </w:lvl>
  </w:abstractNum>
  <w:abstractNum w:abstractNumId="76">
    <w:nsid w:val="2F00004E"/>
    <w:multiLevelType w:val="multilevel"/>
    <w:tmpl w:val="2F00004E"/>
    <w:lvl w:ilvl="0" w:tentative="0">
      <w:start w:val="1"/>
      <w:numFmt w:val="decimal"/>
      <w:pStyle w:val="674"/>
      <w:lvlText w:val="%1."/>
      <w:lvlJc w:val="left"/>
      <w:pPr>
        <w:tabs>
          <w:tab w:val="left" w:pos="360"/>
        </w:tabs>
        <w:ind w:left="360" w:hanging="360"/>
      </w:pPr>
    </w:lvl>
    <w:lvl w:ilvl="1" w:tentative="0">
      <w:start w:val="1"/>
      <w:numFmt w:val="decimal"/>
      <w:lvlText w:val="%1.%2."/>
      <w:lvlJc w:val="left"/>
      <w:pPr>
        <w:tabs>
          <w:tab w:val="left" w:pos="1080"/>
        </w:tabs>
        <w:ind w:left="720" w:hanging="360"/>
      </w:pPr>
    </w:lvl>
    <w:lvl w:ilvl="2" w:tentative="0">
      <w:start w:val="1"/>
      <w:numFmt w:val="decimal"/>
      <w:lvlText w:val="%1.%2.%3."/>
      <w:lvlJc w:val="left"/>
      <w:pPr>
        <w:tabs>
          <w:tab w:val="left" w:pos="1440"/>
        </w:tabs>
        <w:ind w:left="1080" w:hanging="360"/>
      </w:pPr>
    </w:lvl>
    <w:lvl w:ilvl="3" w:tentative="0">
      <w:start w:val="1"/>
      <w:numFmt w:val="decimal"/>
      <w:lvlText w:val="%1.%2.%3.%4."/>
      <w:lvlJc w:val="left"/>
      <w:pPr>
        <w:tabs>
          <w:tab w:val="left" w:pos="216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abstractNum w:abstractNumId="77">
    <w:nsid w:val="2F000050"/>
    <w:multiLevelType w:val="multilevel"/>
    <w:tmpl w:val="2F000050"/>
    <w:lvl w:ilvl="0" w:tentative="0">
      <w:start w:val="1"/>
      <w:numFmt w:val="bullet"/>
      <w:pStyle w:val="654"/>
      <w:lvlText w:val="n"/>
      <w:lvlJc w:val="left"/>
      <w:pPr>
        <w:tabs>
          <w:tab w:val="left" w:pos="1800"/>
        </w:tabs>
        <w:ind w:left="1800" w:hanging="360"/>
      </w:pPr>
      <w:rPr>
        <w:rFonts w:hint="default" w:ascii="Wingdings" w:hAnsi="Wingdings"/>
        <w:b w:val="0"/>
        <w:i w:val="0"/>
        <w:sz w:val="16"/>
        <w:szCs w:val="16"/>
      </w:rPr>
    </w:lvl>
    <w:lvl w:ilvl="1" w:tentative="0">
      <w:start w:val="1"/>
      <w:numFmt w:val="bullet"/>
      <w:lvlText w:val="n"/>
      <w:lvlJc w:val="left"/>
      <w:pPr>
        <w:tabs>
          <w:tab w:val="left" w:pos="1800"/>
        </w:tabs>
        <w:ind w:left="1800" w:hanging="360"/>
      </w:pPr>
      <w:rPr>
        <w:rFonts w:hint="default" w:ascii="Wingdings" w:hAnsi="Wingdings"/>
        <w:b w:val="0"/>
        <w:i w:val="0"/>
        <w:sz w:val="16"/>
        <w:szCs w:val="16"/>
      </w:rPr>
    </w:lvl>
    <w:lvl w:ilvl="2" w:tentative="0">
      <w:start w:val="1"/>
      <w:numFmt w:val="bullet"/>
      <w:lvlText w:val="n"/>
      <w:lvlJc w:val="left"/>
      <w:pPr>
        <w:tabs>
          <w:tab w:val="left" w:pos="1800"/>
        </w:tabs>
        <w:ind w:left="1800" w:hanging="360"/>
      </w:pPr>
      <w:rPr>
        <w:rFonts w:hint="default" w:ascii="Wingdings" w:hAnsi="Wingdings"/>
        <w:b w:val="0"/>
        <w:i w:val="0"/>
        <w:sz w:val="16"/>
        <w:szCs w:val="16"/>
      </w:rPr>
    </w:lvl>
    <w:lvl w:ilvl="3" w:tentative="0">
      <w:start w:val="1"/>
      <w:numFmt w:val="bullet"/>
      <w:lvlText w:val="n"/>
      <w:lvlJc w:val="left"/>
      <w:pPr>
        <w:tabs>
          <w:tab w:val="left" w:pos="1800"/>
        </w:tabs>
        <w:ind w:left="1800" w:hanging="360"/>
      </w:pPr>
      <w:rPr>
        <w:rFonts w:hint="default" w:ascii="Wingdings" w:hAnsi="Wingdings"/>
        <w:b w:val="0"/>
        <w:i w:val="0"/>
        <w:sz w:val="16"/>
        <w:szCs w:val="16"/>
      </w:rPr>
    </w:lvl>
    <w:lvl w:ilvl="4" w:tentative="0">
      <w:start w:val="1"/>
      <w:numFmt w:val="bullet"/>
      <w:lvlText w:val="n"/>
      <w:lvlJc w:val="left"/>
      <w:pPr>
        <w:tabs>
          <w:tab w:val="left" w:pos="1800"/>
        </w:tabs>
        <w:ind w:left="1800" w:hanging="360"/>
      </w:pPr>
      <w:rPr>
        <w:rFonts w:hint="default" w:ascii="Wingdings" w:hAnsi="Wingdings"/>
        <w:b w:val="0"/>
        <w:i w:val="0"/>
        <w:sz w:val="16"/>
        <w:szCs w:val="16"/>
      </w:rPr>
    </w:lvl>
    <w:lvl w:ilvl="5" w:tentative="0">
      <w:start w:val="1"/>
      <w:numFmt w:val="bullet"/>
      <w:lvlText w:val="n"/>
      <w:lvlJc w:val="left"/>
      <w:pPr>
        <w:tabs>
          <w:tab w:val="left" w:pos="1800"/>
        </w:tabs>
        <w:ind w:left="1800" w:hanging="360"/>
      </w:pPr>
      <w:rPr>
        <w:rFonts w:hint="default" w:ascii="Wingdings" w:hAnsi="Wingdings"/>
        <w:b w:val="0"/>
        <w:i w:val="0"/>
        <w:sz w:val="16"/>
        <w:szCs w:val="16"/>
      </w:rPr>
    </w:lvl>
    <w:lvl w:ilvl="6" w:tentative="0">
      <w:start w:val="1"/>
      <w:numFmt w:val="bullet"/>
      <w:lvlText w:val="n"/>
      <w:lvlJc w:val="left"/>
      <w:pPr>
        <w:tabs>
          <w:tab w:val="left" w:pos="1800"/>
        </w:tabs>
        <w:ind w:left="1800" w:hanging="360"/>
      </w:pPr>
      <w:rPr>
        <w:rFonts w:hint="default" w:ascii="Wingdings" w:hAnsi="Wingdings"/>
        <w:b w:val="0"/>
        <w:i w:val="0"/>
        <w:sz w:val="16"/>
        <w:szCs w:val="16"/>
      </w:rPr>
    </w:lvl>
    <w:lvl w:ilvl="7" w:tentative="0">
      <w:start w:val="1"/>
      <w:numFmt w:val="bullet"/>
      <w:lvlText w:val="n"/>
      <w:lvlJc w:val="left"/>
      <w:pPr>
        <w:tabs>
          <w:tab w:val="left" w:pos="1800"/>
        </w:tabs>
        <w:ind w:left="1800" w:hanging="360"/>
      </w:pPr>
      <w:rPr>
        <w:rFonts w:hint="default" w:ascii="Wingdings" w:hAnsi="Wingdings"/>
        <w:b w:val="0"/>
        <w:i w:val="0"/>
        <w:sz w:val="16"/>
        <w:szCs w:val="16"/>
      </w:rPr>
    </w:lvl>
    <w:lvl w:ilvl="8" w:tentative="0">
      <w:start w:val="1"/>
      <w:numFmt w:val="bullet"/>
      <w:lvlText w:val="n"/>
      <w:lvlJc w:val="left"/>
      <w:pPr>
        <w:tabs>
          <w:tab w:val="left" w:pos="1800"/>
        </w:tabs>
        <w:ind w:left="1800" w:hanging="360"/>
      </w:pPr>
      <w:rPr>
        <w:rFonts w:hint="default" w:ascii="Wingdings" w:hAnsi="Wingdings"/>
        <w:b w:val="0"/>
        <w:i w:val="0"/>
        <w:sz w:val="16"/>
        <w:szCs w:val="16"/>
      </w:rPr>
    </w:lvl>
  </w:abstractNum>
  <w:abstractNum w:abstractNumId="78">
    <w:nsid w:val="2F000051"/>
    <w:multiLevelType w:val="multilevel"/>
    <w:tmpl w:val="2F000051"/>
    <w:lvl w:ilvl="0" w:tentative="0">
      <w:start w:val="1"/>
      <w:numFmt w:val="bullet"/>
      <w:pStyle w:val="811"/>
      <w:lvlText w:val="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79">
    <w:nsid w:val="2F000052"/>
    <w:multiLevelType w:val="multilevel"/>
    <w:tmpl w:val="2F000052"/>
    <w:lvl w:ilvl="0" w:tentative="0">
      <w:start w:val="1"/>
      <w:numFmt w:val="decimal"/>
      <w:pStyle w:val="568"/>
      <w:suff w:val="nothing"/>
      <w:lvlText w:val="%1    "/>
      <w:lvlJc w:val="left"/>
      <w:pPr>
        <w:ind w:left="3312" w:hanging="432"/>
      </w:pPr>
      <w:rPr>
        <w:rFonts w:hint="default" w:ascii="Times New Roman" w:hAnsi="Times New Roman" w:eastAsia="宋体"/>
        <w:b/>
        <w:i w:val="0"/>
      </w:rPr>
    </w:lvl>
    <w:lvl w:ilvl="1" w:tentative="0">
      <w:start w:val="1"/>
      <w:numFmt w:val="decimal"/>
      <w:suff w:val="nothing"/>
      <w:lvlText w:val="%1.%2    "/>
      <w:lvlJc w:val="left"/>
      <w:pPr>
        <w:ind w:left="1144" w:hanging="576"/>
      </w:pPr>
      <w:rPr>
        <w:rFonts w:hint="default" w:ascii="Times New Roman" w:hAnsi="Times New Roman" w:eastAsia="宋体"/>
        <w:b/>
        <w:i w:val="0"/>
      </w:rPr>
    </w:lvl>
    <w:lvl w:ilvl="2" w:tentative="0">
      <w:start w:val="1"/>
      <w:numFmt w:val="decimal"/>
      <w:suff w:val="nothing"/>
      <w:lvlText w:val="%1.%2.%3    "/>
      <w:lvlJc w:val="left"/>
      <w:pPr>
        <w:ind w:left="2340" w:hanging="720"/>
      </w:pPr>
      <w:rPr>
        <w:rFonts w:hint="default" w:ascii="Times New Roman" w:hAnsi="Times New Roman" w:eastAsia="宋体"/>
      </w:rPr>
    </w:lvl>
    <w:lvl w:ilvl="3" w:tentative="0">
      <w:start w:val="1"/>
      <w:numFmt w:val="decimal"/>
      <w:suff w:val="nothing"/>
      <w:lvlText w:val="%1.%2.%3.%4    "/>
      <w:lvlJc w:val="left"/>
      <w:pPr>
        <w:ind w:left="864" w:hanging="864"/>
      </w:pPr>
      <w:rPr>
        <w:rFonts w:hint="default" w:ascii="Times New Roman" w:hAnsi="Times New Roman" w:eastAsia="宋体"/>
        <w:b w:val="0"/>
        <w:i w:val="0"/>
        <w:sz w:val="24"/>
        <w:szCs w:val="24"/>
      </w:rPr>
    </w:lvl>
    <w:lvl w:ilvl="4" w:tentative="0">
      <w:start w:val="1"/>
      <w:numFmt w:val="decimal"/>
      <w:suff w:val="nothing"/>
      <w:lvlText w:val="%1.%2.%3.%4.%5  "/>
      <w:lvlJc w:val="left"/>
      <w:pPr>
        <w:ind w:left="1008" w:hanging="1008"/>
      </w:pPr>
      <w:rPr>
        <w:rFonts w:hint="eastAsia"/>
      </w:rPr>
    </w:lvl>
    <w:lvl w:ilvl="5" w:tentative="0">
      <w:start w:val="1"/>
      <w:numFmt w:val="decimal"/>
      <w:lvlRestart w:val="2"/>
      <w:suff w:val="nothing"/>
      <w:lvlText w:val="图%1.%2-%6    "/>
      <w:lvlJc w:val="left"/>
      <w:pPr>
        <w:ind w:left="1152" w:hanging="1152"/>
      </w:pPr>
      <w:rPr>
        <w:rFonts w:hint="default" w:ascii="Times New Roman" w:hAnsi="Times New Roman" w:eastAsia="宋体"/>
      </w:rPr>
    </w:lvl>
    <w:lvl w:ilvl="6" w:tentative="0">
      <w:start w:val="1"/>
      <w:numFmt w:val="decimal"/>
      <w:lvlRestart w:val="2"/>
      <w:suff w:val="nothing"/>
      <w:lvlText w:val="表%1.%2-%7    "/>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0">
    <w:nsid w:val="2F000053"/>
    <w:multiLevelType w:val="multilevel"/>
    <w:tmpl w:val="2F000053"/>
    <w:lvl w:ilvl="0" w:tentative="0">
      <w:start w:val="1"/>
      <w:numFmt w:val="decimal"/>
      <w:pStyle w:val="257"/>
      <w:lvlText w:val="（%1）"/>
      <w:lvlJc w:val="left"/>
      <w:pPr>
        <w:tabs>
          <w:tab w:val="left" w:pos="1214"/>
        </w:tabs>
        <w:ind w:left="80" w:firstLine="400"/>
      </w:pPr>
      <w:rPr>
        <w:rFonts w:hint="eastAsia"/>
        <w:sz w:val="28"/>
        <w:szCs w:val="28"/>
      </w:rPr>
    </w:lvl>
    <w:lvl w:ilvl="1" w:tentative="0">
      <w:start w:val="1"/>
      <w:numFmt w:val="bullet"/>
      <w:lvlText w:val="n"/>
      <w:lvlJc w:val="left"/>
      <w:pPr>
        <w:tabs>
          <w:tab w:val="left" w:pos="840"/>
        </w:tabs>
        <w:ind w:left="840" w:hanging="420"/>
      </w:pPr>
      <w:rPr>
        <w:rFonts w:hint="default" w:ascii="Wingdings" w:hAnsi="Wingdings"/>
      </w:rPr>
    </w:lvl>
    <w:lvl w:ilvl="2" w:tentative="0">
      <w:start w:val="1"/>
      <w:numFmt w:val="bullet"/>
      <w:lvlText w:val="u"/>
      <w:lvlJc w:val="left"/>
      <w:pPr>
        <w:tabs>
          <w:tab w:val="left" w:pos="1260"/>
        </w:tabs>
        <w:ind w:left="1260" w:hanging="420"/>
      </w:pPr>
      <w:rPr>
        <w:rFonts w:hint="default" w:ascii="Wingdings" w:hAnsi="Wingdings"/>
      </w:rPr>
    </w:lvl>
    <w:lvl w:ilvl="3" w:tentative="0">
      <w:start w:val="1"/>
      <w:numFmt w:val="bullet"/>
      <w:lvlText w:val="l"/>
      <w:lvlJc w:val="left"/>
      <w:pPr>
        <w:tabs>
          <w:tab w:val="left" w:pos="1680"/>
        </w:tabs>
        <w:ind w:left="1680" w:hanging="420"/>
      </w:pPr>
      <w:rPr>
        <w:rFonts w:hint="default" w:ascii="Wingdings" w:hAnsi="Wingdings"/>
      </w:rPr>
    </w:lvl>
    <w:lvl w:ilvl="4" w:tentative="0">
      <w:start w:val="1"/>
      <w:numFmt w:val="bullet"/>
      <w:lvlText w:val="n"/>
      <w:lvlJc w:val="left"/>
      <w:pPr>
        <w:tabs>
          <w:tab w:val="left" w:pos="2100"/>
        </w:tabs>
        <w:ind w:left="2100" w:hanging="420"/>
      </w:pPr>
      <w:rPr>
        <w:rFonts w:hint="default" w:ascii="Wingdings" w:hAnsi="Wingdings"/>
      </w:rPr>
    </w:lvl>
    <w:lvl w:ilvl="5" w:tentative="0">
      <w:start w:val="1"/>
      <w:numFmt w:val="bullet"/>
      <w:lvlText w:val="u"/>
      <w:lvlJc w:val="left"/>
      <w:pPr>
        <w:tabs>
          <w:tab w:val="left" w:pos="2520"/>
        </w:tabs>
        <w:ind w:left="2520" w:hanging="420"/>
      </w:pPr>
      <w:rPr>
        <w:rFonts w:hint="default" w:ascii="Wingdings" w:hAnsi="Wingdings"/>
      </w:rPr>
    </w:lvl>
    <w:lvl w:ilvl="6" w:tentative="0">
      <w:start w:val="1"/>
      <w:numFmt w:val="bullet"/>
      <w:lvlText w:val="l"/>
      <w:lvlJc w:val="left"/>
      <w:pPr>
        <w:tabs>
          <w:tab w:val="left" w:pos="2940"/>
        </w:tabs>
        <w:ind w:left="2940" w:hanging="420"/>
      </w:pPr>
      <w:rPr>
        <w:rFonts w:hint="default" w:ascii="Wingdings" w:hAnsi="Wingdings"/>
      </w:rPr>
    </w:lvl>
    <w:lvl w:ilvl="7" w:tentative="0">
      <w:start w:val="1"/>
      <w:numFmt w:val="bullet"/>
      <w:lvlText w:val="n"/>
      <w:lvlJc w:val="left"/>
      <w:pPr>
        <w:tabs>
          <w:tab w:val="left" w:pos="3360"/>
        </w:tabs>
        <w:ind w:left="3360" w:hanging="420"/>
      </w:pPr>
      <w:rPr>
        <w:rFonts w:hint="default" w:ascii="Wingdings" w:hAnsi="Wingdings"/>
      </w:rPr>
    </w:lvl>
    <w:lvl w:ilvl="8" w:tentative="0">
      <w:start w:val="1"/>
      <w:numFmt w:val="bullet"/>
      <w:lvlText w:val="u"/>
      <w:lvlJc w:val="left"/>
      <w:pPr>
        <w:tabs>
          <w:tab w:val="left" w:pos="3780"/>
        </w:tabs>
        <w:ind w:left="3780" w:hanging="420"/>
      </w:pPr>
      <w:rPr>
        <w:rFonts w:hint="default" w:ascii="Wingdings" w:hAnsi="Wingdings"/>
      </w:rPr>
    </w:lvl>
  </w:abstractNum>
  <w:abstractNum w:abstractNumId="81">
    <w:nsid w:val="2F000054"/>
    <w:multiLevelType w:val="multilevel"/>
    <w:tmpl w:val="2F000054"/>
    <w:lvl w:ilvl="0" w:tentative="0">
      <w:start w:val="1"/>
      <w:numFmt w:val="decimal"/>
      <w:pStyle w:val="86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56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2">
    <w:nsid w:val="2F000055"/>
    <w:multiLevelType w:val="multilevel"/>
    <w:tmpl w:val="2F000055"/>
    <w:lvl w:ilvl="0" w:tentative="0">
      <w:start w:val="1"/>
      <w:numFmt w:val="bullet"/>
      <w:pStyle w:val="964"/>
      <w:lvlText w:val=""/>
      <w:lvlJc w:val="left"/>
      <w:pPr>
        <w:tabs>
          <w:tab w:val="left" w:pos="840"/>
        </w:tabs>
        <w:ind w:left="840" w:hanging="420"/>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2F000056"/>
    <w:multiLevelType w:val="multilevel"/>
    <w:tmpl w:val="2F000056"/>
    <w:lvl w:ilvl="0" w:tentative="0">
      <w:start w:val="1"/>
      <w:numFmt w:val="bullet"/>
      <w:pStyle w:val="928"/>
      <w:lvlText w:val="l"/>
      <w:lvlJc w:val="left"/>
      <w:pPr>
        <w:tabs>
          <w:tab w:val="left" w:pos="1300"/>
        </w:tabs>
        <w:ind w:left="1300" w:hanging="420"/>
      </w:pPr>
      <w:rPr>
        <w:rFonts w:hint="default" w:ascii="Wingdings" w:hAnsi="Wingdings"/>
      </w:rPr>
    </w:lvl>
    <w:lvl w:ilvl="1" w:tentative="0">
      <w:start w:val="1"/>
      <w:numFmt w:val="bullet"/>
      <w:lvlText w:val="n"/>
      <w:lvlJc w:val="left"/>
      <w:pPr>
        <w:tabs>
          <w:tab w:val="left" w:pos="1320"/>
        </w:tabs>
        <w:ind w:left="1320" w:hanging="420"/>
      </w:pPr>
      <w:rPr>
        <w:rFonts w:hint="default" w:ascii="Wingdings" w:hAnsi="Wingdings"/>
      </w:rPr>
    </w:lvl>
    <w:lvl w:ilvl="2" w:tentative="0">
      <w:start w:val="1"/>
      <w:numFmt w:val="bullet"/>
      <w:lvlText w:val="u"/>
      <w:lvlJc w:val="left"/>
      <w:pPr>
        <w:tabs>
          <w:tab w:val="left" w:pos="1740"/>
        </w:tabs>
        <w:ind w:left="1740" w:hanging="420"/>
      </w:pPr>
      <w:rPr>
        <w:rFonts w:hint="default" w:ascii="Wingdings" w:hAnsi="Wingdings"/>
      </w:rPr>
    </w:lvl>
    <w:lvl w:ilvl="3" w:tentative="0">
      <w:start w:val="1"/>
      <w:numFmt w:val="bullet"/>
      <w:lvlText w:val="l"/>
      <w:lvlJc w:val="left"/>
      <w:pPr>
        <w:tabs>
          <w:tab w:val="left" w:pos="2160"/>
        </w:tabs>
        <w:ind w:left="2160" w:hanging="420"/>
      </w:pPr>
      <w:rPr>
        <w:rFonts w:hint="default" w:ascii="Wingdings" w:hAnsi="Wingdings"/>
      </w:rPr>
    </w:lvl>
    <w:lvl w:ilvl="4" w:tentative="0">
      <w:start w:val="1"/>
      <w:numFmt w:val="bullet"/>
      <w:lvlText w:val="n"/>
      <w:lvlJc w:val="left"/>
      <w:pPr>
        <w:tabs>
          <w:tab w:val="left" w:pos="2580"/>
        </w:tabs>
        <w:ind w:left="2580" w:hanging="420"/>
      </w:pPr>
      <w:rPr>
        <w:rFonts w:hint="default" w:ascii="Wingdings" w:hAnsi="Wingdings"/>
      </w:rPr>
    </w:lvl>
    <w:lvl w:ilvl="5" w:tentative="0">
      <w:start w:val="1"/>
      <w:numFmt w:val="bullet"/>
      <w:lvlText w:val="u"/>
      <w:lvlJc w:val="left"/>
      <w:pPr>
        <w:tabs>
          <w:tab w:val="left" w:pos="3000"/>
        </w:tabs>
        <w:ind w:left="3000" w:hanging="420"/>
      </w:pPr>
      <w:rPr>
        <w:rFonts w:hint="default" w:ascii="Wingdings" w:hAnsi="Wingdings"/>
      </w:rPr>
    </w:lvl>
    <w:lvl w:ilvl="6" w:tentative="0">
      <w:start w:val="1"/>
      <w:numFmt w:val="bullet"/>
      <w:lvlText w:val="l"/>
      <w:lvlJc w:val="left"/>
      <w:pPr>
        <w:tabs>
          <w:tab w:val="left" w:pos="3420"/>
        </w:tabs>
        <w:ind w:left="3420" w:hanging="420"/>
      </w:pPr>
      <w:rPr>
        <w:rFonts w:hint="default" w:ascii="Wingdings" w:hAnsi="Wingdings"/>
      </w:rPr>
    </w:lvl>
    <w:lvl w:ilvl="7" w:tentative="0">
      <w:start w:val="1"/>
      <w:numFmt w:val="bullet"/>
      <w:lvlText w:val="n"/>
      <w:lvlJc w:val="left"/>
      <w:pPr>
        <w:tabs>
          <w:tab w:val="left" w:pos="3840"/>
        </w:tabs>
        <w:ind w:left="3840" w:hanging="420"/>
      </w:pPr>
      <w:rPr>
        <w:rFonts w:hint="default" w:ascii="Wingdings" w:hAnsi="Wingdings"/>
      </w:rPr>
    </w:lvl>
    <w:lvl w:ilvl="8" w:tentative="0">
      <w:start w:val="1"/>
      <w:numFmt w:val="bullet"/>
      <w:lvlText w:val="u"/>
      <w:lvlJc w:val="left"/>
      <w:pPr>
        <w:tabs>
          <w:tab w:val="left" w:pos="4260"/>
        </w:tabs>
        <w:ind w:left="4260" w:hanging="420"/>
      </w:pPr>
      <w:rPr>
        <w:rFonts w:hint="default" w:ascii="Wingdings" w:hAnsi="Wingdings"/>
      </w:rPr>
    </w:lvl>
  </w:abstractNum>
  <w:abstractNum w:abstractNumId="84">
    <w:nsid w:val="2F000057"/>
    <w:multiLevelType w:val="multilevel"/>
    <w:tmpl w:val="2F000057"/>
    <w:lvl w:ilvl="0" w:tentative="0">
      <w:start w:val="1"/>
      <w:numFmt w:val="decimal"/>
      <w:pStyle w:val="238"/>
      <w:lvlText w:val="（%1）"/>
      <w:lvlJc w:val="left"/>
      <w:pPr>
        <w:tabs>
          <w:tab w:val="left" w:pos="1302"/>
        </w:tabs>
        <w:ind w:left="168" w:firstLine="400"/>
      </w:pPr>
      <w:rPr>
        <w:rFonts w:hint="eastAsia"/>
        <w:sz w:val="24"/>
        <w:szCs w:val="24"/>
      </w:rPr>
    </w:lvl>
    <w:lvl w:ilvl="1" w:tentative="0">
      <w:start w:val="1"/>
      <w:numFmt w:val="lowerLetter"/>
      <w:lvlText w:val="%2)"/>
      <w:lvlJc w:val="left"/>
      <w:pPr>
        <w:tabs>
          <w:tab w:val="left" w:pos="928"/>
        </w:tabs>
        <w:ind w:left="928" w:hanging="420"/>
      </w:p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1768"/>
        </w:tabs>
        <w:ind w:left="1768" w:hanging="420"/>
      </w:pPr>
    </w:lvl>
    <w:lvl w:ilvl="4" w:tentative="0">
      <w:start w:val="1"/>
      <w:numFmt w:val="lowerLetter"/>
      <w:lvlText w:val="%5)"/>
      <w:lvlJc w:val="left"/>
      <w:pPr>
        <w:tabs>
          <w:tab w:val="left" w:pos="2188"/>
        </w:tabs>
        <w:ind w:left="2188" w:hanging="420"/>
      </w:pPr>
    </w:lvl>
    <w:lvl w:ilvl="5" w:tentative="0">
      <w:start w:val="1"/>
      <w:numFmt w:val="lowerRoman"/>
      <w:lvlText w:val="%6."/>
      <w:lvlJc w:val="right"/>
      <w:pPr>
        <w:tabs>
          <w:tab w:val="left" w:pos="2608"/>
        </w:tabs>
        <w:ind w:left="2608" w:hanging="420"/>
      </w:pPr>
    </w:lvl>
    <w:lvl w:ilvl="6" w:tentative="0">
      <w:start w:val="1"/>
      <w:numFmt w:val="decimal"/>
      <w:lvlText w:val="%7."/>
      <w:lvlJc w:val="left"/>
      <w:pPr>
        <w:tabs>
          <w:tab w:val="left" w:pos="3028"/>
        </w:tabs>
        <w:ind w:left="3028" w:hanging="420"/>
      </w:pPr>
    </w:lvl>
    <w:lvl w:ilvl="7" w:tentative="0">
      <w:start w:val="1"/>
      <w:numFmt w:val="lowerLetter"/>
      <w:lvlText w:val="%8)"/>
      <w:lvlJc w:val="left"/>
      <w:pPr>
        <w:tabs>
          <w:tab w:val="left" w:pos="3448"/>
        </w:tabs>
        <w:ind w:left="3448" w:hanging="420"/>
      </w:pPr>
    </w:lvl>
    <w:lvl w:ilvl="8" w:tentative="0">
      <w:start w:val="1"/>
      <w:numFmt w:val="lowerRoman"/>
      <w:lvlText w:val="%9."/>
      <w:lvlJc w:val="right"/>
      <w:pPr>
        <w:tabs>
          <w:tab w:val="left" w:pos="3868"/>
        </w:tabs>
        <w:ind w:left="3868" w:hanging="420"/>
      </w:pPr>
    </w:lvl>
  </w:abstractNum>
  <w:abstractNum w:abstractNumId="85">
    <w:nsid w:val="2F000058"/>
    <w:multiLevelType w:val="multilevel"/>
    <w:tmpl w:val="2F000058"/>
    <w:lvl w:ilvl="0" w:tentative="0">
      <w:start w:val="1"/>
      <w:numFmt w:val="bullet"/>
      <w:pStyle w:val="986"/>
      <w:lvlText w:val="l"/>
      <w:lvlJc w:val="left"/>
      <w:pPr>
        <w:tabs>
          <w:tab w:val="left" w:pos="567"/>
        </w:tabs>
        <w:ind w:left="567" w:hanging="567"/>
      </w:pPr>
      <w:rPr>
        <w:rFonts w:hint="default" w:ascii="Wingdings" w:hAnsi="Wingdings"/>
      </w:rPr>
    </w:lvl>
    <w:lvl w:ilvl="1" w:tentative="0">
      <w:start w:val="1"/>
      <w:numFmt w:val="bullet"/>
      <w:lvlText w:val="l"/>
      <w:lvlJc w:val="left"/>
      <w:pPr>
        <w:tabs>
          <w:tab w:val="left" w:pos="567"/>
        </w:tabs>
        <w:ind w:left="567" w:hanging="567"/>
      </w:pPr>
      <w:rPr>
        <w:rFonts w:hint="default" w:ascii="Wingdings" w:hAnsi="Wingdings"/>
      </w:rPr>
    </w:lvl>
    <w:lvl w:ilvl="2" w:tentative="0">
      <w:start w:val="1"/>
      <w:numFmt w:val="bullet"/>
      <w:lvlText w:val="l"/>
      <w:lvlJc w:val="left"/>
      <w:pPr>
        <w:tabs>
          <w:tab w:val="left" w:pos="567"/>
        </w:tabs>
        <w:ind w:left="567" w:hanging="567"/>
      </w:pPr>
      <w:rPr>
        <w:rFonts w:hint="default" w:ascii="Wingdings" w:hAnsi="Wingdings"/>
      </w:rPr>
    </w:lvl>
    <w:lvl w:ilvl="3" w:tentative="0">
      <w:start w:val="1"/>
      <w:numFmt w:val="bullet"/>
      <w:lvlText w:val="l"/>
      <w:lvlJc w:val="left"/>
      <w:pPr>
        <w:tabs>
          <w:tab w:val="left" w:pos="567"/>
        </w:tabs>
        <w:ind w:left="567" w:hanging="567"/>
      </w:pPr>
      <w:rPr>
        <w:rFonts w:hint="default" w:ascii="Wingdings" w:hAnsi="Wingdings"/>
      </w:rPr>
    </w:lvl>
    <w:lvl w:ilvl="4" w:tentative="0">
      <w:start w:val="1"/>
      <w:numFmt w:val="bullet"/>
      <w:lvlText w:val="l"/>
      <w:lvlJc w:val="left"/>
      <w:pPr>
        <w:tabs>
          <w:tab w:val="left" w:pos="567"/>
        </w:tabs>
        <w:ind w:left="567" w:hanging="567"/>
      </w:pPr>
      <w:rPr>
        <w:rFonts w:hint="default" w:ascii="Wingdings" w:hAnsi="Wingdings"/>
      </w:rPr>
    </w:lvl>
    <w:lvl w:ilvl="5" w:tentative="0">
      <w:start w:val="1"/>
      <w:numFmt w:val="bullet"/>
      <w:lvlText w:val="l"/>
      <w:lvlJc w:val="left"/>
      <w:pPr>
        <w:tabs>
          <w:tab w:val="left" w:pos="567"/>
        </w:tabs>
        <w:ind w:left="567" w:hanging="567"/>
      </w:pPr>
      <w:rPr>
        <w:rFonts w:hint="default" w:ascii="Wingdings" w:hAnsi="Wingdings"/>
      </w:rPr>
    </w:lvl>
    <w:lvl w:ilvl="6" w:tentative="0">
      <w:start w:val="1"/>
      <w:numFmt w:val="bullet"/>
      <w:lvlText w:val="l"/>
      <w:lvlJc w:val="left"/>
      <w:pPr>
        <w:tabs>
          <w:tab w:val="left" w:pos="567"/>
        </w:tabs>
        <w:ind w:left="567" w:hanging="567"/>
      </w:pPr>
      <w:rPr>
        <w:rFonts w:hint="default" w:ascii="Wingdings" w:hAnsi="Wingdings"/>
      </w:rPr>
    </w:lvl>
    <w:lvl w:ilvl="7" w:tentative="0">
      <w:start w:val="1"/>
      <w:numFmt w:val="bullet"/>
      <w:lvlText w:val="l"/>
      <w:lvlJc w:val="left"/>
      <w:pPr>
        <w:tabs>
          <w:tab w:val="left" w:pos="567"/>
        </w:tabs>
        <w:ind w:left="567" w:hanging="567"/>
      </w:pPr>
      <w:rPr>
        <w:rFonts w:hint="default" w:ascii="Wingdings" w:hAnsi="Wingdings"/>
      </w:rPr>
    </w:lvl>
    <w:lvl w:ilvl="8" w:tentative="0">
      <w:start w:val="1"/>
      <w:numFmt w:val="bullet"/>
      <w:lvlText w:val="l"/>
      <w:lvlJc w:val="left"/>
      <w:pPr>
        <w:tabs>
          <w:tab w:val="left" w:pos="567"/>
        </w:tabs>
        <w:ind w:left="567" w:hanging="567"/>
      </w:pPr>
      <w:rPr>
        <w:rFonts w:hint="default" w:ascii="Wingdings" w:hAnsi="Wingdings"/>
      </w:rPr>
    </w:lvl>
  </w:abstractNum>
  <w:abstractNum w:abstractNumId="86">
    <w:nsid w:val="2F00005B"/>
    <w:multiLevelType w:val="multilevel"/>
    <w:tmpl w:val="2F00005B"/>
    <w:lvl w:ilvl="0" w:tentative="0">
      <w:start w:val="1"/>
      <w:numFmt w:val="decimal"/>
      <w:pStyle w:val="800"/>
      <w:lvlText w:val="图%1"/>
      <w:lvlJc w:val="center"/>
      <w:pPr>
        <w:tabs>
          <w:tab w:val="left" w:pos="1701"/>
        </w:tabs>
        <w:ind w:left="1701" w:hanging="340"/>
      </w:pPr>
      <w:rPr>
        <w:rFonts w:hint="eastAsia" w:eastAsia="宋体"/>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7">
    <w:nsid w:val="318B5866"/>
    <w:multiLevelType w:val="multilevel"/>
    <w:tmpl w:val="318B586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8">
    <w:nsid w:val="365777D9"/>
    <w:multiLevelType w:val="multilevel"/>
    <w:tmpl w:val="365777D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396D3B13"/>
    <w:multiLevelType w:val="multilevel"/>
    <w:tmpl w:val="396D3B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39DA281E"/>
    <w:multiLevelType w:val="multilevel"/>
    <w:tmpl w:val="39DA281E"/>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3D4F506B"/>
    <w:multiLevelType w:val="multilevel"/>
    <w:tmpl w:val="3D4F506B"/>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3FA25CB5"/>
    <w:multiLevelType w:val="multilevel"/>
    <w:tmpl w:val="3FA25CB5"/>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4AC775F4"/>
    <w:multiLevelType w:val="multilevel"/>
    <w:tmpl w:val="4AC775F4"/>
    <w:lvl w:ilvl="0" w:tentative="0">
      <w:start w:val="1"/>
      <w:numFmt w:val="decimal"/>
      <w:lvlText w:val="%1."/>
      <w:lvlJc w:val="left"/>
      <w:pPr>
        <w:ind w:left="425" w:hanging="425"/>
      </w:pPr>
      <w:rPr>
        <w:rFonts w:hint="eastAsia" w:ascii="宋体" w:hAnsi="宋体" w:eastAsia="宋体"/>
        <w:b/>
        <w:sz w:val="28"/>
      </w:rPr>
    </w:lvl>
    <w:lvl w:ilvl="1" w:tentative="0">
      <w:start w:val="1"/>
      <w:numFmt w:val="decimal"/>
      <w:lvlText w:val="%1.%2"/>
      <w:lvlJc w:val="left"/>
      <w:pPr>
        <w:ind w:left="850" w:hanging="425"/>
      </w:pPr>
      <w:rPr>
        <w:rFonts w:hint="eastAsia" w:eastAsia="宋体"/>
        <w:b/>
        <w:i w:val="0"/>
        <w:sz w:val="24"/>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94">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5">
    <w:nsid w:val="64FB4BFD"/>
    <w:multiLevelType w:val="multilevel"/>
    <w:tmpl w:val="64FB4B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113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7">
    <w:nsid w:val="6EDB18A8"/>
    <w:multiLevelType w:val="multilevel"/>
    <w:tmpl w:val="6EDB18A8"/>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7"/>
  </w:num>
  <w:num w:numId="2">
    <w:abstractNumId w:val="16"/>
  </w:num>
  <w:num w:numId="3">
    <w:abstractNumId w:val="15"/>
  </w:num>
  <w:num w:numId="4">
    <w:abstractNumId w:val="14"/>
  </w:num>
  <w:num w:numId="5">
    <w:abstractNumId w:val="94"/>
  </w:num>
  <w:num w:numId="6">
    <w:abstractNumId w:val="57"/>
  </w:num>
  <w:num w:numId="7">
    <w:abstractNumId w:val="38"/>
  </w:num>
  <w:num w:numId="8">
    <w:abstractNumId w:val="84"/>
  </w:num>
  <w:num w:numId="9">
    <w:abstractNumId w:val="44"/>
  </w:num>
  <w:num w:numId="10">
    <w:abstractNumId w:val="75"/>
  </w:num>
  <w:num w:numId="11">
    <w:abstractNumId w:val="80"/>
  </w:num>
  <w:num w:numId="12">
    <w:abstractNumId w:val="43"/>
  </w:num>
  <w:num w:numId="13">
    <w:abstractNumId w:val="69"/>
  </w:num>
  <w:num w:numId="14">
    <w:abstractNumId w:val="66"/>
  </w:num>
  <w:num w:numId="15">
    <w:abstractNumId w:val="35"/>
  </w:num>
  <w:num w:numId="16">
    <w:abstractNumId w:val="55"/>
  </w:num>
  <w:num w:numId="17">
    <w:abstractNumId w:val="21"/>
  </w:num>
  <w:num w:numId="18">
    <w:abstractNumId w:val="72"/>
  </w:num>
  <w:num w:numId="19">
    <w:abstractNumId w:val="5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64"/>
  </w:num>
  <w:num w:numId="22">
    <w:abstractNumId w:val="41"/>
  </w:num>
  <w:num w:numId="23">
    <w:abstractNumId w:val="40"/>
  </w:num>
  <w:num w:numId="24">
    <w:abstractNumId w:val="18"/>
  </w:num>
  <w:num w:numId="25">
    <w:abstractNumId w:val="20"/>
  </w:num>
  <w:num w:numId="26">
    <w:abstractNumId w:val="26"/>
  </w:num>
  <w:num w:numId="27">
    <w:abstractNumId w:val="27"/>
  </w:num>
  <w:num w:numId="28">
    <w:abstractNumId w:val="25"/>
  </w:num>
  <w:num w:numId="29">
    <w:abstractNumId w:val="23"/>
  </w:num>
  <w:num w:numId="30">
    <w:abstractNumId w:val="22"/>
  </w:num>
  <w:num w:numId="31">
    <w:abstractNumId w:val="19"/>
  </w:num>
  <w:num w:numId="32">
    <w:abstractNumId w:val="24"/>
  </w:num>
  <w:num w:numId="33">
    <w:abstractNumId w:val="50"/>
  </w:num>
  <w:num w:numId="34">
    <w:abstractNumId w:val="52"/>
  </w:num>
  <w:num w:numId="35">
    <w:abstractNumId w:val="59"/>
    <w:lvlOverride w:ilvl="0">
      <w:startOverride w:val="1"/>
    </w:lvlOverride>
  </w:num>
  <w:num w:numId="36">
    <w:abstractNumId w:val="60"/>
  </w:num>
  <w:num w:numId="37">
    <w:abstractNumId w:val="79"/>
  </w:num>
  <w:num w:numId="38">
    <w:abstractNumId w:val="81"/>
  </w:num>
  <w:num w:numId="39">
    <w:abstractNumId w:val="73"/>
    <w:lvlOverride w:ilvl="0">
      <w:startOverride w:val="1"/>
    </w:lvlOverride>
  </w:num>
  <w:num w:numId="40">
    <w:abstractNumId w:val="61"/>
  </w:num>
  <w:num w:numId="41">
    <w:abstractNumId w:val="77"/>
  </w:num>
  <w:num w:numId="42">
    <w:abstractNumId w:val="62"/>
  </w:num>
  <w:num w:numId="43">
    <w:abstractNumId w:val="49"/>
  </w:num>
  <w:num w:numId="44">
    <w:abstractNumId w:val="74"/>
  </w:num>
  <w:num w:numId="45">
    <w:abstractNumId w:val="71"/>
  </w:num>
  <w:num w:numId="46">
    <w:abstractNumId w:val="68"/>
  </w:num>
  <w:num w:numId="47">
    <w:abstractNumId w:val="76"/>
  </w:num>
  <w:num w:numId="48">
    <w:abstractNumId w:val="34"/>
  </w:num>
  <w:num w:numId="49">
    <w:abstractNumId w:val="29"/>
  </w:num>
  <w:num w:numId="50">
    <w:abstractNumId w:val="58"/>
  </w:num>
  <w:num w:numId="51">
    <w:abstractNumId w:val="70"/>
  </w:num>
  <w:num w:numId="52">
    <w:abstractNumId w:val="67"/>
  </w:num>
  <w:num w:numId="53">
    <w:abstractNumId w:val="47"/>
  </w:num>
  <w:num w:numId="54">
    <w:abstractNumId w:val="31"/>
  </w:num>
  <w:num w:numId="55">
    <w:abstractNumId w:val="86"/>
  </w:num>
  <w:num w:numId="56">
    <w:abstractNumId w:val="78"/>
  </w:num>
  <w:num w:numId="57">
    <w:abstractNumId w:val="63"/>
  </w:num>
  <w:num w:numId="58">
    <w:abstractNumId w:val="51"/>
  </w:num>
  <w:num w:numId="59">
    <w:abstractNumId w:val="37"/>
  </w:num>
  <w:num w:numId="60">
    <w:abstractNumId w:val="33"/>
  </w:num>
  <w:num w:numId="61">
    <w:abstractNumId w:val="30"/>
  </w:num>
  <w:num w:numId="62">
    <w:abstractNumId w:val="56"/>
  </w:num>
  <w:num w:numId="63">
    <w:abstractNumId w:val="42"/>
  </w:num>
  <w:num w:numId="64">
    <w:abstractNumId w:val="83"/>
  </w:num>
  <w:num w:numId="65">
    <w:abstractNumId w:val="36"/>
  </w:num>
  <w:num w:numId="66">
    <w:abstractNumId w:val="28"/>
  </w:num>
  <w:num w:numId="67">
    <w:abstractNumId w:val="46"/>
  </w:num>
  <w:num w:numId="68">
    <w:abstractNumId w:val="53"/>
  </w:num>
  <w:num w:numId="69">
    <w:abstractNumId w:val="65"/>
  </w:num>
  <w:num w:numId="70">
    <w:abstractNumId w:val="82"/>
  </w:num>
  <w:num w:numId="71">
    <w:abstractNumId w:val="48"/>
  </w:num>
  <w:num w:numId="72">
    <w:abstractNumId w:val="39"/>
  </w:num>
  <w:num w:numId="73">
    <w:abstractNumId w:val="85"/>
  </w:num>
  <w:num w:numId="74">
    <w:abstractNumId w:val="32"/>
  </w:num>
  <w:num w:numId="75">
    <w:abstractNumId w:val="3"/>
  </w:num>
  <w:num w:numId="76">
    <w:abstractNumId w:val="8"/>
  </w:num>
  <w:num w:numId="77">
    <w:abstractNumId w:val="93"/>
  </w:num>
  <w:num w:numId="78">
    <w:abstractNumId w:val="9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3"/>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87"/>
  </w:num>
  <w:num w:numId="82">
    <w:abstractNumId w:val="95"/>
  </w:num>
  <w:num w:numId="83">
    <w:abstractNumId w:val="93"/>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num>
  <w:num w:numId="86">
    <w:abstractNumId w:val="6"/>
  </w:num>
  <w:num w:numId="87">
    <w:abstractNumId w:val="98"/>
  </w:num>
  <w:num w:numId="88">
    <w:abstractNumId w:val="1"/>
  </w:num>
  <w:num w:numId="89">
    <w:abstractNumId w:val="12"/>
  </w:num>
  <w:num w:numId="90">
    <w:abstractNumId w:val="0"/>
  </w:num>
  <w:num w:numId="91">
    <w:abstractNumId w:val="96"/>
  </w:num>
  <w:num w:numId="92">
    <w:abstractNumId w:val="7"/>
  </w:num>
  <w:num w:numId="93">
    <w:abstractNumId w:val="13"/>
  </w:num>
  <w:num w:numId="94">
    <w:abstractNumId w:val="5"/>
  </w:num>
  <w:num w:numId="95">
    <w:abstractNumId w:val="89"/>
  </w:num>
  <w:num w:numId="96">
    <w:abstractNumId w:val="4"/>
  </w:num>
  <w:num w:numId="97">
    <w:abstractNumId w:val="88"/>
  </w:num>
  <w:num w:numId="98">
    <w:abstractNumId w:val="92"/>
  </w:num>
  <w:num w:numId="99">
    <w:abstractNumId w:val="90"/>
  </w:num>
  <w:num w:numId="100">
    <w:abstractNumId w:val="2"/>
  </w:num>
  <w:num w:numId="101">
    <w:abstractNumId w:val="10"/>
  </w:num>
  <w:num w:numId="102">
    <w:abstractNumId w:val="11"/>
  </w:num>
  <w:num w:numId="103">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hideSpellingErrors/>
  <w:hideGrammatical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MjkyNGZiYzBlZTdmN2U4NTlmMzExZTYxOThiNDIifQ=="/>
  </w:docVars>
  <w:rsids>
    <w:rsidRoot w:val="006D1E24"/>
    <w:rsid w:val="0000107C"/>
    <w:rsid w:val="00001243"/>
    <w:rsid w:val="00001D14"/>
    <w:rsid w:val="00003939"/>
    <w:rsid w:val="000047AE"/>
    <w:rsid w:val="00004907"/>
    <w:rsid w:val="000057B9"/>
    <w:rsid w:val="00005869"/>
    <w:rsid w:val="0000597B"/>
    <w:rsid w:val="00007097"/>
    <w:rsid w:val="000075A0"/>
    <w:rsid w:val="000077AB"/>
    <w:rsid w:val="00010968"/>
    <w:rsid w:val="00011A09"/>
    <w:rsid w:val="000126F7"/>
    <w:rsid w:val="00012B5E"/>
    <w:rsid w:val="00013A07"/>
    <w:rsid w:val="00014A6B"/>
    <w:rsid w:val="00014F14"/>
    <w:rsid w:val="0001593D"/>
    <w:rsid w:val="00015A22"/>
    <w:rsid w:val="00015BF3"/>
    <w:rsid w:val="00015CF1"/>
    <w:rsid w:val="000164B5"/>
    <w:rsid w:val="0001659A"/>
    <w:rsid w:val="00016CB3"/>
    <w:rsid w:val="00016DEE"/>
    <w:rsid w:val="000202BD"/>
    <w:rsid w:val="000207D1"/>
    <w:rsid w:val="00020D9C"/>
    <w:rsid w:val="0002129D"/>
    <w:rsid w:val="00021A11"/>
    <w:rsid w:val="00021AA4"/>
    <w:rsid w:val="0002398D"/>
    <w:rsid w:val="000246FF"/>
    <w:rsid w:val="00024789"/>
    <w:rsid w:val="0002509A"/>
    <w:rsid w:val="00025960"/>
    <w:rsid w:val="0002606E"/>
    <w:rsid w:val="000265DB"/>
    <w:rsid w:val="0002661D"/>
    <w:rsid w:val="00027253"/>
    <w:rsid w:val="0002725B"/>
    <w:rsid w:val="000276E2"/>
    <w:rsid w:val="00027794"/>
    <w:rsid w:val="00030336"/>
    <w:rsid w:val="00030B3A"/>
    <w:rsid w:val="00030F0C"/>
    <w:rsid w:val="00032499"/>
    <w:rsid w:val="00032550"/>
    <w:rsid w:val="00033ED9"/>
    <w:rsid w:val="0003405B"/>
    <w:rsid w:val="00034D67"/>
    <w:rsid w:val="000357F1"/>
    <w:rsid w:val="0003775A"/>
    <w:rsid w:val="00037E1F"/>
    <w:rsid w:val="00041272"/>
    <w:rsid w:val="0004206C"/>
    <w:rsid w:val="0004255D"/>
    <w:rsid w:val="00042E7E"/>
    <w:rsid w:val="000437ED"/>
    <w:rsid w:val="0004453D"/>
    <w:rsid w:val="000445C6"/>
    <w:rsid w:val="00044AB7"/>
    <w:rsid w:val="00044D32"/>
    <w:rsid w:val="000466F9"/>
    <w:rsid w:val="00047CB9"/>
    <w:rsid w:val="00047DBE"/>
    <w:rsid w:val="00047E9C"/>
    <w:rsid w:val="0005066A"/>
    <w:rsid w:val="00050DC7"/>
    <w:rsid w:val="00051895"/>
    <w:rsid w:val="000519A8"/>
    <w:rsid w:val="00051CBD"/>
    <w:rsid w:val="00052288"/>
    <w:rsid w:val="00052F71"/>
    <w:rsid w:val="00053C97"/>
    <w:rsid w:val="00055DE2"/>
    <w:rsid w:val="000560BC"/>
    <w:rsid w:val="00056105"/>
    <w:rsid w:val="00057963"/>
    <w:rsid w:val="00060BF6"/>
    <w:rsid w:val="00061B23"/>
    <w:rsid w:val="00062473"/>
    <w:rsid w:val="000629D4"/>
    <w:rsid w:val="00062A74"/>
    <w:rsid w:val="00062C51"/>
    <w:rsid w:val="00062DCD"/>
    <w:rsid w:val="00063079"/>
    <w:rsid w:val="00063128"/>
    <w:rsid w:val="00064271"/>
    <w:rsid w:val="00064517"/>
    <w:rsid w:val="00064F84"/>
    <w:rsid w:val="00070114"/>
    <w:rsid w:val="00070C06"/>
    <w:rsid w:val="00070CDD"/>
    <w:rsid w:val="000717AA"/>
    <w:rsid w:val="000725D7"/>
    <w:rsid w:val="00073027"/>
    <w:rsid w:val="0007311E"/>
    <w:rsid w:val="00073E0B"/>
    <w:rsid w:val="00074167"/>
    <w:rsid w:val="0007475F"/>
    <w:rsid w:val="00074915"/>
    <w:rsid w:val="0007547C"/>
    <w:rsid w:val="00075B62"/>
    <w:rsid w:val="0007666A"/>
    <w:rsid w:val="000768CC"/>
    <w:rsid w:val="00077A51"/>
    <w:rsid w:val="00080E67"/>
    <w:rsid w:val="00081BE6"/>
    <w:rsid w:val="00081C20"/>
    <w:rsid w:val="0008220C"/>
    <w:rsid w:val="00083784"/>
    <w:rsid w:val="00085530"/>
    <w:rsid w:val="000855BF"/>
    <w:rsid w:val="00086296"/>
    <w:rsid w:val="000862FE"/>
    <w:rsid w:val="00087053"/>
    <w:rsid w:val="0008747D"/>
    <w:rsid w:val="000901AA"/>
    <w:rsid w:val="000903B0"/>
    <w:rsid w:val="00092670"/>
    <w:rsid w:val="0009287B"/>
    <w:rsid w:val="00093E50"/>
    <w:rsid w:val="00094678"/>
    <w:rsid w:val="000950F9"/>
    <w:rsid w:val="00095379"/>
    <w:rsid w:val="0009650A"/>
    <w:rsid w:val="00096BF6"/>
    <w:rsid w:val="000975BF"/>
    <w:rsid w:val="000A0EF5"/>
    <w:rsid w:val="000A1448"/>
    <w:rsid w:val="000A1D1F"/>
    <w:rsid w:val="000A1E34"/>
    <w:rsid w:val="000A2258"/>
    <w:rsid w:val="000A3AD8"/>
    <w:rsid w:val="000A3C0C"/>
    <w:rsid w:val="000A3D5D"/>
    <w:rsid w:val="000A4B36"/>
    <w:rsid w:val="000A5778"/>
    <w:rsid w:val="000A705A"/>
    <w:rsid w:val="000A71E6"/>
    <w:rsid w:val="000A77D5"/>
    <w:rsid w:val="000A7F41"/>
    <w:rsid w:val="000B04F2"/>
    <w:rsid w:val="000B079C"/>
    <w:rsid w:val="000B256E"/>
    <w:rsid w:val="000B5041"/>
    <w:rsid w:val="000B55EC"/>
    <w:rsid w:val="000B67FE"/>
    <w:rsid w:val="000B6EB8"/>
    <w:rsid w:val="000B6F97"/>
    <w:rsid w:val="000B731B"/>
    <w:rsid w:val="000C063A"/>
    <w:rsid w:val="000C09BF"/>
    <w:rsid w:val="000C0A9D"/>
    <w:rsid w:val="000C0F5A"/>
    <w:rsid w:val="000C1CD8"/>
    <w:rsid w:val="000C1E9B"/>
    <w:rsid w:val="000C228B"/>
    <w:rsid w:val="000C28C1"/>
    <w:rsid w:val="000C37EF"/>
    <w:rsid w:val="000C3B04"/>
    <w:rsid w:val="000C4244"/>
    <w:rsid w:val="000C4B42"/>
    <w:rsid w:val="000C52B4"/>
    <w:rsid w:val="000C56D3"/>
    <w:rsid w:val="000C6898"/>
    <w:rsid w:val="000D090B"/>
    <w:rsid w:val="000D14BD"/>
    <w:rsid w:val="000D16E4"/>
    <w:rsid w:val="000D1A2E"/>
    <w:rsid w:val="000D1C1F"/>
    <w:rsid w:val="000D204A"/>
    <w:rsid w:val="000D21AC"/>
    <w:rsid w:val="000D2C2A"/>
    <w:rsid w:val="000D3834"/>
    <w:rsid w:val="000D4D81"/>
    <w:rsid w:val="000D66AE"/>
    <w:rsid w:val="000D6E7B"/>
    <w:rsid w:val="000D7736"/>
    <w:rsid w:val="000D7B50"/>
    <w:rsid w:val="000E045B"/>
    <w:rsid w:val="000E1109"/>
    <w:rsid w:val="000E1C06"/>
    <w:rsid w:val="000E1EDF"/>
    <w:rsid w:val="000E1F04"/>
    <w:rsid w:val="000E25C5"/>
    <w:rsid w:val="000E28EF"/>
    <w:rsid w:val="000E2CF1"/>
    <w:rsid w:val="000E2DD2"/>
    <w:rsid w:val="000E33CC"/>
    <w:rsid w:val="000E4B58"/>
    <w:rsid w:val="000E4D61"/>
    <w:rsid w:val="000E579C"/>
    <w:rsid w:val="000E5DCA"/>
    <w:rsid w:val="000E5F8C"/>
    <w:rsid w:val="000E65C0"/>
    <w:rsid w:val="000E68A1"/>
    <w:rsid w:val="000F0563"/>
    <w:rsid w:val="000F1D30"/>
    <w:rsid w:val="000F2448"/>
    <w:rsid w:val="000F29B7"/>
    <w:rsid w:val="000F2A61"/>
    <w:rsid w:val="000F5530"/>
    <w:rsid w:val="000F6AD7"/>
    <w:rsid w:val="000F6C5A"/>
    <w:rsid w:val="000F6D4B"/>
    <w:rsid w:val="000F6F16"/>
    <w:rsid w:val="000F7DD6"/>
    <w:rsid w:val="00100E05"/>
    <w:rsid w:val="00102BE9"/>
    <w:rsid w:val="0010339A"/>
    <w:rsid w:val="0010374A"/>
    <w:rsid w:val="00104246"/>
    <w:rsid w:val="001043E8"/>
    <w:rsid w:val="001046B6"/>
    <w:rsid w:val="00104B75"/>
    <w:rsid w:val="00104E3E"/>
    <w:rsid w:val="001051DB"/>
    <w:rsid w:val="00106245"/>
    <w:rsid w:val="00106AAE"/>
    <w:rsid w:val="001075F9"/>
    <w:rsid w:val="00107748"/>
    <w:rsid w:val="00107807"/>
    <w:rsid w:val="00107991"/>
    <w:rsid w:val="00107E05"/>
    <w:rsid w:val="00107F69"/>
    <w:rsid w:val="00110A63"/>
    <w:rsid w:val="001112B6"/>
    <w:rsid w:val="001112C1"/>
    <w:rsid w:val="0011414A"/>
    <w:rsid w:val="0011621A"/>
    <w:rsid w:val="001162FB"/>
    <w:rsid w:val="00116CB4"/>
    <w:rsid w:val="00120CA5"/>
    <w:rsid w:val="00121624"/>
    <w:rsid w:val="00122DE5"/>
    <w:rsid w:val="0012392E"/>
    <w:rsid w:val="001241F1"/>
    <w:rsid w:val="0012492E"/>
    <w:rsid w:val="0012512B"/>
    <w:rsid w:val="0012524C"/>
    <w:rsid w:val="001253E8"/>
    <w:rsid w:val="001258A8"/>
    <w:rsid w:val="00125A7A"/>
    <w:rsid w:val="00126370"/>
    <w:rsid w:val="00127F1F"/>
    <w:rsid w:val="001306E5"/>
    <w:rsid w:val="00130BCA"/>
    <w:rsid w:val="00131518"/>
    <w:rsid w:val="001315EB"/>
    <w:rsid w:val="00131CD5"/>
    <w:rsid w:val="00133588"/>
    <w:rsid w:val="001337DF"/>
    <w:rsid w:val="00135350"/>
    <w:rsid w:val="001358FC"/>
    <w:rsid w:val="0013604E"/>
    <w:rsid w:val="00137021"/>
    <w:rsid w:val="001374C5"/>
    <w:rsid w:val="001400EC"/>
    <w:rsid w:val="001405FC"/>
    <w:rsid w:val="00140D89"/>
    <w:rsid w:val="00141291"/>
    <w:rsid w:val="00141358"/>
    <w:rsid w:val="001413DE"/>
    <w:rsid w:val="001413E9"/>
    <w:rsid w:val="00141474"/>
    <w:rsid w:val="00141EC9"/>
    <w:rsid w:val="001438EB"/>
    <w:rsid w:val="00143DC1"/>
    <w:rsid w:val="00143F8B"/>
    <w:rsid w:val="0014441E"/>
    <w:rsid w:val="00144944"/>
    <w:rsid w:val="00144E54"/>
    <w:rsid w:val="001464EC"/>
    <w:rsid w:val="001467A1"/>
    <w:rsid w:val="0014690F"/>
    <w:rsid w:val="00146A1E"/>
    <w:rsid w:val="00146A2C"/>
    <w:rsid w:val="001476AF"/>
    <w:rsid w:val="00151335"/>
    <w:rsid w:val="001521DF"/>
    <w:rsid w:val="00152C1A"/>
    <w:rsid w:val="00153BA2"/>
    <w:rsid w:val="00153DA1"/>
    <w:rsid w:val="0015477C"/>
    <w:rsid w:val="001558E8"/>
    <w:rsid w:val="001559C5"/>
    <w:rsid w:val="00156364"/>
    <w:rsid w:val="001567BD"/>
    <w:rsid w:val="00156AD9"/>
    <w:rsid w:val="0015713C"/>
    <w:rsid w:val="001603BD"/>
    <w:rsid w:val="0016072E"/>
    <w:rsid w:val="00160E7C"/>
    <w:rsid w:val="00160F5A"/>
    <w:rsid w:val="00162F41"/>
    <w:rsid w:val="00163380"/>
    <w:rsid w:val="0016398B"/>
    <w:rsid w:val="00165875"/>
    <w:rsid w:val="00165935"/>
    <w:rsid w:val="00165C45"/>
    <w:rsid w:val="00166608"/>
    <w:rsid w:val="001676BC"/>
    <w:rsid w:val="00167912"/>
    <w:rsid w:val="00167E66"/>
    <w:rsid w:val="00170340"/>
    <w:rsid w:val="00170507"/>
    <w:rsid w:val="0017070C"/>
    <w:rsid w:val="001712B8"/>
    <w:rsid w:val="001723AD"/>
    <w:rsid w:val="00172DC9"/>
    <w:rsid w:val="00173C41"/>
    <w:rsid w:val="00173C8F"/>
    <w:rsid w:val="001742CB"/>
    <w:rsid w:val="00174F8F"/>
    <w:rsid w:val="001753BA"/>
    <w:rsid w:val="00175694"/>
    <w:rsid w:val="001757E4"/>
    <w:rsid w:val="001759D8"/>
    <w:rsid w:val="00176123"/>
    <w:rsid w:val="00176386"/>
    <w:rsid w:val="00176B74"/>
    <w:rsid w:val="00177428"/>
    <w:rsid w:val="00177531"/>
    <w:rsid w:val="00180C55"/>
    <w:rsid w:val="00180FCE"/>
    <w:rsid w:val="00181017"/>
    <w:rsid w:val="00182766"/>
    <w:rsid w:val="001830EA"/>
    <w:rsid w:val="001845D4"/>
    <w:rsid w:val="001848F1"/>
    <w:rsid w:val="00184C8A"/>
    <w:rsid w:val="00184F2C"/>
    <w:rsid w:val="001851E3"/>
    <w:rsid w:val="0018551F"/>
    <w:rsid w:val="001861E0"/>
    <w:rsid w:val="00186411"/>
    <w:rsid w:val="00186424"/>
    <w:rsid w:val="0018646D"/>
    <w:rsid w:val="00190050"/>
    <w:rsid w:val="00190437"/>
    <w:rsid w:val="001916FE"/>
    <w:rsid w:val="00191A7D"/>
    <w:rsid w:val="00192158"/>
    <w:rsid w:val="00193C2A"/>
    <w:rsid w:val="001945B8"/>
    <w:rsid w:val="00194691"/>
    <w:rsid w:val="001946E9"/>
    <w:rsid w:val="001949A4"/>
    <w:rsid w:val="00195240"/>
    <w:rsid w:val="00195A65"/>
    <w:rsid w:val="00196397"/>
    <w:rsid w:val="00196607"/>
    <w:rsid w:val="001978BE"/>
    <w:rsid w:val="00197B12"/>
    <w:rsid w:val="001A0B00"/>
    <w:rsid w:val="001A1122"/>
    <w:rsid w:val="001A15F3"/>
    <w:rsid w:val="001A1B0A"/>
    <w:rsid w:val="001A1B30"/>
    <w:rsid w:val="001A2791"/>
    <w:rsid w:val="001A4B06"/>
    <w:rsid w:val="001A714E"/>
    <w:rsid w:val="001A7B9F"/>
    <w:rsid w:val="001A7C37"/>
    <w:rsid w:val="001B0149"/>
    <w:rsid w:val="001B041E"/>
    <w:rsid w:val="001B0424"/>
    <w:rsid w:val="001B05F6"/>
    <w:rsid w:val="001B1E47"/>
    <w:rsid w:val="001B2099"/>
    <w:rsid w:val="001B2883"/>
    <w:rsid w:val="001B2C64"/>
    <w:rsid w:val="001B30FF"/>
    <w:rsid w:val="001B3CFD"/>
    <w:rsid w:val="001B3DD5"/>
    <w:rsid w:val="001B3F0F"/>
    <w:rsid w:val="001B4730"/>
    <w:rsid w:val="001B79BF"/>
    <w:rsid w:val="001C0B43"/>
    <w:rsid w:val="001C1069"/>
    <w:rsid w:val="001C161E"/>
    <w:rsid w:val="001C162C"/>
    <w:rsid w:val="001C1E3D"/>
    <w:rsid w:val="001C2082"/>
    <w:rsid w:val="001C2649"/>
    <w:rsid w:val="001C2B03"/>
    <w:rsid w:val="001C2C69"/>
    <w:rsid w:val="001C3C89"/>
    <w:rsid w:val="001C3F5C"/>
    <w:rsid w:val="001C5177"/>
    <w:rsid w:val="001C538A"/>
    <w:rsid w:val="001C5464"/>
    <w:rsid w:val="001C560E"/>
    <w:rsid w:val="001C59FC"/>
    <w:rsid w:val="001C5D49"/>
    <w:rsid w:val="001C6081"/>
    <w:rsid w:val="001C651B"/>
    <w:rsid w:val="001C6674"/>
    <w:rsid w:val="001C7EA9"/>
    <w:rsid w:val="001D0DDC"/>
    <w:rsid w:val="001D1275"/>
    <w:rsid w:val="001D1438"/>
    <w:rsid w:val="001D17BA"/>
    <w:rsid w:val="001D17F2"/>
    <w:rsid w:val="001D201F"/>
    <w:rsid w:val="001D2C1F"/>
    <w:rsid w:val="001D320A"/>
    <w:rsid w:val="001D3A09"/>
    <w:rsid w:val="001D433D"/>
    <w:rsid w:val="001D4673"/>
    <w:rsid w:val="001D5A14"/>
    <w:rsid w:val="001D618A"/>
    <w:rsid w:val="001D64E0"/>
    <w:rsid w:val="001D6D30"/>
    <w:rsid w:val="001D7E6B"/>
    <w:rsid w:val="001E0048"/>
    <w:rsid w:val="001E0AF4"/>
    <w:rsid w:val="001E10D9"/>
    <w:rsid w:val="001E15DC"/>
    <w:rsid w:val="001E2A0A"/>
    <w:rsid w:val="001E324D"/>
    <w:rsid w:val="001E39E7"/>
    <w:rsid w:val="001E4D7B"/>
    <w:rsid w:val="001E5758"/>
    <w:rsid w:val="001E6112"/>
    <w:rsid w:val="001E6416"/>
    <w:rsid w:val="001E6C97"/>
    <w:rsid w:val="001E724F"/>
    <w:rsid w:val="001E7788"/>
    <w:rsid w:val="001E7991"/>
    <w:rsid w:val="001F145D"/>
    <w:rsid w:val="001F2D6E"/>
    <w:rsid w:val="001F2F59"/>
    <w:rsid w:val="001F3539"/>
    <w:rsid w:val="001F3853"/>
    <w:rsid w:val="001F3FDC"/>
    <w:rsid w:val="001F5418"/>
    <w:rsid w:val="001F603D"/>
    <w:rsid w:val="001F74E8"/>
    <w:rsid w:val="001F7C23"/>
    <w:rsid w:val="00200002"/>
    <w:rsid w:val="002010F2"/>
    <w:rsid w:val="002017B3"/>
    <w:rsid w:val="0020216F"/>
    <w:rsid w:val="00203AA9"/>
    <w:rsid w:val="0020431E"/>
    <w:rsid w:val="0020456B"/>
    <w:rsid w:val="00205C2E"/>
    <w:rsid w:val="00207B4E"/>
    <w:rsid w:val="00210392"/>
    <w:rsid w:val="002109CC"/>
    <w:rsid w:val="00210D4C"/>
    <w:rsid w:val="00210ECA"/>
    <w:rsid w:val="00212626"/>
    <w:rsid w:val="00213454"/>
    <w:rsid w:val="002135C7"/>
    <w:rsid w:val="00213E35"/>
    <w:rsid w:val="002141B5"/>
    <w:rsid w:val="0021467C"/>
    <w:rsid w:val="00214844"/>
    <w:rsid w:val="00214972"/>
    <w:rsid w:val="002149F3"/>
    <w:rsid w:val="0021517D"/>
    <w:rsid w:val="002151BA"/>
    <w:rsid w:val="0021636E"/>
    <w:rsid w:val="00216461"/>
    <w:rsid w:val="0021752B"/>
    <w:rsid w:val="002177C0"/>
    <w:rsid w:val="00217911"/>
    <w:rsid w:val="002179C0"/>
    <w:rsid w:val="002200BC"/>
    <w:rsid w:val="002200D7"/>
    <w:rsid w:val="00220906"/>
    <w:rsid w:val="0022246C"/>
    <w:rsid w:val="0022262F"/>
    <w:rsid w:val="00222817"/>
    <w:rsid w:val="002233EC"/>
    <w:rsid w:val="00223FA3"/>
    <w:rsid w:val="002250A6"/>
    <w:rsid w:val="002255BE"/>
    <w:rsid w:val="00225FC3"/>
    <w:rsid w:val="0022705A"/>
    <w:rsid w:val="002314D3"/>
    <w:rsid w:val="0023172D"/>
    <w:rsid w:val="0023206B"/>
    <w:rsid w:val="00232E61"/>
    <w:rsid w:val="002336F3"/>
    <w:rsid w:val="002342E9"/>
    <w:rsid w:val="002346FB"/>
    <w:rsid w:val="00234EA4"/>
    <w:rsid w:val="00235D5D"/>
    <w:rsid w:val="0023604B"/>
    <w:rsid w:val="002363D4"/>
    <w:rsid w:val="002370E6"/>
    <w:rsid w:val="002379D0"/>
    <w:rsid w:val="0024082B"/>
    <w:rsid w:val="00240D2D"/>
    <w:rsid w:val="0024288D"/>
    <w:rsid w:val="002434D9"/>
    <w:rsid w:val="002439BE"/>
    <w:rsid w:val="00243FA4"/>
    <w:rsid w:val="0024569C"/>
    <w:rsid w:val="00246597"/>
    <w:rsid w:val="00247BC5"/>
    <w:rsid w:val="00250068"/>
    <w:rsid w:val="00250163"/>
    <w:rsid w:val="002507CF"/>
    <w:rsid w:val="00250A85"/>
    <w:rsid w:val="00250E3E"/>
    <w:rsid w:val="002514C8"/>
    <w:rsid w:val="00252D35"/>
    <w:rsid w:val="0025344E"/>
    <w:rsid w:val="0025470E"/>
    <w:rsid w:val="00254C4F"/>
    <w:rsid w:val="00254DD5"/>
    <w:rsid w:val="002551D4"/>
    <w:rsid w:val="00255BC7"/>
    <w:rsid w:val="002560C5"/>
    <w:rsid w:val="00257217"/>
    <w:rsid w:val="002576AF"/>
    <w:rsid w:val="00257772"/>
    <w:rsid w:val="00257BC2"/>
    <w:rsid w:val="00257D1F"/>
    <w:rsid w:val="00257EA3"/>
    <w:rsid w:val="002603F5"/>
    <w:rsid w:val="00260A7C"/>
    <w:rsid w:val="00260CC4"/>
    <w:rsid w:val="002611A6"/>
    <w:rsid w:val="00261D39"/>
    <w:rsid w:val="00261D82"/>
    <w:rsid w:val="00262517"/>
    <w:rsid w:val="002627E3"/>
    <w:rsid w:val="00263504"/>
    <w:rsid w:val="00263A42"/>
    <w:rsid w:val="00263CAB"/>
    <w:rsid w:val="00263D8B"/>
    <w:rsid w:val="00264F8F"/>
    <w:rsid w:val="0026596A"/>
    <w:rsid w:val="00265D3C"/>
    <w:rsid w:val="0026626A"/>
    <w:rsid w:val="00266376"/>
    <w:rsid w:val="0026656B"/>
    <w:rsid w:val="00266F33"/>
    <w:rsid w:val="002677AA"/>
    <w:rsid w:val="0027044A"/>
    <w:rsid w:val="002709E5"/>
    <w:rsid w:val="00271B1A"/>
    <w:rsid w:val="00272C88"/>
    <w:rsid w:val="00273253"/>
    <w:rsid w:val="002734E5"/>
    <w:rsid w:val="0027535D"/>
    <w:rsid w:val="00276068"/>
    <w:rsid w:val="00276B75"/>
    <w:rsid w:val="00276C1D"/>
    <w:rsid w:val="00277184"/>
    <w:rsid w:val="00277897"/>
    <w:rsid w:val="00277C54"/>
    <w:rsid w:val="002809A3"/>
    <w:rsid w:val="00280A92"/>
    <w:rsid w:val="00280BCA"/>
    <w:rsid w:val="00280E8F"/>
    <w:rsid w:val="0028126D"/>
    <w:rsid w:val="00281520"/>
    <w:rsid w:val="00281EDF"/>
    <w:rsid w:val="0028282F"/>
    <w:rsid w:val="002829E2"/>
    <w:rsid w:val="00283714"/>
    <w:rsid w:val="00284F5F"/>
    <w:rsid w:val="002864CD"/>
    <w:rsid w:val="00287999"/>
    <w:rsid w:val="00287A8C"/>
    <w:rsid w:val="00287C55"/>
    <w:rsid w:val="00290DEE"/>
    <w:rsid w:val="00290E4B"/>
    <w:rsid w:val="00291EFA"/>
    <w:rsid w:val="00293313"/>
    <w:rsid w:val="00294153"/>
    <w:rsid w:val="00294BC9"/>
    <w:rsid w:val="00294E02"/>
    <w:rsid w:val="00295D81"/>
    <w:rsid w:val="00296112"/>
    <w:rsid w:val="0029705C"/>
    <w:rsid w:val="00297C27"/>
    <w:rsid w:val="002A0EA0"/>
    <w:rsid w:val="002A0F0A"/>
    <w:rsid w:val="002A184A"/>
    <w:rsid w:val="002A305B"/>
    <w:rsid w:val="002A411E"/>
    <w:rsid w:val="002A5964"/>
    <w:rsid w:val="002A5F03"/>
    <w:rsid w:val="002A5F78"/>
    <w:rsid w:val="002A679C"/>
    <w:rsid w:val="002A6E2F"/>
    <w:rsid w:val="002B06CB"/>
    <w:rsid w:val="002B0B9F"/>
    <w:rsid w:val="002B1672"/>
    <w:rsid w:val="002B292F"/>
    <w:rsid w:val="002B3064"/>
    <w:rsid w:val="002B3D3C"/>
    <w:rsid w:val="002B4238"/>
    <w:rsid w:val="002B636F"/>
    <w:rsid w:val="002B6A65"/>
    <w:rsid w:val="002B6C61"/>
    <w:rsid w:val="002C01C6"/>
    <w:rsid w:val="002C06C9"/>
    <w:rsid w:val="002C17E2"/>
    <w:rsid w:val="002C21E8"/>
    <w:rsid w:val="002C264F"/>
    <w:rsid w:val="002C2734"/>
    <w:rsid w:val="002C2BEF"/>
    <w:rsid w:val="002C3215"/>
    <w:rsid w:val="002C364D"/>
    <w:rsid w:val="002C3771"/>
    <w:rsid w:val="002C3D47"/>
    <w:rsid w:val="002C4699"/>
    <w:rsid w:val="002C46B7"/>
    <w:rsid w:val="002C51B3"/>
    <w:rsid w:val="002C5FE2"/>
    <w:rsid w:val="002C6439"/>
    <w:rsid w:val="002C6C4D"/>
    <w:rsid w:val="002D09E0"/>
    <w:rsid w:val="002D164B"/>
    <w:rsid w:val="002D1C4F"/>
    <w:rsid w:val="002D2EAE"/>
    <w:rsid w:val="002D3C08"/>
    <w:rsid w:val="002D44B5"/>
    <w:rsid w:val="002D4DD1"/>
    <w:rsid w:val="002D5059"/>
    <w:rsid w:val="002D5396"/>
    <w:rsid w:val="002D557F"/>
    <w:rsid w:val="002D5862"/>
    <w:rsid w:val="002D67CA"/>
    <w:rsid w:val="002D6970"/>
    <w:rsid w:val="002D70B3"/>
    <w:rsid w:val="002D74A0"/>
    <w:rsid w:val="002D74A6"/>
    <w:rsid w:val="002D7600"/>
    <w:rsid w:val="002D794D"/>
    <w:rsid w:val="002E0056"/>
    <w:rsid w:val="002E0B98"/>
    <w:rsid w:val="002E2A86"/>
    <w:rsid w:val="002E2C80"/>
    <w:rsid w:val="002E2C94"/>
    <w:rsid w:val="002E2DDD"/>
    <w:rsid w:val="002E31E7"/>
    <w:rsid w:val="002E32AA"/>
    <w:rsid w:val="002E4F50"/>
    <w:rsid w:val="002E543A"/>
    <w:rsid w:val="002E635F"/>
    <w:rsid w:val="002E65D3"/>
    <w:rsid w:val="002E6A25"/>
    <w:rsid w:val="002E6B3F"/>
    <w:rsid w:val="002E71A2"/>
    <w:rsid w:val="002E782D"/>
    <w:rsid w:val="002E792F"/>
    <w:rsid w:val="002F037F"/>
    <w:rsid w:val="002F19DB"/>
    <w:rsid w:val="002F2670"/>
    <w:rsid w:val="002F4305"/>
    <w:rsid w:val="002F4560"/>
    <w:rsid w:val="002F67EF"/>
    <w:rsid w:val="002F6DA5"/>
    <w:rsid w:val="002F6F77"/>
    <w:rsid w:val="002F738D"/>
    <w:rsid w:val="0030008E"/>
    <w:rsid w:val="00300CCB"/>
    <w:rsid w:val="00301D3B"/>
    <w:rsid w:val="00302333"/>
    <w:rsid w:val="00302486"/>
    <w:rsid w:val="003026E9"/>
    <w:rsid w:val="00304EF4"/>
    <w:rsid w:val="0030594D"/>
    <w:rsid w:val="00306EB1"/>
    <w:rsid w:val="00310005"/>
    <w:rsid w:val="00310515"/>
    <w:rsid w:val="0031082E"/>
    <w:rsid w:val="00310C54"/>
    <w:rsid w:val="003116CF"/>
    <w:rsid w:val="00311EA8"/>
    <w:rsid w:val="00312426"/>
    <w:rsid w:val="00313C13"/>
    <w:rsid w:val="00314152"/>
    <w:rsid w:val="00314673"/>
    <w:rsid w:val="00315047"/>
    <w:rsid w:val="003156AE"/>
    <w:rsid w:val="0031734A"/>
    <w:rsid w:val="00317641"/>
    <w:rsid w:val="00317B40"/>
    <w:rsid w:val="00320956"/>
    <w:rsid w:val="003211E6"/>
    <w:rsid w:val="00321A82"/>
    <w:rsid w:val="00322D96"/>
    <w:rsid w:val="00324AB3"/>
    <w:rsid w:val="00325313"/>
    <w:rsid w:val="00325834"/>
    <w:rsid w:val="003258B7"/>
    <w:rsid w:val="00325C11"/>
    <w:rsid w:val="00325E0C"/>
    <w:rsid w:val="0032602E"/>
    <w:rsid w:val="00326B73"/>
    <w:rsid w:val="00327187"/>
    <w:rsid w:val="00331E14"/>
    <w:rsid w:val="003324BB"/>
    <w:rsid w:val="003330C2"/>
    <w:rsid w:val="00333637"/>
    <w:rsid w:val="00333D0C"/>
    <w:rsid w:val="00335493"/>
    <w:rsid w:val="00335DCD"/>
    <w:rsid w:val="00335F8A"/>
    <w:rsid w:val="00336072"/>
    <w:rsid w:val="00337135"/>
    <w:rsid w:val="00337148"/>
    <w:rsid w:val="00337612"/>
    <w:rsid w:val="00340F8B"/>
    <w:rsid w:val="00340FFB"/>
    <w:rsid w:val="00341BDD"/>
    <w:rsid w:val="00342C93"/>
    <w:rsid w:val="00346703"/>
    <w:rsid w:val="00346E58"/>
    <w:rsid w:val="00347031"/>
    <w:rsid w:val="00347290"/>
    <w:rsid w:val="00347C15"/>
    <w:rsid w:val="00350628"/>
    <w:rsid w:val="003522DC"/>
    <w:rsid w:val="00352761"/>
    <w:rsid w:val="00353146"/>
    <w:rsid w:val="00353469"/>
    <w:rsid w:val="003551B4"/>
    <w:rsid w:val="003551F9"/>
    <w:rsid w:val="00355398"/>
    <w:rsid w:val="0035559A"/>
    <w:rsid w:val="00355C67"/>
    <w:rsid w:val="0035637A"/>
    <w:rsid w:val="003567AB"/>
    <w:rsid w:val="00356B01"/>
    <w:rsid w:val="003576E6"/>
    <w:rsid w:val="00357AF4"/>
    <w:rsid w:val="003620DF"/>
    <w:rsid w:val="00362590"/>
    <w:rsid w:val="003628BF"/>
    <w:rsid w:val="00363085"/>
    <w:rsid w:val="00363850"/>
    <w:rsid w:val="0036458A"/>
    <w:rsid w:val="00366A80"/>
    <w:rsid w:val="00366EEC"/>
    <w:rsid w:val="00367328"/>
    <w:rsid w:val="00367944"/>
    <w:rsid w:val="00367E08"/>
    <w:rsid w:val="00370B51"/>
    <w:rsid w:val="003718C3"/>
    <w:rsid w:val="00372139"/>
    <w:rsid w:val="003725AE"/>
    <w:rsid w:val="003726A9"/>
    <w:rsid w:val="0037276D"/>
    <w:rsid w:val="003728E8"/>
    <w:rsid w:val="00372D5B"/>
    <w:rsid w:val="003739A8"/>
    <w:rsid w:val="00373F09"/>
    <w:rsid w:val="00373F68"/>
    <w:rsid w:val="0037478D"/>
    <w:rsid w:val="00375967"/>
    <w:rsid w:val="00375A09"/>
    <w:rsid w:val="003766B2"/>
    <w:rsid w:val="0037723F"/>
    <w:rsid w:val="00380463"/>
    <w:rsid w:val="00381A65"/>
    <w:rsid w:val="00381BC0"/>
    <w:rsid w:val="00381C0C"/>
    <w:rsid w:val="00381F10"/>
    <w:rsid w:val="003823FC"/>
    <w:rsid w:val="00382E91"/>
    <w:rsid w:val="00382FA4"/>
    <w:rsid w:val="003843B7"/>
    <w:rsid w:val="00384578"/>
    <w:rsid w:val="00384735"/>
    <w:rsid w:val="00384FAB"/>
    <w:rsid w:val="00385140"/>
    <w:rsid w:val="00386842"/>
    <w:rsid w:val="003869B6"/>
    <w:rsid w:val="00387BF5"/>
    <w:rsid w:val="00387DB2"/>
    <w:rsid w:val="0039040B"/>
    <w:rsid w:val="00391035"/>
    <w:rsid w:val="00391A80"/>
    <w:rsid w:val="003920D0"/>
    <w:rsid w:val="00392919"/>
    <w:rsid w:val="00393E78"/>
    <w:rsid w:val="00394DFC"/>
    <w:rsid w:val="003970A0"/>
    <w:rsid w:val="00397BE2"/>
    <w:rsid w:val="003A0849"/>
    <w:rsid w:val="003A0DEE"/>
    <w:rsid w:val="003A12E8"/>
    <w:rsid w:val="003A25CE"/>
    <w:rsid w:val="003A2C0F"/>
    <w:rsid w:val="003A2C28"/>
    <w:rsid w:val="003A3957"/>
    <w:rsid w:val="003A395A"/>
    <w:rsid w:val="003A4DEB"/>
    <w:rsid w:val="003A4F08"/>
    <w:rsid w:val="003A500C"/>
    <w:rsid w:val="003A58B6"/>
    <w:rsid w:val="003A5FC8"/>
    <w:rsid w:val="003A6245"/>
    <w:rsid w:val="003B02AA"/>
    <w:rsid w:val="003B0EA3"/>
    <w:rsid w:val="003B1653"/>
    <w:rsid w:val="003B16A0"/>
    <w:rsid w:val="003B18CA"/>
    <w:rsid w:val="003B1BFF"/>
    <w:rsid w:val="003B1D68"/>
    <w:rsid w:val="003B34FF"/>
    <w:rsid w:val="003B3511"/>
    <w:rsid w:val="003B3CC3"/>
    <w:rsid w:val="003B4BCB"/>
    <w:rsid w:val="003B57AA"/>
    <w:rsid w:val="003B6288"/>
    <w:rsid w:val="003B654E"/>
    <w:rsid w:val="003B73CB"/>
    <w:rsid w:val="003B79B5"/>
    <w:rsid w:val="003C0EF7"/>
    <w:rsid w:val="003C1184"/>
    <w:rsid w:val="003C2639"/>
    <w:rsid w:val="003C3666"/>
    <w:rsid w:val="003C3983"/>
    <w:rsid w:val="003C4099"/>
    <w:rsid w:val="003C74B2"/>
    <w:rsid w:val="003D0544"/>
    <w:rsid w:val="003D0D46"/>
    <w:rsid w:val="003D2EE1"/>
    <w:rsid w:val="003D3AA9"/>
    <w:rsid w:val="003D42E7"/>
    <w:rsid w:val="003D578B"/>
    <w:rsid w:val="003D6685"/>
    <w:rsid w:val="003D672C"/>
    <w:rsid w:val="003D7D57"/>
    <w:rsid w:val="003E0626"/>
    <w:rsid w:val="003E205A"/>
    <w:rsid w:val="003E42C6"/>
    <w:rsid w:val="003E4BD8"/>
    <w:rsid w:val="003E5236"/>
    <w:rsid w:val="003E52F2"/>
    <w:rsid w:val="003E5604"/>
    <w:rsid w:val="003E6406"/>
    <w:rsid w:val="003E6A09"/>
    <w:rsid w:val="003E6B2C"/>
    <w:rsid w:val="003E709C"/>
    <w:rsid w:val="003E717C"/>
    <w:rsid w:val="003E7CA0"/>
    <w:rsid w:val="003F0BEA"/>
    <w:rsid w:val="003F0C44"/>
    <w:rsid w:val="003F171D"/>
    <w:rsid w:val="003F3580"/>
    <w:rsid w:val="003F360D"/>
    <w:rsid w:val="003F486E"/>
    <w:rsid w:val="003F4D30"/>
    <w:rsid w:val="003F5459"/>
    <w:rsid w:val="003F5AED"/>
    <w:rsid w:val="003F5E5E"/>
    <w:rsid w:val="003F6657"/>
    <w:rsid w:val="003F6DE6"/>
    <w:rsid w:val="003F6F4B"/>
    <w:rsid w:val="003F75FF"/>
    <w:rsid w:val="003F7856"/>
    <w:rsid w:val="004006EB"/>
    <w:rsid w:val="00400B3E"/>
    <w:rsid w:val="0040109A"/>
    <w:rsid w:val="00401104"/>
    <w:rsid w:val="00401A3C"/>
    <w:rsid w:val="00402110"/>
    <w:rsid w:val="00403219"/>
    <w:rsid w:val="00405E56"/>
    <w:rsid w:val="004062F8"/>
    <w:rsid w:val="004069FB"/>
    <w:rsid w:val="00406D8F"/>
    <w:rsid w:val="0040745D"/>
    <w:rsid w:val="00407F26"/>
    <w:rsid w:val="00410896"/>
    <w:rsid w:val="0041140F"/>
    <w:rsid w:val="00413265"/>
    <w:rsid w:val="00413770"/>
    <w:rsid w:val="00413A24"/>
    <w:rsid w:val="00413A88"/>
    <w:rsid w:val="00414AF7"/>
    <w:rsid w:val="004159C7"/>
    <w:rsid w:val="00416AF9"/>
    <w:rsid w:val="00420736"/>
    <w:rsid w:val="004217D4"/>
    <w:rsid w:val="00422955"/>
    <w:rsid w:val="00422D1C"/>
    <w:rsid w:val="00423302"/>
    <w:rsid w:val="0042339D"/>
    <w:rsid w:val="004238F0"/>
    <w:rsid w:val="00423DC5"/>
    <w:rsid w:val="00424B9D"/>
    <w:rsid w:val="00424CF0"/>
    <w:rsid w:val="00424E25"/>
    <w:rsid w:val="00424EC0"/>
    <w:rsid w:val="00425096"/>
    <w:rsid w:val="00425128"/>
    <w:rsid w:val="00426094"/>
    <w:rsid w:val="00426B48"/>
    <w:rsid w:val="00426F8C"/>
    <w:rsid w:val="00427135"/>
    <w:rsid w:val="004272BF"/>
    <w:rsid w:val="0043002E"/>
    <w:rsid w:val="0043039F"/>
    <w:rsid w:val="00431173"/>
    <w:rsid w:val="00431278"/>
    <w:rsid w:val="0043196A"/>
    <w:rsid w:val="00431DCB"/>
    <w:rsid w:val="00431EED"/>
    <w:rsid w:val="00432010"/>
    <w:rsid w:val="00432C26"/>
    <w:rsid w:val="00434873"/>
    <w:rsid w:val="004359B6"/>
    <w:rsid w:val="00436072"/>
    <w:rsid w:val="004362FE"/>
    <w:rsid w:val="0043650B"/>
    <w:rsid w:val="00436A44"/>
    <w:rsid w:val="00436FE1"/>
    <w:rsid w:val="00437817"/>
    <w:rsid w:val="00440CC5"/>
    <w:rsid w:val="004418C5"/>
    <w:rsid w:val="004437B5"/>
    <w:rsid w:val="00444ADD"/>
    <w:rsid w:val="00444C20"/>
    <w:rsid w:val="0044504E"/>
    <w:rsid w:val="004451C2"/>
    <w:rsid w:val="004453FA"/>
    <w:rsid w:val="00445D76"/>
    <w:rsid w:val="00446220"/>
    <w:rsid w:val="00446C3E"/>
    <w:rsid w:val="00447FE3"/>
    <w:rsid w:val="00452229"/>
    <w:rsid w:val="0045388A"/>
    <w:rsid w:val="004539CD"/>
    <w:rsid w:val="00453F4D"/>
    <w:rsid w:val="004545D0"/>
    <w:rsid w:val="00454D2C"/>
    <w:rsid w:val="0045530D"/>
    <w:rsid w:val="00455413"/>
    <w:rsid w:val="004555EE"/>
    <w:rsid w:val="0045600E"/>
    <w:rsid w:val="00456ADD"/>
    <w:rsid w:val="00456C5A"/>
    <w:rsid w:val="00456CE8"/>
    <w:rsid w:val="0045728D"/>
    <w:rsid w:val="00457DB3"/>
    <w:rsid w:val="004604D3"/>
    <w:rsid w:val="004610D6"/>
    <w:rsid w:val="004613BF"/>
    <w:rsid w:val="0046259F"/>
    <w:rsid w:val="004628DF"/>
    <w:rsid w:val="00463A3A"/>
    <w:rsid w:val="00463CF7"/>
    <w:rsid w:val="00463E6B"/>
    <w:rsid w:val="0046422B"/>
    <w:rsid w:val="00464D06"/>
    <w:rsid w:val="004650FF"/>
    <w:rsid w:val="0046568F"/>
    <w:rsid w:val="00465D58"/>
    <w:rsid w:val="00466026"/>
    <w:rsid w:val="004669FC"/>
    <w:rsid w:val="0046735C"/>
    <w:rsid w:val="004679FC"/>
    <w:rsid w:val="00467C8B"/>
    <w:rsid w:val="004706A5"/>
    <w:rsid w:val="00470BBF"/>
    <w:rsid w:val="00471B9B"/>
    <w:rsid w:val="00474A74"/>
    <w:rsid w:val="0047520A"/>
    <w:rsid w:val="00480B0F"/>
    <w:rsid w:val="00480EF6"/>
    <w:rsid w:val="004817CC"/>
    <w:rsid w:val="0048232D"/>
    <w:rsid w:val="00483139"/>
    <w:rsid w:val="00484350"/>
    <w:rsid w:val="00484D35"/>
    <w:rsid w:val="0048504C"/>
    <w:rsid w:val="00485FDC"/>
    <w:rsid w:val="00486C53"/>
    <w:rsid w:val="0048715D"/>
    <w:rsid w:val="004876D5"/>
    <w:rsid w:val="00487AD0"/>
    <w:rsid w:val="004903DE"/>
    <w:rsid w:val="004908F9"/>
    <w:rsid w:val="004918F4"/>
    <w:rsid w:val="004923F7"/>
    <w:rsid w:val="00492A9C"/>
    <w:rsid w:val="00492AB2"/>
    <w:rsid w:val="00493539"/>
    <w:rsid w:val="00493D0F"/>
    <w:rsid w:val="00493D14"/>
    <w:rsid w:val="00494DEE"/>
    <w:rsid w:val="004951C8"/>
    <w:rsid w:val="0049521E"/>
    <w:rsid w:val="004975C0"/>
    <w:rsid w:val="00497BB3"/>
    <w:rsid w:val="004A0251"/>
    <w:rsid w:val="004A061A"/>
    <w:rsid w:val="004A0902"/>
    <w:rsid w:val="004A09A6"/>
    <w:rsid w:val="004A1847"/>
    <w:rsid w:val="004A194C"/>
    <w:rsid w:val="004A1D2D"/>
    <w:rsid w:val="004A1EFB"/>
    <w:rsid w:val="004A23A1"/>
    <w:rsid w:val="004A24B1"/>
    <w:rsid w:val="004A486F"/>
    <w:rsid w:val="004A48B7"/>
    <w:rsid w:val="004A4C51"/>
    <w:rsid w:val="004A5604"/>
    <w:rsid w:val="004A596D"/>
    <w:rsid w:val="004A59D9"/>
    <w:rsid w:val="004A677E"/>
    <w:rsid w:val="004A701D"/>
    <w:rsid w:val="004A7BD9"/>
    <w:rsid w:val="004A7D86"/>
    <w:rsid w:val="004A7F16"/>
    <w:rsid w:val="004B0624"/>
    <w:rsid w:val="004B0CAD"/>
    <w:rsid w:val="004B3376"/>
    <w:rsid w:val="004B33FE"/>
    <w:rsid w:val="004B5AEC"/>
    <w:rsid w:val="004B614C"/>
    <w:rsid w:val="004B7085"/>
    <w:rsid w:val="004B7F86"/>
    <w:rsid w:val="004C0425"/>
    <w:rsid w:val="004C06B7"/>
    <w:rsid w:val="004C17E1"/>
    <w:rsid w:val="004C1CF8"/>
    <w:rsid w:val="004C38A7"/>
    <w:rsid w:val="004C3BF4"/>
    <w:rsid w:val="004C498B"/>
    <w:rsid w:val="004C5909"/>
    <w:rsid w:val="004C5FA8"/>
    <w:rsid w:val="004C64C2"/>
    <w:rsid w:val="004C68E6"/>
    <w:rsid w:val="004D013F"/>
    <w:rsid w:val="004D0289"/>
    <w:rsid w:val="004D0596"/>
    <w:rsid w:val="004D07CA"/>
    <w:rsid w:val="004D0FA8"/>
    <w:rsid w:val="004D1731"/>
    <w:rsid w:val="004D22F4"/>
    <w:rsid w:val="004D27D7"/>
    <w:rsid w:val="004D3245"/>
    <w:rsid w:val="004D3318"/>
    <w:rsid w:val="004D3F7F"/>
    <w:rsid w:val="004D760E"/>
    <w:rsid w:val="004E0227"/>
    <w:rsid w:val="004E0866"/>
    <w:rsid w:val="004E0925"/>
    <w:rsid w:val="004E166E"/>
    <w:rsid w:val="004E1970"/>
    <w:rsid w:val="004E1D43"/>
    <w:rsid w:val="004E2339"/>
    <w:rsid w:val="004E24B8"/>
    <w:rsid w:val="004E24FF"/>
    <w:rsid w:val="004E3223"/>
    <w:rsid w:val="004E3E10"/>
    <w:rsid w:val="004E4708"/>
    <w:rsid w:val="004E4714"/>
    <w:rsid w:val="004E49BC"/>
    <w:rsid w:val="004E5C03"/>
    <w:rsid w:val="004E5F93"/>
    <w:rsid w:val="004E617C"/>
    <w:rsid w:val="004E6DBF"/>
    <w:rsid w:val="004E70C5"/>
    <w:rsid w:val="004E7D6B"/>
    <w:rsid w:val="004F0227"/>
    <w:rsid w:val="004F0949"/>
    <w:rsid w:val="004F1DAF"/>
    <w:rsid w:val="004F340A"/>
    <w:rsid w:val="004F36FE"/>
    <w:rsid w:val="004F45BA"/>
    <w:rsid w:val="004F4877"/>
    <w:rsid w:val="004F4901"/>
    <w:rsid w:val="004F538E"/>
    <w:rsid w:val="0050069D"/>
    <w:rsid w:val="005013C1"/>
    <w:rsid w:val="00502370"/>
    <w:rsid w:val="00503B90"/>
    <w:rsid w:val="00504011"/>
    <w:rsid w:val="00504025"/>
    <w:rsid w:val="0050766F"/>
    <w:rsid w:val="005079C9"/>
    <w:rsid w:val="00510268"/>
    <w:rsid w:val="00510982"/>
    <w:rsid w:val="005112A3"/>
    <w:rsid w:val="00511D96"/>
    <w:rsid w:val="00512735"/>
    <w:rsid w:val="00512749"/>
    <w:rsid w:val="00513E0F"/>
    <w:rsid w:val="00514261"/>
    <w:rsid w:val="00514617"/>
    <w:rsid w:val="005148AC"/>
    <w:rsid w:val="005152B9"/>
    <w:rsid w:val="005157D9"/>
    <w:rsid w:val="00515EB1"/>
    <w:rsid w:val="00515F9D"/>
    <w:rsid w:val="00516EDF"/>
    <w:rsid w:val="00517237"/>
    <w:rsid w:val="00517960"/>
    <w:rsid w:val="00520559"/>
    <w:rsid w:val="00520659"/>
    <w:rsid w:val="00521172"/>
    <w:rsid w:val="00521792"/>
    <w:rsid w:val="005227F2"/>
    <w:rsid w:val="00523504"/>
    <w:rsid w:val="005242CA"/>
    <w:rsid w:val="005245FA"/>
    <w:rsid w:val="00525402"/>
    <w:rsid w:val="00526A9E"/>
    <w:rsid w:val="00527B39"/>
    <w:rsid w:val="00530697"/>
    <w:rsid w:val="00530B70"/>
    <w:rsid w:val="00530CB7"/>
    <w:rsid w:val="00531093"/>
    <w:rsid w:val="0053210D"/>
    <w:rsid w:val="00533130"/>
    <w:rsid w:val="005331E6"/>
    <w:rsid w:val="00533A19"/>
    <w:rsid w:val="00533E29"/>
    <w:rsid w:val="00534354"/>
    <w:rsid w:val="0053445B"/>
    <w:rsid w:val="00534666"/>
    <w:rsid w:val="005348FF"/>
    <w:rsid w:val="00535D4C"/>
    <w:rsid w:val="005379C2"/>
    <w:rsid w:val="00537F1B"/>
    <w:rsid w:val="00537F4F"/>
    <w:rsid w:val="00540348"/>
    <w:rsid w:val="0054148D"/>
    <w:rsid w:val="00541765"/>
    <w:rsid w:val="00541840"/>
    <w:rsid w:val="00542212"/>
    <w:rsid w:val="00542516"/>
    <w:rsid w:val="00542E33"/>
    <w:rsid w:val="00543CA0"/>
    <w:rsid w:val="00543E79"/>
    <w:rsid w:val="005442B4"/>
    <w:rsid w:val="00544A93"/>
    <w:rsid w:val="00545839"/>
    <w:rsid w:val="00545F85"/>
    <w:rsid w:val="005462BF"/>
    <w:rsid w:val="00546DC8"/>
    <w:rsid w:val="005471CF"/>
    <w:rsid w:val="005473AE"/>
    <w:rsid w:val="00547AE6"/>
    <w:rsid w:val="005505F9"/>
    <w:rsid w:val="00550E70"/>
    <w:rsid w:val="005514A7"/>
    <w:rsid w:val="00551806"/>
    <w:rsid w:val="00551DCE"/>
    <w:rsid w:val="00553505"/>
    <w:rsid w:val="005541A7"/>
    <w:rsid w:val="005547C4"/>
    <w:rsid w:val="005548D5"/>
    <w:rsid w:val="00554BF2"/>
    <w:rsid w:val="00555398"/>
    <w:rsid w:val="005554FE"/>
    <w:rsid w:val="00555C79"/>
    <w:rsid w:val="0055626D"/>
    <w:rsid w:val="00556EB1"/>
    <w:rsid w:val="0055775A"/>
    <w:rsid w:val="005605AE"/>
    <w:rsid w:val="0056313B"/>
    <w:rsid w:val="0056394F"/>
    <w:rsid w:val="005642D6"/>
    <w:rsid w:val="0056494C"/>
    <w:rsid w:val="00564D16"/>
    <w:rsid w:val="00564D46"/>
    <w:rsid w:val="00564E88"/>
    <w:rsid w:val="00565324"/>
    <w:rsid w:val="00565790"/>
    <w:rsid w:val="00565B1F"/>
    <w:rsid w:val="0056663D"/>
    <w:rsid w:val="0056789E"/>
    <w:rsid w:val="00567C88"/>
    <w:rsid w:val="0057179D"/>
    <w:rsid w:val="00571BE7"/>
    <w:rsid w:val="00572028"/>
    <w:rsid w:val="005726B3"/>
    <w:rsid w:val="00572AB8"/>
    <w:rsid w:val="00573490"/>
    <w:rsid w:val="00573876"/>
    <w:rsid w:val="00573F83"/>
    <w:rsid w:val="00574FA4"/>
    <w:rsid w:val="00575101"/>
    <w:rsid w:val="00575687"/>
    <w:rsid w:val="00575968"/>
    <w:rsid w:val="00575A64"/>
    <w:rsid w:val="00575FB9"/>
    <w:rsid w:val="00576A85"/>
    <w:rsid w:val="0057736F"/>
    <w:rsid w:val="00577639"/>
    <w:rsid w:val="00577B4A"/>
    <w:rsid w:val="00577ED9"/>
    <w:rsid w:val="0058074A"/>
    <w:rsid w:val="005809A2"/>
    <w:rsid w:val="00580D19"/>
    <w:rsid w:val="00581003"/>
    <w:rsid w:val="0058173A"/>
    <w:rsid w:val="005819BF"/>
    <w:rsid w:val="00581A41"/>
    <w:rsid w:val="00581A88"/>
    <w:rsid w:val="0058203B"/>
    <w:rsid w:val="0058321C"/>
    <w:rsid w:val="00583ADB"/>
    <w:rsid w:val="00583FB6"/>
    <w:rsid w:val="0058411E"/>
    <w:rsid w:val="00587191"/>
    <w:rsid w:val="00587874"/>
    <w:rsid w:val="00590013"/>
    <w:rsid w:val="00590CE4"/>
    <w:rsid w:val="00590F87"/>
    <w:rsid w:val="00595349"/>
    <w:rsid w:val="00596E23"/>
    <w:rsid w:val="00596F75"/>
    <w:rsid w:val="00597CE0"/>
    <w:rsid w:val="00597D79"/>
    <w:rsid w:val="005A0F69"/>
    <w:rsid w:val="005A1497"/>
    <w:rsid w:val="005A1C47"/>
    <w:rsid w:val="005A1FEB"/>
    <w:rsid w:val="005A2FE6"/>
    <w:rsid w:val="005A4107"/>
    <w:rsid w:val="005A457B"/>
    <w:rsid w:val="005A49A5"/>
    <w:rsid w:val="005A4A80"/>
    <w:rsid w:val="005A4F3C"/>
    <w:rsid w:val="005A5C85"/>
    <w:rsid w:val="005A6616"/>
    <w:rsid w:val="005B10BA"/>
    <w:rsid w:val="005B11C8"/>
    <w:rsid w:val="005B157C"/>
    <w:rsid w:val="005B1654"/>
    <w:rsid w:val="005B1F45"/>
    <w:rsid w:val="005B200A"/>
    <w:rsid w:val="005B29D0"/>
    <w:rsid w:val="005B45CF"/>
    <w:rsid w:val="005B4A4F"/>
    <w:rsid w:val="005B51B6"/>
    <w:rsid w:val="005B59C8"/>
    <w:rsid w:val="005B6BB6"/>
    <w:rsid w:val="005B6FE1"/>
    <w:rsid w:val="005B79AD"/>
    <w:rsid w:val="005B79E3"/>
    <w:rsid w:val="005C070C"/>
    <w:rsid w:val="005C0710"/>
    <w:rsid w:val="005C0987"/>
    <w:rsid w:val="005C0C2F"/>
    <w:rsid w:val="005C3035"/>
    <w:rsid w:val="005C31D0"/>
    <w:rsid w:val="005C3429"/>
    <w:rsid w:val="005C3992"/>
    <w:rsid w:val="005C3CBA"/>
    <w:rsid w:val="005C3CF1"/>
    <w:rsid w:val="005C4ED6"/>
    <w:rsid w:val="005C5893"/>
    <w:rsid w:val="005C5A60"/>
    <w:rsid w:val="005C5B43"/>
    <w:rsid w:val="005C6D06"/>
    <w:rsid w:val="005C743A"/>
    <w:rsid w:val="005C7CDE"/>
    <w:rsid w:val="005C7F0D"/>
    <w:rsid w:val="005D1015"/>
    <w:rsid w:val="005D2321"/>
    <w:rsid w:val="005D26BE"/>
    <w:rsid w:val="005D2801"/>
    <w:rsid w:val="005D40D7"/>
    <w:rsid w:val="005D483E"/>
    <w:rsid w:val="005D4C85"/>
    <w:rsid w:val="005D4CF7"/>
    <w:rsid w:val="005D4DE3"/>
    <w:rsid w:val="005D6187"/>
    <w:rsid w:val="005D6440"/>
    <w:rsid w:val="005D6842"/>
    <w:rsid w:val="005D6AAD"/>
    <w:rsid w:val="005D6AD1"/>
    <w:rsid w:val="005D6BDC"/>
    <w:rsid w:val="005D6EE0"/>
    <w:rsid w:val="005D6FA4"/>
    <w:rsid w:val="005E1359"/>
    <w:rsid w:val="005E14E9"/>
    <w:rsid w:val="005E2223"/>
    <w:rsid w:val="005E23ED"/>
    <w:rsid w:val="005E2F6E"/>
    <w:rsid w:val="005E2FF9"/>
    <w:rsid w:val="005E4392"/>
    <w:rsid w:val="005E5AE7"/>
    <w:rsid w:val="005E68C1"/>
    <w:rsid w:val="005E6B27"/>
    <w:rsid w:val="005E71D6"/>
    <w:rsid w:val="005E7C2F"/>
    <w:rsid w:val="005E7F32"/>
    <w:rsid w:val="005F0E36"/>
    <w:rsid w:val="005F1A22"/>
    <w:rsid w:val="005F1BA7"/>
    <w:rsid w:val="005F216C"/>
    <w:rsid w:val="005F23ED"/>
    <w:rsid w:val="005F2F82"/>
    <w:rsid w:val="005F3889"/>
    <w:rsid w:val="005F3BAC"/>
    <w:rsid w:val="005F42C7"/>
    <w:rsid w:val="005F4B13"/>
    <w:rsid w:val="005F4BAA"/>
    <w:rsid w:val="005F5265"/>
    <w:rsid w:val="005F5614"/>
    <w:rsid w:val="005F58F6"/>
    <w:rsid w:val="005F622E"/>
    <w:rsid w:val="005F6314"/>
    <w:rsid w:val="006010F7"/>
    <w:rsid w:val="0060299F"/>
    <w:rsid w:val="00602F50"/>
    <w:rsid w:val="006041B3"/>
    <w:rsid w:val="006042C3"/>
    <w:rsid w:val="00604320"/>
    <w:rsid w:val="00605194"/>
    <w:rsid w:val="006058B2"/>
    <w:rsid w:val="0060594D"/>
    <w:rsid w:val="00605C8D"/>
    <w:rsid w:val="00605FF8"/>
    <w:rsid w:val="00606456"/>
    <w:rsid w:val="0060653B"/>
    <w:rsid w:val="00606580"/>
    <w:rsid w:val="00606B8B"/>
    <w:rsid w:val="006075EC"/>
    <w:rsid w:val="00610022"/>
    <w:rsid w:val="00610077"/>
    <w:rsid w:val="0061030D"/>
    <w:rsid w:val="00610411"/>
    <w:rsid w:val="00610E5B"/>
    <w:rsid w:val="006115FF"/>
    <w:rsid w:val="0061178A"/>
    <w:rsid w:val="00611CC4"/>
    <w:rsid w:val="00611F3B"/>
    <w:rsid w:val="00612A4F"/>
    <w:rsid w:val="00612B87"/>
    <w:rsid w:val="006133BE"/>
    <w:rsid w:val="0061347B"/>
    <w:rsid w:val="00613D5A"/>
    <w:rsid w:val="006146A5"/>
    <w:rsid w:val="006148C6"/>
    <w:rsid w:val="00615E3B"/>
    <w:rsid w:val="00616743"/>
    <w:rsid w:val="00616E1D"/>
    <w:rsid w:val="00616F5E"/>
    <w:rsid w:val="006174BE"/>
    <w:rsid w:val="00617691"/>
    <w:rsid w:val="006201D6"/>
    <w:rsid w:val="00620EFD"/>
    <w:rsid w:val="00620FCD"/>
    <w:rsid w:val="0062129D"/>
    <w:rsid w:val="00621791"/>
    <w:rsid w:val="00621798"/>
    <w:rsid w:val="0062227C"/>
    <w:rsid w:val="006228A0"/>
    <w:rsid w:val="006239FF"/>
    <w:rsid w:val="00624B97"/>
    <w:rsid w:val="006256CE"/>
    <w:rsid w:val="006259A5"/>
    <w:rsid w:val="006300D3"/>
    <w:rsid w:val="006310C0"/>
    <w:rsid w:val="00631B00"/>
    <w:rsid w:val="00631CAC"/>
    <w:rsid w:val="00631EA6"/>
    <w:rsid w:val="0063212B"/>
    <w:rsid w:val="006321E1"/>
    <w:rsid w:val="00632ADA"/>
    <w:rsid w:val="006336B2"/>
    <w:rsid w:val="00633D61"/>
    <w:rsid w:val="00633E3E"/>
    <w:rsid w:val="00634288"/>
    <w:rsid w:val="00634D47"/>
    <w:rsid w:val="006350C2"/>
    <w:rsid w:val="00635155"/>
    <w:rsid w:val="0063515E"/>
    <w:rsid w:val="00635AA4"/>
    <w:rsid w:val="00637451"/>
    <w:rsid w:val="00637896"/>
    <w:rsid w:val="00637FAB"/>
    <w:rsid w:val="00640175"/>
    <w:rsid w:val="006406F6"/>
    <w:rsid w:val="00641002"/>
    <w:rsid w:val="006414E6"/>
    <w:rsid w:val="00641FAE"/>
    <w:rsid w:val="00641FBF"/>
    <w:rsid w:val="00643401"/>
    <w:rsid w:val="006437D0"/>
    <w:rsid w:val="0064454A"/>
    <w:rsid w:val="006453C1"/>
    <w:rsid w:val="00646BEA"/>
    <w:rsid w:val="0064737A"/>
    <w:rsid w:val="006479D9"/>
    <w:rsid w:val="00647B9C"/>
    <w:rsid w:val="00651325"/>
    <w:rsid w:val="00651E13"/>
    <w:rsid w:val="00652523"/>
    <w:rsid w:val="00654D65"/>
    <w:rsid w:val="006558F9"/>
    <w:rsid w:val="006568E6"/>
    <w:rsid w:val="00656F1A"/>
    <w:rsid w:val="006570F2"/>
    <w:rsid w:val="00657242"/>
    <w:rsid w:val="006572AA"/>
    <w:rsid w:val="00660A19"/>
    <w:rsid w:val="00660E38"/>
    <w:rsid w:val="00661073"/>
    <w:rsid w:val="00661B3F"/>
    <w:rsid w:val="00662741"/>
    <w:rsid w:val="00662CD5"/>
    <w:rsid w:val="00662F8A"/>
    <w:rsid w:val="006644C0"/>
    <w:rsid w:val="00666BDC"/>
    <w:rsid w:val="00666E08"/>
    <w:rsid w:val="0066720A"/>
    <w:rsid w:val="00667E25"/>
    <w:rsid w:val="00667EEF"/>
    <w:rsid w:val="0067119F"/>
    <w:rsid w:val="006723C6"/>
    <w:rsid w:val="00675206"/>
    <w:rsid w:val="00675300"/>
    <w:rsid w:val="0067638A"/>
    <w:rsid w:val="00676A57"/>
    <w:rsid w:val="00676D62"/>
    <w:rsid w:val="00677A55"/>
    <w:rsid w:val="00677E41"/>
    <w:rsid w:val="00680700"/>
    <w:rsid w:val="00680D0B"/>
    <w:rsid w:val="00680E77"/>
    <w:rsid w:val="006825FC"/>
    <w:rsid w:val="0068278C"/>
    <w:rsid w:val="00682D93"/>
    <w:rsid w:val="00682F06"/>
    <w:rsid w:val="00683ED3"/>
    <w:rsid w:val="00683FF5"/>
    <w:rsid w:val="00685206"/>
    <w:rsid w:val="0068537B"/>
    <w:rsid w:val="00686547"/>
    <w:rsid w:val="006868C0"/>
    <w:rsid w:val="00687482"/>
    <w:rsid w:val="00687BB7"/>
    <w:rsid w:val="00690C12"/>
    <w:rsid w:val="00690E1D"/>
    <w:rsid w:val="006912DA"/>
    <w:rsid w:val="00691F3C"/>
    <w:rsid w:val="00692DA8"/>
    <w:rsid w:val="00693415"/>
    <w:rsid w:val="00693838"/>
    <w:rsid w:val="00694432"/>
    <w:rsid w:val="00694AAE"/>
    <w:rsid w:val="00695990"/>
    <w:rsid w:val="00695BE5"/>
    <w:rsid w:val="0069643C"/>
    <w:rsid w:val="00697097"/>
    <w:rsid w:val="006979BF"/>
    <w:rsid w:val="00697E9A"/>
    <w:rsid w:val="006A22EF"/>
    <w:rsid w:val="006A281F"/>
    <w:rsid w:val="006A3C17"/>
    <w:rsid w:val="006A4920"/>
    <w:rsid w:val="006A61E8"/>
    <w:rsid w:val="006A6BDA"/>
    <w:rsid w:val="006A758F"/>
    <w:rsid w:val="006A78FB"/>
    <w:rsid w:val="006A7B52"/>
    <w:rsid w:val="006B126E"/>
    <w:rsid w:val="006B3E32"/>
    <w:rsid w:val="006B404C"/>
    <w:rsid w:val="006B4649"/>
    <w:rsid w:val="006B4EA7"/>
    <w:rsid w:val="006B5212"/>
    <w:rsid w:val="006B530D"/>
    <w:rsid w:val="006B7401"/>
    <w:rsid w:val="006B79D0"/>
    <w:rsid w:val="006B7EE6"/>
    <w:rsid w:val="006C0F11"/>
    <w:rsid w:val="006C1BEB"/>
    <w:rsid w:val="006C213E"/>
    <w:rsid w:val="006C2339"/>
    <w:rsid w:val="006C327F"/>
    <w:rsid w:val="006C35BA"/>
    <w:rsid w:val="006C35DB"/>
    <w:rsid w:val="006C3739"/>
    <w:rsid w:val="006C379B"/>
    <w:rsid w:val="006C3A0D"/>
    <w:rsid w:val="006C3DAC"/>
    <w:rsid w:val="006C432A"/>
    <w:rsid w:val="006C4D0E"/>
    <w:rsid w:val="006C57D3"/>
    <w:rsid w:val="006C5E01"/>
    <w:rsid w:val="006C6524"/>
    <w:rsid w:val="006C6D3A"/>
    <w:rsid w:val="006C6F1E"/>
    <w:rsid w:val="006C7204"/>
    <w:rsid w:val="006C7506"/>
    <w:rsid w:val="006C7FDE"/>
    <w:rsid w:val="006D021D"/>
    <w:rsid w:val="006D041A"/>
    <w:rsid w:val="006D0C6C"/>
    <w:rsid w:val="006D149F"/>
    <w:rsid w:val="006D1E24"/>
    <w:rsid w:val="006D2AEA"/>
    <w:rsid w:val="006D2B09"/>
    <w:rsid w:val="006D3574"/>
    <w:rsid w:val="006D3759"/>
    <w:rsid w:val="006D3969"/>
    <w:rsid w:val="006D73B0"/>
    <w:rsid w:val="006E013D"/>
    <w:rsid w:val="006E10E6"/>
    <w:rsid w:val="006E1566"/>
    <w:rsid w:val="006E19CE"/>
    <w:rsid w:val="006E3C97"/>
    <w:rsid w:val="006E3CF4"/>
    <w:rsid w:val="006E4152"/>
    <w:rsid w:val="006E4607"/>
    <w:rsid w:val="006E4787"/>
    <w:rsid w:val="006E49E2"/>
    <w:rsid w:val="006E4FF8"/>
    <w:rsid w:val="006E56A0"/>
    <w:rsid w:val="006E5E48"/>
    <w:rsid w:val="006E6CDA"/>
    <w:rsid w:val="006E7C96"/>
    <w:rsid w:val="006F0D6F"/>
    <w:rsid w:val="006F14B0"/>
    <w:rsid w:val="006F2060"/>
    <w:rsid w:val="006F270D"/>
    <w:rsid w:val="006F296F"/>
    <w:rsid w:val="006F3705"/>
    <w:rsid w:val="006F5F84"/>
    <w:rsid w:val="006F702F"/>
    <w:rsid w:val="006F79E9"/>
    <w:rsid w:val="006F7C6A"/>
    <w:rsid w:val="006F7C99"/>
    <w:rsid w:val="006F7F3B"/>
    <w:rsid w:val="00701E8C"/>
    <w:rsid w:val="00702560"/>
    <w:rsid w:val="00704F0D"/>
    <w:rsid w:val="007066E0"/>
    <w:rsid w:val="00706D50"/>
    <w:rsid w:val="00707506"/>
    <w:rsid w:val="007076CD"/>
    <w:rsid w:val="007116E4"/>
    <w:rsid w:val="00711852"/>
    <w:rsid w:val="00711A02"/>
    <w:rsid w:val="007127CA"/>
    <w:rsid w:val="007149EE"/>
    <w:rsid w:val="00714B33"/>
    <w:rsid w:val="00714CAB"/>
    <w:rsid w:val="00714DD9"/>
    <w:rsid w:val="00714F6F"/>
    <w:rsid w:val="00715952"/>
    <w:rsid w:val="0071665A"/>
    <w:rsid w:val="0071698C"/>
    <w:rsid w:val="00720978"/>
    <w:rsid w:val="00721215"/>
    <w:rsid w:val="00721820"/>
    <w:rsid w:val="007218C3"/>
    <w:rsid w:val="0072333F"/>
    <w:rsid w:val="00723DF5"/>
    <w:rsid w:val="00723EF1"/>
    <w:rsid w:val="007240D6"/>
    <w:rsid w:val="007243F8"/>
    <w:rsid w:val="0072595E"/>
    <w:rsid w:val="00726C5A"/>
    <w:rsid w:val="00726C79"/>
    <w:rsid w:val="00726FEA"/>
    <w:rsid w:val="00727A04"/>
    <w:rsid w:val="00730E04"/>
    <w:rsid w:val="00731043"/>
    <w:rsid w:val="00731105"/>
    <w:rsid w:val="007317A0"/>
    <w:rsid w:val="00731A6A"/>
    <w:rsid w:val="0073252E"/>
    <w:rsid w:val="00732D8D"/>
    <w:rsid w:val="007332BC"/>
    <w:rsid w:val="0073380F"/>
    <w:rsid w:val="00733BE0"/>
    <w:rsid w:val="007341CF"/>
    <w:rsid w:val="0073452E"/>
    <w:rsid w:val="0073456F"/>
    <w:rsid w:val="00734EED"/>
    <w:rsid w:val="00740A08"/>
    <w:rsid w:val="00742795"/>
    <w:rsid w:val="00743CFC"/>
    <w:rsid w:val="00743E0F"/>
    <w:rsid w:val="0074406A"/>
    <w:rsid w:val="007454E8"/>
    <w:rsid w:val="00746A22"/>
    <w:rsid w:val="00746EE9"/>
    <w:rsid w:val="00747016"/>
    <w:rsid w:val="00747293"/>
    <w:rsid w:val="00750597"/>
    <w:rsid w:val="00750AC6"/>
    <w:rsid w:val="00750AC8"/>
    <w:rsid w:val="00750D13"/>
    <w:rsid w:val="00751618"/>
    <w:rsid w:val="00751AE2"/>
    <w:rsid w:val="00753151"/>
    <w:rsid w:val="00753505"/>
    <w:rsid w:val="00753960"/>
    <w:rsid w:val="0075459F"/>
    <w:rsid w:val="0075594E"/>
    <w:rsid w:val="00756A6E"/>
    <w:rsid w:val="00756BD8"/>
    <w:rsid w:val="00757B89"/>
    <w:rsid w:val="00757E64"/>
    <w:rsid w:val="007600D6"/>
    <w:rsid w:val="0076103F"/>
    <w:rsid w:val="00761074"/>
    <w:rsid w:val="007618AD"/>
    <w:rsid w:val="00761BA2"/>
    <w:rsid w:val="007623EA"/>
    <w:rsid w:val="0076273A"/>
    <w:rsid w:val="00763061"/>
    <w:rsid w:val="007637FC"/>
    <w:rsid w:val="00764525"/>
    <w:rsid w:val="00765290"/>
    <w:rsid w:val="0076560B"/>
    <w:rsid w:val="00766B60"/>
    <w:rsid w:val="00767448"/>
    <w:rsid w:val="00770409"/>
    <w:rsid w:val="00770C6D"/>
    <w:rsid w:val="007716B6"/>
    <w:rsid w:val="00771E0A"/>
    <w:rsid w:val="00771F86"/>
    <w:rsid w:val="007728A2"/>
    <w:rsid w:val="007744AD"/>
    <w:rsid w:val="00774828"/>
    <w:rsid w:val="00774C21"/>
    <w:rsid w:val="00775590"/>
    <w:rsid w:val="00775641"/>
    <w:rsid w:val="00777504"/>
    <w:rsid w:val="0078172C"/>
    <w:rsid w:val="0078188A"/>
    <w:rsid w:val="007822E2"/>
    <w:rsid w:val="007825AF"/>
    <w:rsid w:val="00782FEE"/>
    <w:rsid w:val="0078382B"/>
    <w:rsid w:val="0078394C"/>
    <w:rsid w:val="00783F4B"/>
    <w:rsid w:val="007845F3"/>
    <w:rsid w:val="007845FA"/>
    <w:rsid w:val="00784F97"/>
    <w:rsid w:val="0078701A"/>
    <w:rsid w:val="007877D5"/>
    <w:rsid w:val="00787972"/>
    <w:rsid w:val="0079163B"/>
    <w:rsid w:val="00791AB2"/>
    <w:rsid w:val="00791CFD"/>
    <w:rsid w:val="0079240F"/>
    <w:rsid w:val="007929B4"/>
    <w:rsid w:val="00793370"/>
    <w:rsid w:val="00793F98"/>
    <w:rsid w:val="00794614"/>
    <w:rsid w:val="007A0B87"/>
    <w:rsid w:val="007A1A6B"/>
    <w:rsid w:val="007A1A9F"/>
    <w:rsid w:val="007A361F"/>
    <w:rsid w:val="007A4AA7"/>
    <w:rsid w:val="007A4D64"/>
    <w:rsid w:val="007A4D87"/>
    <w:rsid w:val="007A5619"/>
    <w:rsid w:val="007A5BD2"/>
    <w:rsid w:val="007A5F97"/>
    <w:rsid w:val="007A66C1"/>
    <w:rsid w:val="007A69CE"/>
    <w:rsid w:val="007A6AE8"/>
    <w:rsid w:val="007A6F06"/>
    <w:rsid w:val="007A70D1"/>
    <w:rsid w:val="007A75FE"/>
    <w:rsid w:val="007A78A8"/>
    <w:rsid w:val="007A7B62"/>
    <w:rsid w:val="007B02C1"/>
    <w:rsid w:val="007B0491"/>
    <w:rsid w:val="007B057B"/>
    <w:rsid w:val="007B1AA6"/>
    <w:rsid w:val="007B2FB5"/>
    <w:rsid w:val="007B3149"/>
    <w:rsid w:val="007B317E"/>
    <w:rsid w:val="007B42E1"/>
    <w:rsid w:val="007B4CB3"/>
    <w:rsid w:val="007B5036"/>
    <w:rsid w:val="007B5541"/>
    <w:rsid w:val="007B6419"/>
    <w:rsid w:val="007B6786"/>
    <w:rsid w:val="007B6FE9"/>
    <w:rsid w:val="007B703A"/>
    <w:rsid w:val="007B7131"/>
    <w:rsid w:val="007C00CB"/>
    <w:rsid w:val="007C07A8"/>
    <w:rsid w:val="007C2585"/>
    <w:rsid w:val="007C3369"/>
    <w:rsid w:val="007C4225"/>
    <w:rsid w:val="007C442F"/>
    <w:rsid w:val="007C4C1C"/>
    <w:rsid w:val="007C5044"/>
    <w:rsid w:val="007C65D7"/>
    <w:rsid w:val="007C6D91"/>
    <w:rsid w:val="007C7411"/>
    <w:rsid w:val="007C7480"/>
    <w:rsid w:val="007C78A5"/>
    <w:rsid w:val="007D0B9F"/>
    <w:rsid w:val="007D20BD"/>
    <w:rsid w:val="007D420D"/>
    <w:rsid w:val="007D4699"/>
    <w:rsid w:val="007D5C07"/>
    <w:rsid w:val="007D627B"/>
    <w:rsid w:val="007D772E"/>
    <w:rsid w:val="007E072B"/>
    <w:rsid w:val="007E0769"/>
    <w:rsid w:val="007E11EF"/>
    <w:rsid w:val="007E2149"/>
    <w:rsid w:val="007E3C41"/>
    <w:rsid w:val="007E46B2"/>
    <w:rsid w:val="007E53BC"/>
    <w:rsid w:val="007E6200"/>
    <w:rsid w:val="007E6E00"/>
    <w:rsid w:val="007E7009"/>
    <w:rsid w:val="007E757D"/>
    <w:rsid w:val="007E7E11"/>
    <w:rsid w:val="007F10B1"/>
    <w:rsid w:val="007F169F"/>
    <w:rsid w:val="007F22D7"/>
    <w:rsid w:val="007F306F"/>
    <w:rsid w:val="007F4C77"/>
    <w:rsid w:val="007F617D"/>
    <w:rsid w:val="007F6535"/>
    <w:rsid w:val="007F6962"/>
    <w:rsid w:val="007F6996"/>
    <w:rsid w:val="007F6AEA"/>
    <w:rsid w:val="0080007B"/>
    <w:rsid w:val="00800580"/>
    <w:rsid w:val="008009FF"/>
    <w:rsid w:val="00800C71"/>
    <w:rsid w:val="0080185D"/>
    <w:rsid w:val="0080254C"/>
    <w:rsid w:val="00802716"/>
    <w:rsid w:val="0080277F"/>
    <w:rsid w:val="008028B8"/>
    <w:rsid w:val="00802F8F"/>
    <w:rsid w:val="00803606"/>
    <w:rsid w:val="0080428E"/>
    <w:rsid w:val="008052A1"/>
    <w:rsid w:val="00805396"/>
    <w:rsid w:val="008055E1"/>
    <w:rsid w:val="008060BB"/>
    <w:rsid w:val="0080646B"/>
    <w:rsid w:val="0080680E"/>
    <w:rsid w:val="0080721A"/>
    <w:rsid w:val="0080792F"/>
    <w:rsid w:val="00807BC2"/>
    <w:rsid w:val="00810E84"/>
    <w:rsid w:val="0081178E"/>
    <w:rsid w:val="00812942"/>
    <w:rsid w:val="00812B5D"/>
    <w:rsid w:val="00812E6B"/>
    <w:rsid w:val="00813CE0"/>
    <w:rsid w:val="00813ECF"/>
    <w:rsid w:val="00814331"/>
    <w:rsid w:val="0081484E"/>
    <w:rsid w:val="00814D87"/>
    <w:rsid w:val="00815713"/>
    <w:rsid w:val="008163A1"/>
    <w:rsid w:val="00816614"/>
    <w:rsid w:val="00816620"/>
    <w:rsid w:val="00817B73"/>
    <w:rsid w:val="008218C8"/>
    <w:rsid w:val="00822871"/>
    <w:rsid w:val="00823F13"/>
    <w:rsid w:val="00824927"/>
    <w:rsid w:val="008251D7"/>
    <w:rsid w:val="00825839"/>
    <w:rsid w:val="00826295"/>
    <w:rsid w:val="008264FB"/>
    <w:rsid w:val="0082728A"/>
    <w:rsid w:val="00830214"/>
    <w:rsid w:val="00830AA3"/>
    <w:rsid w:val="00830B76"/>
    <w:rsid w:val="00830CA3"/>
    <w:rsid w:val="00832641"/>
    <w:rsid w:val="008328B7"/>
    <w:rsid w:val="008337BD"/>
    <w:rsid w:val="0083474E"/>
    <w:rsid w:val="00834DD2"/>
    <w:rsid w:val="00837ECC"/>
    <w:rsid w:val="008403A6"/>
    <w:rsid w:val="00841166"/>
    <w:rsid w:val="00841A62"/>
    <w:rsid w:val="0084207A"/>
    <w:rsid w:val="00842159"/>
    <w:rsid w:val="008424FC"/>
    <w:rsid w:val="00842856"/>
    <w:rsid w:val="00843D83"/>
    <w:rsid w:val="00843EE0"/>
    <w:rsid w:val="00844557"/>
    <w:rsid w:val="008448EA"/>
    <w:rsid w:val="00844CFA"/>
    <w:rsid w:val="0084526A"/>
    <w:rsid w:val="00845F89"/>
    <w:rsid w:val="00846062"/>
    <w:rsid w:val="0084705D"/>
    <w:rsid w:val="00850AC3"/>
    <w:rsid w:val="00851069"/>
    <w:rsid w:val="008522E2"/>
    <w:rsid w:val="008523AE"/>
    <w:rsid w:val="00852484"/>
    <w:rsid w:val="00852CB2"/>
    <w:rsid w:val="00852D1A"/>
    <w:rsid w:val="00855FA8"/>
    <w:rsid w:val="00857F7C"/>
    <w:rsid w:val="00860C7B"/>
    <w:rsid w:val="008610DC"/>
    <w:rsid w:val="00861AA1"/>
    <w:rsid w:val="00861F84"/>
    <w:rsid w:val="0086307B"/>
    <w:rsid w:val="00863311"/>
    <w:rsid w:val="00863E1B"/>
    <w:rsid w:val="008655AD"/>
    <w:rsid w:val="00865702"/>
    <w:rsid w:val="00866FEA"/>
    <w:rsid w:val="00867961"/>
    <w:rsid w:val="008679CA"/>
    <w:rsid w:val="008705ED"/>
    <w:rsid w:val="00870C59"/>
    <w:rsid w:val="008719C2"/>
    <w:rsid w:val="00871C3F"/>
    <w:rsid w:val="008722E5"/>
    <w:rsid w:val="00872C61"/>
    <w:rsid w:val="00873067"/>
    <w:rsid w:val="00873903"/>
    <w:rsid w:val="00875204"/>
    <w:rsid w:val="00875BDB"/>
    <w:rsid w:val="00875D54"/>
    <w:rsid w:val="00875DC7"/>
    <w:rsid w:val="0087689A"/>
    <w:rsid w:val="008768D5"/>
    <w:rsid w:val="008778A2"/>
    <w:rsid w:val="00877936"/>
    <w:rsid w:val="0088000D"/>
    <w:rsid w:val="00880BE2"/>
    <w:rsid w:val="00880DBE"/>
    <w:rsid w:val="008818BD"/>
    <w:rsid w:val="00881E40"/>
    <w:rsid w:val="008820FE"/>
    <w:rsid w:val="00883071"/>
    <w:rsid w:val="008830CD"/>
    <w:rsid w:val="00883791"/>
    <w:rsid w:val="008837BA"/>
    <w:rsid w:val="008849BF"/>
    <w:rsid w:val="008856C7"/>
    <w:rsid w:val="00885AA6"/>
    <w:rsid w:val="00885DDC"/>
    <w:rsid w:val="0088616C"/>
    <w:rsid w:val="00886805"/>
    <w:rsid w:val="008878FF"/>
    <w:rsid w:val="00887F75"/>
    <w:rsid w:val="008901DD"/>
    <w:rsid w:val="00890477"/>
    <w:rsid w:val="00890BCD"/>
    <w:rsid w:val="00892E00"/>
    <w:rsid w:val="00893678"/>
    <w:rsid w:val="00893B10"/>
    <w:rsid w:val="0089494D"/>
    <w:rsid w:val="00895DA3"/>
    <w:rsid w:val="008965FE"/>
    <w:rsid w:val="008966EE"/>
    <w:rsid w:val="0089678B"/>
    <w:rsid w:val="00897F9B"/>
    <w:rsid w:val="008A028F"/>
    <w:rsid w:val="008A1733"/>
    <w:rsid w:val="008A20D2"/>
    <w:rsid w:val="008A44F2"/>
    <w:rsid w:val="008A4667"/>
    <w:rsid w:val="008B0D35"/>
    <w:rsid w:val="008B14BF"/>
    <w:rsid w:val="008B2445"/>
    <w:rsid w:val="008B3CB1"/>
    <w:rsid w:val="008B6145"/>
    <w:rsid w:val="008B6EFA"/>
    <w:rsid w:val="008C02EA"/>
    <w:rsid w:val="008C0C59"/>
    <w:rsid w:val="008C178B"/>
    <w:rsid w:val="008C1BC7"/>
    <w:rsid w:val="008C2617"/>
    <w:rsid w:val="008C2A4D"/>
    <w:rsid w:val="008C3840"/>
    <w:rsid w:val="008C3DCF"/>
    <w:rsid w:val="008C42E6"/>
    <w:rsid w:val="008C4A72"/>
    <w:rsid w:val="008C4B6B"/>
    <w:rsid w:val="008C4E7D"/>
    <w:rsid w:val="008C51A4"/>
    <w:rsid w:val="008C51EC"/>
    <w:rsid w:val="008C5B00"/>
    <w:rsid w:val="008C6D3F"/>
    <w:rsid w:val="008D03E0"/>
    <w:rsid w:val="008D0E03"/>
    <w:rsid w:val="008D2E7D"/>
    <w:rsid w:val="008D4F13"/>
    <w:rsid w:val="008D7090"/>
    <w:rsid w:val="008E05A3"/>
    <w:rsid w:val="008E19C7"/>
    <w:rsid w:val="008E36FF"/>
    <w:rsid w:val="008E3BE6"/>
    <w:rsid w:val="008E43A2"/>
    <w:rsid w:val="008E4A4D"/>
    <w:rsid w:val="008E5122"/>
    <w:rsid w:val="008E532D"/>
    <w:rsid w:val="008E53AD"/>
    <w:rsid w:val="008E617E"/>
    <w:rsid w:val="008E7A23"/>
    <w:rsid w:val="008F19CE"/>
    <w:rsid w:val="008F4E02"/>
    <w:rsid w:val="008F4F88"/>
    <w:rsid w:val="008F56EC"/>
    <w:rsid w:val="008F5B84"/>
    <w:rsid w:val="008F6A4B"/>
    <w:rsid w:val="008F7728"/>
    <w:rsid w:val="008F7BC3"/>
    <w:rsid w:val="0090023A"/>
    <w:rsid w:val="00900307"/>
    <w:rsid w:val="0090060E"/>
    <w:rsid w:val="009009DE"/>
    <w:rsid w:val="00901F62"/>
    <w:rsid w:val="00902408"/>
    <w:rsid w:val="0090455A"/>
    <w:rsid w:val="00904E9C"/>
    <w:rsid w:val="00905370"/>
    <w:rsid w:val="00906250"/>
    <w:rsid w:val="00906586"/>
    <w:rsid w:val="009077FF"/>
    <w:rsid w:val="00907D61"/>
    <w:rsid w:val="00911701"/>
    <w:rsid w:val="00911BA0"/>
    <w:rsid w:val="00912EC1"/>
    <w:rsid w:val="00913781"/>
    <w:rsid w:val="00913D4F"/>
    <w:rsid w:val="00914033"/>
    <w:rsid w:val="00916209"/>
    <w:rsid w:val="00916E62"/>
    <w:rsid w:val="009172C9"/>
    <w:rsid w:val="00917EC6"/>
    <w:rsid w:val="0092084A"/>
    <w:rsid w:val="00920926"/>
    <w:rsid w:val="00921A7D"/>
    <w:rsid w:val="00923AF7"/>
    <w:rsid w:val="00924B9A"/>
    <w:rsid w:val="00924E42"/>
    <w:rsid w:val="0092582F"/>
    <w:rsid w:val="00926EC8"/>
    <w:rsid w:val="0092765B"/>
    <w:rsid w:val="00927A63"/>
    <w:rsid w:val="0093020A"/>
    <w:rsid w:val="009304CD"/>
    <w:rsid w:val="009308AC"/>
    <w:rsid w:val="0093163B"/>
    <w:rsid w:val="00931B57"/>
    <w:rsid w:val="00931DEB"/>
    <w:rsid w:val="00932E32"/>
    <w:rsid w:val="00932FA6"/>
    <w:rsid w:val="009337A1"/>
    <w:rsid w:val="00933EDE"/>
    <w:rsid w:val="0093574B"/>
    <w:rsid w:val="0093704C"/>
    <w:rsid w:val="00937277"/>
    <w:rsid w:val="00937F94"/>
    <w:rsid w:val="0094141C"/>
    <w:rsid w:val="009416B1"/>
    <w:rsid w:val="009419A5"/>
    <w:rsid w:val="00941B15"/>
    <w:rsid w:val="009426CC"/>
    <w:rsid w:val="00942A13"/>
    <w:rsid w:val="00942B29"/>
    <w:rsid w:val="0094375B"/>
    <w:rsid w:val="00943A82"/>
    <w:rsid w:val="00944355"/>
    <w:rsid w:val="00944E35"/>
    <w:rsid w:val="00945982"/>
    <w:rsid w:val="00945A2F"/>
    <w:rsid w:val="00945F08"/>
    <w:rsid w:val="0094774A"/>
    <w:rsid w:val="00947CFC"/>
    <w:rsid w:val="00950E31"/>
    <w:rsid w:val="00951461"/>
    <w:rsid w:val="00951846"/>
    <w:rsid w:val="00951DE5"/>
    <w:rsid w:val="00952287"/>
    <w:rsid w:val="00952643"/>
    <w:rsid w:val="009528AF"/>
    <w:rsid w:val="00952D13"/>
    <w:rsid w:val="00953E28"/>
    <w:rsid w:val="00957742"/>
    <w:rsid w:val="009601AE"/>
    <w:rsid w:val="00963ED1"/>
    <w:rsid w:val="00964E27"/>
    <w:rsid w:val="0096527E"/>
    <w:rsid w:val="00965B53"/>
    <w:rsid w:val="00965DEC"/>
    <w:rsid w:val="00966853"/>
    <w:rsid w:val="00966AE6"/>
    <w:rsid w:val="00966B34"/>
    <w:rsid w:val="00967C8E"/>
    <w:rsid w:val="00967DC9"/>
    <w:rsid w:val="00967F4E"/>
    <w:rsid w:val="00970886"/>
    <w:rsid w:val="00973793"/>
    <w:rsid w:val="00974B38"/>
    <w:rsid w:val="00974FE6"/>
    <w:rsid w:val="00975F5B"/>
    <w:rsid w:val="00976D44"/>
    <w:rsid w:val="0097735A"/>
    <w:rsid w:val="00977EA2"/>
    <w:rsid w:val="00977ED6"/>
    <w:rsid w:val="00980DBD"/>
    <w:rsid w:val="00980F02"/>
    <w:rsid w:val="009810B1"/>
    <w:rsid w:val="00981150"/>
    <w:rsid w:val="00981EF2"/>
    <w:rsid w:val="00983180"/>
    <w:rsid w:val="00983556"/>
    <w:rsid w:val="00983604"/>
    <w:rsid w:val="00983F5A"/>
    <w:rsid w:val="00984F6F"/>
    <w:rsid w:val="0098572E"/>
    <w:rsid w:val="0098629F"/>
    <w:rsid w:val="0098690A"/>
    <w:rsid w:val="00987137"/>
    <w:rsid w:val="009876B2"/>
    <w:rsid w:val="00987BC9"/>
    <w:rsid w:val="009902F9"/>
    <w:rsid w:val="009903DB"/>
    <w:rsid w:val="00990F1C"/>
    <w:rsid w:val="00991447"/>
    <w:rsid w:val="0099189E"/>
    <w:rsid w:val="00991ABB"/>
    <w:rsid w:val="009934E6"/>
    <w:rsid w:val="00993795"/>
    <w:rsid w:val="00994596"/>
    <w:rsid w:val="0099463C"/>
    <w:rsid w:val="00994D5D"/>
    <w:rsid w:val="00994D79"/>
    <w:rsid w:val="0099524C"/>
    <w:rsid w:val="00995DD2"/>
    <w:rsid w:val="009A0DAC"/>
    <w:rsid w:val="009A0EE5"/>
    <w:rsid w:val="009A176D"/>
    <w:rsid w:val="009A184D"/>
    <w:rsid w:val="009A2F08"/>
    <w:rsid w:val="009A36DB"/>
    <w:rsid w:val="009A479F"/>
    <w:rsid w:val="009A4D37"/>
    <w:rsid w:val="009A5DB0"/>
    <w:rsid w:val="009A5E40"/>
    <w:rsid w:val="009A69FE"/>
    <w:rsid w:val="009A6D66"/>
    <w:rsid w:val="009A7438"/>
    <w:rsid w:val="009B0E77"/>
    <w:rsid w:val="009B1E34"/>
    <w:rsid w:val="009B2108"/>
    <w:rsid w:val="009B213E"/>
    <w:rsid w:val="009B239E"/>
    <w:rsid w:val="009B2AF9"/>
    <w:rsid w:val="009B3198"/>
    <w:rsid w:val="009B33ED"/>
    <w:rsid w:val="009B3539"/>
    <w:rsid w:val="009B47A3"/>
    <w:rsid w:val="009B5028"/>
    <w:rsid w:val="009B5479"/>
    <w:rsid w:val="009B5597"/>
    <w:rsid w:val="009B5C78"/>
    <w:rsid w:val="009B6748"/>
    <w:rsid w:val="009B6E42"/>
    <w:rsid w:val="009B7BB9"/>
    <w:rsid w:val="009C0BC2"/>
    <w:rsid w:val="009C1103"/>
    <w:rsid w:val="009C1319"/>
    <w:rsid w:val="009C14C4"/>
    <w:rsid w:val="009C171E"/>
    <w:rsid w:val="009C1E4B"/>
    <w:rsid w:val="009C34CC"/>
    <w:rsid w:val="009C37E7"/>
    <w:rsid w:val="009C40B7"/>
    <w:rsid w:val="009C436E"/>
    <w:rsid w:val="009C6CA1"/>
    <w:rsid w:val="009C6D2A"/>
    <w:rsid w:val="009D1CC4"/>
    <w:rsid w:val="009D2154"/>
    <w:rsid w:val="009D289C"/>
    <w:rsid w:val="009D2B2D"/>
    <w:rsid w:val="009D3239"/>
    <w:rsid w:val="009D3253"/>
    <w:rsid w:val="009D326A"/>
    <w:rsid w:val="009D4757"/>
    <w:rsid w:val="009D4A1E"/>
    <w:rsid w:val="009D4D93"/>
    <w:rsid w:val="009D4E4B"/>
    <w:rsid w:val="009D5EB7"/>
    <w:rsid w:val="009D5FDA"/>
    <w:rsid w:val="009D640C"/>
    <w:rsid w:val="009D67FF"/>
    <w:rsid w:val="009D6DA4"/>
    <w:rsid w:val="009D7270"/>
    <w:rsid w:val="009D7598"/>
    <w:rsid w:val="009E0668"/>
    <w:rsid w:val="009E122C"/>
    <w:rsid w:val="009E274F"/>
    <w:rsid w:val="009E3AD6"/>
    <w:rsid w:val="009E3FD7"/>
    <w:rsid w:val="009E3FF2"/>
    <w:rsid w:val="009E614F"/>
    <w:rsid w:val="009E687D"/>
    <w:rsid w:val="009E6B4E"/>
    <w:rsid w:val="009E7330"/>
    <w:rsid w:val="009E7F0E"/>
    <w:rsid w:val="009E7FB1"/>
    <w:rsid w:val="009F08FF"/>
    <w:rsid w:val="009F0DDF"/>
    <w:rsid w:val="009F0DFE"/>
    <w:rsid w:val="009F10A1"/>
    <w:rsid w:val="009F14BB"/>
    <w:rsid w:val="009F1D55"/>
    <w:rsid w:val="009F27DE"/>
    <w:rsid w:val="009F2931"/>
    <w:rsid w:val="009F2DF8"/>
    <w:rsid w:val="009F34D1"/>
    <w:rsid w:val="009F3619"/>
    <w:rsid w:val="009F40EB"/>
    <w:rsid w:val="009F5386"/>
    <w:rsid w:val="009F60E9"/>
    <w:rsid w:val="009F6275"/>
    <w:rsid w:val="009F6285"/>
    <w:rsid w:val="009F698A"/>
    <w:rsid w:val="009F6B73"/>
    <w:rsid w:val="009F7268"/>
    <w:rsid w:val="009F7F8B"/>
    <w:rsid w:val="009F7FB6"/>
    <w:rsid w:val="00A00023"/>
    <w:rsid w:val="00A00623"/>
    <w:rsid w:val="00A01093"/>
    <w:rsid w:val="00A016AA"/>
    <w:rsid w:val="00A03872"/>
    <w:rsid w:val="00A03EAC"/>
    <w:rsid w:val="00A03FB7"/>
    <w:rsid w:val="00A0451D"/>
    <w:rsid w:val="00A0582E"/>
    <w:rsid w:val="00A05B26"/>
    <w:rsid w:val="00A05C83"/>
    <w:rsid w:val="00A06708"/>
    <w:rsid w:val="00A06878"/>
    <w:rsid w:val="00A0760D"/>
    <w:rsid w:val="00A07917"/>
    <w:rsid w:val="00A11824"/>
    <w:rsid w:val="00A14013"/>
    <w:rsid w:val="00A146D0"/>
    <w:rsid w:val="00A14D2B"/>
    <w:rsid w:val="00A15525"/>
    <w:rsid w:val="00A15649"/>
    <w:rsid w:val="00A16360"/>
    <w:rsid w:val="00A17508"/>
    <w:rsid w:val="00A175E9"/>
    <w:rsid w:val="00A17969"/>
    <w:rsid w:val="00A17BBC"/>
    <w:rsid w:val="00A17E0B"/>
    <w:rsid w:val="00A20358"/>
    <w:rsid w:val="00A21041"/>
    <w:rsid w:val="00A211C7"/>
    <w:rsid w:val="00A216BD"/>
    <w:rsid w:val="00A21D17"/>
    <w:rsid w:val="00A22964"/>
    <w:rsid w:val="00A238D7"/>
    <w:rsid w:val="00A240BB"/>
    <w:rsid w:val="00A24819"/>
    <w:rsid w:val="00A24B66"/>
    <w:rsid w:val="00A24B75"/>
    <w:rsid w:val="00A25E98"/>
    <w:rsid w:val="00A26BE2"/>
    <w:rsid w:val="00A2703A"/>
    <w:rsid w:val="00A2705E"/>
    <w:rsid w:val="00A27D28"/>
    <w:rsid w:val="00A30FAC"/>
    <w:rsid w:val="00A3195D"/>
    <w:rsid w:val="00A31A42"/>
    <w:rsid w:val="00A339BF"/>
    <w:rsid w:val="00A33B45"/>
    <w:rsid w:val="00A3444D"/>
    <w:rsid w:val="00A347D7"/>
    <w:rsid w:val="00A35833"/>
    <w:rsid w:val="00A35FAA"/>
    <w:rsid w:val="00A401FD"/>
    <w:rsid w:val="00A4051C"/>
    <w:rsid w:val="00A418D0"/>
    <w:rsid w:val="00A447E1"/>
    <w:rsid w:val="00A44BCB"/>
    <w:rsid w:val="00A45888"/>
    <w:rsid w:val="00A46470"/>
    <w:rsid w:val="00A46C53"/>
    <w:rsid w:val="00A46DD8"/>
    <w:rsid w:val="00A50EB0"/>
    <w:rsid w:val="00A512FC"/>
    <w:rsid w:val="00A526BC"/>
    <w:rsid w:val="00A52BE4"/>
    <w:rsid w:val="00A5477D"/>
    <w:rsid w:val="00A554C4"/>
    <w:rsid w:val="00A55531"/>
    <w:rsid w:val="00A56309"/>
    <w:rsid w:val="00A565A3"/>
    <w:rsid w:val="00A569D4"/>
    <w:rsid w:val="00A56D09"/>
    <w:rsid w:val="00A5743C"/>
    <w:rsid w:val="00A613AC"/>
    <w:rsid w:val="00A61431"/>
    <w:rsid w:val="00A6177B"/>
    <w:rsid w:val="00A61D1C"/>
    <w:rsid w:val="00A6371D"/>
    <w:rsid w:val="00A63754"/>
    <w:rsid w:val="00A63AAC"/>
    <w:rsid w:val="00A64D9D"/>
    <w:rsid w:val="00A65011"/>
    <w:rsid w:val="00A6565C"/>
    <w:rsid w:val="00A657F5"/>
    <w:rsid w:val="00A66724"/>
    <w:rsid w:val="00A66FA9"/>
    <w:rsid w:val="00A70CA2"/>
    <w:rsid w:val="00A70DC6"/>
    <w:rsid w:val="00A71DE1"/>
    <w:rsid w:val="00A737C8"/>
    <w:rsid w:val="00A739B0"/>
    <w:rsid w:val="00A73B0D"/>
    <w:rsid w:val="00A73B72"/>
    <w:rsid w:val="00A7458C"/>
    <w:rsid w:val="00A748C4"/>
    <w:rsid w:val="00A74ADB"/>
    <w:rsid w:val="00A75430"/>
    <w:rsid w:val="00A75A97"/>
    <w:rsid w:val="00A764FA"/>
    <w:rsid w:val="00A80230"/>
    <w:rsid w:val="00A802C3"/>
    <w:rsid w:val="00A80D16"/>
    <w:rsid w:val="00A81304"/>
    <w:rsid w:val="00A813E1"/>
    <w:rsid w:val="00A8173C"/>
    <w:rsid w:val="00A82432"/>
    <w:rsid w:val="00A8248A"/>
    <w:rsid w:val="00A84359"/>
    <w:rsid w:val="00A84B9D"/>
    <w:rsid w:val="00A8580B"/>
    <w:rsid w:val="00A8604B"/>
    <w:rsid w:val="00A86199"/>
    <w:rsid w:val="00A86B2C"/>
    <w:rsid w:val="00A9034A"/>
    <w:rsid w:val="00A9183D"/>
    <w:rsid w:val="00A91B2B"/>
    <w:rsid w:val="00A91EAD"/>
    <w:rsid w:val="00A925C1"/>
    <w:rsid w:val="00A931DC"/>
    <w:rsid w:val="00A935E3"/>
    <w:rsid w:val="00A93F61"/>
    <w:rsid w:val="00A9429D"/>
    <w:rsid w:val="00A9501E"/>
    <w:rsid w:val="00A9521C"/>
    <w:rsid w:val="00A9540A"/>
    <w:rsid w:val="00A95E37"/>
    <w:rsid w:val="00A960E3"/>
    <w:rsid w:val="00A969FA"/>
    <w:rsid w:val="00A97D85"/>
    <w:rsid w:val="00AA018E"/>
    <w:rsid w:val="00AA028F"/>
    <w:rsid w:val="00AA0FDE"/>
    <w:rsid w:val="00AA1084"/>
    <w:rsid w:val="00AA1554"/>
    <w:rsid w:val="00AA1ECF"/>
    <w:rsid w:val="00AA25C2"/>
    <w:rsid w:val="00AA2601"/>
    <w:rsid w:val="00AA3501"/>
    <w:rsid w:val="00AA40AD"/>
    <w:rsid w:val="00AA40AF"/>
    <w:rsid w:val="00AA5754"/>
    <w:rsid w:val="00AA6689"/>
    <w:rsid w:val="00AA68F4"/>
    <w:rsid w:val="00AA7105"/>
    <w:rsid w:val="00AA74A7"/>
    <w:rsid w:val="00AB0588"/>
    <w:rsid w:val="00AB0ED9"/>
    <w:rsid w:val="00AB1F15"/>
    <w:rsid w:val="00AB22D3"/>
    <w:rsid w:val="00AB24E4"/>
    <w:rsid w:val="00AB3932"/>
    <w:rsid w:val="00AB4709"/>
    <w:rsid w:val="00AB5271"/>
    <w:rsid w:val="00AB575D"/>
    <w:rsid w:val="00AB6499"/>
    <w:rsid w:val="00AB671B"/>
    <w:rsid w:val="00AB674A"/>
    <w:rsid w:val="00AB693A"/>
    <w:rsid w:val="00AB720C"/>
    <w:rsid w:val="00AB797C"/>
    <w:rsid w:val="00AB797F"/>
    <w:rsid w:val="00AB7B5E"/>
    <w:rsid w:val="00AB7EDE"/>
    <w:rsid w:val="00AC0B5F"/>
    <w:rsid w:val="00AC1FB9"/>
    <w:rsid w:val="00AC2032"/>
    <w:rsid w:val="00AC2066"/>
    <w:rsid w:val="00AC2BE1"/>
    <w:rsid w:val="00AC3B4A"/>
    <w:rsid w:val="00AC50FF"/>
    <w:rsid w:val="00AC5358"/>
    <w:rsid w:val="00AC543A"/>
    <w:rsid w:val="00AC5B03"/>
    <w:rsid w:val="00AC7065"/>
    <w:rsid w:val="00AC7E69"/>
    <w:rsid w:val="00AD01F7"/>
    <w:rsid w:val="00AD0E17"/>
    <w:rsid w:val="00AD132B"/>
    <w:rsid w:val="00AD13DA"/>
    <w:rsid w:val="00AD1D93"/>
    <w:rsid w:val="00AD3529"/>
    <w:rsid w:val="00AD392E"/>
    <w:rsid w:val="00AD3E40"/>
    <w:rsid w:val="00AD3E68"/>
    <w:rsid w:val="00AD4488"/>
    <w:rsid w:val="00AD5925"/>
    <w:rsid w:val="00AD5E85"/>
    <w:rsid w:val="00AD6093"/>
    <w:rsid w:val="00AD67FC"/>
    <w:rsid w:val="00AD7A06"/>
    <w:rsid w:val="00AD7B3E"/>
    <w:rsid w:val="00AD7D70"/>
    <w:rsid w:val="00AD7EEF"/>
    <w:rsid w:val="00AE01BD"/>
    <w:rsid w:val="00AE0566"/>
    <w:rsid w:val="00AE090C"/>
    <w:rsid w:val="00AE1341"/>
    <w:rsid w:val="00AE137B"/>
    <w:rsid w:val="00AE16E4"/>
    <w:rsid w:val="00AE3FFF"/>
    <w:rsid w:val="00AE4499"/>
    <w:rsid w:val="00AE50A6"/>
    <w:rsid w:val="00AE52A6"/>
    <w:rsid w:val="00AE5389"/>
    <w:rsid w:val="00AE5B64"/>
    <w:rsid w:val="00AE7451"/>
    <w:rsid w:val="00AE756C"/>
    <w:rsid w:val="00AF0BAC"/>
    <w:rsid w:val="00AF172F"/>
    <w:rsid w:val="00AF2B45"/>
    <w:rsid w:val="00AF3454"/>
    <w:rsid w:val="00AF3F35"/>
    <w:rsid w:val="00AF4481"/>
    <w:rsid w:val="00AF4715"/>
    <w:rsid w:val="00AF4726"/>
    <w:rsid w:val="00AF4FEF"/>
    <w:rsid w:val="00AF679B"/>
    <w:rsid w:val="00AF7EA9"/>
    <w:rsid w:val="00B004F4"/>
    <w:rsid w:val="00B00D84"/>
    <w:rsid w:val="00B0239E"/>
    <w:rsid w:val="00B032A1"/>
    <w:rsid w:val="00B03F5B"/>
    <w:rsid w:val="00B05C2D"/>
    <w:rsid w:val="00B05D1E"/>
    <w:rsid w:val="00B06B80"/>
    <w:rsid w:val="00B07424"/>
    <w:rsid w:val="00B078B8"/>
    <w:rsid w:val="00B07C09"/>
    <w:rsid w:val="00B11587"/>
    <w:rsid w:val="00B13203"/>
    <w:rsid w:val="00B13A54"/>
    <w:rsid w:val="00B13B22"/>
    <w:rsid w:val="00B13CB7"/>
    <w:rsid w:val="00B13D4A"/>
    <w:rsid w:val="00B1427A"/>
    <w:rsid w:val="00B152B8"/>
    <w:rsid w:val="00B1568C"/>
    <w:rsid w:val="00B15ACE"/>
    <w:rsid w:val="00B17C1E"/>
    <w:rsid w:val="00B20442"/>
    <w:rsid w:val="00B20569"/>
    <w:rsid w:val="00B21B31"/>
    <w:rsid w:val="00B21C42"/>
    <w:rsid w:val="00B23364"/>
    <w:rsid w:val="00B2344E"/>
    <w:rsid w:val="00B2362D"/>
    <w:rsid w:val="00B23EA6"/>
    <w:rsid w:val="00B24183"/>
    <w:rsid w:val="00B249FB"/>
    <w:rsid w:val="00B24B71"/>
    <w:rsid w:val="00B25905"/>
    <w:rsid w:val="00B30492"/>
    <w:rsid w:val="00B3124F"/>
    <w:rsid w:val="00B31EAA"/>
    <w:rsid w:val="00B3247B"/>
    <w:rsid w:val="00B33588"/>
    <w:rsid w:val="00B3411C"/>
    <w:rsid w:val="00B342EB"/>
    <w:rsid w:val="00B34B29"/>
    <w:rsid w:val="00B35147"/>
    <w:rsid w:val="00B36266"/>
    <w:rsid w:val="00B3659D"/>
    <w:rsid w:val="00B37948"/>
    <w:rsid w:val="00B405CE"/>
    <w:rsid w:val="00B41F9E"/>
    <w:rsid w:val="00B42EEC"/>
    <w:rsid w:val="00B441DE"/>
    <w:rsid w:val="00B45D45"/>
    <w:rsid w:val="00B45DFA"/>
    <w:rsid w:val="00B4723C"/>
    <w:rsid w:val="00B5088B"/>
    <w:rsid w:val="00B53D7C"/>
    <w:rsid w:val="00B53FB6"/>
    <w:rsid w:val="00B54BA5"/>
    <w:rsid w:val="00B54D01"/>
    <w:rsid w:val="00B54F70"/>
    <w:rsid w:val="00B550B9"/>
    <w:rsid w:val="00B55674"/>
    <w:rsid w:val="00B55D5C"/>
    <w:rsid w:val="00B56CEB"/>
    <w:rsid w:val="00B57FC2"/>
    <w:rsid w:val="00B602E0"/>
    <w:rsid w:val="00B606C1"/>
    <w:rsid w:val="00B607F1"/>
    <w:rsid w:val="00B614B8"/>
    <w:rsid w:val="00B62853"/>
    <w:rsid w:val="00B62EED"/>
    <w:rsid w:val="00B63E15"/>
    <w:rsid w:val="00B63EF0"/>
    <w:rsid w:val="00B65A77"/>
    <w:rsid w:val="00B65D23"/>
    <w:rsid w:val="00B66093"/>
    <w:rsid w:val="00B668A7"/>
    <w:rsid w:val="00B671B6"/>
    <w:rsid w:val="00B673B0"/>
    <w:rsid w:val="00B673D5"/>
    <w:rsid w:val="00B704F8"/>
    <w:rsid w:val="00B705EE"/>
    <w:rsid w:val="00B7092F"/>
    <w:rsid w:val="00B70F37"/>
    <w:rsid w:val="00B71039"/>
    <w:rsid w:val="00B71AFA"/>
    <w:rsid w:val="00B71D6D"/>
    <w:rsid w:val="00B7272C"/>
    <w:rsid w:val="00B72F43"/>
    <w:rsid w:val="00B736A2"/>
    <w:rsid w:val="00B7450F"/>
    <w:rsid w:val="00B74869"/>
    <w:rsid w:val="00B76609"/>
    <w:rsid w:val="00B776DB"/>
    <w:rsid w:val="00B77F15"/>
    <w:rsid w:val="00B806E3"/>
    <w:rsid w:val="00B81F62"/>
    <w:rsid w:val="00B83C6E"/>
    <w:rsid w:val="00B83E14"/>
    <w:rsid w:val="00B846B4"/>
    <w:rsid w:val="00B8534D"/>
    <w:rsid w:val="00B85408"/>
    <w:rsid w:val="00B858F4"/>
    <w:rsid w:val="00B86232"/>
    <w:rsid w:val="00B87253"/>
    <w:rsid w:val="00B90AE7"/>
    <w:rsid w:val="00B91DF4"/>
    <w:rsid w:val="00B9216D"/>
    <w:rsid w:val="00B92BAF"/>
    <w:rsid w:val="00B93660"/>
    <w:rsid w:val="00B93FC6"/>
    <w:rsid w:val="00B942BF"/>
    <w:rsid w:val="00B9448A"/>
    <w:rsid w:val="00B951FD"/>
    <w:rsid w:val="00B95419"/>
    <w:rsid w:val="00B959E5"/>
    <w:rsid w:val="00BA0B0F"/>
    <w:rsid w:val="00BA0F3E"/>
    <w:rsid w:val="00BA2C08"/>
    <w:rsid w:val="00BA4C68"/>
    <w:rsid w:val="00BA560E"/>
    <w:rsid w:val="00BA5662"/>
    <w:rsid w:val="00BA5874"/>
    <w:rsid w:val="00BA5CA0"/>
    <w:rsid w:val="00BA5F09"/>
    <w:rsid w:val="00BA6128"/>
    <w:rsid w:val="00BA7051"/>
    <w:rsid w:val="00BA7C71"/>
    <w:rsid w:val="00BA7D9D"/>
    <w:rsid w:val="00BB041A"/>
    <w:rsid w:val="00BB0975"/>
    <w:rsid w:val="00BB1691"/>
    <w:rsid w:val="00BB1970"/>
    <w:rsid w:val="00BB41F3"/>
    <w:rsid w:val="00BB6429"/>
    <w:rsid w:val="00BB6C5B"/>
    <w:rsid w:val="00BB6E65"/>
    <w:rsid w:val="00BB73BA"/>
    <w:rsid w:val="00BB7CE5"/>
    <w:rsid w:val="00BB7F6B"/>
    <w:rsid w:val="00BC025B"/>
    <w:rsid w:val="00BC0741"/>
    <w:rsid w:val="00BC2519"/>
    <w:rsid w:val="00BC25EB"/>
    <w:rsid w:val="00BC2876"/>
    <w:rsid w:val="00BC36CB"/>
    <w:rsid w:val="00BC52F4"/>
    <w:rsid w:val="00BC5FA0"/>
    <w:rsid w:val="00BC6487"/>
    <w:rsid w:val="00BC6679"/>
    <w:rsid w:val="00BC68BA"/>
    <w:rsid w:val="00BC6F1E"/>
    <w:rsid w:val="00BD0762"/>
    <w:rsid w:val="00BD0E95"/>
    <w:rsid w:val="00BD13B2"/>
    <w:rsid w:val="00BD2CA3"/>
    <w:rsid w:val="00BD3651"/>
    <w:rsid w:val="00BD3C7A"/>
    <w:rsid w:val="00BD4526"/>
    <w:rsid w:val="00BD4ABD"/>
    <w:rsid w:val="00BD4E90"/>
    <w:rsid w:val="00BD51C5"/>
    <w:rsid w:val="00BD6CB7"/>
    <w:rsid w:val="00BD72A3"/>
    <w:rsid w:val="00BD72B1"/>
    <w:rsid w:val="00BD7A9C"/>
    <w:rsid w:val="00BE0819"/>
    <w:rsid w:val="00BE0B3B"/>
    <w:rsid w:val="00BE1DFF"/>
    <w:rsid w:val="00BE2884"/>
    <w:rsid w:val="00BE342F"/>
    <w:rsid w:val="00BE531A"/>
    <w:rsid w:val="00BE5740"/>
    <w:rsid w:val="00BE63E9"/>
    <w:rsid w:val="00BE6936"/>
    <w:rsid w:val="00BE7095"/>
    <w:rsid w:val="00BE75CE"/>
    <w:rsid w:val="00BE78B4"/>
    <w:rsid w:val="00BE79D4"/>
    <w:rsid w:val="00BF004D"/>
    <w:rsid w:val="00BF10B0"/>
    <w:rsid w:val="00BF2371"/>
    <w:rsid w:val="00BF2FBA"/>
    <w:rsid w:val="00BF35C3"/>
    <w:rsid w:val="00BF3BA8"/>
    <w:rsid w:val="00BF3E01"/>
    <w:rsid w:val="00BF5E1C"/>
    <w:rsid w:val="00BF6187"/>
    <w:rsid w:val="00BF6455"/>
    <w:rsid w:val="00BF6CBA"/>
    <w:rsid w:val="00BF6E6F"/>
    <w:rsid w:val="00BF76E6"/>
    <w:rsid w:val="00BF7A38"/>
    <w:rsid w:val="00BF7E11"/>
    <w:rsid w:val="00C001DE"/>
    <w:rsid w:val="00C00EB6"/>
    <w:rsid w:val="00C010C2"/>
    <w:rsid w:val="00C011D2"/>
    <w:rsid w:val="00C01273"/>
    <w:rsid w:val="00C0187E"/>
    <w:rsid w:val="00C020D1"/>
    <w:rsid w:val="00C042F1"/>
    <w:rsid w:val="00C05300"/>
    <w:rsid w:val="00C055D8"/>
    <w:rsid w:val="00C069B0"/>
    <w:rsid w:val="00C06BA3"/>
    <w:rsid w:val="00C0723D"/>
    <w:rsid w:val="00C078C2"/>
    <w:rsid w:val="00C10007"/>
    <w:rsid w:val="00C101FE"/>
    <w:rsid w:val="00C112EA"/>
    <w:rsid w:val="00C113C5"/>
    <w:rsid w:val="00C12D62"/>
    <w:rsid w:val="00C13214"/>
    <w:rsid w:val="00C1455E"/>
    <w:rsid w:val="00C14A06"/>
    <w:rsid w:val="00C14DF4"/>
    <w:rsid w:val="00C14F73"/>
    <w:rsid w:val="00C15623"/>
    <w:rsid w:val="00C15EDC"/>
    <w:rsid w:val="00C169C1"/>
    <w:rsid w:val="00C16AA8"/>
    <w:rsid w:val="00C16D42"/>
    <w:rsid w:val="00C2051A"/>
    <w:rsid w:val="00C205E8"/>
    <w:rsid w:val="00C21496"/>
    <w:rsid w:val="00C228D1"/>
    <w:rsid w:val="00C22CE3"/>
    <w:rsid w:val="00C232C3"/>
    <w:rsid w:val="00C23B89"/>
    <w:rsid w:val="00C23C79"/>
    <w:rsid w:val="00C2478D"/>
    <w:rsid w:val="00C249E9"/>
    <w:rsid w:val="00C24E26"/>
    <w:rsid w:val="00C24EE9"/>
    <w:rsid w:val="00C25075"/>
    <w:rsid w:val="00C25259"/>
    <w:rsid w:val="00C26CB0"/>
    <w:rsid w:val="00C2738A"/>
    <w:rsid w:val="00C27A7F"/>
    <w:rsid w:val="00C316BC"/>
    <w:rsid w:val="00C31D22"/>
    <w:rsid w:val="00C33E43"/>
    <w:rsid w:val="00C350EB"/>
    <w:rsid w:val="00C35491"/>
    <w:rsid w:val="00C358D0"/>
    <w:rsid w:val="00C36B6F"/>
    <w:rsid w:val="00C37028"/>
    <w:rsid w:val="00C40214"/>
    <w:rsid w:val="00C404BB"/>
    <w:rsid w:val="00C406D4"/>
    <w:rsid w:val="00C40D09"/>
    <w:rsid w:val="00C40F7C"/>
    <w:rsid w:val="00C41A3D"/>
    <w:rsid w:val="00C41BA0"/>
    <w:rsid w:val="00C42F56"/>
    <w:rsid w:val="00C44839"/>
    <w:rsid w:val="00C45915"/>
    <w:rsid w:val="00C46689"/>
    <w:rsid w:val="00C46E3F"/>
    <w:rsid w:val="00C47153"/>
    <w:rsid w:val="00C4789D"/>
    <w:rsid w:val="00C47A25"/>
    <w:rsid w:val="00C47C59"/>
    <w:rsid w:val="00C47C80"/>
    <w:rsid w:val="00C47D8C"/>
    <w:rsid w:val="00C50747"/>
    <w:rsid w:val="00C50E9B"/>
    <w:rsid w:val="00C516EC"/>
    <w:rsid w:val="00C535ED"/>
    <w:rsid w:val="00C53E65"/>
    <w:rsid w:val="00C53ECB"/>
    <w:rsid w:val="00C55C0B"/>
    <w:rsid w:val="00C55CFF"/>
    <w:rsid w:val="00C56044"/>
    <w:rsid w:val="00C5765E"/>
    <w:rsid w:val="00C57887"/>
    <w:rsid w:val="00C61666"/>
    <w:rsid w:val="00C63A64"/>
    <w:rsid w:val="00C63DFB"/>
    <w:rsid w:val="00C64609"/>
    <w:rsid w:val="00C6586D"/>
    <w:rsid w:val="00C65D27"/>
    <w:rsid w:val="00C65DC8"/>
    <w:rsid w:val="00C6617C"/>
    <w:rsid w:val="00C6724E"/>
    <w:rsid w:val="00C7007A"/>
    <w:rsid w:val="00C70909"/>
    <w:rsid w:val="00C71660"/>
    <w:rsid w:val="00C71806"/>
    <w:rsid w:val="00C71A39"/>
    <w:rsid w:val="00C72E98"/>
    <w:rsid w:val="00C73093"/>
    <w:rsid w:val="00C73A63"/>
    <w:rsid w:val="00C73D5E"/>
    <w:rsid w:val="00C74827"/>
    <w:rsid w:val="00C74E4B"/>
    <w:rsid w:val="00C752E7"/>
    <w:rsid w:val="00C763A3"/>
    <w:rsid w:val="00C778E5"/>
    <w:rsid w:val="00C77DE9"/>
    <w:rsid w:val="00C807BA"/>
    <w:rsid w:val="00C811A3"/>
    <w:rsid w:val="00C81948"/>
    <w:rsid w:val="00C822CF"/>
    <w:rsid w:val="00C823BB"/>
    <w:rsid w:val="00C8325A"/>
    <w:rsid w:val="00C83FDD"/>
    <w:rsid w:val="00C8504B"/>
    <w:rsid w:val="00C855D9"/>
    <w:rsid w:val="00C8639E"/>
    <w:rsid w:val="00C868E5"/>
    <w:rsid w:val="00C87427"/>
    <w:rsid w:val="00C875A9"/>
    <w:rsid w:val="00C87EC4"/>
    <w:rsid w:val="00C90856"/>
    <w:rsid w:val="00C91390"/>
    <w:rsid w:val="00C91C85"/>
    <w:rsid w:val="00C91FA6"/>
    <w:rsid w:val="00C92388"/>
    <w:rsid w:val="00C9250E"/>
    <w:rsid w:val="00C927F4"/>
    <w:rsid w:val="00C92EEE"/>
    <w:rsid w:val="00C92FA0"/>
    <w:rsid w:val="00C93545"/>
    <w:rsid w:val="00C93E70"/>
    <w:rsid w:val="00C941A1"/>
    <w:rsid w:val="00C94864"/>
    <w:rsid w:val="00C955E3"/>
    <w:rsid w:val="00C96D8C"/>
    <w:rsid w:val="00C970F3"/>
    <w:rsid w:val="00C97925"/>
    <w:rsid w:val="00CA0343"/>
    <w:rsid w:val="00CA034C"/>
    <w:rsid w:val="00CA2E53"/>
    <w:rsid w:val="00CA4625"/>
    <w:rsid w:val="00CA53B1"/>
    <w:rsid w:val="00CA5C62"/>
    <w:rsid w:val="00CA6AFE"/>
    <w:rsid w:val="00CB0469"/>
    <w:rsid w:val="00CB08FC"/>
    <w:rsid w:val="00CB0C82"/>
    <w:rsid w:val="00CB109F"/>
    <w:rsid w:val="00CB22D8"/>
    <w:rsid w:val="00CB4332"/>
    <w:rsid w:val="00CB5C83"/>
    <w:rsid w:val="00CC2798"/>
    <w:rsid w:val="00CC37AC"/>
    <w:rsid w:val="00CC3C0D"/>
    <w:rsid w:val="00CC4B21"/>
    <w:rsid w:val="00CC5670"/>
    <w:rsid w:val="00CC6075"/>
    <w:rsid w:val="00CC7467"/>
    <w:rsid w:val="00CC7968"/>
    <w:rsid w:val="00CD0E17"/>
    <w:rsid w:val="00CD31BA"/>
    <w:rsid w:val="00CD3BC0"/>
    <w:rsid w:val="00CD4285"/>
    <w:rsid w:val="00CD5D74"/>
    <w:rsid w:val="00CD62BE"/>
    <w:rsid w:val="00CD6D08"/>
    <w:rsid w:val="00CD7302"/>
    <w:rsid w:val="00CD768F"/>
    <w:rsid w:val="00CE25F0"/>
    <w:rsid w:val="00CE36C9"/>
    <w:rsid w:val="00CE4D9B"/>
    <w:rsid w:val="00CE55D3"/>
    <w:rsid w:val="00CE5A8C"/>
    <w:rsid w:val="00CE5ABD"/>
    <w:rsid w:val="00CE5EA9"/>
    <w:rsid w:val="00CE78E9"/>
    <w:rsid w:val="00CF0066"/>
    <w:rsid w:val="00CF05EF"/>
    <w:rsid w:val="00CF20FC"/>
    <w:rsid w:val="00CF3035"/>
    <w:rsid w:val="00CF3327"/>
    <w:rsid w:val="00CF36EF"/>
    <w:rsid w:val="00CF3761"/>
    <w:rsid w:val="00CF3A17"/>
    <w:rsid w:val="00CF54A7"/>
    <w:rsid w:val="00CF55A0"/>
    <w:rsid w:val="00CF6020"/>
    <w:rsid w:val="00CF6253"/>
    <w:rsid w:val="00CF6DB9"/>
    <w:rsid w:val="00CF7286"/>
    <w:rsid w:val="00CF7487"/>
    <w:rsid w:val="00D00AD5"/>
    <w:rsid w:val="00D00C53"/>
    <w:rsid w:val="00D01BC1"/>
    <w:rsid w:val="00D0208E"/>
    <w:rsid w:val="00D025AE"/>
    <w:rsid w:val="00D02712"/>
    <w:rsid w:val="00D050A4"/>
    <w:rsid w:val="00D05260"/>
    <w:rsid w:val="00D05A0B"/>
    <w:rsid w:val="00D06B19"/>
    <w:rsid w:val="00D075A5"/>
    <w:rsid w:val="00D07BBD"/>
    <w:rsid w:val="00D07C1E"/>
    <w:rsid w:val="00D11D22"/>
    <w:rsid w:val="00D11D38"/>
    <w:rsid w:val="00D11E89"/>
    <w:rsid w:val="00D1291B"/>
    <w:rsid w:val="00D1396C"/>
    <w:rsid w:val="00D13E87"/>
    <w:rsid w:val="00D14875"/>
    <w:rsid w:val="00D15976"/>
    <w:rsid w:val="00D162D9"/>
    <w:rsid w:val="00D163D6"/>
    <w:rsid w:val="00D167F9"/>
    <w:rsid w:val="00D178E8"/>
    <w:rsid w:val="00D17F5D"/>
    <w:rsid w:val="00D17F79"/>
    <w:rsid w:val="00D200E4"/>
    <w:rsid w:val="00D2030E"/>
    <w:rsid w:val="00D203C7"/>
    <w:rsid w:val="00D21A25"/>
    <w:rsid w:val="00D224EF"/>
    <w:rsid w:val="00D2336D"/>
    <w:rsid w:val="00D23BB0"/>
    <w:rsid w:val="00D250AD"/>
    <w:rsid w:val="00D258BB"/>
    <w:rsid w:val="00D25D63"/>
    <w:rsid w:val="00D25F76"/>
    <w:rsid w:val="00D26152"/>
    <w:rsid w:val="00D26F6B"/>
    <w:rsid w:val="00D2735E"/>
    <w:rsid w:val="00D27BBB"/>
    <w:rsid w:val="00D30380"/>
    <w:rsid w:val="00D3075E"/>
    <w:rsid w:val="00D30A5B"/>
    <w:rsid w:val="00D30D55"/>
    <w:rsid w:val="00D31049"/>
    <w:rsid w:val="00D31607"/>
    <w:rsid w:val="00D317EB"/>
    <w:rsid w:val="00D32BD9"/>
    <w:rsid w:val="00D32DD7"/>
    <w:rsid w:val="00D3320D"/>
    <w:rsid w:val="00D33431"/>
    <w:rsid w:val="00D346D4"/>
    <w:rsid w:val="00D34855"/>
    <w:rsid w:val="00D35EA4"/>
    <w:rsid w:val="00D36FBF"/>
    <w:rsid w:val="00D371C9"/>
    <w:rsid w:val="00D37B6F"/>
    <w:rsid w:val="00D425D7"/>
    <w:rsid w:val="00D42C9A"/>
    <w:rsid w:val="00D4362F"/>
    <w:rsid w:val="00D43824"/>
    <w:rsid w:val="00D43AD9"/>
    <w:rsid w:val="00D444E0"/>
    <w:rsid w:val="00D45617"/>
    <w:rsid w:val="00D475BC"/>
    <w:rsid w:val="00D47974"/>
    <w:rsid w:val="00D47F86"/>
    <w:rsid w:val="00D47FA5"/>
    <w:rsid w:val="00D5014D"/>
    <w:rsid w:val="00D507B0"/>
    <w:rsid w:val="00D50A33"/>
    <w:rsid w:val="00D50E09"/>
    <w:rsid w:val="00D510DA"/>
    <w:rsid w:val="00D5188E"/>
    <w:rsid w:val="00D521BE"/>
    <w:rsid w:val="00D52AF0"/>
    <w:rsid w:val="00D52E3B"/>
    <w:rsid w:val="00D53511"/>
    <w:rsid w:val="00D55322"/>
    <w:rsid w:val="00D57D01"/>
    <w:rsid w:val="00D57EB9"/>
    <w:rsid w:val="00D57FDC"/>
    <w:rsid w:val="00D6035D"/>
    <w:rsid w:val="00D6111F"/>
    <w:rsid w:val="00D61ACA"/>
    <w:rsid w:val="00D62B98"/>
    <w:rsid w:val="00D62CEE"/>
    <w:rsid w:val="00D637C2"/>
    <w:rsid w:val="00D6525B"/>
    <w:rsid w:val="00D6546D"/>
    <w:rsid w:val="00D65716"/>
    <w:rsid w:val="00D65D0D"/>
    <w:rsid w:val="00D664C7"/>
    <w:rsid w:val="00D70726"/>
    <w:rsid w:val="00D7187F"/>
    <w:rsid w:val="00D727D8"/>
    <w:rsid w:val="00D73B08"/>
    <w:rsid w:val="00D73FC3"/>
    <w:rsid w:val="00D74237"/>
    <w:rsid w:val="00D742E6"/>
    <w:rsid w:val="00D74B5C"/>
    <w:rsid w:val="00D74CBB"/>
    <w:rsid w:val="00D75B39"/>
    <w:rsid w:val="00D75E7A"/>
    <w:rsid w:val="00D7676A"/>
    <w:rsid w:val="00D80F19"/>
    <w:rsid w:val="00D8104F"/>
    <w:rsid w:val="00D81119"/>
    <w:rsid w:val="00D81EEC"/>
    <w:rsid w:val="00D825B8"/>
    <w:rsid w:val="00D829CE"/>
    <w:rsid w:val="00D83E1B"/>
    <w:rsid w:val="00D83F05"/>
    <w:rsid w:val="00D84297"/>
    <w:rsid w:val="00D84E48"/>
    <w:rsid w:val="00D864C1"/>
    <w:rsid w:val="00D8739E"/>
    <w:rsid w:val="00D90A82"/>
    <w:rsid w:val="00D915B9"/>
    <w:rsid w:val="00D9288B"/>
    <w:rsid w:val="00D92A1F"/>
    <w:rsid w:val="00D9367A"/>
    <w:rsid w:val="00D94194"/>
    <w:rsid w:val="00D945ED"/>
    <w:rsid w:val="00D95382"/>
    <w:rsid w:val="00D96A88"/>
    <w:rsid w:val="00D96C52"/>
    <w:rsid w:val="00D9750E"/>
    <w:rsid w:val="00DA0534"/>
    <w:rsid w:val="00DA180B"/>
    <w:rsid w:val="00DA1DE2"/>
    <w:rsid w:val="00DA3647"/>
    <w:rsid w:val="00DA3AAD"/>
    <w:rsid w:val="00DA45E9"/>
    <w:rsid w:val="00DA4696"/>
    <w:rsid w:val="00DA48CC"/>
    <w:rsid w:val="00DA560D"/>
    <w:rsid w:val="00DA6441"/>
    <w:rsid w:val="00DA6853"/>
    <w:rsid w:val="00DA6A25"/>
    <w:rsid w:val="00DB1CC9"/>
    <w:rsid w:val="00DB1CD9"/>
    <w:rsid w:val="00DB289B"/>
    <w:rsid w:val="00DB2BC7"/>
    <w:rsid w:val="00DB2D41"/>
    <w:rsid w:val="00DB30B6"/>
    <w:rsid w:val="00DB312B"/>
    <w:rsid w:val="00DB337C"/>
    <w:rsid w:val="00DB3E96"/>
    <w:rsid w:val="00DB421F"/>
    <w:rsid w:val="00DB4804"/>
    <w:rsid w:val="00DB4ACD"/>
    <w:rsid w:val="00DB5234"/>
    <w:rsid w:val="00DB558C"/>
    <w:rsid w:val="00DB605B"/>
    <w:rsid w:val="00DB6102"/>
    <w:rsid w:val="00DB6354"/>
    <w:rsid w:val="00DB6D48"/>
    <w:rsid w:val="00DB751A"/>
    <w:rsid w:val="00DB7669"/>
    <w:rsid w:val="00DB7919"/>
    <w:rsid w:val="00DB7D9F"/>
    <w:rsid w:val="00DB7DB5"/>
    <w:rsid w:val="00DC0529"/>
    <w:rsid w:val="00DC0BF4"/>
    <w:rsid w:val="00DC12A4"/>
    <w:rsid w:val="00DC1552"/>
    <w:rsid w:val="00DC2D0C"/>
    <w:rsid w:val="00DC4684"/>
    <w:rsid w:val="00DC6749"/>
    <w:rsid w:val="00DC7069"/>
    <w:rsid w:val="00DC7704"/>
    <w:rsid w:val="00DC7815"/>
    <w:rsid w:val="00DD036F"/>
    <w:rsid w:val="00DD0CB0"/>
    <w:rsid w:val="00DD101B"/>
    <w:rsid w:val="00DD1922"/>
    <w:rsid w:val="00DD2062"/>
    <w:rsid w:val="00DD2ED9"/>
    <w:rsid w:val="00DD3A82"/>
    <w:rsid w:val="00DD3ABF"/>
    <w:rsid w:val="00DD485C"/>
    <w:rsid w:val="00DD493C"/>
    <w:rsid w:val="00DD4B67"/>
    <w:rsid w:val="00DD5923"/>
    <w:rsid w:val="00DD59A2"/>
    <w:rsid w:val="00DD5FB3"/>
    <w:rsid w:val="00DD71B2"/>
    <w:rsid w:val="00DD72E5"/>
    <w:rsid w:val="00DD79C6"/>
    <w:rsid w:val="00DE0DC5"/>
    <w:rsid w:val="00DE18A6"/>
    <w:rsid w:val="00DE21F1"/>
    <w:rsid w:val="00DE291B"/>
    <w:rsid w:val="00DE33B3"/>
    <w:rsid w:val="00DE4198"/>
    <w:rsid w:val="00DE4492"/>
    <w:rsid w:val="00DE644C"/>
    <w:rsid w:val="00DE6A7A"/>
    <w:rsid w:val="00DE722E"/>
    <w:rsid w:val="00DE763A"/>
    <w:rsid w:val="00DE7B53"/>
    <w:rsid w:val="00DF178B"/>
    <w:rsid w:val="00DF20DB"/>
    <w:rsid w:val="00DF2AE1"/>
    <w:rsid w:val="00DF2C5A"/>
    <w:rsid w:val="00DF3798"/>
    <w:rsid w:val="00DF43C6"/>
    <w:rsid w:val="00DF5A4E"/>
    <w:rsid w:val="00DF6A02"/>
    <w:rsid w:val="00DF6AAA"/>
    <w:rsid w:val="00DF76B4"/>
    <w:rsid w:val="00DF77CC"/>
    <w:rsid w:val="00E00046"/>
    <w:rsid w:val="00E00719"/>
    <w:rsid w:val="00E00B04"/>
    <w:rsid w:val="00E01E69"/>
    <w:rsid w:val="00E01EFE"/>
    <w:rsid w:val="00E01FC9"/>
    <w:rsid w:val="00E0201C"/>
    <w:rsid w:val="00E033D7"/>
    <w:rsid w:val="00E044EC"/>
    <w:rsid w:val="00E0469C"/>
    <w:rsid w:val="00E04DDD"/>
    <w:rsid w:val="00E050BD"/>
    <w:rsid w:val="00E05491"/>
    <w:rsid w:val="00E061EB"/>
    <w:rsid w:val="00E06598"/>
    <w:rsid w:val="00E067A6"/>
    <w:rsid w:val="00E0786D"/>
    <w:rsid w:val="00E079CE"/>
    <w:rsid w:val="00E1015E"/>
    <w:rsid w:val="00E1095A"/>
    <w:rsid w:val="00E128C3"/>
    <w:rsid w:val="00E14E14"/>
    <w:rsid w:val="00E1575C"/>
    <w:rsid w:val="00E15B3C"/>
    <w:rsid w:val="00E161D2"/>
    <w:rsid w:val="00E16263"/>
    <w:rsid w:val="00E169F4"/>
    <w:rsid w:val="00E16ECE"/>
    <w:rsid w:val="00E16F2A"/>
    <w:rsid w:val="00E16F9E"/>
    <w:rsid w:val="00E20045"/>
    <w:rsid w:val="00E22335"/>
    <w:rsid w:val="00E227AF"/>
    <w:rsid w:val="00E228B8"/>
    <w:rsid w:val="00E237D6"/>
    <w:rsid w:val="00E23FE3"/>
    <w:rsid w:val="00E25422"/>
    <w:rsid w:val="00E256C0"/>
    <w:rsid w:val="00E26030"/>
    <w:rsid w:val="00E26462"/>
    <w:rsid w:val="00E27FF5"/>
    <w:rsid w:val="00E30389"/>
    <w:rsid w:val="00E30443"/>
    <w:rsid w:val="00E30A6F"/>
    <w:rsid w:val="00E32226"/>
    <w:rsid w:val="00E33384"/>
    <w:rsid w:val="00E33CAE"/>
    <w:rsid w:val="00E347A1"/>
    <w:rsid w:val="00E348C6"/>
    <w:rsid w:val="00E34D08"/>
    <w:rsid w:val="00E3584C"/>
    <w:rsid w:val="00E36363"/>
    <w:rsid w:val="00E3721B"/>
    <w:rsid w:val="00E37370"/>
    <w:rsid w:val="00E40332"/>
    <w:rsid w:val="00E40F03"/>
    <w:rsid w:val="00E41213"/>
    <w:rsid w:val="00E4124B"/>
    <w:rsid w:val="00E418CE"/>
    <w:rsid w:val="00E41AD1"/>
    <w:rsid w:val="00E421AB"/>
    <w:rsid w:val="00E42515"/>
    <w:rsid w:val="00E428D5"/>
    <w:rsid w:val="00E42CED"/>
    <w:rsid w:val="00E438B9"/>
    <w:rsid w:val="00E43FC0"/>
    <w:rsid w:val="00E447D0"/>
    <w:rsid w:val="00E44B02"/>
    <w:rsid w:val="00E45989"/>
    <w:rsid w:val="00E45FC0"/>
    <w:rsid w:val="00E46620"/>
    <w:rsid w:val="00E4670A"/>
    <w:rsid w:val="00E50C51"/>
    <w:rsid w:val="00E5107A"/>
    <w:rsid w:val="00E52B1C"/>
    <w:rsid w:val="00E52C84"/>
    <w:rsid w:val="00E54A0B"/>
    <w:rsid w:val="00E55C5B"/>
    <w:rsid w:val="00E56DCD"/>
    <w:rsid w:val="00E57807"/>
    <w:rsid w:val="00E6015E"/>
    <w:rsid w:val="00E60815"/>
    <w:rsid w:val="00E60AA3"/>
    <w:rsid w:val="00E61D18"/>
    <w:rsid w:val="00E61EC7"/>
    <w:rsid w:val="00E63CF3"/>
    <w:rsid w:val="00E644F2"/>
    <w:rsid w:val="00E64A75"/>
    <w:rsid w:val="00E6516A"/>
    <w:rsid w:val="00E65370"/>
    <w:rsid w:val="00E65D09"/>
    <w:rsid w:val="00E67E9F"/>
    <w:rsid w:val="00E70EA2"/>
    <w:rsid w:val="00E715FF"/>
    <w:rsid w:val="00E71E0E"/>
    <w:rsid w:val="00E71E66"/>
    <w:rsid w:val="00E72CEC"/>
    <w:rsid w:val="00E737F4"/>
    <w:rsid w:val="00E73A9B"/>
    <w:rsid w:val="00E73BC9"/>
    <w:rsid w:val="00E742BE"/>
    <w:rsid w:val="00E745E4"/>
    <w:rsid w:val="00E746D0"/>
    <w:rsid w:val="00E74D61"/>
    <w:rsid w:val="00E75630"/>
    <w:rsid w:val="00E75909"/>
    <w:rsid w:val="00E75BA3"/>
    <w:rsid w:val="00E76634"/>
    <w:rsid w:val="00E76EC2"/>
    <w:rsid w:val="00E772EB"/>
    <w:rsid w:val="00E77A1A"/>
    <w:rsid w:val="00E77C41"/>
    <w:rsid w:val="00E8015D"/>
    <w:rsid w:val="00E81D2C"/>
    <w:rsid w:val="00E83653"/>
    <w:rsid w:val="00E839D1"/>
    <w:rsid w:val="00E83A88"/>
    <w:rsid w:val="00E83EE6"/>
    <w:rsid w:val="00E846DA"/>
    <w:rsid w:val="00E8521D"/>
    <w:rsid w:val="00E85BEA"/>
    <w:rsid w:val="00E8697F"/>
    <w:rsid w:val="00E86C94"/>
    <w:rsid w:val="00E8714A"/>
    <w:rsid w:val="00E87A53"/>
    <w:rsid w:val="00E90CC2"/>
    <w:rsid w:val="00E90D5D"/>
    <w:rsid w:val="00E9176A"/>
    <w:rsid w:val="00E91954"/>
    <w:rsid w:val="00E91E2D"/>
    <w:rsid w:val="00E92493"/>
    <w:rsid w:val="00E931E9"/>
    <w:rsid w:val="00E9385F"/>
    <w:rsid w:val="00E94621"/>
    <w:rsid w:val="00E964F9"/>
    <w:rsid w:val="00E96A32"/>
    <w:rsid w:val="00E96C8E"/>
    <w:rsid w:val="00E96D31"/>
    <w:rsid w:val="00E97B4B"/>
    <w:rsid w:val="00EA0668"/>
    <w:rsid w:val="00EA116D"/>
    <w:rsid w:val="00EA1279"/>
    <w:rsid w:val="00EA1457"/>
    <w:rsid w:val="00EA1523"/>
    <w:rsid w:val="00EA2D11"/>
    <w:rsid w:val="00EA30A6"/>
    <w:rsid w:val="00EA4E24"/>
    <w:rsid w:val="00EA50FF"/>
    <w:rsid w:val="00EA59BF"/>
    <w:rsid w:val="00EA6172"/>
    <w:rsid w:val="00EA69B6"/>
    <w:rsid w:val="00EA6DF1"/>
    <w:rsid w:val="00EA7007"/>
    <w:rsid w:val="00EA7699"/>
    <w:rsid w:val="00EA7891"/>
    <w:rsid w:val="00EB0C6C"/>
    <w:rsid w:val="00EB48A8"/>
    <w:rsid w:val="00EB4AA8"/>
    <w:rsid w:val="00EB5E79"/>
    <w:rsid w:val="00EB651D"/>
    <w:rsid w:val="00EB7374"/>
    <w:rsid w:val="00EB77D0"/>
    <w:rsid w:val="00EC0244"/>
    <w:rsid w:val="00EC179E"/>
    <w:rsid w:val="00EC1998"/>
    <w:rsid w:val="00EC2928"/>
    <w:rsid w:val="00EC30CC"/>
    <w:rsid w:val="00EC604A"/>
    <w:rsid w:val="00EC6701"/>
    <w:rsid w:val="00EC7E71"/>
    <w:rsid w:val="00ED1A60"/>
    <w:rsid w:val="00ED1AD1"/>
    <w:rsid w:val="00ED21E7"/>
    <w:rsid w:val="00ED2B55"/>
    <w:rsid w:val="00ED3481"/>
    <w:rsid w:val="00ED3AFE"/>
    <w:rsid w:val="00ED4FF0"/>
    <w:rsid w:val="00ED5FB0"/>
    <w:rsid w:val="00ED646E"/>
    <w:rsid w:val="00ED741E"/>
    <w:rsid w:val="00ED78C9"/>
    <w:rsid w:val="00EE0AB3"/>
    <w:rsid w:val="00EE1B1A"/>
    <w:rsid w:val="00EE2311"/>
    <w:rsid w:val="00EE247D"/>
    <w:rsid w:val="00EE27EF"/>
    <w:rsid w:val="00EE33D7"/>
    <w:rsid w:val="00EE378B"/>
    <w:rsid w:val="00EE3D18"/>
    <w:rsid w:val="00EE3D69"/>
    <w:rsid w:val="00EE5820"/>
    <w:rsid w:val="00EE6793"/>
    <w:rsid w:val="00EE6B66"/>
    <w:rsid w:val="00EE6BEE"/>
    <w:rsid w:val="00EE775F"/>
    <w:rsid w:val="00EF018D"/>
    <w:rsid w:val="00EF071F"/>
    <w:rsid w:val="00EF1AA8"/>
    <w:rsid w:val="00EF245C"/>
    <w:rsid w:val="00EF24F7"/>
    <w:rsid w:val="00EF2B48"/>
    <w:rsid w:val="00EF422C"/>
    <w:rsid w:val="00EF4978"/>
    <w:rsid w:val="00EF4FAA"/>
    <w:rsid w:val="00EF54D8"/>
    <w:rsid w:val="00EF5979"/>
    <w:rsid w:val="00EF6038"/>
    <w:rsid w:val="00EF64C9"/>
    <w:rsid w:val="00EF64EA"/>
    <w:rsid w:val="00EF6A30"/>
    <w:rsid w:val="00EF6FD5"/>
    <w:rsid w:val="00EF7106"/>
    <w:rsid w:val="00EF7684"/>
    <w:rsid w:val="00EF77D4"/>
    <w:rsid w:val="00EF78D1"/>
    <w:rsid w:val="00EF7BF0"/>
    <w:rsid w:val="00F00209"/>
    <w:rsid w:val="00F00252"/>
    <w:rsid w:val="00F05C6D"/>
    <w:rsid w:val="00F0642A"/>
    <w:rsid w:val="00F06CAC"/>
    <w:rsid w:val="00F07504"/>
    <w:rsid w:val="00F07567"/>
    <w:rsid w:val="00F077DB"/>
    <w:rsid w:val="00F10354"/>
    <w:rsid w:val="00F11F5D"/>
    <w:rsid w:val="00F12DB1"/>
    <w:rsid w:val="00F13133"/>
    <w:rsid w:val="00F13E3E"/>
    <w:rsid w:val="00F14002"/>
    <w:rsid w:val="00F142AF"/>
    <w:rsid w:val="00F16D7B"/>
    <w:rsid w:val="00F2009A"/>
    <w:rsid w:val="00F2021C"/>
    <w:rsid w:val="00F20439"/>
    <w:rsid w:val="00F215D2"/>
    <w:rsid w:val="00F21AD6"/>
    <w:rsid w:val="00F2262D"/>
    <w:rsid w:val="00F22998"/>
    <w:rsid w:val="00F22B0A"/>
    <w:rsid w:val="00F230B4"/>
    <w:rsid w:val="00F24196"/>
    <w:rsid w:val="00F24265"/>
    <w:rsid w:val="00F25896"/>
    <w:rsid w:val="00F26A54"/>
    <w:rsid w:val="00F27207"/>
    <w:rsid w:val="00F3188B"/>
    <w:rsid w:val="00F31F43"/>
    <w:rsid w:val="00F3260D"/>
    <w:rsid w:val="00F32638"/>
    <w:rsid w:val="00F33931"/>
    <w:rsid w:val="00F33B93"/>
    <w:rsid w:val="00F34633"/>
    <w:rsid w:val="00F346A3"/>
    <w:rsid w:val="00F3478F"/>
    <w:rsid w:val="00F35549"/>
    <w:rsid w:val="00F363EE"/>
    <w:rsid w:val="00F36BB5"/>
    <w:rsid w:val="00F37829"/>
    <w:rsid w:val="00F40B5B"/>
    <w:rsid w:val="00F40F79"/>
    <w:rsid w:val="00F41009"/>
    <w:rsid w:val="00F417CB"/>
    <w:rsid w:val="00F41AEF"/>
    <w:rsid w:val="00F427FC"/>
    <w:rsid w:val="00F428B7"/>
    <w:rsid w:val="00F42B59"/>
    <w:rsid w:val="00F44135"/>
    <w:rsid w:val="00F449FC"/>
    <w:rsid w:val="00F44D3B"/>
    <w:rsid w:val="00F45808"/>
    <w:rsid w:val="00F45C63"/>
    <w:rsid w:val="00F45DF4"/>
    <w:rsid w:val="00F4659C"/>
    <w:rsid w:val="00F47CD7"/>
    <w:rsid w:val="00F50D4B"/>
    <w:rsid w:val="00F511FC"/>
    <w:rsid w:val="00F513DD"/>
    <w:rsid w:val="00F5168C"/>
    <w:rsid w:val="00F529C1"/>
    <w:rsid w:val="00F52C9D"/>
    <w:rsid w:val="00F53566"/>
    <w:rsid w:val="00F53E97"/>
    <w:rsid w:val="00F5404C"/>
    <w:rsid w:val="00F540E8"/>
    <w:rsid w:val="00F54532"/>
    <w:rsid w:val="00F5458A"/>
    <w:rsid w:val="00F54B0F"/>
    <w:rsid w:val="00F54CE3"/>
    <w:rsid w:val="00F54CEE"/>
    <w:rsid w:val="00F559C7"/>
    <w:rsid w:val="00F57C20"/>
    <w:rsid w:val="00F60611"/>
    <w:rsid w:val="00F6189B"/>
    <w:rsid w:val="00F63B32"/>
    <w:rsid w:val="00F63C70"/>
    <w:rsid w:val="00F64D6C"/>
    <w:rsid w:val="00F65482"/>
    <w:rsid w:val="00F67356"/>
    <w:rsid w:val="00F67A8C"/>
    <w:rsid w:val="00F702DD"/>
    <w:rsid w:val="00F71C23"/>
    <w:rsid w:val="00F72A3A"/>
    <w:rsid w:val="00F736B3"/>
    <w:rsid w:val="00F73AAD"/>
    <w:rsid w:val="00F74F93"/>
    <w:rsid w:val="00F75557"/>
    <w:rsid w:val="00F76061"/>
    <w:rsid w:val="00F767DF"/>
    <w:rsid w:val="00F76C94"/>
    <w:rsid w:val="00F77459"/>
    <w:rsid w:val="00F808F3"/>
    <w:rsid w:val="00F81816"/>
    <w:rsid w:val="00F8251B"/>
    <w:rsid w:val="00F82907"/>
    <w:rsid w:val="00F84219"/>
    <w:rsid w:val="00F8506F"/>
    <w:rsid w:val="00F852DA"/>
    <w:rsid w:val="00F853B2"/>
    <w:rsid w:val="00F854A7"/>
    <w:rsid w:val="00F866A8"/>
    <w:rsid w:val="00F87284"/>
    <w:rsid w:val="00F872CC"/>
    <w:rsid w:val="00F87F8F"/>
    <w:rsid w:val="00F905F0"/>
    <w:rsid w:val="00F90996"/>
    <w:rsid w:val="00F91159"/>
    <w:rsid w:val="00F925F2"/>
    <w:rsid w:val="00F93BE5"/>
    <w:rsid w:val="00F9417B"/>
    <w:rsid w:val="00F9441C"/>
    <w:rsid w:val="00F9550A"/>
    <w:rsid w:val="00F960BD"/>
    <w:rsid w:val="00F970FF"/>
    <w:rsid w:val="00F976D6"/>
    <w:rsid w:val="00FA0183"/>
    <w:rsid w:val="00FA14C0"/>
    <w:rsid w:val="00FA376B"/>
    <w:rsid w:val="00FA4436"/>
    <w:rsid w:val="00FA4E84"/>
    <w:rsid w:val="00FA5B70"/>
    <w:rsid w:val="00FA5F16"/>
    <w:rsid w:val="00FA6913"/>
    <w:rsid w:val="00FA6954"/>
    <w:rsid w:val="00FA6D4F"/>
    <w:rsid w:val="00FA6F95"/>
    <w:rsid w:val="00FB0D51"/>
    <w:rsid w:val="00FB13E7"/>
    <w:rsid w:val="00FB1A4A"/>
    <w:rsid w:val="00FB32C2"/>
    <w:rsid w:val="00FB4608"/>
    <w:rsid w:val="00FB503C"/>
    <w:rsid w:val="00FB5B3F"/>
    <w:rsid w:val="00FB7358"/>
    <w:rsid w:val="00FB7409"/>
    <w:rsid w:val="00FB76BA"/>
    <w:rsid w:val="00FC1396"/>
    <w:rsid w:val="00FC1DB0"/>
    <w:rsid w:val="00FC22A6"/>
    <w:rsid w:val="00FC39D5"/>
    <w:rsid w:val="00FC3C97"/>
    <w:rsid w:val="00FC41F3"/>
    <w:rsid w:val="00FC59B4"/>
    <w:rsid w:val="00FC686F"/>
    <w:rsid w:val="00FC701E"/>
    <w:rsid w:val="00FC7955"/>
    <w:rsid w:val="00FD09CF"/>
    <w:rsid w:val="00FD196D"/>
    <w:rsid w:val="00FD1D94"/>
    <w:rsid w:val="00FD230A"/>
    <w:rsid w:val="00FD24C3"/>
    <w:rsid w:val="00FD2D64"/>
    <w:rsid w:val="00FD3D2F"/>
    <w:rsid w:val="00FD3ECB"/>
    <w:rsid w:val="00FD50CA"/>
    <w:rsid w:val="00FD5723"/>
    <w:rsid w:val="00FD65C9"/>
    <w:rsid w:val="00FD6A18"/>
    <w:rsid w:val="00FE005E"/>
    <w:rsid w:val="00FE062A"/>
    <w:rsid w:val="00FE0C38"/>
    <w:rsid w:val="00FE1755"/>
    <w:rsid w:val="00FE1B91"/>
    <w:rsid w:val="00FE30AA"/>
    <w:rsid w:val="00FE3104"/>
    <w:rsid w:val="00FE54B3"/>
    <w:rsid w:val="00FE65D9"/>
    <w:rsid w:val="00FE6B12"/>
    <w:rsid w:val="00FE7413"/>
    <w:rsid w:val="00FE780D"/>
    <w:rsid w:val="00FE7D09"/>
    <w:rsid w:val="00FF033C"/>
    <w:rsid w:val="00FF2016"/>
    <w:rsid w:val="00FF2649"/>
    <w:rsid w:val="00FF2AA4"/>
    <w:rsid w:val="00FF2D06"/>
    <w:rsid w:val="00FF424C"/>
    <w:rsid w:val="00FF4521"/>
    <w:rsid w:val="00FF4DE0"/>
    <w:rsid w:val="00FF5524"/>
    <w:rsid w:val="00FF5DAB"/>
    <w:rsid w:val="00FF64F2"/>
    <w:rsid w:val="00FF6B23"/>
    <w:rsid w:val="00FF6F58"/>
    <w:rsid w:val="00FF748B"/>
    <w:rsid w:val="011A30DE"/>
    <w:rsid w:val="012C6743"/>
    <w:rsid w:val="013B0DE8"/>
    <w:rsid w:val="015A1FF0"/>
    <w:rsid w:val="02A53353"/>
    <w:rsid w:val="02CB7E75"/>
    <w:rsid w:val="02CC6D73"/>
    <w:rsid w:val="03393105"/>
    <w:rsid w:val="04DD011B"/>
    <w:rsid w:val="055211C9"/>
    <w:rsid w:val="05992C9D"/>
    <w:rsid w:val="05AE125F"/>
    <w:rsid w:val="05C3448B"/>
    <w:rsid w:val="064F0DC8"/>
    <w:rsid w:val="06581505"/>
    <w:rsid w:val="072C62C7"/>
    <w:rsid w:val="07632D76"/>
    <w:rsid w:val="07EA773E"/>
    <w:rsid w:val="08923B7D"/>
    <w:rsid w:val="09A82F4A"/>
    <w:rsid w:val="0A2D217F"/>
    <w:rsid w:val="0B171706"/>
    <w:rsid w:val="0C7A06E4"/>
    <w:rsid w:val="0C840297"/>
    <w:rsid w:val="0C8C56A3"/>
    <w:rsid w:val="0CCC5595"/>
    <w:rsid w:val="0D124909"/>
    <w:rsid w:val="0D603B13"/>
    <w:rsid w:val="0D616980"/>
    <w:rsid w:val="0E0A2EC4"/>
    <w:rsid w:val="0E0E55CA"/>
    <w:rsid w:val="0E61787B"/>
    <w:rsid w:val="0E8A76E7"/>
    <w:rsid w:val="0E8C2BEA"/>
    <w:rsid w:val="0ED71A24"/>
    <w:rsid w:val="0EDE4BF3"/>
    <w:rsid w:val="0EF23E25"/>
    <w:rsid w:val="0F9F0794"/>
    <w:rsid w:val="0FA80E23"/>
    <w:rsid w:val="101319EE"/>
    <w:rsid w:val="105A4668"/>
    <w:rsid w:val="105E4E09"/>
    <w:rsid w:val="115536C4"/>
    <w:rsid w:val="11F93B8B"/>
    <w:rsid w:val="127C10B4"/>
    <w:rsid w:val="12D578C4"/>
    <w:rsid w:val="12F85CAD"/>
    <w:rsid w:val="1350772B"/>
    <w:rsid w:val="14391EBC"/>
    <w:rsid w:val="144C19E4"/>
    <w:rsid w:val="144C729A"/>
    <w:rsid w:val="14511761"/>
    <w:rsid w:val="14820EB5"/>
    <w:rsid w:val="14997957"/>
    <w:rsid w:val="14C50C9C"/>
    <w:rsid w:val="156E44B7"/>
    <w:rsid w:val="15FD2AA2"/>
    <w:rsid w:val="16A51FB6"/>
    <w:rsid w:val="16F44C8F"/>
    <w:rsid w:val="18216F24"/>
    <w:rsid w:val="18427D94"/>
    <w:rsid w:val="18725A29"/>
    <w:rsid w:val="18CE28C0"/>
    <w:rsid w:val="19A370D2"/>
    <w:rsid w:val="19E4784A"/>
    <w:rsid w:val="19E91868"/>
    <w:rsid w:val="19FB0CBC"/>
    <w:rsid w:val="1BA40A59"/>
    <w:rsid w:val="1C1D4D13"/>
    <w:rsid w:val="1C940F54"/>
    <w:rsid w:val="1CF64669"/>
    <w:rsid w:val="1D9A6CC9"/>
    <w:rsid w:val="1E5C3AED"/>
    <w:rsid w:val="1E8C6612"/>
    <w:rsid w:val="1EEC0BCC"/>
    <w:rsid w:val="1F32252A"/>
    <w:rsid w:val="1F5A7995"/>
    <w:rsid w:val="1FCF29CF"/>
    <w:rsid w:val="201C198C"/>
    <w:rsid w:val="202C6073"/>
    <w:rsid w:val="203019E4"/>
    <w:rsid w:val="206C4F63"/>
    <w:rsid w:val="21625D51"/>
    <w:rsid w:val="219914E7"/>
    <w:rsid w:val="21D65D10"/>
    <w:rsid w:val="21EC6631"/>
    <w:rsid w:val="222E182C"/>
    <w:rsid w:val="22BD058C"/>
    <w:rsid w:val="22D80135"/>
    <w:rsid w:val="22DC716D"/>
    <w:rsid w:val="230B4F32"/>
    <w:rsid w:val="23152B1B"/>
    <w:rsid w:val="233F1C1A"/>
    <w:rsid w:val="23621DAC"/>
    <w:rsid w:val="236553F8"/>
    <w:rsid w:val="23B73EA6"/>
    <w:rsid w:val="23FB5A15"/>
    <w:rsid w:val="24F55E48"/>
    <w:rsid w:val="26193812"/>
    <w:rsid w:val="26B6584E"/>
    <w:rsid w:val="26CD37AF"/>
    <w:rsid w:val="26FF4D89"/>
    <w:rsid w:val="28694A73"/>
    <w:rsid w:val="288A2311"/>
    <w:rsid w:val="288F719F"/>
    <w:rsid w:val="28DD7712"/>
    <w:rsid w:val="29E7118D"/>
    <w:rsid w:val="2A07545B"/>
    <w:rsid w:val="2A2D0B20"/>
    <w:rsid w:val="2A3240E3"/>
    <w:rsid w:val="2A3B3459"/>
    <w:rsid w:val="2A471CA1"/>
    <w:rsid w:val="2A513E7B"/>
    <w:rsid w:val="2AB12953"/>
    <w:rsid w:val="2AE10B62"/>
    <w:rsid w:val="2B002D1A"/>
    <w:rsid w:val="2B493179"/>
    <w:rsid w:val="2B6129BD"/>
    <w:rsid w:val="2BA74800"/>
    <w:rsid w:val="2BA95732"/>
    <w:rsid w:val="2C0931CD"/>
    <w:rsid w:val="2C393D1C"/>
    <w:rsid w:val="2CD23AFF"/>
    <w:rsid w:val="2CDB3525"/>
    <w:rsid w:val="2D323F34"/>
    <w:rsid w:val="2DCF1834"/>
    <w:rsid w:val="2E204E3C"/>
    <w:rsid w:val="2EDA1FF8"/>
    <w:rsid w:val="2F2F34F7"/>
    <w:rsid w:val="2F6A4E58"/>
    <w:rsid w:val="2F6F3887"/>
    <w:rsid w:val="2FEA2358"/>
    <w:rsid w:val="346045FB"/>
    <w:rsid w:val="34F32864"/>
    <w:rsid w:val="35D8578F"/>
    <w:rsid w:val="366A7ED3"/>
    <w:rsid w:val="369938DF"/>
    <w:rsid w:val="36E820E6"/>
    <w:rsid w:val="3795666A"/>
    <w:rsid w:val="379D2F5B"/>
    <w:rsid w:val="37DF32B8"/>
    <w:rsid w:val="3816377F"/>
    <w:rsid w:val="38263584"/>
    <w:rsid w:val="38B91661"/>
    <w:rsid w:val="38BE4EA5"/>
    <w:rsid w:val="394D0C9D"/>
    <w:rsid w:val="397273BD"/>
    <w:rsid w:val="3A4C6DAB"/>
    <w:rsid w:val="3A6F486B"/>
    <w:rsid w:val="3A740CF3"/>
    <w:rsid w:val="3ABE088E"/>
    <w:rsid w:val="3B231504"/>
    <w:rsid w:val="3B2D5F23"/>
    <w:rsid w:val="3BD258C9"/>
    <w:rsid w:val="3D46040E"/>
    <w:rsid w:val="3D584BE3"/>
    <w:rsid w:val="3DFD4F05"/>
    <w:rsid w:val="3F115164"/>
    <w:rsid w:val="3FCD67B6"/>
    <w:rsid w:val="40374367"/>
    <w:rsid w:val="411D44E5"/>
    <w:rsid w:val="41CC4333"/>
    <w:rsid w:val="41D8176C"/>
    <w:rsid w:val="41EC1732"/>
    <w:rsid w:val="42B93E9D"/>
    <w:rsid w:val="43423065"/>
    <w:rsid w:val="4389705D"/>
    <w:rsid w:val="440305EA"/>
    <w:rsid w:val="44D426B2"/>
    <w:rsid w:val="45C8129C"/>
    <w:rsid w:val="463A65C6"/>
    <w:rsid w:val="46B240CE"/>
    <w:rsid w:val="472E3BD0"/>
    <w:rsid w:val="47350903"/>
    <w:rsid w:val="476B0980"/>
    <w:rsid w:val="4836790F"/>
    <w:rsid w:val="4889130E"/>
    <w:rsid w:val="489B34E7"/>
    <w:rsid w:val="49394B08"/>
    <w:rsid w:val="493D634C"/>
    <w:rsid w:val="49495EC9"/>
    <w:rsid w:val="4A176B9D"/>
    <w:rsid w:val="4A6400B9"/>
    <w:rsid w:val="4AA62536"/>
    <w:rsid w:val="4AB25380"/>
    <w:rsid w:val="4BFC604B"/>
    <w:rsid w:val="4CD13297"/>
    <w:rsid w:val="4DA17BAE"/>
    <w:rsid w:val="4DC014CE"/>
    <w:rsid w:val="4E047B7B"/>
    <w:rsid w:val="4E480FF0"/>
    <w:rsid w:val="4EE924B9"/>
    <w:rsid w:val="4F2E14C6"/>
    <w:rsid w:val="4F730D1A"/>
    <w:rsid w:val="4FAC5BC3"/>
    <w:rsid w:val="505D59E6"/>
    <w:rsid w:val="51510BE7"/>
    <w:rsid w:val="51542485"/>
    <w:rsid w:val="51B52EE5"/>
    <w:rsid w:val="51BA2C30"/>
    <w:rsid w:val="51E909F0"/>
    <w:rsid w:val="523A78CD"/>
    <w:rsid w:val="526606C2"/>
    <w:rsid w:val="53AB0D9E"/>
    <w:rsid w:val="55BE1FBB"/>
    <w:rsid w:val="55EF7AA2"/>
    <w:rsid w:val="56150435"/>
    <w:rsid w:val="565D5CBC"/>
    <w:rsid w:val="570B4649"/>
    <w:rsid w:val="57EC2C4F"/>
    <w:rsid w:val="58B476A1"/>
    <w:rsid w:val="59A16797"/>
    <w:rsid w:val="59D70C1E"/>
    <w:rsid w:val="5A0709C0"/>
    <w:rsid w:val="5A0D34CB"/>
    <w:rsid w:val="5A5C0439"/>
    <w:rsid w:val="5B5A5DEF"/>
    <w:rsid w:val="5BD62414"/>
    <w:rsid w:val="5D0C6EAC"/>
    <w:rsid w:val="5D147813"/>
    <w:rsid w:val="5D751961"/>
    <w:rsid w:val="5E4F1DB4"/>
    <w:rsid w:val="5E872145"/>
    <w:rsid w:val="5F6D7207"/>
    <w:rsid w:val="6004325A"/>
    <w:rsid w:val="60053F36"/>
    <w:rsid w:val="616C4524"/>
    <w:rsid w:val="61D66A13"/>
    <w:rsid w:val="61FD68D7"/>
    <w:rsid w:val="6212058F"/>
    <w:rsid w:val="623779B1"/>
    <w:rsid w:val="63107694"/>
    <w:rsid w:val="63DE0B99"/>
    <w:rsid w:val="643F5B88"/>
    <w:rsid w:val="64C4295D"/>
    <w:rsid w:val="6545060B"/>
    <w:rsid w:val="66C20165"/>
    <w:rsid w:val="66E005EB"/>
    <w:rsid w:val="679C300B"/>
    <w:rsid w:val="67E64C66"/>
    <w:rsid w:val="68F64A63"/>
    <w:rsid w:val="68F71FC3"/>
    <w:rsid w:val="69255090"/>
    <w:rsid w:val="69EE74C3"/>
    <w:rsid w:val="6A07186C"/>
    <w:rsid w:val="6A292241"/>
    <w:rsid w:val="6A3573AB"/>
    <w:rsid w:val="6AAE6F15"/>
    <w:rsid w:val="6B2036AC"/>
    <w:rsid w:val="6BE97060"/>
    <w:rsid w:val="6C01543E"/>
    <w:rsid w:val="6C03456A"/>
    <w:rsid w:val="6C2C1F11"/>
    <w:rsid w:val="6C7E3B0E"/>
    <w:rsid w:val="6CE0261F"/>
    <w:rsid w:val="6D70425D"/>
    <w:rsid w:val="6D8952C5"/>
    <w:rsid w:val="6D8A73D2"/>
    <w:rsid w:val="6DB41733"/>
    <w:rsid w:val="6E11368A"/>
    <w:rsid w:val="6E372E5F"/>
    <w:rsid w:val="6E3B25AB"/>
    <w:rsid w:val="6E6D3EF3"/>
    <w:rsid w:val="6E80463B"/>
    <w:rsid w:val="6E997680"/>
    <w:rsid w:val="6EF46D1E"/>
    <w:rsid w:val="6F241291"/>
    <w:rsid w:val="6F685621"/>
    <w:rsid w:val="702412CF"/>
    <w:rsid w:val="70460641"/>
    <w:rsid w:val="704F5C80"/>
    <w:rsid w:val="70A5120A"/>
    <w:rsid w:val="70B62CD5"/>
    <w:rsid w:val="70BF76CF"/>
    <w:rsid w:val="71394751"/>
    <w:rsid w:val="713A21D2"/>
    <w:rsid w:val="71500A63"/>
    <w:rsid w:val="71DE4AF8"/>
    <w:rsid w:val="72241F34"/>
    <w:rsid w:val="72393B34"/>
    <w:rsid w:val="723A1D75"/>
    <w:rsid w:val="72654A4A"/>
    <w:rsid w:val="729D3AAD"/>
    <w:rsid w:val="72A20E4A"/>
    <w:rsid w:val="730701C4"/>
    <w:rsid w:val="730E33D2"/>
    <w:rsid w:val="734114D4"/>
    <w:rsid w:val="737048A7"/>
    <w:rsid w:val="73BE7F06"/>
    <w:rsid w:val="73CD470A"/>
    <w:rsid w:val="740718AD"/>
    <w:rsid w:val="741C0275"/>
    <w:rsid w:val="74352E35"/>
    <w:rsid w:val="743D52CE"/>
    <w:rsid w:val="74696C79"/>
    <w:rsid w:val="74B70E55"/>
    <w:rsid w:val="751402A4"/>
    <w:rsid w:val="752D7B49"/>
    <w:rsid w:val="7535051A"/>
    <w:rsid w:val="756372ED"/>
    <w:rsid w:val="756F664D"/>
    <w:rsid w:val="75C238C0"/>
    <w:rsid w:val="75CF09D8"/>
    <w:rsid w:val="75E066F3"/>
    <w:rsid w:val="75F76041"/>
    <w:rsid w:val="764F4AAF"/>
    <w:rsid w:val="76F1060D"/>
    <w:rsid w:val="77242776"/>
    <w:rsid w:val="77344062"/>
    <w:rsid w:val="778744A6"/>
    <w:rsid w:val="77A71211"/>
    <w:rsid w:val="77E2133C"/>
    <w:rsid w:val="78437287"/>
    <w:rsid w:val="79801D50"/>
    <w:rsid w:val="79CC23A6"/>
    <w:rsid w:val="7A926A27"/>
    <w:rsid w:val="7B277532"/>
    <w:rsid w:val="7C704BA0"/>
    <w:rsid w:val="7C785C63"/>
    <w:rsid w:val="7CE502B1"/>
    <w:rsid w:val="7D126A3A"/>
    <w:rsid w:val="7D360E20"/>
    <w:rsid w:val="7D3B6123"/>
    <w:rsid w:val="7D987C19"/>
    <w:rsid w:val="7DCC33E6"/>
    <w:rsid w:val="7F640A13"/>
    <w:rsid w:val="7F9A6A74"/>
    <w:rsid w:val="7FA03AC5"/>
    <w:rsid w:val="7FB07016"/>
    <w:rsid w:val="7FDA2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2"/>
    <w:qFormat/>
    <w:uiPriority w:val="0"/>
    <w:pPr>
      <w:keepNext/>
      <w:keepLines/>
      <w:spacing w:before="340" w:after="330" w:line="578" w:lineRule="auto"/>
      <w:outlineLvl w:val="0"/>
    </w:pPr>
    <w:rPr>
      <w:b/>
      <w:bCs/>
      <w:kern w:val="44"/>
      <w:sz w:val="44"/>
      <w:szCs w:val="44"/>
    </w:rPr>
  </w:style>
  <w:style w:type="paragraph" w:styleId="4">
    <w:name w:val="heading 2"/>
    <w:basedOn w:val="3"/>
    <w:next w:val="1"/>
    <w:link w:val="105"/>
    <w:qFormat/>
    <w:uiPriority w:val="0"/>
    <w:pPr>
      <w:keepNext/>
      <w:keepLines/>
      <w:spacing w:before="260" w:after="260" w:line="416" w:lineRule="auto"/>
      <w:outlineLvl w:val="1"/>
    </w:pPr>
    <w:rPr>
      <w:rFonts w:ascii="Arial" w:hAnsi="Arial" w:eastAsia="黑体"/>
      <w:sz w:val="32"/>
      <w:szCs w:val="32"/>
    </w:rPr>
  </w:style>
  <w:style w:type="paragraph" w:styleId="5">
    <w:name w:val="heading 3"/>
    <w:basedOn w:val="1"/>
    <w:next w:val="1"/>
    <w:link w:val="106"/>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107"/>
    <w:qFormat/>
    <w:uiPriority w:val="0"/>
    <w:pPr>
      <w:keepNext/>
      <w:outlineLvl w:val="3"/>
    </w:pPr>
    <w:rPr>
      <w:sz w:val="28"/>
      <w:szCs w:val="20"/>
    </w:rPr>
  </w:style>
  <w:style w:type="paragraph" w:styleId="7">
    <w:name w:val="heading 5"/>
    <w:basedOn w:val="1"/>
    <w:next w:val="1"/>
    <w:link w:val="108"/>
    <w:qFormat/>
    <w:uiPriority w:val="0"/>
    <w:pPr>
      <w:keepNext/>
      <w:keepLines/>
      <w:spacing w:before="280" w:after="290" w:line="376" w:lineRule="auto"/>
      <w:outlineLvl w:val="4"/>
    </w:pPr>
    <w:rPr>
      <w:b/>
      <w:bCs/>
      <w:sz w:val="28"/>
      <w:szCs w:val="28"/>
    </w:rPr>
  </w:style>
  <w:style w:type="paragraph" w:styleId="8">
    <w:name w:val="heading 6"/>
    <w:basedOn w:val="1"/>
    <w:next w:val="1"/>
    <w:link w:val="10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10"/>
    <w:qFormat/>
    <w:uiPriority w:val="0"/>
    <w:pPr>
      <w:keepNext/>
      <w:keepLines/>
      <w:spacing w:before="240" w:after="64" w:line="320" w:lineRule="auto"/>
      <w:outlineLvl w:val="6"/>
    </w:pPr>
    <w:rPr>
      <w:b/>
      <w:bCs/>
      <w:sz w:val="24"/>
    </w:rPr>
  </w:style>
  <w:style w:type="paragraph" w:styleId="10">
    <w:name w:val="heading 8"/>
    <w:basedOn w:val="1"/>
    <w:next w:val="1"/>
    <w:link w:val="11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12"/>
    <w:qFormat/>
    <w:uiPriority w:val="0"/>
    <w:pPr>
      <w:keepNext/>
      <w:keepLines/>
      <w:spacing w:before="240" w:after="64" w:line="320" w:lineRule="auto"/>
      <w:outlineLvl w:val="8"/>
    </w:pPr>
    <w:rPr>
      <w:rFonts w:ascii="Arial" w:hAnsi="Arial" w:eastAsia="黑体"/>
      <w:szCs w:val="21"/>
    </w:rPr>
  </w:style>
  <w:style w:type="character" w:default="1" w:styleId="89">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macro"/>
    <w:link w:val="160"/>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sz w:val="24"/>
      <w:szCs w:val="24"/>
      <w:lang w:val="en-US" w:eastAsia="zh-CN" w:bidi="ar-SA"/>
    </w:rPr>
  </w:style>
  <w:style w:type="paragraph" w:styleId="12">
    <w:name w:val="List 3"/>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2"/>
    <w:basedOn w:val="1"/>
    <w:qFormat/>
    <w:uiPriority w:val="0"/>
    <w:pPr>
      <w:widowControl/>
      <w:autoSpaceDE w:val="0"/>
      <w:autoSpaceDN w:val="0"/>
    </w:pPr>
    <w:rPr>
      <w:rFonts w:ascii="仿宋体" w:hAnsi="MS Sans Serif" w:eastAsia="仿宋体"/>
      <w:kern w:val="0"/>
      <w:sz w:val="24"/>
      <w:lang w:eastAsia="zh-TW"/>
    </w:rPr>
  </w:style>
  <w:style w:type="paragraph" w:styleId="15">
    <w:name w:val="table of authorities"/>
    <w:basedOn w:val="1"/>
    <w:next w:val="1"/>
    <w:qFormat/>
    <w:uiPriority w:val="0"/>
    <w:pPr>
      <w:widowControl/>
      <w:spacing w:before="120" w:line="360" w:lineRule="exact"/>
      <w:ind w:left="420" w:leftChars="420"/>
    </w:pPr>
    <w:rPr>
      <w:rFonts w:ascii="Garamond" w:hAnsi="Garamond" w:eastAsia="楷体_GB2312"/>
      <w:kern w:val="0"/>
      <w:sz w:val="24"/>
    </w:rPr>
  </w:style>
  <w:style w:type="paragraph" w:styleId="16">
    <w:name w:val="Note Heading"/>
    <w:next w:val="1"/>
    <w:link w:val="161"/>
    <w:qFormat/>
    <w:uiPriority w:val="0"/>
    <w:pPr>
      <w:tabs>
        <w:tab w:val="left" w:pos="720"/>
      </w:tabs>
      <w:wordWrap w:val="0"/>
      <w:snapToGrid w:val="0"/>
      <w:jc w:val="center"/>
    </w:pPr>
    <w:rPr>
      <w:rFonts w:ascii="宋体" w:hAnsiTheme="minorHAnsi" w:eastAsiaTheme="minorEastAsia" w:cstheme="minorBidi"/>
      <w:b/>
      <w:sz w:val="24"/>
      <w:szCs w:val="24"/>
      <w:lang w:val="en-US" w:eastAsia="zh-CN" w:bidi="ar-SA"/>
    </w:rPr>
  </w:style>
  <w:style w:type="paragraph" w:styleId="17">
    <w:name w:val="List Bullet 4"/>
    <w:qFormat/>
    <w:uiPriority w:val="0"/>
    <w:pPr>
      <w:tabs>
        <w:tab w:val="left" w:pos="748"/>
        <w:tab w:val="left" w:pos="2061"/>
        <w:tab w:val="left" w:pos="3240"/>
        <w:tab w:val="left" w:pos="4320"/>
        <w:tab w:val="left" w:pos="5400"/>
        <w:tab w:val="left" w:pos="6480"/>
        <w:tab w:val="left" w:pos="7560"/>
      </w:tabs>
      <w:spacing w:line="360" w:lineRule="exact"/>
      <w:ind w:left="2061" w:hanging="360"/>
    </w:pPr>
    <w:rPr>
      <w:rFonts w:ascii="Garamond" w:hAnsi="Garamond" w:eastAsia="宋体" w:cs="Times New Roman"/>
      <w:sz w:val="24"/>
      <w:szCs w:val="24"/>
      <w:lang w:val="en-US" w:eastAsia="zh-CN" w:bidi="ar-SA"/>
    </w:rPr>
  </w:style>
  <w:style w:type="paragraph" w:styleId="18">
    <w:name w:val="index 8"/>
    <w:basedOn w:val="1"/>
    <w:next w:val="1"/>
    <w:qFormat/>
    <w:uiPriority w:val="0"/>
    <w:pPr>
      <w:widowControl/>
      <w:tabs>
        <w:tab w:val="right" w:leader="dot" w:pos="4320"/>
      </w:tabs>
      <w:spacing w:line="240" w:lineRule="atLeast"/>
      <w:ind w:left="1600" w:hanging="200"/>
      <w:jc w:val="left"/>
    </w:pPr>
    <w:rPr>
      <w:rFonts w:ascii="宋体"/>
      <w:kern w:val="0"/>
      <w:sz w:val="20"/>
      <w:szCs w:val="20"/>
    </w:rPr>
  </w:style>
  <w:style w:type="paragraph" w:styleId="19">
    <w:name w:val="E-mail Signature"/>
    <w:basedOn w:val="1"/>
    <w:link w:val="162"/>
    <w:qFormat/>
    <w:uiPriority w:val="0"/>
    <w:pPr>
      <w:widowControl/>
      <w:spacing w:before="120" w:line="360" w:lineRule="exact"/>
    </w:pPr>
    <w:rPr>
      <w:rFonts w:ascii="Garamond" w:hAnsi="Garamond" w:eastAsia="楷体_GB2312"/>
      <w:kern w:val="0"/>
      <w:sz w:val="24"/>
    </w:rPr>
  </w:style>
  <w:style w:type="paragraph" w:styleId="20">
    <w:name w:val="List Number"/>
    <w:basedOn w:val="1"/>
    <w:link w:val="812"/>
    <w:qFormat/>
    <w:uiPriority w:val="0"/>
    <w:pPr>
      <w:widowControl/>
      <w:numPr>
        <w:ilvl w:val="0"/>
        <w:numId w:val="1"/>
      </w:numPr>
      <w:spacing w:line="360" w:lineRule="auto"/>
    </w:pPr>
    <w:rPr>
      <w:kern w:val="0"/>
      <w:sz w:val="24"/>
    </w:rPr>
  </w:style>
  <w:style w:type="paragraph" w:styleId="21">
    <w:name w:val="Normal Indent"/>
    <w:basedOn w:val="1"/>
    <w:link w:val="232"/>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22">
    <w:name w:val="caption"/>
    <w:basedOn w:val="1"/>
    <w:next w:val="1"/>
    <w:link w:val="427"/>
    <w:unhideWhenUsed/>
    <w:qFormat/>
    <w:uiPriority w:val="0"/>
    <w:rPr>
      <w:rFonts w:ascii="Cambria" w:hAnsi="Cambria" w:eastAsia="黑体"/>
      <w:sz w:val="20"/>
      <w:szCs w:val="20"/>
    </w:rPr>
  </w:style>
  <w:style w:type="paragraph" w:styleId="23">
    <w:name w:val="index 5"/>
    <w:basedOn w:val="1"/>
    <w:next w:val="1"/>
    <w:qFormat/>
    <w:uiPriority w:val="0"/>
    <w:pPr>
      <w:widowControl/>
      <w:tabs>
        <w:tab w:val="right" w:leader="dot" w:pos="4320"/>
      </w:tabs>
      <w:spacing w:line="240" w:lineRule="atLeast"/>
      <w:ind w:left="1000" w:hanging="200"/>
      <w:jc w:val="left"/>
    </w:pPr>
    <w:rPr>
      <w:rFonts w:ascii="宋体"/>
      <w:kern w:val="0"/>
      <w:sz w:val="20"/>
      <w:szCs w:val="20"/>
    </w:rPr>
  </w:style>
  <w:style w:type="paragraph" w:styleId="24">
    <w:name w:val="List Bullet"/>
    <w:basedOn w:val="1"/>
    <w:qFormat/>
    <w:uiPriority w:val="0"/>
    <w:pPr>
      <w:widowControl/>
      <w:tabs>
        <w:tab w:val="left" w:pos="748"/>
      </w:tabs>
      <w:spacing w:line="360" w:lineRule="auto"/>
      <w:ind w:left="748"/>
    </w:pPr>
    <w:rPr>
      <w:kern w:val="0"/>
      <w:szCs w:val="21"/>
    </w:rPr>
  </w:style>
  <w:style w:type="paragraph" w:styleId="25">
    <w:name w:val="envelope address"/>
    <w:basedOn w:val="1"/>
    <w:qFormat/>
    <w:uiPriority w:val="0"/>
    <w:pPr>
      <w:widowControl/>
      <w:snapToGrid w:val="0"/>
      <w:spacing w:before="120" w:line="360" w:lineRule="exact"/>
      <w:ind w:left="100" w:leftChars="100"/>
    </w:pPr>
    <w:rPr>
      <w:rFonts w:ascii="Arial" w:hAnsi="Arial" w:eastAsia="楷体_GB2312" w:cs="Arial"/>
      <w:kern w:val="0"/>
      <w:sz w:val="24"/>
    </w:rPr>
  </w:style>
  <w:style w:type="paragraph" w:styleId="26">
    <w:name w:val="Document Map"/>
    <w:basedOn w:val="1"/>
    <w:link w:val="117"/>
    <w:qFormat/>
    <w:uiPriority w:val="0"/>
    <w:rPr>
      <w:rFonts w:ascii="宋体"/>
      <w:sz w:val="18"/>
      <w:szCs w:val="18"/>
    </w:rPr>
  </w:style>
  <w:style w:type="paragraph" w:styleId="27">
    <w:name w:val="toa heading"/>
    <w:basedOn w:val="1"/>
    <w:next w:val="1"/>
    <w:qFormat/>
    <w:uiPriority w:val="0"/>
    <w:pPr>
      <w:widowControl/>
      <w:spacing w:before="120" w:line="360" w:lineRule="exact"/>
    </w:pPr>
    <w:rPr>
      <w:rFonts w:ascii="Arial" w:hAnsi="Arial" w:cs="Arial"/>
      <w:kern w:val="0"/>
      <w:sz w:val="24"/>
    </w:rPr>
  </w:style>
  <w:style w:type="paragraph" w:styleId="28">
    <w:name w:val="annotation text"/>
    <w:basedOn w:val="1"/>
    <w:link w:val="115"/>
    <w:unhideWhenUsed/>
    <w:qFormat/>
    <w:uiPriority w:val="0"/>
    <w:pPr>
      <w:jc w:val="left"/>
    </w:pPr>
  </w:style>
  <w:style w:type="paragraph" w:styleId="29">
    <w:name w:val="index 6"/>
    <w:basedOn w:val="1"/>
    <w:next w:val="1"/>
    <w:qFormat/>
    <w:uiPriority w:val="0"/>
    <w:pPr>
      <w:widowControl/>
      <w:tabs>
        <w:tab w:val="right" w:leader="dot" w:pos="4320"/>
      </w:tabs>
      <w:spacing w:line="240" w:lineRule="atLeast"/>
      <w:ind w:left="1200" w:hanging="200"/>
      <w:jc w:val="left"/>
    </w:pPr>
    <w:rPr>
      <w:rFonts w:ascii="宋体"/>
      <w:kern w:val="0"/>
      <w:sz w:val="20"/>
      <w:szCs w:val="20"/>
    </w:rPr>
  </w:style>
  <w:style w:type="paragraph" w:styleId="30">
    <w:name w:val="Salutation"/>
    <w:basedOn w:val="1"/>
    <w:next w:val="1"/>
    <w:link w:val="163"/>
    <w:qFormat/>
    <w:uiPriority w:val="0"/>
    <w:pPr>
      <w:widowControl/>
      <w:spacing w:before="120" w:line="360" w:lineRule="exact"/>
    </w:pPr>
    <w:rPr>
      <w:rFonts w:ascii="Garamond" w:hAnsi="Garamond" w:eastAsia="楷体_GB2312"/>
      <w:kern w:val="0"/>
      <w:sz w:val="24"/>
    </w:rPr>
  </w:style>
  <w:style w:type="paragraph" w:styleId="31">
    <w:name w:val="Body Text 3"/>
    <w:basedOn w:val="1"/>
    <w:link w:val="140"/>
    <w:unhideWhenUsed/>
    <w:qFormat/>
    <w:uiPriority w:val="99"/>
    <w:pPr>
      <w:spacing w:after="120"/>
    </w:pPr>
    <w:rPr>
      <w:sz w:val="16"/>
      <w:szCs w:val="16"/>
    </w:rPr>
  </w:style>
  <w:style w:type="paragraph" w:styleId="32">
    <w:name w:val="Closing"/>
    <w:basedOn w:val="1"/>
    <w:link w:val="164"/>
    <w:qFormat/>
    <w:uiPriority w:val="0"/>
    <w:pPr>
      <w:widowControl/>
      <w:ind w:left="4320"/>
      <w:jc w:val="right"/>
    </w:pPr>
    <w:rPr>
      <w:rFonts w:ascii="Arial" w:hAnsi="Arial"/>
      <w:kern w:val="0"/>
      <w:sz w:val="24"/>
      <w:lang w:val="en-GB" w:eastAsia="en-US"/>
    </w:rPr>
  </w:style>
  <w:style w:type="paragraph" w:styleId="33">
    <w:name w:val="List Bullet 3"/>
    <w:basedOn w:val="1"/>
    <w:qFormat/>
    <w:uiPriority w:val="0"/>
    <w:pPr>
      <w:widowControl/>
      <w:numPr>
        <w:ilvl w:val="0"/>
        <w:numId w:val="2"/>
      </w:numPr>
      <w:spacing w:line="360" w:lineRule="auto"/>
    </w:pPr>
    <w:rPr>
      <w:kern w:val="0"/>
      <w:sz w:val="24"/>
    </w:rPr>
  </w:style>
  <w:style w:type="paragraph" w:styleId="34">
    <w:name w:val="Body Text"/>
    <w:basedOn w:val="1"/>
    <w:link w:val="118"/>
    <w:qFormat/>
    <w:uiPriority w:val="0"/>
    <w:rPr>
      <w:sz w:val="28"/>
      <w:szCs w:val="20"/>
    </w:rPr>
  </w:style>
  <w:style w:type="paragraph" w:styleId="35">
    <w:name w:val="Body Text Indent"/>
    <w:basedOn w:val="1"/>
    <w:link w:val="1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6">
    <w:name w:val="List Number 3"/>
    <w:basedOn w:val="20"/>
    <w:qFormat/>
    <w:uiPriority w:val="0"/>
    <w:pPr>
      <w:numPr>
        <w:ilvl w:val="0"/>
        <w:numId w:val="0"/>
      </w:numPr>
      <w:tabs>
        <w:tab w:val="left" w:pos="1696"/>
      </w:tabs>
      <w:spacing w:line="360" w:lineRule="exact"/>
      <w:ind w:left="1696" w:hanging="420"/>
    </w:pPr>
    <w:rPr>
      <w:rFonts w:ascii="Garamond" w:hAnsi="Garamond"/>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widowControl/>
      <w:spacing w:before="120" w:after="120" w:line="360" w:lineRule="exact"/>
      <w:ind w:left="420" w:leftChars="420"/>
    </w:pPr>
    <w:rPr>
      <w:rFonts w:ascii="Garamond" w:hAnsi="Garamond" w:eastAsia="楷体_GB2312"/>
      <w:kern w:val="0"/>
      <w:sz w:val="24"/>
    </w:rPr>
  </w:style>
  <w:style w:type="paragraph" w:styleId="39">
    <w:name w:val="Block Text"/>
    <w:basedOn w:val="1"/>
    <w:qFormat/>
    <w:uiPriority w:val="0"/>
    <w:pPr>
      <w:widowControl/>
      <w:spacing w:before="120" w:after="120" w:line="360" w:lineRule="exact"/>
      <w:ind w:left="1440" w:leftChars="1440" w:right="1440"/>
    </w:pPr>
    <w:rPr>
      <w:rFonts w:ascii="Garamond" w:hAnsi="Garamond" w:eastAsia="楷体_GB2312"/>
      <w:kern w:val="0"/>
      <w:sz w:val="24"/>
    </w:rPr>
  </w:style>
  <w:style w:type="paragraph" w:styleId="40">
    <w:name w:val="List Bullet 2"/>
    <w:basedOn w:val="1"/>
    <w:link w:val="231"/>
    <w:qFormat/>
    <w:uiPriority w:val="0"/>
    <w:pPr>
      <w:widowControl/>
      <w:tabs>
        <w:tab w:val="left" w:pos="1302"/>
      </w:tabs>
      <w:spacing w:line="360" w:lineRule="auto"/>
      <w:ind w:left="168" w:firstLine="400"/>
    </w:pPr>
    <w:rPr>
      <w:kern w:val="0"/>
      <w:sz w:val="24"/>
    </w:rPr>
  </w:style>
  <w:style w:type="paragraph" w:styleId="41">
    <w:name w:val="HTML Address"/>
    <w:basedOn w:val="1"/>
    <w:link w:val="165"/>
    <w:qFormat/>
    <w:uiPriority w:val="0"/>
    <w:pPr>
      <w:widowControl/>
      <w:spacing w:before="120" w:line="360" w:lineRule="exact"/>
    </w:pPr>
    <w:rPr>
      <w:rFonts w:ascii="Garamond" w:hAnsi="Garamond" w:eastAsia="楷体_GB2312"/>
      <w:i/>
      <w:kern w:val="0"/>
      <w:sz w:val="24"/>
    </w:rPr>
  </w:style>
  <w:style w:type="paragraph" w:styleId="42">
    <w:name w:val="index 4"/>
    <w:basedOn w:val="1"/>
    <w:next w:val="1"/>
    <w:qFormat/>
    <w:uiPriority w:val="0"/>
    <w:pPr>
      <w:widowControl/>
      <w:tabs>
        <w:tab w:val="right" w:leader="dot" w:pos="4320"/>
      </w:tabs>
      <w:spacing w:line="240" w:lineRule="atLeast"/>
      <w:ind w:left="800" w:hanging="200"/>
      <w:jc w:val="left"/>
    </w:pPr>
    <w:rPr>
      <w:rFonts w:ascii="宋体"/>
      <w:kern w:val="0"/>
      <w:sz w:val="20"/>
      <w:szCs w:val="20"/>
    </w:rPr>
  </w:style>
  <w:style w:type="paragraph" w:styleId="43">
    <w:name w:val="toc 5"/>
    <w:basedOn w:val="1"/>
    <w:next w:val="1"/>
    <w:unhideWhenUsed/>
    <w:qFormat/>
    <w:uiPriority w:val="39"/>
    <w:pPr>
      <w:ind w:left="1680" w:leftChars="800"/>
    </w:pPr>
    <w:rPr>
      <w:rFonts w:ascii="Calibri" w:hAnsi="Calibri"/>
      <w:szCs w:val="22"/>
    </w:rPr>
  </w:style>
  <w:style w:type="paragraph" w:styleId="44">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45">
    <w:name w:val="Plain Text"/>
    <w:basedOn w:val="1"/>
    <w:link w:val="120"/>
    <w:qFormat/>
    <w:uiPriority w:val="0"/>
    <w:rPr>
      <w:rFonts w:ascii="宋体" w:hAnsi="Courier New"/>
      <w:szCs w:val="20"/>
    </w:rPr>
  </w:style>
  <w:style w:type="paragraph" w:styleId="46">
    <w:name w:val="List Bullet 5"/>
    <w:basedOn w:val="1"/>
    <w:qFormat/>
    <w:uiPriority w:val="0"/>
    <w:pPr>
      <w:widowControl/>
      <w:numPr>
        <w:ilvl w:val="0"/>
        <w:numId w:val="3"/>
      </w:numPr>
      <w:spacing w:after="120" w:line="240" w:lineRule="atLeast"/>
    </w:pPr>
    <w:rPr>
      <w:rFonts w:ascii="宋体" w:hAnsi="宋体"/>
      <w:kern w:val="0"/>
      <w:sz w:val="24"/>
      <w:lang w:val="en-GB"/>
    </w:rPr>
  </w:style>
  <w:style w:type="paragraph" w:styleId="47">
    <w:name w:val="List Number 4"/>
    <w:basedOn w:val="1"/>
    <w:qFormat/>
    <w:uiPriority w:val="0"/>
    <w:pPr>
      <w:widowControl/>
      <w:numPr>
        <w:ilvl w:val="0"/>
        <w:numId w:val="4"/>
      </w:numPr>
      <w:tabs>
        <w:tab w:val="left" w:pos="360"/>
        <w:tab w:val="clear" w:pos="1620"/>
      </w:tabs>
      <w:spacing w:after="80"/>
      <w:ind w:left="340" w:leftChars="0" w:hanging="340"/>
      <w:jc w:val="left"/>
    </w:pPr>
    <w:rPr>
      <w:kern w:val="0"/>
      <w:sz w:val="20"/>
      <w:szCs w:val="20"/>
      <w:lang w:eastAsia="en-US"/>
    </w:rPr>
  </w:style>
  <w:style w:type="paragraph" w:styleId="48">
    <w:name w:val="toc 8"/>
    <w:basedOn w:val="1"/>
    <w:next w:val="1"/>
    <w:unhideWhenUsed/>
    <w:qFormat/>
    <w:uiPriority w:val="39"/>
    <w:pPr>
      <w:ind w:left="2940" w:leftChars="1400"/>
    </w:pPr>
    <w:rPr>
      <w:rFonts w:ascii="Calibri" w:hAnsi="Calibri"/>
      <w:szCs w:val="22"/>
    </w:rPr>
  </w:style>
  <w:style w:type="paragraph" w:styleId="49">
    <w:name w:val="index 3"/>
    <w:basedOn w:val="1"/>
    <w:next w:val="1"/>
    <w:qFormat/>
    <w:uiPriority w:val="0"/>
    <w:pPr>
      <w:widowControl/>
      <w:tabs>
        <w:tab w:val="right" w:leader="dot" w:pos="4320"/>
      </w:tabs>
      <w:spacing w:line="240" w:lineRule="atLeast"/>
      <w:ind w:left="600" w:hanging="200"/>
      <w:jc w:val="left"/>
    </w:pPr>
    <w:rPr>
      <w:rFonts w:ascii="宋体"/>
      <w:kern w:val="0"/>
      <w:sz w:val="20"/>
      <w:szCs w:val="20"/>
    </w:rPr>
  </w:style>
  <w:style w:type="paragraph" w:styleId="50">
    <w:name w:val="Date"/>
    <w:basedOn w:val="1"/>
    <w:next w:val="1"/>
    <w:link w:val="121"/>
    <w:qFormat/>
    <w:uiPriority w:val="0"/>
    <w:pPr>
      <w:ind w:left="100" w:leftChars="2500"/>
    </w:pPr>
    <w:rPr>
      <w:szCs w:val="20"/>
    </w:rPr>
  </w:style>
  <w:style w:type="paragraph" w:styleId="51">
    <w:name w:val="Body Text Indent 2"/>
    <w:basedOn w:val="1"/>
    <w:link w:val="122"/>
    <w:qFormat/>
    <w:uiPriority w:val="0"/>
    <w:pPr>
      <w:spacing w:line="480" w:lineRule="auto"/>
      <w:ind w:firstLine="480" w:firstLineChars="200"/>
    </w:pPr>
    <w:rPr>
      <w:rFonts w:ascii="仿宋_GB2312" w:hAnsi="宋体" w:eastAsia="仿宋_GB2312"/>
      <w:sz w:val="24"/>
    </w:rPr>
  </w:style>
  <w:style w:type="paragraph" w:styleId="52">
    <w:name w:val="endnote text"/>
    <w:basedOn w:val="1"/>
    <w:link w:val="166"/>
    <w:qFormat/>
    <w:uiPriority w:val="0"/>
    <w:pPr>
      <w:widowControl/>
      <w:snapToGrid w:val="0"/>
      <w:spacing w:line="360" w:lineRule="auto"/>
      <w:ind w:firstLine="200"/>
      <w:jc w:val="left"/>
    </w:pPr>
    <w:rPr>
      <w:kern w:val="0"/>
      <w:sz w:val="24"/>
    </w:rPr>
  </w:style>
  <w:style w:type="paragraph" w:styleId="53">
    <w:name w:val="Balloon Text"/>
    <w:basedOn w:val="1"/>
    <w:link w:val="103"/>
    <w:unhideWhenUsed/>
    <w:qFormat/>
    <w:uiPriority w:val="0"/>
    <w:rPr>
      <w:sz w:val="18"/>
      <w:szCs w:val="18"/>
    </w:rPr>
  </w:style>
  <w:style w:type="paragraph" w:styleId="54">
    <w:name w:val="footer"/>
    <w:basedOn w:val="1"/>
    <w:link w:val="114"/>
    <w:unhideWhenUsed/>
    <w:qFormat/>
    <w:uiPriority w:val="99"/>
    <w:pPr>
      <w:tabs>
        <w:tab w:val="center" w:pos="4153"/>
        <w:tab w:val="right" w:pos="8306"/>
      </w:tabs>
      <w:snapToGrid w:val="0"/>
      <w:jc w:val="left"/>
    </w:pPr>
    <w:rPr>
      <w:sz w:val="18"/>
      <w:szCs w:val="18"/>
    </w:rPr>
  </w:style>
  <w:style w:type="paragraph" w:styleId="55">
    <w:name w:val="envelope return"/>
    <w:basedOn w:val="1"/>
    <w:qFormat/>
    <w:uiPriority w:val="0"/>
    <w:pPr>
      <w:widowControl/>
      <w:snapToGrid w:val="0"/>
    </w:pPr>
    <w:rPr>
      <w:rFonts w:ascii="Arial" w:hAnsi="Arial" w:eastAsia="仿宋_GB2312"/>
      <w:kern w:val="0"/>
      <w:szCs w:val="21"/>
    </w:rPr>
  </w:style>
  <w:style w:type="paragraph" w:styleId="56">
    <w:name w:val="header"/>
    <w:basedOn w:val="1"/>
    <w:link w:val="113"/>
    <w:unhideWhenUsed/>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link w:val="167"/>
    <w:qFormat/>
    <w:uiPriority w:val="0"/>
    <w:pPr>
      <w:widowControl/>
      <w:spacing w:before="120" w:line="360" w:lineRule="exact"/>
      <w:ind w:left="100" w:leftChars="100"/>
    </w:pPr>
    <w:rPr>
      <w:rFonts w:ascii="Garamond" w:hAnsi="Garamond" w:eastAsia="楷体_GB2312"/>
      <w:kern w:val="0"/>
      <w:sz w:val="24"/>
    </w:rPr>
  </w:style>
  <w:style w:type="paragraph" w:styleId="5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59">
    <w:name w:val="toc 4"/>
    <w:basedOn w:val="1"/>
    <w:next w:val="1"/>
    <w:unhideWhenUsed/>
    <w:qFormat/>
    <w:uiPriority w:val="39"/>
    <w:pPr>
      <w:ind w:left="1260" w:leftChars="600"/>
    </w:pPr>
    <w:rPr>
      <w:rFonts w:ascii="Calibri" w:hAnsi="Calibri"/>
      <w:szCs w:val="22"/>
    </w:rPr>
  </w:style>
  <w:style w:type="paragraph" w:styleId="60">
    <w:name w:val="index heading"/>
    <w:basedOn w:val="1"/>
    <w:next w:val="61"/>
    <w:qFormat/>
    <w:uiPriority w:val="0"/>
    <w:pPr>
      <w:widowControl/>
      <w:spacing w:line="240" w:lineRule="atLeast"/>
      <w:jc w:val="left"/>
    </w:pPr>
    <w:rPr>
      <w:rFonts w:ascii="宋体"/>
      <w:kern w:val="0"/>
      <w:sz w:val="20"/>
      <w:szCs w:val="20"/>
    </w:rPr>
  </w:style>
  <w:style w:type="paragraph" w:styleId="61">
    <w:name w:val="index 1"/>
    <w:basedOn w:val="1"/>
    <w:next w:val="1"/>
    <w:qFormat/>
    <w:uiPriority w:val="0"/>
    <w:pPr>
      <w:spacing w:line="220" w:lineRule="exact"/>
      <w:jc w:val="center"/>
    </w:pPr>
    <w:rPr>
      <w:rFonts w:ascii="仿宋_GB2312" w:eastAsia="仿宋_GB2312"/>
      <w:szCs w:val="21"/>
    </w:rPr>
  </w:style>
  <w:style w:type="paragraph" w:styleId="62">
    <w:name w:val="Subtitle"/>
    <w:basedOn w:val="1"/>
    <w:next w:val="1"/>
    <w:link w:val="123"/>
    <w:qFormat/>
    <w:uiPriority w:val="0"/>
    <w:pPr>
      <w:spacing w:before="240" w:after="60" w:line="312" w:lineRule="auto"/>
      <w:jc w:val="center"/>
      <w:outlineLvl w:val="1"/>
    </w:pPr>
    <w:rPr>
      <w:rFonts w:ascii="Cambria" w:hAnsi="Cambria" w:cs="黑体"/>
      <w:b/>
      <w:bCs/>
      <w:kern w:val="28"/>
      <w:sz w:val="32"/>
      <w:szCs w:val="32"/>
    </w:rPr>
  </w:style>
  <w:style w:type="paragraph" w:styleId="63">
    <w:name w:val="List"/>
    <w:basedOn w:val="1"/>
    <w:qFormat/>
    <w:uiPriority w:val="0"/>
    <w:pPr>
      <w:widowControl/>
      <w:tabs>
        <w:tab w:val="left" w:pos="720"/>
      </w:tabs>
      <w:spacing w:line="360" w:lineRule="auto"/>
      <w:ind w:left="720" w:hanging="720"/>
    </w:pPr>
    <w:rPr>
      <w:rFonts w:ascii="宋体" w:hAnsi="Arial"/>
      <w:kern w:val="0"/>
      <w:sz w:val="24"/>
    </w:rPr>
  </w:style>
  <w:style w:type="paragraph" w:styleId="64">
    <w:name w:val="footnote text"/>
    <w:basedOn w:val="1"/>
    <w:link w:val="152"/>
    <w:unhideWhenUsed/>
    <w:qFormat/>
    <w:uiPriority w:val="0"/>
    <w:pPr>
      <w:adjustRightInd w:val="0"/>
      <w:spacing w:line="312" w:lineRule="atLeast"/>
      <w:jc w:val="left"/>
    </w:pPr>
    <w:rPr>
      <w:kern w:val="0"/>
      <w:sz w:val="18"/>
      <w:szCs w:val="20"/>
      <w:lang w:val="zh-CN"/>
    </w:rPr>
  </w:style>
  <w:style w:type="paragraph" w:styleId="65">
    <w:name w:val="toc 6"/>
    <w:basedOn w:val="1"/>
    <w:next w:val="1"/>
    <w:unhideWhenUsed/>
    <w:qFormat/>
    <w:uiPriority w:val="39"/>
    <w:pPr>
      <w:ind w:left="2100" w:leftChars="1000"/>
    </w:pPr>
    <w:rPr>
      <w:rFonts w:ascii="Calibri" w:hAnsi="Calibri"/>
      <w:szCs w:val="22"/>
    </w:rPr>
  </w:style>
  <w:style w:type="paragraph" w:styleId="66">
    <w:name w:val="List 5"/>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67">
    <w:name w:val="Body Text Indent 3"/>
    <w:basedOn w:val="1"/>
    <w:link w:val="124"/>
    <w:qFormat/>
    <w:uiPriority w:val="0"/>
    <w:pPr>
      <w:spacing w:after="120" w:line="360" w:lineRule="atLeast"/>
      <w:ind w:firstLine="720" w:firstLineChars="300"/>
    </w:pPr>
    <w:rPr>
      <w:sz w:val="24"/>
      <w:szCs w:val="20"/>
    </w:rPr>
  </w:style>
  <w:style w:type="paragraph" w:styleId="68">
    <w:name w:val="index 7"/>
    <w:basedOn w:val="1"/>
    <w:next w:val="1"/>
    <w:qFormat/>
    <w:uiPriority w:val="0"/>
    <w:pPr>
      <w:widowControl/>
      <w:tabs>
        <w:tab w:val="right" w:leader="dot" w:pos="4320"/>
      </w:tabs>
      <w:spacing w:line="240" w:lineRule="atLeast"/>
      <w:ind w:left="1400" w:hanging="200"/>
      <w:jc w:val="left"/>
    </w:pPr>
    <w:rPr>
      <w:rFonts w:ascii="宋体"/>
      <w:kern w:val="0"/>
      <w:sz w:val="20"/>
      <w:szCs w:val="20"/>
    </w:rPr>
  </w:style>
  <w:style w:type="paragraph" w:styleId="69">
    <w:name w:val="index 9"/>
    <w:basedOn w:val="1"/>
    <w:next w:val="1"/>
    <w:qFormat/>
    <w:uiPriority w:val="0"/>
    <w:pPr>
      <w:widowControl/>
      <w:tabs>
        <w:tab w:val="right" w:leader="dot" w:pos="4320"/>
      </w:tabs>
      <w:spacing w:line="240" w:lineRule="atLeast"/>
      <w:ind w:left="1800" w:hanging="200"/>
      <w:jc w:val="left"/>
    </w:pPr>
    <w:rPr>
      <w:rFonts w:ascii="宋体"/>
      <w:kern w:val="0"/>
      <w:sz w:val="20"/>
      <w:szCs w:val="20"/>
    </w:rPr>
  </w:style>
  <w:style w:type="paragraph" w:styleId="70">
    <w:name w:val="table of figures"/>
    <w:basedOn w:val="1"/>
    <w:next w:val="1"/>
    <w:qFormat/>
    <w:uiPriority w:val="0"/>
    <w:pPr>
      <w:widowControl/>
      <w:spacing w:line="360" w:lineRule="auto"/>
      <w:ind w:left="840" w:leftChars="420" w:hanging="420"/>
    </w:pPr>
    <w:rPr>
      <w:kern w:val="0"/>
      <w:sz w:val="24"/>
    </w:rPr>
  </w:style>
  <w:style w:type="paragraph" w:styleId="71">
    <w:name w:val="toc 2"/>
    <w:basedOn w:val="1"/>
    <w:next w:val="1"/>
    <w:qFormat/>
    <w:uiPriority w:val="39"/>
    <w:pPr>
      <w:tabs>
        <w:tab w:val="left" w:pos="567"/>
        <w:tab w:val="right" w:leader="dot" w:pos="8505"/>
        <w:tab w:val="right" w:leader="dot" w:pos="9628"/>
      </w:tabs>
      <w:spacing w:line="440" w:lineRule="exact"/>
    </w:pPr>
  </w:style>
  <w:style w:type="paragraph" w:styleId="72">
    <w:name w:val="toc 9"/>
    <w:basedOn w:val="1"/>
    <w:next w:val="1"/>
    <w:unhideWhenUsed/>
    <w:qFormat/>
    <w:uiPriority w:val="39"/>
    <w:pPr>
      <w:ind w:left="3360" w:leftChars="1600"/>
    </w:pPr>
    <w:rPr>
      <w:rFonts w:ascii="Calibri" w:hAnsi="Calibri"/>
      <w:szCs w:val="22"/>
    </w:rPr>
  </w:style>
  <w:style w:type="paragraph" w:styleId="73">
    <w:name w:val="Body Text 2"/>
    <w:basedOn w:val="1"/>
    <w:link w:val="168"/>
    <w:qFormat/>
    <w:uiPriority w:val="0"/>
    <w:pPr>
      <w:widowControl/>
      <w:spacing w:line="360" w:lineRule="auto"/>
    </w:pPr>
    <w:rPr>
      <w:color w:val="3366FF"/>
      <w:kern w:val="0"/>
      <w:sz w:val="24"/>
    </w:rPr>
  </w:style>
  <w:style w:type="paragraph" w:styleId="74">
    <w:name w:val="List 4"/>
    <w:basedOn w:val="1"/>
    <w:qFormat/>
    <w:uiPriority w:val="0"/>
    <w:pPr>
      <w:widowControl/>
      <w:spacing w:before="120" w:line="360" w:lineRule="exact"/>
      <w:ind w:left="100" w:leftChars="-100" w:hanging="200"/>
    </w:pPr>
    <w:rPr>
      <w:rFonts w:ascii="Garamond" w:hAnsi="Garamond" w:eastAsia="楷体_GB2312"/>
      <w:kern w:val="0"/>
      <w:sz w:val="24"/>
    </w:rPr>
  </w:style>
  <w:style w:type="paragraph" w:styleId="75">
    <w:name w:val="List Continue 2"/>
    <w:basedOn w:val="1"/>
    <w:qFormat/>
    <w:uiPriority w:val="0"/>
    <w:pPr>
      <w:widowControl/>
      <w:spacing w:before="120" w:after="120" w:line="360" w:lineRule="exact"/>
      <w:ind w:left="840" w:leftChars="840"/>
    </w:pPr>
    <w:rPr>
      <w:rFonts w:ascii="Garamond" w:hAnsi="Garamond" w:eastAsia="楷体_GB2312"/>
      <w:kern w:val="0"/>
      <w:sz w:val="24"/>
    </w:rPr>
  </w:style>
  <w:style w:type="paragraph" w:styleId="76">
    <w:name w:val="Message Header"/>
    <w:basedOn w:val="1"/>
    <w:link w:val="169"/>
    <w:qFormat/>
    <w:uiPriority w:val="0"/>
    <w:pPr>
      <w:widowControl/>
      <w:pBdr>
        <w:top w:val="single" w:color="000000" w:sz="6" w:space="1"/>
        <w:left w:val="single" w:color="000000" w:sz="6" w:space="1"/>
        <w:bottom w:val="single" w:color="000000" w:sz="6" w:space="1"/>
        <w:right w:val="single" w:color="000000" w:sz="6" w:space="1"/>
      </w:pBdr>
      <w:shd w:val="pct20" w:color="000000" w:fill="auto"/>
      <w:spacing w:before="120" w:line="360" w:lineRule="exact"/>
      <w:ind w:left="1080" w:hanging="1080"/>
    </w:pPr>
    <w:rPr>
      <w:rFonts w:ascii="Arial" w:hAnsi="Arial" w:eastAsia="楷体_GB2312" w:cs="Arial"/>
      <w:kern w:val="0"/>
      <w:sz w:val="24"/>
    </w:rPr>
  </w:style>
  <w:style w:type="paragraph" w:styleId="77">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Cs w:val="21"/>
    </w:rPr>
  </w:style>
  <w:style w:type="paragraph" w:styleId="78">
    <w:name w:val="Normal (Web)"/>
    <w:basedOn w:val="1"/>
    <w:unhideWhenUsed/>
    <w:qFormat/>
    <w:uiPriority w:val="99"/>
    <w:pPr>
      <w:widowControl/>
      <w:spacing w:before="100" w:beforeAutospacing="1" w:after="100" w:afterAutospacing="1"/>
      <w:jc w:val="left"/>
    </w:pPr>
    <w:rPr>
      <w:rFonts w:ascii="ˎ̥" w:hAnsi="ˎ̥" w:cs="宋体"/>
      <w:kern w:val="0"/>
      <w:sz w:val="24"/>
    </w:rPr>
  </w:style>
  <w:style w:type="paragraph" w:styleId="79">
    <w:name w:val="List Continue 3"/>
    <w:basedOn w:val="1"/>
    <w:qFormat/>
    <w:uiPriority w:val="0"/>
    <w:pPr>
      <w:widowControl/>
      <w:spacing w:before="120" w:after="120" w:line="360" w:lineRule="exact"/>
      <w:ind w:left="1260" w:leftChars="1260"/>
    </w:pPr>
    <w:rPr>
      <w:rFonts w:ascii="Garamond" w:hAnsi="Garamond" w:eastAsia="楷体_GB2312"/>
      <w:kern w:val="0"/>
      <w:sz w:val="24"/>
    </w:rPr>
  </w:style>
  <w:style w:type="paragraph" w:styleId="80">
    <w:name w:val="index 2"/>
    <w:basedOn w:val="1"/>
    <w:next w:val="1"/>
    <w:qFormat/>
    <w:uiPriority w:val="0"/>
    <w:pPr>
      <w:widowControl/>
      <w:tabs>
        <w:tab w:val="right" w:leader="dot" w:pos="4320"/>
      </w:tabs>
      <w:spacing w:line="240" w:lineRule="atLeast"/>
      <w:ind w:left="400" w:hanging="200"/>
      <w:jc w:val="left"/>
    </w:pPr>
    <w:rPr>
      <w:rFonts w:ascii="宋体"/>
      <w:kern w:val="0"/>
      <w:sz w:val="20"/>
      <w:szCs w:val="20"/>
    </w:rPr>
  </w:style>
  <w:style w:type="paragraph" w:styleId="81">
    <w:name w:val="Title"/>
    <w:basedOn w:val="1"/>
    <w:link w:val="125"/>
    <w:qFormat/>
    <w:uiPriority w:val="10"/>
    <w:pPr>
      <w:spacing w:before="240" w:after="60"/>
      <w:jc w:val="center"/>
      <w:outlineLvl w:val="0"/>
    </w:pPr>
    <w:rPr>
      <w:rFonts w:ascii="Cambria" w:hAnsi="Cambria"/>
      <w:b/>
      <w:bCs/>
      <w:sz w:val="32"/>
      <w:szCs w:val="32"/>
    </w:rPr>
  </w:style>
  <w:style w:type="paragraph" w:styleId="82">
    <w:name w:val="annotation subject"/>
    <w:basedOn w:val="28"/>
    <w:next w:val="28"/>
    <w:link w:val="116"/>
    <w:qFormat/>
    <w:uiPriority w:val="0"/>
    <w:rPr>
      <w:b/>
      <w:bCs/>
      <w:szCs w:val="20"/>
    </w:rPr>
  </w:style>
  <w:style w:type="paragraph" w:styleId="83">
    <w:name w:val="Body Text First Indent"/>
    <w:basedOn w:val="34"/>
    <w:link w:val="171"/>
    <w:qFormat/>
    <w:uiPriority w:val="0"/>
    <w:pPr>
      <w:widowControl/>
      <w:tabs>
        <w:tab w:val="left" w:pos="1361"/>
      </w:tabs>
      <w:spacing w:after="120" w:line="360" w:lineRule="auto"/>
      <w:ind w:left="1361" w:firstLine="100"/>
    </w:pPr>
    <w:rPr>
      <w:kern w:val="0"/>
      <w:sz w:val="24"/>
      <w:szCs w:val="24"/>
    </w:rPr>
  </w:style>
  <w:style w:type="paragraph" w:styleId="84">
    <w:name w:val="Body Text First Indent 2"/>
    <w:basedOn w:val="35"/>
    <w:link w:val="172"/>
    <w:qFormat/>
    <w:uiPriority w:val="0"/>
    <w:pPr>
      <w:widowControl/>
      <w:autoSpaceDE/>
      <w:autoSpaceDN/>
      <w:adjustRightInd/>
      <w:spacing w:line="240" w:lineRule="auto"/>
      <w:ind w:left="420" w:leftChars="420" w:firstLine="420"/>
    </w:pPr>
    <w:rPr>
      <w:rFonts w:ascii="Times New Roman" w:eastAsia="宋体"/>
      <w:sz w:val="21"/>
      <w:szCs w:val="21"/>
    </w:rPr>
  </w:style>
  <w:style w:type="table" w:styleId="86">
    <w:name w:val="Table Grid"/>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Professional"/>
    <w:basedOn w:val="85"/>
    <w:qFormat/>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000000" w:fill="auto"/>
    </w:tcPr>
    <w:tblStylePr w:type="firstRow">
      <w:rPr>
        <w:b/>
        <w:color w:val="auto"/>
      </w:rPr>
      <w:tblPr/>
      <w:tcPr>
        <w:tcBorders>
          <w:tl2br w:val="nil"/>
          <w:tr2bl w:val="nil"/>
        </w:tcBorders>
        <w:shd w:val="solid" w:color="000000" w:fill="FFFFFF"/>
      </w:tcPr>
    </w:tblStylePr>
  </w:style>
  <w:style w:type="character" w:styleId="90">
    <w:name w:val="Strong"/>
    <w:qFormat/>
    <w:uiPriority w:val="22"/>
    <w:rPr>
      <w:b/>
      <w:bCs/>
    </w:rPr>
  </w:style>
  <w:style w:type="character" w:styleId="91">
    <w:name w:val="page number"/>
    <w:basedOn w:val="89"/>
    <w:qFormat/>
    <w:uiPriority w:val="0"/>
  </w:style>
  <w:style w:type="character" w:styleId="92">
    <w:name w:val="FollowedHyperlink"/>
    <w:qFormat/>
    <w:uiPriority w:val="0"/>
    <w:rPr>
      <w:color w:val="800080"/>
      <w:u w:val="single"/>
    </w:rPr>
  </w:style>
  <w:style w:type="character" w:styleId="93">
    <w:name w:val="Emphasis"/>
    <w:qFormat/>
    <w:uiPriority w:val="18"/>
    <w:rPr>
      <w:rFonts w:ascii="宋体" w:hAnsi="宋体" w:eastAsia="宋体"/>
      <w:color w:val="CC0000"/>
      <w:sz w:val="22"/>
      <w:szCs w:val="22"/>
      <w:lang w:val="en-US" w:eastAsia="zh-CN" w:bidi="ar-SA"/>
    </w:rPr>
  </w:style>
  <w:style w:type="character" w:styleId="94">
    <w:name w:val="line number"/>
    <w:qFormat/>
    <w:uiPriority w:val="0"/>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styleId="97">
    <w:name w:val="footnote reference"/>
    <w:qFormat/>
    <w:uiPriority w:val="0"/>
    <w:rPr>
      <w:vertAlign w:val="superscript"/>
    </w:rPr>
  </w:style>
  <w:style w:type="paragraph" w:customStyle="1" w:styleId="98">
    <w:name w:val="Default"/>
    <w:link w:val="7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正文一"/>
    <w:basedOn w:val="1"/>
    <w:link w:val="544"/>
    <w:qFormat/>
    <w:uiPriority w:val="0"/>
    <w:pPr>
      <w:widowControl/>
      <w:ind w:firstLine="200"/>
    </w:pPr>
    <w:rPr>
      <w:rFonts w:ascii="宋体" w:hAnsi="宋体"/>
      <w:kern w:val="0"/>
      <w:sz w:val="28"/>
      <w:szCs w:val="28"/>
    </w:rPr>
  </w:style>
  <w:style w:type="paragraph" w:customStyle="1" w:styleId="100">
    <w:name w:val="bt1bt1"/>
    <w:basedOn w:val="3"/>
    <w:qFormat/>
    <w:uiPriority w:val="0"/>
    <w:pPr>
      <w:spacing w:line="240" w:lineRule="auto"/>
      <w:jc w:val="center"/>
    </w:pPr>
    <w:rPr>
      <w:rFonts w:ascii="黑体" w:eastAsia="黑体"/>
      <w:b w:val="0"/>
      <w:sz w:val="36"/>
      <w:szCs w:val="36"/>
    </w:rPr>
  </w:style>
  <w:style w:type="paragraph" w:styleId="101">
    <w:name w:val="List Paragraph"/>
    <w:basedOn w:val="1"/>
    <w:link w:val="156"/>
    <w:unhideWhenUsed/>
    <w:qFormat/>
    <w:uiPriority w:val="34"/>
    <w:pPr>
      <w:ind w:firstLine="420" w:firstLineChars="200"/>
    </w:pPr>
  </w:style>
  <w:style w:type="character" w:customStyle="1" w:styleId="102">
    <w:name w:val="标题 1 字符"/>
    <w:basedOn w:val="89"/>
    <w:link w:val="3"/>
    <w:qFormat/>
    <w:uiPriority w:val="0"/>
    <w:rPr>
      <w:rFonts w:ascii="Times New Roman" w:hAnsi="Times New Roman" w:eastAsia="宋体" w:cs="Times New Roman"/>
      <w:b/>
      <w:bCs/>
      <w:kern w:val="44"/>
      <w:sz w:val="44"/>
      <w:szCs w:val="44"/>
    </w:rPr>
  </w:style>
  <w:style w:type="character" w:customStyle="1" w:styleId="103">
    <w:name w:val="批注框文本 字符"/>
    <w:basedOn w:val="89"/>
    <w:link w:val="53"/>
    <w:qFormat/>
    <w:uiPriority w:val="0"/>
    <w:rPr>
      <w:rFonts w:ascii="Times New Roman" w:hAnsi="Times New Roman" w:eastAsia="宋体" w:cs="Times New Roman"/>
      <w:sz w:val="18"/>
      <w:szCs w:val="18"/>
    </w:rPr>
  </w:style>
  <w:style w:type="paragraph" w:customStyle="1" w:styleId="10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5">
    <w:name w:val="标题 2 字符"/>
    <w:basedOn w:val="89"/>
    <w:link w:val="4"/>
    <w:qFormat/>
    <w:uiPriority w:val="9"/>
    <w:rPr>
      <w:rFonts w:ascii="Arial" w:hAnsi="Arial" w:eastAsia="黑体" w:cs="Times New Roman"/>
      <w:b/>
      <w:bCs/>
      <w:sz w:val="32"/>
      <w:szCs w:val="32"/>
    </w:rPr>
  </w:style>
  <w:style w:type="character" w:customStyle="1" w:styleId="106">
    <w:name w:val="标题 3 字符"/>
    <w:basedOn w:val="89"/>
    <w:link w:val="5"/>
    <w:qFormat/>
    <w:uiPriority w:val="0"/>
    <w:rPr>
      <w:rFonts w:ascii="黑体" w:hAnsi="Times New Roman" w:eastAsia="黑体" w:cs="Times New Roman"/>
      <w:kern w:val="0"/>
      <w:sz w:val="28"/>
      <w:szCs w:val="20"/>
    </w:rPr>
  </w:style>
  <w:style w:type="character" w:customStyle="1" w:styleId="107">
    <w:name w:val="标题 4 字符"/>
    <w:basedOn w:val="89"/>
    <w:link w:val="6"/>
    <w:qFormat/>
    <w:uiPriority w:val="0"/>
    <w:rPr>
      <w:rFonts w:ascii="Times New Roman" w:hAnsi="Times New Roman" w:eastAsia="宋体" w:cs="Times New Roman"/>
      <w:sz w:val="28"/>
      <w:szCs w:val="20"/>
    </w:rPr>
  </w:style>
  <w:style w:type="character" w:customStyle="1" w:styleId="108">
    <w:name w:val="标题 5 字符"/>
    <w:basedOn w:val="89"/>
    <w:link w:val="7"/>
    <w:qFormat/>
    <w:uiPriority w:val="0"/>
    <w:rPr>
      <w:rFonts w:ascii="Times New Roman" w:hAnsi="Times New Roman" w:eastAsia="宋体" w:cs="Times New Roman"/>
      <w:b/>
      <w:bCs/>
      <w:sz w:val="28"/>
      <w:szCs w:val="28"/>
    </w:rPr>
  </w:style>
  <w:style w:type="character" w:customStyle="1" w:styleId="109">
    <w:name w:val="标题 6 字符"/>
    <w:basedOn w:val="89"/>
    <w:link w:val="8"/>
    <w:qFormat/>
    <w:uiPriority w:val="0"/>
    <w:rPr>
      <w:rFonts w:ascii="Arial" w:hAnsi="Arial" w:eastAsia="黑体" w:cs="Times New Roman"/>
      <w:b/>
      <w:bCs/>
      <w:sz w:val="24"/>
      <w:szCs w:val="24"/>
    </w:rPr>
  </w:style>
  <w:style w:type="character" w:customStyle="1" w:styleId="110">
    <w:name w:val="标题 7 字符"/>
    <w:basedOn w:val="89"/>
    <w:link w:val="9"/>
    <w:qFormat/>
    <w:uiPriority w:val="0"/>
    <w:rPr>
      <w:rFonts w:ascii="Times New Roman" w:hAnsi="Times New Roman" w:eastAsia="宋体" w:cs="Times New Roman"/>
      <w:b/>
      <w:bCs/>
      <w:sz w:val="24"/>
      <w:szCs w:val="24"/>
    </w:rPr>
  </w:style>
  <w:style w:type="character" w:customStyle="1" w:styleId="111">
    <w:name w:val="标题 8 字符"/>
    <w:basedOn w:val="89"/>
    <w:link w:val="10"/>
    <w:qFormat/>
    <w:uiPriority w:val="0"/>
    <w:rPr>
      <w:rFonts w:ascii="Arial" w:hAnsi="Arial" w:eastAsia="黑体" w:cs="Times New Roman"/>
      <w:sz w:val="24"/>
      <w:szCs w:val="24"/>
    </w:rPr>
  </w:style>
  <w:style w:type="character" w:customStyle="1" w:styleId="112">
    <w:name w:val="标题 9 字符"/>
    <w:basedOn w:val="89"/>
    <w:link w:val="11"/>
    <w:qFormat/>
    <w:uiPriority w:val="0"/>
    <w:rPr>
      <w:rFonts w:ascii="Arial" w:hAnsi="Arial" w:eastAsia="黑体" w:cs="Times New Roman"/>
      <w:szCs w:val="21"/>
    </w:rPr>
  </w:style>
  <w:style w:type="character" w:customStyle="1" w:styleId="113">
    <w:name w:val="页眉 字符"/>
    <w:basedOn w:val="89"/>
    <w:link w:val="56"/>
    <w:qFormat/>
    <w:uiPriority w:val="0"/>
    <w:rPr>
      <w:rFonts w:ascii="Times New Roman" w:hAnsi="Times New Roman" w:eastAsia="宋体" w:cs="Times New Roman"/>
      <w:sz w:val="18"/>
      <w:szCs w:val="18"/>
    </w:rPr>
  </w:style>
  <w:style w:type="character" w:customStyle="1" w:styleId="114">
    <w:name w:val="页脚 字符"/>
    <w:basedOn w:val="89"/>
    <w:link w:val="54"/>
    <w:qFormat/>
    <w:uiPriority w:val="99"/>
    <w:rPr>
      <w:rFonts w:ascii="Times New Roman" w:hAnsi="Times New Roman" w:eastAsia="宋体" w:cs="Times New Roman"/>
      <w:sz w:val="18"/>
      <w:szCs w:val="18"/>
    </w:rPr>
  </w:style>
  <w:style w:type="character" w:customStyle="1" w:styleId="115">
    <w:name w:val="批注文字 字符"/>
    <w:basedOn w:val="89"/>
    <w:link w:val="28"/>
    <w:qFormat/>
    <w:uiPriority w:val="0"/>
    <w:rPr>
      <w:rFonts w:ascii="Times New Roman" w:hAnsi="Times New Roman" w:eastAsia="宋体" w:cs="Times New Roman"/>
      <w:szCs w:val="24"/>
    </w:rPr>
  </w:style>
  <w:style w:type="character" w:customStyle="1" w:styleId="116">
    <w:name w:val="批注主题 字符"/>
    <w:basedOn w:val="115"/>
    <w:link w:val="82"/>
    <w:qFormat/>
    <w:uiPriority w:val="0"/>
    <w:rPr>
      <w:rFonts w:ascii="Times New Roman" w:hAnsi="Times New Roman" w:eastAsia="宋体" w:cs="Times New Roman"/>
      <w:b/>
      <w:bCs/>
      <w:szCs w:val="20"/>
    </w:rPr>
  </w:style>
  <w:style w:type="character" w:customStyle="1" w:styleId="117">
    <w:name w:val="文档结构图 字符"/>
    <w:basedOn w:val="89"/>
    <w:link w:val="26"/>
    <w:qFormat/>
    <w:uiPriority w:val="0"/>
    <w:rPr>
      <w:rFonts w:ascii="宋体" w:hAnsi="Times New Roman" w:eastAsia="宋体" w:cs="Times New Roman"/>
      <w:sz w:val="18"/>
      <w:szCs w:val="18"/>
    </w:rPr>
  </w:style>
  <w:style w:type="character" w:customStyle="1" w:styleId="118">
    <w:name w:val="正文文本 字符"/>
    <w:basedOn w:val="89"/>
    <w:link w:val="34"/>
    <w:qFormat/>
    <w:uiPriority w:val="0"/>
    <w:rPr>
      <w:rFonts w:ascii="Times New Roman" w:hAnsi="Times New Roman" w:eastAsia="宋体" w:cs="Times New Roman"/>
      <w:sz w:val="28"/>
      <w:szCs w:val="20"/>
    </w:rPr>
  </w:style>
  <w:style w:type="character" w:customStyle="1" w:styleId="119">
    <w:name w:val="正文文本缩进 字符"/>
    <w:basedOn w:val="89"/>
    <w:link w:val="35"/>
    <w:qFormat/>
    <w:uiPriority w:val="0"/>
    <w:rPr>
      <w:rFonts w:ascii="楷体_GB2312" w:hAnsi="Times New Roman" w:eastAsia="楷体_GB2312" w:cs="Times New Roman"/>
      <w:kern w:val="0"/>
      <w:sz w:val="28"/>
      <w:szCs w:val="20"/>
    </w:rPr>
  </w:style>
  <w:style w:type="character" w:customStyle="1" w:styleId="120">
    <w:name w:val="纯文本 字符"/>
    <w:basedOn w:val="89"/>
    <w:link w:val="45"/>
    <w:qFormat/>
    <w:uiPriority w:val="0"/>
    <w:rPr>
      <w:rFonts w:ascii="宋体" w:hAnsi="Courier New" w:eastAsia="宋体" w:cs="Times New Roman"/>
      <w:szCs w:val="20"/>
    </w:rPr>
  </w:style>
  <w:style w:type="character" w:customStyle="1" w:styleId="121">
    <w:name w:val="日期 字符"/>
    <w:basedOn w:val="89"/>
    <w:link w:val="50"/>
    <w:qFormat/>
    <w:uiPriority w:val="0"/>
    <w:rPr>
      <w:rFonts w:ascii="Times New Roman" w:hAnsi="Times New Roman" w:eastAsia="宋体" w:cs="Times New Roman"/>
      <w:szCs w:val="20"/>
    </w:rPr>
  </w:style>
  <w:style w:type="character" w:customStyle="1" w:styleId="122">
    <w:name w:val="正文文本缩进 2 字符"/>
    <w:basedOn w:val="89"/>
    <w:link w:val="51"/>
    <w:qFormat/>
    <w:uiPriority w:val="0"/>
    <w:rPr>
      <w:rFonts w:ascii="仿宋_GB2312" w:hAnsi="宋体" w:eastAsia="仿宋_GB2312" w:cs="Times New Roman"/>
      <w:sz w:val="24"/>
      <w:szCs w:val="24"/>
    </w:rPr>
  </w:style>
  <w:style w:type="character" w:customStyle="1" w:styleId="123">
    <w:name w:val="副标题 字符"/>
    <w:basedOn w:val="89"/>
    <w:link w:val="62"/>
    <w:qFormat/>
    <w:uiPriority w:val="0"/>
    <w:rPr>
      <w:rFonts w:ascii="Cambria" w:hAnsi="Cambria" w:eastAsia="宋体" w:cs="黑体"/>
      <w:b/>
      <w:bCs/>
      <w:kern w:val="28"/>
      <w:sz w:val="32"/>
      <w:szCs w:val="32"/>
    </w:rPr>
  </w:style>
  <w:style w:type="character" w:customStyle="1" w:styleId="124">
    <w:name w:val="正文文本缩进 3 字符"/>
    <w:basedOn w:val="89"/>
    <w:link w:val="67"/>
    <w:qFormat/>
    <w:uiPriority w:val="0"/>
    <w:rPr>
      <w:rFonts w:ascii="Times New Roman" w:hAnsi="Times New Roman" w:eastAsia="宋体" w:cs="Times New Roman"/>
      <w:sz w:val="24"/>
      <w:szCs w:val="20"/>
    </w:rPr>
  </w:style>
  <w:style w:type="character" w:customStyle="1" w:styleId="125">
    <w:name w:val="标题 字符"/>
    <w:basedOn w:val="89"/>
    <w:link w:val="81"/>
    <w:qFormat/>
    <w:uiPriority w:val="10"/>
    <w:rPr>
      <w:rFonts w:ascii="Cambria" w:hAnsi="Cambria" w:eastAsia="宋体" w:cs="Times New Roman"/>
      <w:b/>
      <w:bCs/>
      <w:sz w:val="32"/>
      <w:szCs w:val="32"/>
    </w:rPr>
  </w:style>
  <w:style w:type="paragraph" w:customStyle="1" w:styleId="12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7">
    <w:name w:val="_Style 36"/>
    <w:basedOn w:val="1"/>
    <w:qFormat/>
    <w:uiPriority w:val="34"/>
    <w:pPr>
      <w:ind w:firstLine="420" w:firstLineChars="200"/>
    </w:pPr>
    <w:rPr>
      <w:szCs w:val="20"/>
    </w:rPr>
  </w:style>
  <w:style w:type="paragraph" w:customStyle="1" w:styleId="128">
    <w:name w:val="Char Char Char Char Char Char Char Char Char Char Char Char Char"/>
    <w:basedOn w:val="26"/>
    <w:qFormat/>
    <w:uiPriority w:val="0"/>
    <w:pPr>
      <w:shd w:val="clear" w:color="auto" w:fill="000080"/>
    </w:pPr>
    <w:rPr>
      <w:rFonts w:ascii="Tahoma" w:hAnsi="Tahoma"/>
      <w:sz w:val="24"/>
      <w:szCs w:val="24"/>
    </w:rPr>
  </w:style>
  <w:style w:type="paragraph" w:customStyle="1" w:styleId="1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0">
    <w:name w:val="新定义正文"/>
    <w:basedOn w:val="1"/>
    <w:qFormat/>
    <w:uiPriority w:val="0"/>
    <w:pPr>
      <w:widowControl/>
    </w:pPr>
    <w:rPr>
      <w:color w:val="000000"/>
      <w:szCs w:val="21"/>
    </w:rPr>
  </w:style>
  <w:style w:type="paragraph" w:customStyle="1" w:styleId="131">
    <w:name w:val="节"/>
    <w:basedOn w:val="4"/>
    <w:qFormat/>
    <w:uiPriority w:val="0"/>
    <w:pPr>
      <w:numPr>
        <w:ilvl w:val="1"/>
        <w:numId w:val="5"/>
      </w:numPr>
      <w:tabs>
        <w:tab w:val="left" w:pos="432"/>
      </w:tabs>
      <w:spacing w:line="240" w:lineRule="auto"/>
    </w:pPr>
    <w:rPr>
      <w:rFonts w:ascii="黑体"/>
      <w:b w:val="0"/>
      <w:sz w:val="28"/>
      <w:szCs w:val="28"/>
    </w:rPr>
  </w:style>
  <w:style w:type="paragraph" w:customStyle="1" w:styleId="132">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133">
    <w:name w:val="列出段落1"/>
    <w:basedOn w:val="1"/>
    <w:link w:val="586"/>
    <w:qFormat/>
    <w:uiPriority w:val="0"/>
    <w:pPr>
      <w:ind w:firstLine="420" w:firstLineChars="200"/>
    </w:pPr>
    <w:rPr>
      <w:szCs w:val="20"/>
    </w:rPr>
  </w:style>
  <w:style w:type="paragraph" w:customStyle="1" w:styleId="13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35">
    <w:name w:val="Char Char1"/>
    <w:qFormat/>
    <w:uiPriority w:val="0"/>
    <w:rPr>
      <w:rFonts w:ascii="楷体_GB2312" w:eastAsia="楷体_GB2312"/>
      <w:sz w:val="28"/>
    </w:rPr>
  </w:style>
  <w:style w:type="character" w:customStyle="1" w:styleId="136">
    <w:name w:val="Char Char"/>
    <w:qFormat/>
    <w:uiPriority w:val="0"/>
    <w:rPr>
      <w:rFonts w:ascii="宋体"/>
      <w:kern w:val="2"/>
      <w:sz w:val="18"/>
      <w:szCs w:val="18"/>
    </w:rPr>
  </w:style>
  <w:style w:type="paragraph" w:customStyle="1" w:styleId="13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38">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139">
    <w:name w:val="批注文字 Char1"/>
    <w:qFormat/>
    <w:uiPriority w:val="99"/>
    <w:rPr>
      <w:kern w:val="2"/>
      <w:sz w:val="21"/>
    </w:rPr>
  </w:style>
  <w:style w:type="character" w:customStyle="1" w:styleId="140">
    <w:name w:val="正文文本 3 字符"/>
    <w:basedOn w:val="89"/>
    <w:link w:val="31"/>
    <w:qFormat/>
    <w:uiPriority w:val="99"/>
    <w:rPr>
      <w:rFonts w:ascii="Times New Roman" w:hAnsi="Times New Roman" w:eastAsia="宋体" w:cs="Times New Roman"/>
      <w:sz w:val="16"/>
      <w:szCs w:val="16"/>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2">
    <w:name w:val="正文00"/>
    <w:basedOn w:val="1"/>
    <w:qFormat/>
    <w:uiPriority w:val="0"/>
    <w:pPr>
      <w:topLinePunct/>
      <w:spacing w:line="360" w:lineRule="auto"/>
      <w:ind w:firstLine="200" w:firstLineChars="200"/>
    </w:pPr>
    <w:rPr>
      <w:sz w:val="24"/>
      <w:szCs w:val="21"/>
    </w:rPr>
  </w:style>
  <w:style w:type="paragraph" w:customStyle="1" w:styleId="143">
    <w:name w:val="正文1"/>
    <w:link w:val="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45">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font161"/>
    <w:qFormat/>
    <w:uiPriority w:val="0"/>
    <w:rPr>
      <w:b/>
      <w:bCs/>
      <w:sz w:val="32"/>
      <w:szCs w:val="32"/>
    </w:rPr>
  </w:style>
  <w:style w:type="paragraph" w:customStyle="1" w:styleId="147">
    <w:name w:val="表格"/>
    <w:basedOn w:val="1"/>
    <w:link w:val="378"/>
    <w:qFormat/>
    <w:uiPriority w:val="0"/>
    <w:pPr>
      <w:jc w:val="center"/>
      <w:textAlignment w:val="center"/>
    </w:pPr>
    <w:rPr>
      <w:rFonts w:ascii="华文细黑" w:hAnsi="华文细黑"/>
      <w:kern w:val="0"/>
      <w:szCs w:val="20"/>
    </w:rPr>
  </w:style>
  <w:style w:type="paragraph" w:customStyle="1" w:styleId="1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9">
    <w:name w:val="1"/>
    <w:basedOn w:val="1"/>
    <w:next w:val="1"/>
    <w:qFormat/>
    <w:uiPriority w:val="0"/>
  </w:style>
  <w:style w:type="paragraph" w:customStyle="1" w:styleId="15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1">
    <w:name w:val="表格文字"/>
    <w:basedOn w:val="1"/>
    <w:qFormat/>
    <w:uiPriority w:val="0"/>
    <w:pPr>
      <w:adjustRightInd w:val="0"/>
      <w:spacing w:line="420" w:lineRule="atLeast"/>
      <w:jc w:val="left"/>
      <w:textAlignment w:val="baseline"/>
    </w:pPr>
    <w:rPr>
      <w:kern w:val="0"/>
      <w:szCs w:val="20"/>
    </w:rPr>
  </w:style>
  <w:style w:type="character" w:customStyle="1" w:styleId="152">
    <w:name w:val="脚注文本 字符"/>
    <w:basedOn w:val="89"/>
    <w:link w:val="64"/>
    <w:qFormat/>
    <w:uiPriority w:val="0"/>
    <w:rPr>
      <w:rFonts w:ascii="Times New Roman" w:hAnsi="Times New Roman" w:eastAsia="宋体" w:cs="Times New Roman"/>
      <w:sz w:val="18"/>
      <w:lang w:val="zh-CN" w:eastAsia="zh-CN"/>
    </w:rPr>
  </w:style>
  <w:style w:type="paragraph" w:styleId="153">
    <w:name w:val="No Spacing"/>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table" w:customStyle="1" w:styleId="154">
    <w:name w:val="Table Normal"/>
    <w:semiHidden/>
    <w:unhideWhenUsed/>
    <w:qFormat/>
    <w:uiPriority w:val="0"/>
    <w:tblPr>
      <w:tblCellMar>
        <w:top w:w="0" w:type="dxa"/>
        <w:left w:w="0" w:type="dxa"/>
        <w:bottom w:w="0" w:type="dxa"/>
        <w:right w:w="0" w:type="dxa"/>
      </w:tblCellMar>
    </w:tblPr>
  </w:style>
  <w:style w:type="paragraph" w:customStyle="1" w:styleId="155">
    <w:name w:val="Table Text"/>
    <w:basedOn w:val="1"/>
    <w:qFormat/>
    <w:uiPriority w:val="0"/>
    <w:rPr>
      <w:rFonts w:ascii="仿宋" w:hAnsi="仿宋" w:eastAsia="仿宋" w:cs="仿宋"/>
      <w:sz w:val="18"/>
      <w:szCs w:val="18"/>
      <w:lang w:eastAsia="en-US"/>
    </w:rPr>
  </w:style>
  <w:style w:type="character" w:customStyle="1" w:styleId="156">
    <w:name w:val="列表段落 字符"/>
    <w:link w:val="101"/>
    <w:qFormat/>
    <w:uiPriority w:val="34"/>
    <w:rPr>
      <w:kern w:val="2"/>
      <w:sz w:val="21"/>
      <w:szCs w:val="24"/>
    </w:rPr>
  </w:style>
  <w:style w:type="paragraph" w:customStyle="1" w:styleId="157">
    <w:name w:val="自定义段落"/>
    <w:basedOn w:val="1"/>
    <w:next w:val="101"/>
    <w:qFormat/>
    <w:uiPriority w:val="99"/>
    <w:pPr>
      <w:ind w:firstLine="420" w:firstLineChars="200"/>
    </w:pPr>
    <w:rPr>
      <w:kern w:val="0"/>
      <w:sz w:val="24"/>
    </w:rPr>
  </w:style>
  <w:style w:type="character" w:customStyle="1" w:styleId="158">
    <w:name w:val="font01"/>
    <w:basedOn w:val="89"/>
    <w:qFormat/>
    <w:uiPriority w:val="0"/>
    <w:rPr>
      <w:rFonts w:hint="eastAsia" w:ascii="宋体" w:hAnsi="宋体" w:eastAsia="宋体" w:cs="宋体"/>
      <w:color w:val="00CCFF"/>
      <w:sz w:val="20"/>
      <w:szCs w:val="20"/>
      <w:u w:val="none"/>
    </w:rPr>
  </w:style>
  <w:style w:type="character" w:customStyle="1" w:styleId="159">
    <w:name w:val="font21"/>
    <w:basedOn w:val="89"/>
    <w:qFormat/>
    <w:uiPriority w:val="0"/>
    <w:rPr>
      <w:rFonts w:hint="eastAsia" w:ascii="宋体" w:hAnsi="宋体" w:eastAsia="宋体" w:cs="宋体"/>
      <w:color w:val="000000"/>
      <w:sz w:val="20"/>
      <w:szCs w:val="20"/>
      <w:u w:val="none"/>
    </w:rPr>
  </w:style>
  <w:style w:type="character" w:customStyle="1" w:styleId="160">
    <w:name w:val="宏文本 字符"/>
    <w:basedOn w:val="89"/>
    <w:link w:val="2"/>
    <w:qFormat/>
    <w:uiPriority w:val="0"/>
    <w:rPr>
      <w:rFonts w:ascii="Courier New" w:hAnsi="Courier New" w:eastAsiaTheme="minorEastAsia" w:cstheme="minorBidi"/>
      <w:sz w:val="24"/>
      <w:szCs w:val="24"/>
    </w:rPr>
  </w:style>
  <w:style w:type="character" w:customStyle="1" w:styleId="161">
    <w:name w:val="注释标题 字符"/>
    <w:basedOn w:val="89"/>
    <w:link w:val="16"/>
    <w:qFormat/>
    <w:uiPriority w:val="0"/>
    <w:rPr>
      <w:rFonts w:ascii="宋体" w:hAnsiTheme="minorHAnsi" w:eastAsiaTheme="minorEastAsia" w:cstheme="minorBidi"/>
      <w:b/>
      <w:sz w:val="24"/>
      <w:szCs w:val="24"/>
    </w:rPr>
  </w:style>
  <w:style w:type="character" w:customStyle="1" w:styleId="162">
    <w:name w:val="电子邮件签名 字符"/>
    <w:basedOn w:val="89"/>
    <w:link w:val="19"/>
    <w:qFormat/>
    <w:uiPriority w:val="0"/>
    <w:rPr>
      <w:rFonts w:ascii="Garamond" w:hAnsi="Garamond" w:eastAsia="楷体_GB2312"/>
      <w:sz w:val="24"/>
      <w:szCs w:val="24"/>
    </w:rPr>
  </w:style>
  <w:style w:type="character" w:customStyle="1" w:styleId="163">
    <w:name w:val="称呼 字符"/>
    <w:basedOn w:val="89"/>
    <w:link w:val="30"/>
    <w:qFormat/>
    <w:uiPriority w:val="0"/>
    <w:rPr>
      <w:rFonts w:ascii="Garamond" w:hAnsi="Garamond" w:eastAsia="楷体_GB2312"/>
      <w:sz w:val="24"/>
      <w:szCs w:val="24"/>
    </w:rPr>
  </w:style>
  <w:style w:type="character" w:customStyle="1" w:styleId="164">
    <w:name w:val="结束语 字符"/>
    <w:basedOn w:val="89"/>
    <w:link w:val="32"/>
    <w:qFormat/>
    <w:uiPriority w:val="0"/>
    <w:rPr>
      <w:rFonts w:ascii="Arial" w:hAnsi="Arial"/>
      <w:sz w:val="24"/>
      <w:szCs w:val="24"/>
      <w:lang w:val="en-GB" w:eastAsia="en-US"/>
    </w:rPr>
  </w:style>
  <w:style w:type="character" w:customStyle="1" w:styleId="165">
    <w:name w:val="HTML 地址 字符"/>
    <w:basedOn w:val="89"/>
    <w:link w:val="41"/>
    <w:qFormat/>
    <w:uiPriority w:val="0"/>
    <w:rPr>
      <w:rFonts w:ascii="Garamond" w:hAnsi="Garamond" w:eastAsia="楷体_GB2312"/>
      <w:i/>
      <w:sz w:val="24"/>
      <w:szCs w:val="24"/>
    </w:rPr>
  </w:style>
  <w:style w:type="character" w:customStyle="1" w:styleId="166">
    <w:name w:val="尾注文本 字符"/>
    <w:basedOn w:val="89"/>
    <w:link w:val="52"/>
    <w:qFormat/>
    <w:uiPriority w:val="0"/>
    <w:rPr>
      <w:sz w:val="24"/>
      <w:szCs w:val="24"/>
    </w:rPr>
  </w:style>
  <w:style w:type="character" w:customStyle="1" w:styleId="167">
    <w:name w:val="签名 字符"/>
    <w:basedOn w:val="89"/>
    <w:link w:val="57"/>
    <w:qFormat/>
    <w:uiPriority w:val="0"/>
    <w:rPr>
      <w:rFonts w:ascii="Garamond" w:hAnsi="Garamond" w:eastAsia="楷体_GB2312"/>
      <w:sz w:val="24"/>
      <w:szCs w:val="24"/>
    </w:rPr>
  </w:style>
  <w:style w:type="character" w:customStyle="1" w:styleId="168">
    <w:name w:val="正文文本 2 字符"/>
    <w:basedOn w:val="89"/>
    <w:link w:val="73"/>
    <w:qFormat/>
    <w:uiPriority w:val="0"/>
    <w:rPr>
      <w:color w:val="3366FF"/>
      <w:sz w:val="24"/>
      <w:szCs w:val="24"/>
    </w:rPr>
  </w:style>
  <w:style w:type="character" w:customStyle="1" w:styleId="169">
    <w:name w:val="信息标题 字符"/>
    <w:basedOn w:val="89"/>
    <w:link w:val="76"/>
    <w:qFormat/>
    <w:uiPriority w:val="0"/>
    <w:rPr>
      <w:rFonts w:ascii="Arial" w:hAnsi="Arial" w:eastAsia="楷体_GB2312" w:cs="Arial"/>
      <w:sz w:val="24"/>
      <w:szCs w:val="24"/>
      <w:shd w:val="pct20" w:color="000000" w:fill="auto"/>
    </w:rPr>
  </w:style>
  <w:style w:type="character" w:customStyle="1" w:styleId="170">
    <w:name w:val="HTML 预设格式 字符"/>
    <w:basedOn w:val="89"/>
    <w:link w:val="77"/>
    <w:qFormat/>
    <w:uiPriority w:val="0"/>
    <w:rPr>
      <w:rFonts w:ascii="Arial Unicode MS" w:hAnsi="Arial Unicode MS" w:eastAsia="Arial Unicode MS" w:cs="Arial Unicode MS"/>
      <w:color w:val="000000"/>
      <w:sz w:val="21"/>
      <w:szCs w:val="21"/>
    </w:rPr>
  </w:style>
  <w:style w:type="character" w:customStyle="1" w:styleId="171">
    <w:name w:val="正文文本首行缩进 字符"/>
    <w:basedOn w:val="118"/>
    <w:link w:val="83"/>
    <w:qFormat/>
    <w:uiPriority w:val="0"/>
    <w:rPr>
      <w:rFonts w:ascii="Times New Roman" w:hAnsi="Times New Roman" w:eastAsia="宋体" w:cs="Times New Roman"/>
      <w:sz w:val="24"/>
      <w:szCs w:val="24"/>
    </w:rPr>
  </w:style>
  <w:style w:type="character" w:customStyle="1" w:styleId="172">
    <w:name w:val="正文文本首行缩进 2 字符"/>
    <w:basedOn w:val="119"/>
    <w:link w:val="84"/>
    <w:qFormat/>
    <w:uiPriority w:val="0"/>
    <w:rPr>
      <w:rFonts w:ascii="楷体_GB2312" w:hAnsi="Times New Roman" w:eastAsia="楷体_GB2312" w:cs="Times New Roman"/>
      <w:kern w:val="0"/>
      <w:sz w:val="21"/>
      <w:szCs w:val="21"/>
    </w:rPr>
  </w:style>
  <w:style w:type="table" w:customStyle="1" w:styleId="173">
    <w:name w:val="网格型1"/>
    <w:basedOn w:val="85"/>
    <w:qFormat/>
    <w:uiPriority w:val="37"/>
    <w:pPr>
      <w:spacing w:line="560" w:lineRule="exact"/>
      <w:ind w:firstLine="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首行缩进"/>
    <w:basedOn w:val="1"/>
    <w:unhideWhenUsed/>
    <w:qFormat/>
    <w:uiPriority w:val="0"/>
    <w:pPr>
      <w:widowControl/>
      <w:spacing w:line="360" w:lineRule="auto"/>
      <w:ind w:firstLine="200"/>
    </w:pPr>
    <w:rPr>
      <w:kern w:val="0"/>
      <w:sz w:val="24"/>
      <w:szCs w:val="20"/>
      <w:lang w:val="zh-CN"/>
    </w:rPr>
  </w:style>
  <w:style w:type="paragraph" w:customStyle="1" w:styleId="175">
    <w:name w:val="List Paragraph1"/>
    <w:basedOn w:val="1"/>
    <w:qFormat/>
    <w:uiPriority w:val="0"/>
    <w:pPr>
      <w:widowControl/>
      <w:spacing w:line="360" w:lineRule="auto"/>
      <w:ind w:firstLine="200"/>
    </w:pPr>
    <w:rPr>
      <w:rFonts w:ascii="Calibri" w:hAnsi="Calibri" w:cs="黑体"/>
      <w:kern w:val="0"/>
      <w:sz w:val="24"/>
    </w:rPr>
  </w:style>
  <w:style w:type="paragraph" w:customStyle="1" w:styleId="176">
    <w:name w:val="列表段落1"/>
    <w:basedOn w:val="1"/>
    <w:qFormat/>
    <w:uiPriority w:val="26"/>
    <w:pPr>
      <w:widowControl/>
      <w:spacing w:line="360" w:lineRule="auto"/>
      <w:ind w:firstLine="200"/>
    </w:pPr>
    <w:rPr>
      <w:kern w:val="0"/>
      <w:sz w:val="24"/>
    </w:rPr>
  </w:style>
  <w:style w:type="character" w:customStyle="1" w:styleId="177">
    <w:name w:val="标题 9 Char"/>
    <w:basedOn w:val="89"/>
    <w:qFormat/>
    <w:uiPriority w:val="0"/>
    <w:rPr>
      <w:rFonts w:asciiTheme="majorHAnsi" w:hAnsiTheme="majorHAnsi" w:eastAsiaTheme="majorEastAsia" w:cstheme="minorBidi"/>
    </w:rPr>
  </w:style>
  <w:style w:type="paragraph" w:customStyle="1" w:styleId="178">
    <w:name w:val="Char"/>
    <w:basedOn w:val="26"/>
    <w:qFormat/>
    <w:uiPriority w:val="0"/>
    <w:pPr>
      <w:widowControl/>
      <w:shd w:val="clear" w:color="000000" w:fill="000080"/>
      <w:ind w:left="1400" w:leftChars="1400" w:firstLine="454"/>
      <w:jc w:val="left"/>
    </w:pPr>
    <w:rPr>
      <w:rFonts w:ascii="Tahoma" w:hAnsi="Tahoma" w:cs="宋体"/>
      <w:kern w:val="0"/>
      <w:sz w:val="21"/>
      <w:szCs w:val="21"/>
    </w:rPr>
  </w:style>
  <w:style w:type="paragraph" w:customStyle="1" w:styleId="179">
    <w:name w:val="Char Char Char Char Char"/>
    <w:basedOn w:val="1"/>
    <w:semiHidden/>
    <w:qFormat/>
    <w:uiPriority w:val="0"/>
    <w:pPr>
      <w:widowControl/>
      <w:spacing w:line="360" w:lineRule="auto"/>
    </w:pPr>
    <w:rPr>
      <w:rFonts w:ascii="宋体" w:hAnsi="宋体"/>
      <w:kern w:val="0"/>
      <w:sz w:val="22"/>
      <w:szCs w:val="22"/>
    </w:rPr>
  </w:style>
  <w:style w:type="paragraph" w:customStyle="1" w:styleId="180">
    <w:name w:val="Char Char Char Char Char Char"/>
    <w:basedOn w:val="26"/>
    <w:semiHidden/>
    <w:qFormat/>
    <w:uiPriority w:val="0"/>
    <w:pPr>
      <w:widowControl/>
      <w:shd w:val="clear" w:color="000000" w:fill="000080"/>
      <w:ind w:left="1400" w:leftChars="1400"/>
    </w:pPr>
    <w:rPr>
      <w:rFonts w:ascii="Tahoma" w:hAnsi="Tahoma"/>
      <w:kern w:val="0"/>
      <w:sz w:val="24"/>
      <w:szCs w:val="24"/>
    </w:rPr>
  </w:style>
  <w:style w:type="paragraph" w:customStyle="1" w:styleId="181">
    <w:name w:val="Char Char Char Char Char Char Char3"/>
    <w:basedOn w:val="1"/>
    <w:semiHidden/>
    <w:qFormat/>
    <w:uiPriority w:val="0"/>
    <w:pPr>
      <w:widowControl/>
      <w:spacing w:line="360" w:lineRule="auto"/>
    </w:pPr>
    <w:rPr>
      <w:rFonts w:ascii="Tahoma" w:hAnsi="Tahoma"/>
      <w:kern w:val="0"/>
      <w:sz w:val="24"/>
    </w:rPr>
  </w:style>
  <w:style w:type="paragraph" w:customStyle="1" w:styleId="182">
    <w:name w:val="Char Char1 Char Char1 Char Char1"/>
    <w:basedOn w:val="1"/>
    <w:semiHidden/>
    <w:qFormat/>
    <w:uiPriority w:val="0"/>
    <w:pPr>
      <w:widowControl/>
    </w:pPr>
    <w:rPr>
      <w:rFonts w:ascii="Tahoma" w:hAnsi="Tahoma"/>
      <w:kern w:val="0"/>
      <w:sz w:val="24"/>
    </w:rPr>
  </w:style>
  <w:style w:type="paragraph" w:customStyle="1" w:styleId="183">
    <w:name w:val="Char1"/>
    <w:basedOn w:val="1"/>
    <w:qFormat/>
    <w:uiPriority w:val="0"/>
    <w:pPr>
      <w:widowControl/>
      <w:spacing w:line="360" w:lineRule="auto"/>
      <w:ind w:firstLine="196"/>
    </w:pPr>
    <w:rPr>
      <w:rFonts w:ascii="宋体" w:hAnsi="宋体"/>
      <w:b/>
      <w:kern w:val="0"/>
      <w:sz w:val="24"/>
    </w:rPr>
  </w:style>
  <w:style w:type="paragraph" w:customStyle="1" w:styleId="184">
    <w:name w:val="Char1 Char Char Char Char Char Char Char Char Char Char Char Char Char Char Char"/>
    <w:basedOn w:val="1"/>
    <w:semiHidden/>
    <w:qFormat/>
    <w:uiPriority w:val="0"/>
    <w:pPr>
      <w:widowControl/>
    </w:pPr>
    <w:rPr>
      <w:rFonts w:ascii="Tahoma" w:hAnsi="Tahoma"/>
      <w:kern w:val="0"/>
      <w:sz w:val="24"/>
    </w:rPr>
  </w:style>
  <w:style w:type="paragraph" w:customStyle="1" w:styleId="185">
    <w:name w:val="[列表1]"/>
    <w:basedOn w:val="1"/>
    <w:qFormat/>
    <w:uiPriority w:val="0"/>
    <w:pPr>
      <w:widowControl/>
      <w:tabs>
        <w:tab w:val="left" w:pos="1554"/>
      </w:tabs>
      <w:spacing w:line="360" w:lineRule="auto"/>
      <w:ind w:left="1554"/>
    </w:pPr>
    <w:rPr>
      <w:rFonts w:ascii="宋体" w:hAnsi="ˎ̥"/>
      <w:kern w:val="0"/>
      <w:sz w:val="24"/>
    </w:rPr>
  </w:style>
  <w:style w:type="paragraph" w:customStyle="1" w:styleId="186">
    <w:name w:val="[列表2]"/>
    <w:basedOn w:val="1"/>
    <w:qFormat/>
    <w:uiPriority w:val="0"/>
    <w:pPr>
      <w:widowControl/>
      <w:spacing w:line="360" w:lineRule="auto"/>
    </w:pPr>
    <w:rPr>
      <w:rFonts w:ascii="宋体"/>
      <w:kern w:val="0"/>
      <w:sz w:val="24"/>
    </w:rPr>
  </w:style>
  <w:style w:type="paragraph" w:customStyle="1" w:styleId="187">
    <w:name w:val="[正文不缩]"/>
    <w:basedOn w:val="1"/>
    <w:semiHidden/>
    <w:qFormat/>
    <w:uiPriority w:val="0"/>
    <w:pPr>
      <w:widowControl/>
      <w:snapToGrid w:val="0"/>
      <w:spacing w:before="80" w:after="80" w:line="360" w:lineRule="auto"/>
    </w:pPr>
    <w:rPr>
      <w:rFonts w:ascii="宋体"/>
      <w:kern w:val="0"/>
      <w:sz w:val="24"/>
    </w:rPr>
  </w:style>
  <w:style w:type="paragraph" w:customStyle="1" w:styleId="188">
    <w:name w:val="[正文行首缩进]"/>
    <w:semiHidden/>
    <w:qFormat/>
    <w:uiPriority w:val="0"/>
    <w:pPr>
      <w:spacing w:line="360" w:lineRule="auto"/>
      <w:ind w:firstLine="200"/>
    </w:pPr>
    <w:rPr>
      <w:rFonts w:ascii="宋体" w:hAnsi="宋体" w:eastAsia="宋体" w:cs="Times New Roman"/>
      <w:sz w:val="24"/>
      <w:szCs w:val="24"/>
      <w:lang w:val="en-US" w:eastAsia="zh-CN" w:bidi="ar-SA"/>
    </w:rPr>
  </w:style>
  <w:style w:type="paragraph" w:customStyle="1" w:styleId="189">
    <w:name w:val="Char Char Char Char"/>
    <w:basedOn w:val="26"/>
    <w:semiHidden/>
    <w:qFormat/>
    <w:uiPriority w:val="0"/>
    <w:pPr>
      <w:widowControl/>
      <w:shd w:val="clear" w:color="000000" w:fill="000080"/>
      <w:ind w:left="1400" w:leftChars="1400"/>
      <w:jc w:val="left"/>
    </w:pPr>
    <w:rPr>
      <w:rFonts w:ascii="Tahoma" w:hAnsi="Tahoma" w:cs="宋体"/>
      <w:kern w:val="0"/>
      <w:sz w:val="24"/>
      <w:szCs w:val="24"/>
    </w:rPr>
  </w:style>
  <w:style w:type="paragraph" w:customStyle="1" w:styleId="190">
    <w:name w:val="表格(五号)"/>
    <w:basedOn w:val="1"/>
    <w:qFormat/>
    <w:uiPriority w:val="0"/>
    <w:pPr>
      <w:widowControl/>
      <w:spacing w:before="60" w:after="60"/>
      <w:ind w:left="11"/>
      <w:jc w:val="center"/>
    </w:pPr>
    <w:rPr>
      <w:color w:val="FF00FF"/>
      <w:kern w:val="0"/>
      <w:sz w:val="18"/>
      <w:szCs w:val="18"/>
    </w:rPr>
  </w:style>
  <w:style w:type="paragraph" w:customStyle="1" w:styleId="191">
    <w:name w:val="表格标题(居中)"/>
    <w:basedOn w:val="1"/>
    <w:qFormat/>
    <w:uiPriority w:val="0"/>
    <w:pPr>
      <w:widowControl/>
      <w:autoSpaceDE w:val="0"/>
      <w:autoSpaceDN w:val="0"/>
      <w:snapToGrid w:val="0"/>
      <w:jc w:val="center"/>
    </w:pPr>
    <w:rPr>
      <w:b/>
      <w:kern w:val="0"/>
      <w:szCs w:val="21"/>
    </w:rPr>
  </w:style>
  <w:style w:type="paragraph" w:customStyle="1" w:styleId="192">
    <w:name w:val="表格表头（表编号居中）"/>
    <w:basedOn w:val="1"/>
    <w:next w:val="21"/>
    <w:qFormat/>
    <w:uiPriority w:val="0"/>
    <w:pPr>
      <w:widowControl/>
      <w:jc w:val="center"/>
    </w:pPr>
    <w:rPr>
      <w:kern w:val="0"/>
      <w:szCs w:val="21"/>
    </w:rPr>
  </w:style>
  <w:style w:type="paragraph" w:customStyle="1" w:styleId="193">
    <w:name w:val="表格首行"/>
    <w:basedOn w:val="1"/>
    <w:semiHidden/>
    <w:qFormat/>
    <w:uiPriority w:val="0"/>
    <w:pPr>
      <w:widowControl/>
      <w:jc w:val="center"/>
    </w:pPr>
    <w:rPr>
      <w:rFonts w:ascii="宋体" w:hAnsi="宋体"/>
      <w:kern w:val="0"/>
      <w:szCs w:val="21"/>
    </w:rPr>
  </w:style>
  <w:style w:type="paragraph" w:customStyle="1" w:styleId="194">
    <w:name w:val="表格文本"/>
    <w:basedOn w:val="1"/>
    <w:qFormat/>
    <w:uiPriority w:val="0"/>
    <w:pPr>
      <w:widowControl/>
      <w:tabs>
        <w:tab w:val="decimal" w:pos="0"/>
      </w:tabs>
      <w:autoSpaceDE w:val="0"/>
      <w:autoSpaceDN w:val="0"/>
      <w:jc w:val="left"/>
    </w:pPr>
    <w:rPr>
      <w:rFonts w:ascii="Arial" w:hAnsi="Arial"/>
      <w:kern w:val="0"/>
      <w:szCs w:val="21"/>
    </w:rPr>
  </w:style>
  <w:style w:type="paragraph" w:customStyle="1" w:styleId="195">
    <w:name w:val="表格项目符号"/>
    <w:basedOn w:val="24"/>
    <w:semiHidden/>
    <w:qFormat/>
    <w:uiPriority w:val="0"/>
    <w:pPr>
      <w:tabs>
        <w:tab w:val="left" w:pos="249"/>
        <w:tab w:val="left" w:pos="780"/>
      </w:tabs>
      <w:snapToGrid w:val="0"/>
      <w:spacing w:line="300" w:lineRule="auto"/>
      <w:ind w:left="672" w:hanging="252"/>
    </w:pPr>
  </w:style>
  <w:style w:type="table" w:customStyle="1" w:styleId="196">
    <w:name w:val="表格样式"/>
    <w:basedOn w:val="85"/>
    <w:semiHidden/>
    <w:qFormat/>
    <w:uiPriority w:val="0"/>
    <w:pPr>
      <w:spacing w:after="120" w:line="360" w:lineRule="auto"/>
      <w:jc w:val="both"/>
    </w:pPr>
    <w:tblPr>
      <w:tblBorders>
        <w:top w:val="single" w:color="008000" w:sz="12" w:space="0"/>
        <w:left w:val="single" w:color="008000" w:sz="12" w:space="0"/>
        <w:bottom w:val="single" w:color="008000" w:sz="12" w:space="0"/>
        <w:right w:val="single" w:color="008000" w:sz="12" w:space="0"/>
        <w:insideH w:val="single" w:color="008000" w:sz="2" w:space="0"/>
        <w:insideV w:val="single" w:color="008000" w:sz="2" w:space="0"/>
      </w:tblBorders>
    </w:tblPr>
    <w:tcPr>
      <w:shd w:val="clear" w:color="000000" w:fill="auto"/>
    </w:tcPr>
    <w:tblStylePr w:type="firstRow">
      <w:rPr>
        <w:b w:val="0"/>
      </w:rPr>
      <w:tcPr>
        <w:tcBorders>
          <w:bottom w:val="single" w:color="008000" w:sz="6" w:space="0"/>
          <w:tl2br w:val="nil"/>
          <w:tr2bl w:val="nil"/>
        </w:tcBorders>
        <w:shd w:val="clear" w:color="000000" w:fill="E6E6E6"/>
      </w:tcPr>
    </w:tblStylePr>
    <w:tblStylePr w:type="lastRow">
      <w:tcPr>
        <w:tcBorders>
          <w:top w:val="single" w:color="008000" w:sz="6" w:space="0"/>
          <w:tl2br w:val="nil"/>
          <w:tr2bl w:val="nil"/>
        </w:tcBorders>
      </w:tcPr>
    </w:tblStylePr>
  </w:style>
  <w:style w:type="paragraph" w:customStyle="1" w:styleId="197">
    <w:name w:val="表格正文"/>
    <w:basedOn w:val="1"/>
    <w:qFormat/>
    <w:uiPriority w:val="0"/>
    <w:pPr>
      <w:widowControl/>
      <w:snapToGrid w:val="0"/>
      <w:spacing w:line="300" w:lineRule="auto"/>
    </w:pPr>
    <w:rPr>
      <w:kern w:val="0"/>
      <w:szCs w:val="21"/>
    </w:rPr>
  </w:style>
  <w:style w:type="paragraph" w:customStyle="1" w:styleId="198">
    <w:name w:val="表内容"/>
    <w:basedOn w:val="1"/>
    <w:semiHidden/>
    <w:qFormat/>
    <w:uiPriority w:val="0"/>
    <w:pPr>
      <w:widowControl/>
      <w:tabs>
        <w:tab w:val="right" w:pos="9180"/>
      </w:tabs>
      <w:autoSpaceDE w:val="0"/>
      <w:autoSpaceDN w:val="0"/>
      <w:jc w:val="center"/>
    </w:pPr>
    <w:rPr>
      <w:kern w:val="0"/>
      <w:sz w:val="20"/>
      <w:szCs w:val="20"/>
    </w:rPr>
  </w:style>
  <w:style w:type="paragraph" w:customStyle="1" w:styleId="199">
    <w:name w:val="段"/>
    <w:link w:val="351"/>
    <w:qFormat/>
    <w:uiPriority w:val="0"/>
    <w:pPr>
      <w:autoSpaceDE w:val="0"/>
      <w:autoSpaceDN w:val="0"/>
      <w:ind w:firstLine="200"/>
      <w:jc w:val="both"/>
    </w:pPr>
    <w:rPr>
      <w:rFonts w:ascii="宋体" w:hAnsi="Times New Roman" w:eastAsia="宋体" w:cs="Times New Roman"/>
      <w:sz w:val="21"/>
      <w:szCs w:val="21"/>
      <w:lang w:val="en-US" w:eastAsia="zh-CN" w:bidi="ar-SA"/>
    </w:rPr>
  </w:style>
  <w:style w:type="paragraph" w:customStyle="1" w:styleId="200">
    <w:name w:val="附录标识"/>
    <w:basedOn w:val="1"/>
    <w:semiHidden/>
    <w:qFormat/>
    <w:uiPriority w:val="0"/>
    <w:pPr>
      <w:widowControl/>
      <w:shd w:val="clear" w:color="FFFFFF" w:fill="FFFFFF"/>
      <w:tabs>
        <w:tab w:val="left" w:pos="6405"/>
      </w:tabs>
      <w:spacing w:before="640" w:after="200" w:line="360" w:lineRule="auto"/>
      <w:jc w:val="left"/>
      <w:outlineLvl w:val="0"/>
    </w:pPr>
    <w:rPr>
      <w:rFonts w:ascii="黑体" w:eastAsia="黑体"/>
      <w:kern w:val="0"/>
      <w:sz w:val="36"/>
      <w:szCs w:val="36"/>
    </w:rPr>
  </w:style>
  <w:style w:type="paragraph" w:customStyle="1" w:styleId="201">
    <w:name w:val="附录二级条标题"/>
    <w:next w:val="1"/>
    <w:semiHidden/>
    <w:qFormat/>
    <w:uiPriority w:val="0"/>
    <w:pPr>
      <w:ind w:left="720"/>
      <w:outlineLvl w:val="3"/>
    </w:pPr>
    <w:rPr>
      <w:rFonts w:ascii="Times New Roman" w:hAnsi="Times New Roman" w:eastAsia="宋体" w:cs="Times New Roman"/>
      <w:lang w:val="en-US" w:eastAsia="zh-CN" w:bidi="ar-SA"/>
    </w:rPr>
  </w:style>
  <w:style w:type="paragraph" w:customStyle="1" w:styleId="202">
    <w:name w:val="附录一级条标题"/>
    <w:next w:val="1"/>
    <w:semiHidden/>
    <w:qFormat/>
    <w:uiPriority w:val="0"/>
    <w:pPr>
      <w:autoSpaceDN w:val="0"/>
      <w:outlineLvl w:val="2"/>
    </w:pPr>
    <w:rPr>
      <w:rFonts w:ascii="Times New Roman" w:hAnsi="Times New Roman" w:eastAsia="宋体" w:cs="Times New Roman"/>
      <w:lang w:val="en-US" w:eastAsia="zh-CN" w:bidi="ar-SA"/>
    </w:rPr>
  </w:style>
  <w:style w:type="paragraph" w:customStyle="1" w:styleId="203">
    <w:name w:val="附录章标题"/>
    <w:next w:val="1"/>
    <w:semiHidden/>
    <w:qFormat/>
    <w:uiPriority w:val="0"/>
    <w:pPr>
      <w:wordWrap w:val="0"/>
      <w:overflowPunct w:val="0"/>
      <w:autoSpaceDE w:val="0"/>
      <w:spacing w:before="120" w:after="120"/>
      <w:jc w:val="both"/>
      <w:outlineLvl w:val="1"/>
    </w:pPr>
    <w:rPr>
      <w:rFonts w:ascii="黑体" w:hAnsi="Times New Roman" w:eastAsia="黑体" w:cs="Times New Roman"/>
      <w:b/>
      <w:sz w:val="32"/>
      <w:szCs w:val="32"/>
      <w:lang w:val="en-US" w:eastAsia="zh-CN" w:bidi="ar-SA"/>
    </w:rPr>
  </w:style>
  <w:style w:type="paragraph" w:customStyle="1" w:styleId="204">
    <w:name w:val="附录三级条标题"/>
    <w:basedOn w:val="201"/>
    <w:next w:val="1"/>
    <w:semiHidden/>
    <w:qFormat/>
    <w:uiPriority w:val="0"/>
    <w:pPr>
      <w:ind w:left="1620"/>
      <w:outlineLvl w:val="4"/>
    </w:pPr>
  </w:style>
  <w:style w:type="paragraph" w:customStyle="1" w:styleId="205">
    <w:name w:val="附录四级条标题"/>
    <w:basedOn w:val="204"/>
    <w:next w:val="1"/>
    <w:semiHidden/>
    <w:qFormat/>
    <w:uiPriority w:val="0"/>
    <w:pPr>
      <w:ind w:left="0"/>
      <w:outlineLvl w:val="5"/>
    </w:pPr>
  </w:style>
  <w:style w:type="paragraph" w:customStyle="1" w:styleId="206">
    <w:name w:val="附录五级条标题"/>
    <w:basedOn w:val="205"/>
    <w:next w:val="1"/>
    <w:semiHidden/>
    <w:qFormat/>
    <w:uiPriority w:val="0"/>
    <w:pPr>
      <w:outlineLvl w:val="6"/>
    </w:pPr>
  </w:style>
  <w:style w:type="paragraph" w:customStyle="1" w:styleId="207">
    <w:name w:val="附图标题（图编号居中）"/>
    <w:next w:val="21"/>
    <w:link w:val="373"/>
    <w:qFormat/>
    <w:uiPriority w:val="0"/>
    <w:pPr>
      <w:spacing w:after="240"/>
    </w:pPr>
    <w:rPr>
      <w:rFonts w:ascii="Arial" w:hAnsi="Arial" w:eastAsia="宋体" w:cs="Times New Roman"/>
      <w:lang w:val="en-US" w:eastAsia="zh-CN" w:bidi="ar-SA"/>
    </w:rPr>
  </w:style>
  <w:style w:type="paragraph" w:customStyle="1" w:styleId="208">
    <w:name w:val="附图居中"/>
    <w:basedOn w:val="1"/>
    <w:next w:val="207"/>
    <w:link w:val="372"/>
    <w:qFormat/>
    <w:uiPriority w:val="0"/>
    <w:pPr>
      <w:widowControl/>
      <w:jc w:val="center"/>
    </w:pPr>
    <w:rPr>
      <w:kern w:val="0"/>
      <w:szCs w:val="21"/>
    </w:rPr>
  </w:style>
  <w:style w:type="paragraph" w:customStyle="1" w:styleId="209">
    <w:name w:val="默认段落字体 Para Char"/>
    <w:basedOn w:val="1"/>
    <w:semiHidden/>
    <w:qFormat/>
    <w:uiPriority w:val="0"/>
    <w:pPr>
      <w:widowControl/>
      <w:autoSpaceDE w:val="0"/>
      <w:autoSpaceDN w:val="0"/>
      <w:jc w:val="left"/>
    </w:pPr>
    <w:rPr>
      <w:kern w:val="0"/>
      <w:sz w:val="20"/>
      <w:szCs w:val="20"/>
    </w:rPr>
  </w:style>
  <w:style w:type="paragraph" w:customStyle="1" w:styleId="210">
    <w:name w:val="默认段落字体 Para Char Char Char Char Char Char Char Char Char Char Char Char Char Char"/>
    <w:next w:val="1"/>
    <w:qFormat/>
    <w:uiPriority w:val="0"/>
    <w:pPr>
      <w:tabs>
        <w:tab w:val="left" w:pos="3920"/>
      </w:tabs>
      <w:spacing w:before="240" w:after="240"/>
      <w:ind w:left="3920" w:hanging="420"/>
      <w:outlineLvl w:val="7"/>
    </w:pPr>
    <w:rPr>
      <w:rFonts w:ascii="Arial" w:hAnsi="Arial" w:eastAsia="黑体" w:cs="Arial"/>
      <w:sz w:val="21"/>
      <w:szCs w:val="21"/>
      <w:lang w:val="en-US" w:eastAsia="zh-CN" w:bidi="ar-SA"/>
    </w:rPr>
  </w:style>
  <w:style w:type="paragraph" w:customStyle="1" w:styleId="211">
    <w:name w:val="缩进 Char Char Char Char"/>
    <w:basedOn w:val="21"/>
    <w:semiHidden/>
    <w:qFormat/>
    <w:uiPriority w:val="0"/>
    <w:pPr>
      <w:widowControl/>
      <w:autoSpaceDE/>
      <w:autoSpaceDN/>
      <w:adjustRightInd/>
      <w:spacing w:before="120" w:after="120" w:line="360" w:lineRule="auto"/>
      <w:ind w:firstLine="480"/>
      <w:jc w:val="both"/>
    </w:pPr>
    <w:rPr>
      <w:rFonts w:ascii="Tahoma" w:hAnsi="Tahoma" w:eastAsia="宋体"/>
      <w:sz w:val="24"/>
      <w:szCs w:val="24"/>
    </w:rPr>
  </w:style>
  <w:style w:type="paragraph" w:customStyle="1" w:styleId="212">
    <w:name w:val="文档正文（封面底）"/>
    <w:basedOn w:val="1"/>
    <w:qFormat/>
    <w:uiPriority w:val="0"/>
    <w:pPr>
      <w:widowControl/>
      <w:spacing w:line="360" w:lineRule="auto"/>
      <w:jc w:val="center"/>
    </w:pPr>
    <w:rPr>
      <w:rFonts w:ascii="长城仿宋"/>
      <w:b/>
      <w:kern w:val="0"/>
      <w:sz w:val="28"/>
      <w:szCs w:val="28"/>
    </w:rPr>
  </w:style>
  <w:style w:type="paragraph" w:customStyle="1" w:styleId="213">
    <w:name w:val="文档正文 Char Char Char"/>
    <w:basedOn w:val="1"/>
    <w:semiHidden/>
    <w:qFormat/>
    <w:uiPriority w:val="0"/>
    <w:pPr>
      <w:widowControl/>
      <w:spacing w:line="360" w:lineRule="auto"/>
      <w:ind w:firstLine="567"/>
    </w:pPr>
    <w:rPr>
      <w:rFonts w:ascii="宋体" w:hAnsi="宋体"/>
      <w:kern w:val="0"/>
      <w:sz w:val="24"/>
    </w:rPr>
  </w:style>
  <w:style w:type="paragraph" w:customStyle="1" w:styleId="214">
    <w:name w:val="样式 标题 3h:3h3H3Kop 3Vl3Level 3 Headheading 3h31.1.1 Hea..."/>
    <w:basedOn w:val="5"/>
    <w:semiHidden/>
    <w:qFormat/>
    <w:uiPriority w:val="0"/>
    <w:pPr>
      <w:keepNext w:val="0"/>
      <w:keepLines w:val="0"/>
      <w:widowControl/>
      <w:autoSpaceDE/>
      <w:autoSpaceDN/>
      <w:adjustRightInd/>
      <w:spacing w:before="0" w:after="0" w:line="360" w:lineRule="auto"/>
    </w:pPr>
    <w:rPr>
      <w:rFonts w:ascii="Times New Roman" w:eastAsia="宋体" w:cs="宋体"/>
      <w:b/>
      <w:szCs w:val="28"/>
    </w:rPr>
  </w:style>
  <w:style w:type="paragraph" w:customStyle="1" w:styleId="215">
    <w:name w:val="样式 标题 3h:3h3H3Kop 3Vl3Level 3 Headheading 3h31.1.1 Hea...1"/>
    <w:basedOn w:val="5"/>
    <w:semiHidden/>
    <w:qFormat/>
    <w:uiPriority w:val="0"/>
    <w:pPr>
      <w:keepNext w:val="0"/>
      <w:keepLines w:val="0"/>
      <w:widowControl/>
      <w:autoSpaceDE/>
      <w:autoSpaceDN/>
      <w:adjustRightInd/>
      <w:spacing w:before="0" w:line="240" w:lineRule="exact"/>
    </w:pPr>
    <w:rPr>
      <w:rFonts w:ascii="Times New Roman" w:eastAsia="宋体" w:cs="宋体"/>
      <w:b/>
      <w:szCs w:val="28"/>
    </w:rPr>
  </w:style>
  <w:style w:type="paragraph" w:customStyle="1" w:styleId="216">
    <w:name w:val="样式 标题 3h:3h3H3Kop 3Vl3Level 3 Headheading 3h31.1.1 Hea...2"/>
    <w:basedOn w:val="5"/>
    <w:semiHidden/>
    <w:qFormat/>
    <w:uiPriority w:val="0"/>
    <w:pPr>
      <w:keepNext w:val="0"/>
      <w:keepLines w:val="0"/>
      <w:widowControl/>
      <w:autoSpaceDE/>
      <w:autoSpaceDN/>
      <w:adjustRightInd/>
      <w:spacing w:before="0" w:after="0" w:line="360" w:lineRule="auto"/>
    </w:pPr>
    <w:rPr>
      <w:rFonts w:ascii="Times New Roman" w:eastAsia="宋体" w:cs="宋体"/>
      <w:b/>
      <w:szCs w:val="28"/>
    </w:rPr>
  </w:style>
  <w:style w:type="paragraph" w:customStyle="1" w:styleId="217">
    <w:name w:val="样式 标题 3h:3h3H3Kop 3Vl3Level 3 Headheading 3h31.1.1 Hea...3"/>
    <w:basedOn w:val="5"/>
    <w:semiHidden/>
    <w:qFormat/>
    <w:uiPriority w:val="0"/>
    <w:pPr>
      <w:keepNext w:val="0"/>
      <w:keepLines w:val="0"/>
      <w:widowControl/>
      <w:autoSpaceDE/>
      <w:autoSpaceDN/>
      <w:adjustRightInd/>
      <w:spacing w:before="0" w:after="0" w:line="360" w:lineRule="auto"/>
    </w:pPr>
    <w:rPr>
      <w:rFonts w:ascii="Times New Roman" w:eastAsia="宋体" w:cs="宋体"/>
      <w:szCs w:val="28"/>
    </w:rPr>
  </w:style>
  <w:style w:type="paragraph" w:customStyle="1" w:styleId="218">
    <w:name w:val="样式 标题 4h4H4PIM 41.1.1.1 Heading 4bulletblbb4Alt+4H41h..."/>
    <w:basedOn w:val="6"/>
    <w:semiHidden/>
    <w:qFormat/>
    <w:uiPriority w:val="0"/>
    <w:pPr>
      <w:keepNext w:val="0"/>
      <w:widowControl/>
      <w:autoSpaceDE w:val="0"/>
      <w:autoSpaceDN w:val="0"/>
      <w:spacing w:line="360" w:lineRule="auto"/>
      <w:jc w:val="left"/>
    </w:pPr>
    <w:rPr>
      <w:rFonts w:cs="宋体"/>
      <w:b/>
      <w:kern w:val="0"/>
      <w:sz w:val="24"/>
      <w:szCs w:val="24"/>
    </w:rPr>
  </w:style>
  <w:style w:type="paragraph" w:customStyle="1" w:styleId="219">
    <w:name w:val="样式 首行缩进:  2.57 字符"/>
    <w:basedOn w:val="1"/>
    <w:semiHidden/>
    <w:qFormat/>
    <w:uiPriority w:val="0"/>
    <w:pPr>
      <w:widowControl/>
      <w:numPr>
        <w:ilvl w:val="0"/>
        <w:numId w:val="6"/>
      </w:numPr>
      <w:spacing w:line="360" w:lineRule="auto"/>
    </w:pPr>
    <w:rPr>
      <w:kern w:val="0"/>
      <w:sz w:val="24"/>
    </w:rPr>
  </w:style>
  <w:style w:type="paragraph" w:customStyle="1" w:styleId="220">
    <w:name w:val="正文（表格）"/>
    <w:basedOn w:val="1"/>
    <w:semiHidden/>
    <w:qFormat/>
    <w:uiPriority w:val="0"/>
    <w:pPr>
      <w:widowControl/>
    </w:pPr>
    <w:rPr>
      <w:kern w:val="0"/>
      <w:sz w:val="24"/>
    </w:rPr>
  </w:style>
  <w:style w:type="paragraph" w:customStyle="1" w:styleId="221">
    <w:name w:val="标准正文一"/>
    <w:basedOn w:val="1"/>
    <w:qFormat/>
    <w:uiPriority w:val="0"/>
    <w:pPr>
      <w:widowControl/>
      <w:spacing w:line="480" w:lineRule="atLeast"/>
      <w:ind w:firstLine="225"/>
    </w:pPr>
    <w:rPr>
      <w:kern w:val="0"/>
      <w:sz w:val="24"/>
    </w:rPr>
  </w:style>
  <w:style w:type="paragraph" w:customStyle="1" w:styleId="222">
    <w:name w:val="样式 文档正文 Char + (西文) 宋体 (中文) 宋体 小四 黑色"/>
    <w:basedOn w:val="1"/>
    <w:link w:val="230"/>
    <w:qFormat/>
    <w:uiPriority w:val="0"/>
    <w:pPr>
      <w:widowControl/>
      <w:snapToGrid w:val="0"/>
      <w:spacing w:line="360" w:lineRule="auto"/>
    </w:pPr>
    <w:rPr>
      <w:rFonts w:ascii="宋体" w:hAnsi="宋体"/>
      <w:color w:val="000000"/>
      <w:kern w:val="0"/>
      <w:sz w:val="24"/>
    </w:rPr>
  </w:style>
  <w:style w:type="paragraph" w:customStyle="1" w:styleId="223">
    <w:name w:val="小项目"/>
    <w:basedOn w:val="1"/>
    <w:qFormat/>
    <w:uiPriority w:val="0"/>
    <w:pPr>
      <w:widowControl/>
      <w:numPr>
        <w:ilvl w:val="0"/>
        <w:numId w:val="7"/>
      </w:numPr>
      <w:spacing w:line="360" w:lineRule="auto"/>
    </w:pPr>
    <w:rPr>
      <w:kern w:val="0"/>
      <w:sz w:val="24"/>
    </w:rPr>
  </w:style>
  <w:style w:type="paragraph" w:customStyle="1" w:styleId="224">
    <w:name w:val="样式 标题 4h4heading 4PIM 4H4bulletblbbsect 1.2.3.4Ref Head..."/>
    <w:basedOn w:val="6"/>
    <w:qFormat/>
    <w:uiPriority w:val="0"/>
    <w:pPr>
      <w:keepNext w:val="0"/>
      <w:widowControl/>
      <w:tabs>
        <w:tab w:val="left" w:pos="1080"/>
      </w:tabs>
      <w:autoSpaceDE w:val="0"/>
      <w:autoSpaceDN w:val="0"/>
      <w:spacing w:after="120" w:line="360" w:lineRule="auto"/>
      <w:ind w:left="864" w:hanging="864"/>
    </w:pPr>
    <w:rPr>
      <w:rFonts w:cs="宋体"/>
      <w:b/>
      <w:kern w:val="0"/>
      <w:sz w:val="24"/>
      <w:szCs w:val="24"/>
    </w:rPr>
  </w:style>
  <w:style w:type="paragraph" w:customStyle="1" w:styleId="225">
    <w:name w:val="正文样式"/>
    <w:basedOn w:val="1"/>
    <w:link w:val="226"/>
    <w:qFormat/>
    <w:uiPriority w:val="0"/>
    <w:pPr>
      <w:widowControl/>
      <w:spacing w:line="360" w:lineRule="auto"/>
      <w:ind w:firstLine="200"/>
    </w:pPr>
    <w:rPr>
      <w:rFonts w:cs="宋体"/>
      <w:b/>
      <w:kern w:val="0"/>
      <w:sz w:val="24"/>
    </w:rPr>
  </w:style>
  <w:style w:type="character" w:customStyle="1" w:styleId="226">
    <w:name w:val="正文样式 Char"/>
    <w:link w:val="225"/>
    <w:qFormat/>
    <w:uiPriority w:val="0"/>
    <w:rPr>
      <w:rFonts w:cs="宋体"/>
      <w:b/>
      <w:sz w:val="24"/>
      <w:szCs w:val="24"/>
    </w:rPr>
  </w:style>
  <w:style w:type="paragraph" w:customStyle="1" w:styleId="227">
    <w:name w:val="文档正文（人）"/>
    <w:basedOn w:val="1"/>
    <w:link w:val="229"/>
    <w:qFormat/>
    <w:uiPriority w:val="0"/>
    <w:pPr>
      <w:widowControl/>
      <w:spacing w:line="360" w:lineRule="auto"/>
      <w:ind w:firstLine="800"/>
      <w:jc w:val="left"/>
    </w:pPr>
    <w:rPr>
      <w:rFonts w:ascii="仿宋_GB2312"/>
      <w:b/>
      <w:kern w:val="0"/>
      <w:sz w:val="28"/>
      <w:szCs w:val="28"/>
    </w:rPr>
  </w:style>
  <w:style w:type="paragraph" w:customStyle="1" w:styleId="228">
    <w:name w:val="样式 标题 3h3Heading 3 - oldLevel 3 HeadH3level_3PIM 3sect1.2..."/>
    <w:basedOn w:val="5"/>
    <w:qFormat/>
    <w:uiPriority w:val="0"/>
    <w:pPr>
      <w:keepNext w:val="0"/>
      <w:keepLines w:val="0"/>
      <w:widowControl/>
      <w:tabs>
        <w:tab w:val="left" w:pos="720"/>
      </w:tabs>
      <w:autoSpaceDE/>
      <w:autoSpaceDN/>
      <w:adjustRightInd/>
      <w:spacing w:before="0" w:after="0" w:line="415" w:lineRule="auto"/>
      <w:ind w:left="720" w:hanging="720"/>
    </w:pPr>
    <w:rPr>
      <w:rFonts w:ascii="Times New Roman" w:eastAsia="宋体"/>
      <w:b/>
      <w:szCs w:val="28"/>
    </w:rPr>
  </w:style>
  <w:style w:type="character" w:customStyle="1" w:styleId="229">
    <w:name w:val="文档正文（人） Char Char"/>
    <w:link w:val="227"/>
    <w:qFormat/>
    <w:uiPriority w:val="0"/>
    <w:rPr>
      <w:rFonts w:ascii="仿宋_GB2312"/>
      <w:b/>
      <w:sz w:val="28"/>
      <w:szCs w:val="28"/>
    </w:rPr>
  </w:style>
  <w:style w:type="character" w:customStyle="1" w:styleId="230">
    <w:name w:val="样式 文档正文 Char + (西文) 宋体 (中文) 宋体 小四 黑色 Char"/>
    <w:link w:val="222"/>
    <w:qFormat/>
    <w:uiPriority w:val="0"/>
    <w:rPr>
      <w:rFonts w:ascii="宋体" w:hAnsi="宋体"/>
      <w:color w:val="000000"/>
      <w:sz w:val="24"/>
      <w:szCs w:val="24"/>
    </w:rPr>
  </w:style>
  <w:style w:type="character" w:customStyle="1" w:styleId="231">
    <w:name w:val="列表项目符号 2 字符"/>
    <w:link w:val="40"/>
    <w:qFormat/>
    <w:uiPriority w:val="0"/>
    <w:rPr>
      <w:sz w:val="24"/>
      <w:szCs w:val="24"/>
    </w:rPr>
  </w:style>
  <w:style w:type="character" w:customStyle="1" w:styleId="232">
    <w:name w:val="正文缩进 字符"/>
    <w:link w:val="21"/>
    <w:qFormat/>
    <w:uiPriority w:val="0"/>
    <w:rPr>
      <w:rFonts w:ascii="楷体_GB2312" w:eastAsia="楷体_GB2312"/>
      <w:sz w:val="28"/>
    </w:rPr>
  </w:style>
  <w:style w:type="paragraph" w:customStyle="1" w:styleId="233">
    <w:name w:val="正文缩进体"/>
    <w:basedOn w:val="21"/>
    <w:link w:val="234"/>
    <w:qFormat/>
    <w:uiPriority w:val="0"/>
    <w:pPr>
      <w:widowControl/>
      <w:autoSpaceDE/>
      <w:autoSpaceDN/>
      <w:adjustRightInd/>
      <w:spacing w:line="240" w:lineRule="auto"/>
      <w:ind w:right="-107" w:firstLine="0"/>
    </w:pPr>
    <w:rPr>
      <w:rFonts w:ascii="Times New Roman" w:eastAsia="宋体"/>
      <w:sz w:val="21"/>
      <w:szCs w:val="21"/>
    </w:rPr>
  </w:style>
  <w:style w:type="character" w:customStyle="1" w:styleId="234">
    <w:name w:val="正文缩进体 Char"/>
    <w:link w:val="233"/>
    <w:qFormat/>
    <w:uiPriority w:val="0"/>
    <w:rPr>
      <w:sz w:val="21"/>
      <w:szCs w:val="21"/>
    </w:rPr>
  </w:style>
  <w:style w:type="paragraph" w:customStyle="1" w:styleId="235">
    <w:name w:val="样式 标题 5 + 小四 行距: 1.5 倍行距"/>
    <w:basedOn w:val="7"/>
    <w:qFormat/>
    <w:uiPriority w:val="0"/>
    <w:pPr>
      <w:keepNext w:val="0"/>
      <w:keepLines w:val="0"/>
      <w:widowControl/>
      <w:snapToGrid w:val="0"/>
      <w:spacing w:before="0" w:after="0" w:line="360" w:lineRule="auto"/>
      <w:ind w:left="879" w:right="-51" w:hanging="312"/>
    </w:pPr>
    <w:rPr>
      <w:rFonts w:cs="宋体"/>
      <w:b w:val="0"/>
      <w:bCs w:val="0"/>
      <w:kern w:val="0"/>
      <w:sz w:val="24"/>
      <w:szCs w:val="24"/>
    </w:rPr>
  </w:style>
  <w:style w:type="paragraph" w:customStyle="1" w:styleId="236">
    <w:name w:val="样式 正文缩进2字符"/>
    <w:basedOn w:val="1"/>
    <w:qFormat/>
    <w:uiPriority w:val="0"/>
    <w:pPr>
      <w:widowControl/>
      <w:spacing w:line="240" w:lineRule="atLeast"/>
      <w:jc w:val="left"/>
    </w:pPr>
    <w:rPr>
      <w:kern w:val="0"/>
      <w:sz w:val="24"/>
    </w:rPr>
  </w:style>
  <w:style w:type="character" w:customStyle="1" w:styleId="237">
    <w:name w:val="正文文本缩进 Char"/>
    <w:basedOn w:val="89"/>
    <w:qFormat/>
    <w:uiPriority w:val="0"/>
    <w:rPr>
      <w:rFonts w:ascii="Times New Roman" w:hAnsi="Times New Roman" w:eastAsia="宋体" w:cs="Times New Roman"/>
      <w:sz w:val="24"/>
      <w:szCs w:val="24"/>
    </w:rPr>
  </w:style>
  <w:style w:type="paragraph" w:customStyle="1" w:styleId="238">
    <w:name w:val="编号"/>
    <w:basedOn w:val="1"/>
    <w:qFormat/>
    <w:uiPriority w:val="0"/>
    <w:pPr>
      <w:widowControl/>
      <w:numPr>
        <w:ilvl w:val="0"/>
        <w:numId w:val="8"/>
      </w:numPr>
      <w:tabs>
        <w:tab w:val="left" w:pos="1080"/>
      </w:tabs>
      <w:spacing w:line="360" w:lineRule="auto"/>
      <w:ind w:firstLine="0"/>
    </w:pPr>
    <w:rPr>
      <w:kern w:val="0"/>
      <w:sz w:val="24"/>
    </w:rPr>
  </w:style>
  <w:style w:type="character" w:customStyle="1" w:styleId="239">
    <w:name w:val="纯文本 Char1"/>
    <w:qFormat/>
    <w:uiPriority w:val="0"/>
    <w:rPr>
      <w:rFonts w:ascii="宋体" w:hAnsi="Courier New" w:eastAsia="宋体" w:cs="Courier New"/>
      <w:sz w:val="21"/>
      <w:szCs w:val="21"/>
      <w:lang w:val="en-US" w:eastAsia="zh-CN" w:bidi="ar-SA"/>
    </w:rPr>
  </w:style>
  <w:style w:type="paragraph" w:customStyle="1" w:styleId="240">
    <w:name w:val="Char1 Char Char"/>
    <w:basedOn w:val="1"/>
    <w:qFormat/>
    <w:uiPriority w:val="0"/>
    <w:pPr>
      <w:widowControl/>
      <w:tabs>
        <w:tab w:val="left" w:pos="420"/>
      </w:tabs>
      <w:ind w:left="420" w:hanging="420"/>
    </w:pPr>
    <w:rPr>
      <w:rFonts w:ascii="Tahoma" w:hAnsi="Tahoma"/>
      <w:kern w:val="0"/>
      <w:sz w:val="24"/>
    </w:rPr>
  </w:style>
  <w:style w:type="paragraph" w:customStyle="1" w:styleId="241">
    <w:name w:val="附图标题"/>
    <w:basedOn w:val="208"/>
    <w:next w:val="21"/>
    <w:qFormat/>
    <w:uiPriority w:val="0"/>
    <w:pPr>
      <w:numPr>
        <w:ilvl w:val="0"/>
        <w:numId w:val="9"/>
      </w:numPr>
      <w:tabs>
        <w:tab w:val="clear" w:pos="720"/>
      </w:tabs>
      <w:spacing w:after="240"/>
      <w:ind w:left="425" w:hanging="425"/>
    </w:pPr>
    <w:rPr>
      <w:rFonts w:ascii="Arial" w:hAnsi="Arial" w:eastAsia="黑体"/>
    </w:rPr>
  </w:style>
  <w:style w:type="paragraph" w:customStyle="1" w:styleId="242">
    <w:name w:val="表格表头"/>
    <w:basedOn w:val="1"/>
    <w:next w:val="21"/>
    <w:qFormat/>
    <w:uiPriority w:val="0"/>
    <w:pPr>
      <w:widowControl/>
      <w:jc w:val="center"/>
    </w:pPr>
    <w:rPr>
      <w:b/>
      <w:kern w:val="0"/>
      <w:szCs w:val="21"/>
    </w:rPr>
  </w:style>
  <w:style w:type="paragraph" w:customStyle="1" w:styleId="243">
    <w:name w:val="样式 标题 5dashdsddh5H5PIM 5Second Subheadingdash1ds1dd1d..."/>
    <w:basedOn w:val="7"/>
    <w:semiHidden/>
    <w:qFormat/>
    <w:uiPriority w:val="0"/>
    <w:pPr>
      <w:keepNext w:val="0"/>
      <w:keepLines w:val="0"/>
      <w:widowControl/>
      <w:tabs>
        <w:tab w:val="left" w:pos="780"/>
        <w:tab w:val="left" w:pos="2520"/>
      </w:tabs>
      <w:spacing w:before="120" w:after="120" w:line="360" w:lineRule="auto"/>
    </w:pPr>
    <w:rPr>
      <w:rFonts w:cs="宋体"/>
      <w:b w:val="0"/>
      <w:bCs w:val="0"/>
      <w:kern w:val="0"/>
      <w:sz w:val="24"/>
      <w:szCs w:val="24"/>
    </w:rPr>
  </w:style>
  <w:style w:type="paragraph" w:customStyle="1" w:styleId="244">
    <w:name w:val="样式 标题 5dashdsddh5H5PIM 5Second Subheadingdash1ds1dd1d...2"/>
    <w:basedOn w:val="7"/>
    <w:qFormat/>
    <w:uiPriority w:val="0"/>
    <w:pPr>
      <w:keepNext w:val="0"/>
      <w:keepLines w:val="0"/>
      <w:widowControl/>
      <w:tabs>
        <w:tab w:val="left" w:pos="2520"/>
      </w:tabs>
      <w:spacing w:before="120" w:after="120" w:line="360" w:lineRule="auto"/>
      <w:ind w:hanging="420"/>
    </w:pPr>
    <w:rPr>
      <w:rFonts w:ascii="宋体" w:hAnsi="宋体" w:eastAsia="黑体" w:cs="宋体"/>
      <w:b w:val="0"/>
      <w:bCs w:val="0"/>
      <w:kern w:val="0"/>
      <w:sz w:val="24"/>
      <w:szCs w:val="24"/>
    </w:rPr>
  </w:style>
  <w:style w:type="paragraph" w:customStyle="1" w:styleId="245">
    <w:name w:val="样式 标题 3h3H3level_3PIM 3Level 3 HeadHeading 3 - oldsect1.2...1"/>
    <w:basedOn w:val="5"/>
    <w:link w:val="246"/>
    <w:semiHidden/>
    <w:qFormat/>
    <w:uiPriority w:val="0"/>
    <w:pPr>
      <w:keepNext w:val="0"/>
      <w:keepLines w:val="0"/>
      <w:widowControl/>
      <w:tabs>
        <w:tab w:val="left" w:pos="780"/>
        <w:tab w:val="left" w:pos="1680"/>
      </w:tabs>
      <w:adjustRightInd/>
      <w:spacing w:before="240" w:after="180" w:line="240" w:lineRule="auto"/>
      <w:jc w:val="left"/>
    </w:pPr>
    <w:rPr>
      <w:rFonts w:hAnsi="黑体"/>
      <w:b/>
      <w:szCs w:val="28"/>
    </w:rPr>
  </w:style>
  <w:style w:type="character" w:customStyle="1" w:styleId="246">
    <w:name w:val="样式 标题 3h3H3level_3PIM 3Level 3 HeadHeading 3 - oldsect1.2...1 Char"/>
    <w:link w:val="245"/>
    <w:semiHidden/>
    <w:qFormat/>
    <w:uiPriority w:val="0"/>
    <w:rPr>
      <w:rFonts w:ascii="黑体" w:hAnsi="黑体" w:eastAsia="黑体"/>
      <w:b/>
      <w:sz w:val="28"/>
      <w:szCs w:val="28"/>
    </w:rPr>
  </w:style>
  <w:style w:type="paragraph" w:customStyle="1" w:styleId="247">
    <w:name w:val="样式 标题 4h4heading 4h41heading 41h42heading 42h411heading ..."/>
    <w:basedOn w:val="6"/>
    <w:link w:val="248"/>
    <w:qFormat/>
    <w:uiPriority w:val="0"/>
    <w:pPr>
      <w:keepNext w:val="0"/>
      <w:widowControl/>
      <w:numPr>
        <w:ilvl w:val="0"/>
        <w:numId w:val="10"/>
      </w:numPr>
      <w:tabs>
        <w:tab w:val="left" w:pos="2100"/>
      </w:tabs>
      <w:autoSpaceDE w:val="0"/>
      <w:autoSpaceDN w:val="0"/>
      <w:spacing w:line="360" w:lineRule="auto"/>
      <w:ind w:left="0" w:firstLine="0"/>
      <w:jc w:val="left"/>
    </w:pPr>
    <w:rPr>
      <w:rFonts w:ascii="黑体" w:hAnsi="黑体" w:eastAsia="黑体"/>
      <w:b/>
      <w:kern w:val="0"/>
      <w:sz w:val="24"/>
      <w:szCs w:val="24"/>
    </w:rPr>
  </w:style>
  <w:style w:type="character" w:customStyle="1" w:styleId="248">
    <w:name w:val="样式 标题 4h4heading 4h41heading 41h42heading 42h411heading ... Char"/>
    <w:link w:val="247"/>
    <w:qFormat/>
    <w:uiPriority w:val="0"/>
    <w:rPr>
      <w:rFonts w:ascii="黑体" w:hAnsi="黑体" w:eastAsia="黑体"/>
      <w:b/>
      <w:sz w:val="24"/>
      <w:szCs w:val="24"/>
    </w:rPr>
  </w:style>
  <w:style w:type="paragraph" w:customStyle="1" w:styleId="249">
    <w:name w:val="样式 列表项目符号 2 +"/>
    <w:basedOn w:val="40"/>
    <w:qFormat/>
    <w:uiPriority w:val="0"/>
    <w:pPr>
      <w:tabs>
        <w:tab w:val="left" w:pos="794"/>
        <w:tab w:val="clear" w:pos="1302"/>
      </w:tabs>
      <w:autoSpaceDE w:val="0"/>
      <w:autoSpaceDN w:val="0"/>
      <w:ind w:left="794" w:firstLine="0"/>
      <w:jc w:val="left"/>
    </w:pPr>
    <w:rPr>
      <w:sz w:val="28"/>
      <w:szCs w:val="28"/>
    </w:rPr>
  </w:style>
  <w:style w:type="paragraph" w:customStyle="1" w:styleId="250">
    <w:name w:val="样式 标题 3h3heading 3h31heading 31h32heading 32h311heading ..."/>
    <w:basedOn w:val="5"/>
    <w:link w:val="251"/>
    <w:qFormat/>
    <w:uiPriority w:val="0"/>
    <w:pPr>
      <w:keepNext w:val="0"/>
      <w:keepLines w:val="0"/>
      <w:widowControl/>
      <w:tabs>
        <w:tab w:val="left" w:pos="1214"/>
        <w:tab w:val="left" w:pos="1260"/>
      </w:tabs>
      <w:autoSpaceDE/>
      <w:autoSpaceDN/>
      <w:adjustRightInd/>
      <w:spacing w:before="0" w:after="0" w:line="360" w:lineRule="auto"/>
    </w:pPr>
    <w:rPr>
      <w:rFonts w:ascii="宋体" w:hAnsi="宋体" w:eastAsia="宋体"/>
      <w:b/>
      <w:szCs w:val="28"/>
    </w:rPr>
  </w:style>
  <w:style w:type="character" w:customStyle="1" w:styleId="251">
    <w:name w:val="样式 标题 3h3heading 3h31heading 31h32heading 32h311heading ... Char"/>
    <w:link w:val="250"/>
    <w:qFormat/>
    <w:uiPriority w:val="0"/>
    <w:rPr>
      <w:rFonts w:ascii="宋体" w:hAnsi="宋体"/>
      <w:b/>
      <w:sz w:val="28"/>
      <w:szCs w:val="28"/>
    </w:rPr>
  </w:style>
  <w:style w:type="paragraph" w:customStyle="1" w:styleId="252">
    <w:name w:val="样式 标题 2H2sect 1.2H21sect 1.21H22sect 1.22H211sect 1.211..."/>
    <w:basedOn w:val="4"/>
    <w:qFormat/>
    <w:uiPriority w:val="0"/>
    <w:pPr>
      <w:keepNext w:val="0"/>
      <w:keepLines w:val="0"/>
      <w:widowControl/>
      <w:tabs>
        <w:tab w:val="left" w:pos="0"/>
        <w:tab w:val="left" w:pos="840"/>
        <w:tab w:val="left" w:pos="1214"/>
      </w:tabs>
      <w:spacing w:before="240" w:after="240" w:line="480" w:lineRule="auto"/>
      <w:ind w:firstLine="20"/>
    </w:pPr>
    <w:rPr>
      <w:rFonts w:ascii="Times New Roman" w:hAnsi="Times New Roman" w:eastAsia="宋体"/>
      <w:bCs w:val="0"/>
      <w:kern w:val="0"/>
      <w:sz w:val="30"/>
      <w:szCs w:val="30"/>
    </w:rPr>
  </w:style>
  <w:style w:type="paragraph" w:customStyle="1" w:styleId="253">
    <w:name w:val="文档正文（加粗）"/>
    <w:basedOn w:val="1"/>
    <w:qFormat/>
    <w:uiPriority w:val="0"/>
    <w:pPr>
      <w:widowControl/>
      <w:ind w:firstLine="257"/>
    </w:pPr>
    <w:rPr>
      <w:rFonts w:ascii="长城仿宋"/>
      <w:b/>
      <w:kern w:val="0"/>
      <w:sz w:val="28"/>
      <w:szCs w:val="28"/>
    </w:rPr>
  </w:style>
  <w:style w:type="paragraph" w:customStyle="1" w:styleId="254">
    <w:name w:val="章"/>
    <w:basedOn w:val="81"/>
    <w:next w:val="1"/>
    <w:qFormat/>
    <w:uiPriority w:val="0"/>
    <w:pPr>
      <w:widowControl/>
      <w:tabs>
        <w:tab w:val="left" w:pos="425"/>
      </w:tabs>
      <w:wordWrap w:val="0"/>
      <w:spacing w:line="360" w:lineRule="auto"/>
      <w:ind w:left="425" w:hanging="425"/>
    </w:pPr>
    <w:rPr>
      <w:rFonts w:ascii="Arial" w:hAnsi="Arial" w:eastAsia="黑体" w:cs="Arial"/>
      <w:bCs w:val="0"/>
      <w:kern w:val="0"/>
    </w:rPr>
  </w:style>
  <w:style w:type="paragraph" w:customStyle="1" w:styleId="255">
    <w:name w:val="样式 标题 3h3heading 3h31heading 31h32heading 32h311heading ...1"/>
    <w:basedOn w:val="5"/>
    <w:qFormat/>
    <w:uiPriority w:val="0"/>
    <w:pPr>
      <w:keepNext w:val="0"/>
      <w:keepLines w:val="0"/>
      <w:widowControl/>
      <w:tabs>
        <w:tab w:val="left" w:pos="1260"/>
      </w:tabs>
      <w:autoSpaceDE/>
      <w:autoSpaceDN/>
      <w:adjustRightInd/>
      <w:spacing w:before="0" w:after="0" w:line="360" w:lineRule="auto"/>
      <w:ind w:firstLine="40"/>
    </w:pPr>
    <w:rPr>
      <w:rFonts w:ascii="宋体" w:hAnsi="宋体" w:eastAsia="宋体"/>
      <w:b/>
      <w:szCs w:val="28"/>
    </w:rPr>
  </w:style>
  <w:style w:type="paragraph" w:customStyle="1" w:styleId="256">
    <w:name w:val="样式 标题 4h4heading 4h41heading 41h42heading 42h411heading ...1"/>
    <w:basedOn w:val="6"/>
    <w:qFormat/>
    <w:uiPriority w:val="0"/>
    <w:pPr>
      <w:keepNext w:val="0"/>
      <w:widowControl/>
      <w:tabs>
        <w:tab w:val="left" w:pos="1214"/>
        <w:tab w:val="left" w:pos="1680"/>
      </w:tabs>
      <w:ind w:firstLine="60"/>
      <w:jc w:val="left"/>
    </w:pPr>
    <w:rPr>
      <w:rFonts w:ascii="宋体" w:hAnsi="宋体"/>
      <w:b/>
      <w:kern w:val="0"/>
      <w:sz w:val="24"/>
      <w:szCs w:val="24"/>
    </w:rPr>
  </w:style>
  <w:style w:type="paragraph" w:customStyle="1" w:styleId="257">
    <w:name w:val="样式 标题 5h5h51heading 51h52heading 52h53heading 53第NNNN节H..."/>
    <w:basedOn w:val="7"/>
    <w:link w:val="258"/>
    <w:qFormat/>
    <w:uiPriority w:val="0"/>
    <w:pPr>
      <w:keepNext w:val="0"/>
      <w:keepLines w:val="0"/>
      <w:widowControl/>
      <w:numPr>
        <w:ilvl w:val="0"/>
        <w:numId w:val="11"/>
      </w:numPr>
      <w:tabs>
        <w:tab w:val="left" w:pos="2100"/>
      </w:tabs>
      <w:spacing w:before="0" w:after="0" w:line="240" w:lineRule="auto"/>
      <w:ind w:left="0" w:firstLine="80"/>
    </w:pPr>
    <w:rPr>
      <w:b w:val="0"/>
      <w:bCs w:val="0"/>
      <w:kern w:val="0"/>
      <w:sz w:val="22"/>
      <w:szCs w:val="22"/>
    </w:rPr>
  </w:style>
  <w:style w:type="character" w:customStyle="1" w:styleId="258">
    <w:name w:val="样式 标题 5h5h51heading 51h52heading 52h53heading 53第NNNN节H... Char"/>
    <w:link w:val="257"/>
    <w:qFormat/>
    <w:uiPriority w:val="0"/>
    <w:rPr>
      <w:sz w:val="22"/>
      <w:szCs w:val="22"/>
    </w:rPr>
  </w:style>
  <w:style w:type="paragraph" w:customStyle="1" w:styleId="259">
    <w:name w:val="样式 标题 5h5h51heading 51h52heading 52h53heading 53第NNNN节H...1"/>
    <w:basedOn w:val="7"/>
    <w:link w:val="260"/>
    <w:qFormat/>
    <w:uiPriority w:val="0"/>
    <w:pPr>
      <w:keepNext w:val="0"/>
      <w:keepLines w:val="0"/>
      <w:widowControl/>
      <w:tabs>
        <w:tab w:val="left" w:pos="2100"/>
      </w:tabs>
      <w:spacing w:before="0" w:after="0" w:line="240" w:lineRule="auto"/>
      <w:ind w:firstLine="80"/>
    </w:pPr>
    <w:rPr>
      <w:b w:val="0"/>
      <w:bCs w:val="0"/>
      <w:kern w:val="0"/>
      <w:sz w:val="24"/>
      <w:szCs w:val="24"/>
    </w:rPr>
  </w:style>
  <w:style w:type="character" w:customStyle="1" w:styleId="260">
    <w:name w:val="样式 标题 5h5h51heading 51h52heading 52h53heading 53第NNNN节H...1 Char"/>
    <w:link w:val="259"/>
    <w:qFormat/>
    <w:uiPriority w:val="0"/>
    <w:rPr>
      <w:sz w:val="24"/>
      <w:szCs w:val="24"/>
    </w:rPr>
  </w:style>
  <w:style w:type="paragraph" w:customStyle="1" w:styleId="261">
    <w:name w:val="样式 标题 5h5h51heading 51h52heading 52h53heading 53第NNNN节H...2"/>
    <w:basedOn w:val="7"/>
    <w:link w:val="262"/>
    <w:qFormat/>
    <w:uiPriority w:val="0"/>
    <w:pPr>
      <w:keepNext w:val="0"/>
      <w:keepLines w:val="0"/>
      <w:widowControl/>
      <w:tabs>
        <w:tab w:val="left" w:pos="2100"/>
      </w:tabs>
      <w:spacing w:before="0" w:after="0" w:line="240" w:lineRule="auto"/>
      <w:ind w:firstLine="80"/>
    </w:pPr>
    <w:rPr>
      <w:rFonts w:ascii="宋体" w:hAnsi="宋体"/>
      <w:b w:val="0"/>
      <w:bCs w:val="0"/>
      <w:kern w:val="0"/>
      <w:sz w:val="24"/>
      <w:szCs w:val="24"/>
    </w:rPr>
  </w:style>
  <w:style w:type="character" w:customStyle="1" w:styleId="262">
    <w:name w:val="样式 标题 5h5h51heading 51h52heading 52h53heading 53第NNNN节H...2 Char"/>
    <w:link w:val="261"/>
    <w:qFormat/>
    <w:uiPriority w:val="0"/>
    <w:rPr>
      <w:rFonts w:ascii="宋体" w:hAnsi="宋体"/>
      <w:sz w:val="24"/>
      <w:szCs w:val="24"/>
    </w:rPr>
  </w:style>
  <w:style w:type="paragraph" w:customStyle="1" w:styleId="263">
    <w:name w:val="text"/>
    <w:basedOn w:val="1"/>
    <w:qFormat/>
    <w:uiPriority w:val="0"/>
    <w:pPr>
      <w:widowControl/>
      <w:spacing w:line="360" w:lineRule="auto"/>
    </w:pPr>
    <w:rPr>
      <w:rFonts w:ascii="Arial" w:hAnsi="Arial" w:eastAsia="楷体_GB2312"/>
      <w:b/>
      <w:color w:val="000000"/>
      <w:kern w:val="0"/>
      <w:sz w:val="24"/>
    </w:rPr>
  </w:style>
  <w:style w:type="paragraph" w:customStyle="1" w:styleId="264">
    <w:name w:val="技术规范书条款1-9"/>
    <w:basedOn w:val="1"/>
    <w:qFormat/>
    <w:uiPriority w:val="0"/>
    <w:pPr>
      <w:widowControl/>
      <w:numPr>
        <w:ilvl w:val="0"/>
        <w:numId w:val="12"/>
      </w:numPr>
      <w:spacing w:line="360" w:lineRule="auto"/>
      <w:ind w:firstLine="0"/>
    </w:pPr>
    <w:rPr>
      <w:kern w:val="0"/>
      <w:sz w:val="24"/>
    </w:rPr>
  </w:style>
  <w:style w:type="paragraph" w:customStyle="1" w:styleId="265">
    <w:name w:val="文档正文"/>
    <w:basedOn w:val="1"/>
    <w:link w:val="439"/>
    <w:qFormat/>
    <w:uiPriority w:val="0"/>
    <w:pPr>
      <w:widowControl/>
      <w:spacing w:line="360" w:lineRule="auto"/>
    </w:pPr>
    <w:rPr>
      <w:rFonts w:ascii="Arial" w:hAnsi="Arial"/>
      <w:kern w:val="0"/>
      <w:sz w:val="24"/>
    </w:rPr>
  </w:style>
  <w:style w:type="paragraph" w:customStyle="1" w:styleId="266">
    <w:name w:val="标号"/>
    <w:basedOn w:val="1"/>
    <w:qFormat/>
    <w:uiPriority w:val="0"/>
    <w:pPr>
      <w:widowControl/>
      <w:spacing w:line="360" w:lineRule="auto"/>
    </w:pPr>
    <w:rPr>
      <w:kern w:val="0"/>
      <w:sz w:val="24"/>
    </w:rPr>
  </w:style>
  <w:style w:type="paragraph" w:customStyle="1" w:styleId="267">
    <w:name w:val="KPMG body text"/>
    <w:basedOn w:val="1"/>
    <w:qFormat/>
    <w:uiPriority w:val="0"/>
    <w:pPr>
      <w:widowControl/>
      <w:spacing w:before="120" w:after="120" w:line="360" w:lineRule="auto"/>
      <w:ind w:left="720"/>
    </w:pPr>
    <w:rPr>
      <w:rFonts w:ascii="宋体" w:hAnsi="宋体"/>
      <w:kern w:val="0"/>
      <w:sz w:val="22"/>
      <w:szCs w:val="22"/>
    </w:rPr>
  </w:style>
  <w:style w:type="paragraph" w:customStyle="1" w:styleId="268">
    <w:name w:val="正文列4_1"/>
    <w:basedOn w:val="1"/>
    <w:qFormat/>
    <w:uiPriority w:val="0"/>
    <w:pPr>
      <w:widowControl/>
      <w:tabs>
        <w:tab w:val="left" w:pos="1080"/>
      </w:tabs>
      <w:snapToGrid w:val="0"/>
      <w:spacing w:line="360" w:lineRule="auto"/>
      <w:ind w:left="1080" w:hanging="420"/>
      <w:jc w:val="left"/>
    </w:pPr>
    <w:rPr>
      <w:rFonts w:ascii="宋体" w:hAnsi="宋体"/>
      <w:kern w:val="0"/>
      <w:sz w:val="24"/>
    </w:rPr>
  </w:style>
  <w:style w:type="paragraph" w:customStyle="1" w:styleId="269">
    <w:name w:val="封面"/>
    <w:basedOn w:val="1"/>
    <w:qFormat/>
    <w:uiPriority w:val="0"/>
    <w:pPr>
      <w:widowControl/>
      <w:spacing w:line="360" w:lineRule="atLeast"/>
      <w:jc w:val="right"/>
    </w:pPr>
    <w:rPr>
      <w:rFonts w:ascii="Arial" w:hAnsi="Arial"/>
      <w:kern w:val="0"/>
      <w:sz w:val="24"/>
    </w:rPr>
  </w:style>
  <w:style w:type="paragraph" w:customStyle="1" w:styleId="270">
    <w:name w:val="解释字体"/>
    <w:basedOn w:val="1"/>
    <w:next w:val="1"/>
    <w:qFormat/>
    <w:uiPriority w:val="0"/>
    <w:pPr>
      <w:widowControl/>
      <w:spacing w:after="80"/>
      <w:jc w:val="left"/>
    </w:pPr>
    <w:rPr>
      <w:i/>
      <w:color w:val="0000FF"/>
      <w:kern w:val="0"/>
      <w:sz w:val="20"/>
      <w:szCs w:val="20"/>
    </w:rPr>
  </w:style>
  <w:style w:type="paragraph" w:customStyle="1" w:styleId="271">
    <w:name w:val="样式"/>
    <w:basedOn w:val="1"/>
    <w:qFormat/>
    <w:uiPriority w:val="0"/>
    <w:pPr>
      <w:widowControl/>
      <w:tabs>
        <w:tab w:val="left" w:pos="567"/>
        <w:tab w:val="left" w:pos="1260"/>
      </w:tabs>
      <w:snapToGrid w:val="0"/>
      <w:spacing w:line="460" w:lineRule="atLeast"/>
      <w:ind w:left="1260" w:hanging="420"/>
    </w:pPr>
    <w:rPr>
      <w:rFonts w:ascii="Arial" w:hAnsi="Arial"/>
      <w:spacing w:val="6"/>
      <w:kern w:val="0"/>
      <w:sz w:val="24"/>
    </w:rPr>
  </w:style>
  <w:style w:type="paragraph" w:customStyle="1" w:styleId="272">
    <w:name w:val="小标题"/>
    <w:basedOn w:val="1"/>
    <w:qFormat/>
    <w:uiPriority w:val="0"/>
    <w:pPr>
      <w:widowControl/>
      <w:jc w:val="left"/>
    </w:pPr>
    <w:rPr>
      <w:kern w:val="0"/>
      <w:szCs w:val="21"/>
    </w:rPr>
  </w:style>
  <w:style w:type="paragraph" w:customStyle="1" w:styleId="273">
    <w:name w:val="项"/>
    <w:basedOn w:val="1"/>
    <w:qFormat/>
    <w:uiPriority w:val="0"/>
    <w:pPr>
      <w:widowControl/>
      <w:spacing w:line="360" w:lineRule="auto"/>
    </w:pPr>
    <w:rPr>
      <w:kern w:val="0"/>
      <w:sz w:val="24"/>
    </w:rPr>
  </w:style>
  <w:style w:type="paragraph" w:customStyle="1" w:styleId="274">
    <w:name w:val="需求正文"/>
    <w:basedOn w:val="1"/>
    <w:qFormat/>
    <w:uiPriority w:val="0"/>
    <w:pPr>
      <w:widowControl/>
      <w:spacing w:line="400" w:lineRule="exact"/>
    </w:pPr>
    <w:rPr>
      <w:kern w:val="0"/>
      <w:szCs w:val="21"/>
    </w:rPr>
  </w:style>
  <w:style w:type="character" w:customStyle="1" w:styleId="275">
    <w:name w:val="f121"/>
    <w:qFormat/>
    <w:uiPriority w:val="0"/>
    <w:rPr>
      <w:rFonts w:ascii="宋体" w:hAnsi="宋体" w:eastAsia="宋体"/>
      <w:sz w:val="18"/>
      <w:szCs w:val="18"/>
      <w:lang w:val="en-US" w:eastAsia="zh-CN" w:bidi="ar-SA"/>
    </w:rPr>
  </w:style>
  <w:style w:type="paragraph" w:customStyle="1" w:styleId="276">
    <w:name w:val="编写说明"/>
    <w:basedOn w:val="21"/>
    <w:qFormat/>
    <w:uiPriority w:val="0"/>
    <w:pPr>
      <w:widowControl/>
      <w:autoSpaceDE/>
      <w:autoSpaceDN/>
      <w:adjustRightInd/>
      <w:spacing w:line="360" w:lineRule="auto"/>
      <w:ind w:firstLine="0"/>
      <w:jc w:val="both"/>
    </w:pPr>
    <w:rPr>
      <w:rFonts w:ascii="Times New Roman" w:eastAsia="宋体"/>
      <w:i/>
      <w:color w:val="3366FF"/>
      <w:sz w:val="24"/>
      <w:szCs w:val="24"/>
    </w:rPr>
  </w:style>
  <w:style w:type="paragraph" w:customStyle="1" w:styleId="277">
    <w:name w:val="Plain Text1"/>
    <w:basedOn w:val="1"/>
    <w:qFormat/>
    <w:uiPriority w:val="0"/>
    <w:pPr>
      <w:widowControl/>
      <w:autoSpaceDE w:val="0"/>
      <w:autoSpaceDN w:val="0"/>
      <w:spacing w:line="360" w:lineRule="auto"/>
    </w:pPr>
    <w:rPr>
      <w:rFonts w:hint="eastAsia" w:ascii="宋体" w:hAnsi="宋体"/>
      <w:kern w:val="0"/>
      <w:szCs w:val="21"/>
    </w:rPr>
  </w:style>
  <w:style w:type="paragraph" w:customStyle="1" w:styleId="278">
    <w:name w:val="样式 首行缩进:  0.74 厘米"/>
    <w:basedOn w:val="1"/>
    <w:qFormat/>
    <w:uiPriority w:val="0"/>
    <w:pPr>
      <w:widowControl/>
      <w:spacing w:line="360" w:lineRule="auto"/>
    </w:pPr>
    <w:rPr>
      <w:kern w:val="0"/>
      <w:sz w:val="24"/>
    </w:rPr>
  </w:style>
  <w:style w:type="paragraph" w:customStyle="1" w:styleId="279">
    <w:name w:val="样式1"/>
    <w:basedOn w:val="1"/>
    <w:qFormat/>
    <w:uiPriority w:val="0"/>
    <w:pPr>
      <w:widowControl/>
      <w:snapToGrid w:val="0"/>
      <w:spacing w:line="600" w:lineRule="atLeast"/>
    </w:pPr>
    <w:rPr>
      <w:rFonts w:ascii="仿宋_GB2312" w:eastAsia="仿宋_GB2312"/>
      <w:kern w:val="0"/>
      <w:sz w:val="32"/>
      <w:szCs w:val="32"/>
    </w:rPr>
  </w:style>
  <w:style w:type="paragraph" w:customStyle="1" w:styleId="280">
    <w:name w:val="CM360"/>
    <w:basedOn w:val="98"/>
    <w:next w:val="98"/>
    <w:qFormat/>
    <w:uiPriority w:val="0"/>
    <w:pPr>
      <w:widowControl/>
      <w:adjustRightInd/>
      <w:spacing w:after="368"/>
    </w:pPr>
    <w:rPr>
      <w:rFonts w:ascii=".." w:eastAsia=".."/>
      <w:color w:val="auto"/>
    </w:rPr>
  </w:style>
  <w:style w:type="paragraph" w:customStyle="1" w:styleId="281">
    <w:name w:val="CM46"/>
    <w:basedOn w:val="98"/>
    <w:next w:val="98"/>
    <w:qFormat/>
    <w:uiPriority w:val="0"/>
    <w:pPr>
      <w:widowControl/>
      <w:adjustRightInd/>
      <w:spacing w:line="468" w:lineRule="atLeast"/>
    </w:pPr>
    <w:rPr>
      <w:rFonts w:ascii=".." w:eastAsia=".."/>
      <w:color w:val="auto"/>
    </w:rPr>
  </w:style>
  <w:style w:type="paragraph" w:customStyle="1" w:styleId="282">
    <w:name w:val="CM1"/>
    <w:basedOn w:val="98"/>
    <w:next w:val="98"/>
    <w:qFormat/>
    <w:uiPriority w:val="0"/>
    <w:pPr>
      <w:widowControl/>
      <w:adjustRightInd/>
    </w:pPr>
    <w:rPr>
      <w:rFonts w:ascii=".." w:eastAsia=".."/>
      <w:color w:val="auto"/>
    </w:rPr>
  </w:style>
  <w:style w:type="paragraph" w:customStyle="1" w:styleId="283">
    <w:name w:val="CM355"/>
    <w:basedOn w:val="98"/>
    <w:next w:val="98"/>
    <w:qFormat/>
    <w:uiPriority w:val="0"/>
    <w:pPr>
      <w:widowControl/>
      <w:adjustRightInd/>
      <w:spacing w:after="190"/>
    </w:pPr>
    <w:rPr>
      <w:rFonts w:ascii=".." w:eastAsia=".."/>
      <w:color w:val="auto"/>
    </w:rPr>
  </w:style>
  <w:style w:type="paragraph" w:customStyle="1" w:styleId="284">
    <w:name w:val="CM354"/>
    <w:basedOn w:val="98"/>
    <w:next w:val="98"/>
    <w:qFormat/>
    <w:uiPriority w:val="0"/>
    <w:pPr>
      <w:widowControl/>
      <w:adjustRightInd/>
      <w:spacing w:after="293"/>
    </w:pPr>
    <w:rPr>
      <w:rFonts w:ascii=".." w:eastAsia=".."/>
      <w:color w:val="auto"/>
    </w:rPr>
  </w:style>
  <w:style w:type="paragraph" w:customStyle="1" w:styleId="285">
    <w:name w:val="CM40"/>
    <w:basedOn w:val="98"/>
    <w:next w:val="98"/>
    <w:qFormat/>
    <w:uiPriority w:val="0"/>
    <w:pPr>
      <w:widowControl/>
      <w:adjustRightInd/>
      <w:spacing w:line="468" w:lineRule="atLeast"/>
    </w:pPr>
    <w:rPr>
      <w:rFonts w:ascii=".." w:eastAsia=".."/>
      <w:color w:val="auto"/>
    </w:rPr>
  </w:style>
  <w:style w:type="paragraph" w:customStyle="1" w:styleId="286">
    <w:name w:val="CM373"/>
    <w:basedOn w:val="98"/>
    <w:next w:val="98"/>
    <w:qFormat/>
    <w:uiPriority w:val="0"/>
    <w:pPr>
      <w:widowControl/>
      <w:adjustRightInd/>
      <w:spacing w:after="673"/>
    </w:pPr>
    <w:rPr>
      <w:rFonts w:ascii=".." w:eastAsia=".."/>
      <w:color w:val="auto"/>
    </w:rPr>
  </w:style>
  <w:style w:type="paragraph" w:customStyle="1" w:styleId="287">
    <w:name w:val="CM82"/>
    <w:basedOn w:val="98"/>
    <w:next w:val="98"/>
    <w:qFormat/>
    <w:uiPriority w:val="0"/>
    <w:pPr>
      <w:widowControl/>
      <w:adjustRightInd/>
      <w:spacing w:line="468" w:lineRule="atLeast"/>
    </w:pPr>
    <w:rPr>
      <w:rFonts w:ascii=".." w:eastAsia=".."/>
      <w:color w:val="auto"/>
    </w:rPr>
  </w:style>
  <w:style w:type="paragraph" w:customStyle="1" w:styleId="288">
    <w:name w:val="样式 样式 宋体 行距: 1.5 倍行距 首行缩进:  2 字符 + 首行缩进:  2 字符"/>
    <w:basedOn w:val="1"/>
    <w:qFormat/>
    <w:uiPriority w:val="0"/>
    <w:pPr>
      <w:widowControl/>
      <w:spacing w:line="360" w:lineRule="auto"/>
      <w:ind w:firstLine="200"/>
    </w:pPr>
    <w:rPr>
      <w:rFonts w:ascii="宋体" w:hAnsi="宋体" w:cs="宋体"/>
      <w:kern w:val="0"/>
      <w:sz w:val="24"/>
    </w:rPr>
  </w:style>
  <w:style w:type="paragraph" w:customStyle="1" w:styleId="289">
    <w:name w:val="樣式5"/>
    <w:basedOn w:val="1"/>
    <w:qFormat/>
    <w:uiPriority w:val="0"/>
    <w:pPr>
      <w:widowControl/>
      <w:overflowPunct w:val="0"/>
      <w:autoSpaceDE w:val="0"/>
      <w:autoSpaceDN w:val="0"/>
      <w:spacing w:line="400" w:lineRule="exact"/>
      <w:ind w:left="450" w:leftChars="450"/>
      <w:jc w:val="left"/>
    </w:pPr>
    <w:rPr>
      <w:rFonts w:ascii="DFKai-SB" w:hAnsi="DFKai-SB" w:eastAsia="DFKai-SB"/>
      <w:kern w:val="0"/>
      <w:sz w:val="28"/>
      <w:szCs w:val="28"/>
      <w:lang w:eastAsia="zh-TW"/>
    </w:rPr>
  </w:style>
  <w:style w:type="paragraph" w:customStyle="1" w:styleId="290">
    <w:name w:val="项目符号"/>
    <w:basedOn w:val="1"/>
    <w:qFormat/>
    <w:uiPriority w:val="0"/>
    <w:pPr>
      <w:widowControl/>
      <w:tabs>
        <w:tab w:val="left" w:pos="1236"/>
      </w:tabs>
      <w:overflowPunct w:val="0"/>
      <w:autoSpaceDE w:val="0"/>
      <w:autoSpaceDN w:val="0"/>
      <w:spacing w:before="20" w:after="20" w:line="360" w:lineRule="auto"/>
      <w:ind w:left="1236" w:hanging="420"/>
    </w:pPr>
    <w:rPr>
      <w:rFonts w:ascii="Arial" w:hAnsi="Arial"/>
      <w:kern w:val="0"/>
      <w:sz w:val="24"/>
    </w:rPr>
  </w:style>
  <w:style w:type="paragraph" w:customStyle="1" w:styleId="291">
    <w:name w:val="A BLOCK PARA"/>
    <w:basedOn w:val="1"/>
    <w:qFormat/>
    <w:uiPriority w:val="0"/>
    <w:pPr>
      <w:widowControl/>
      <w:spacing w:after="100" w:afterAutospacing="1" w:line="240" w:lineRule="atLeast"/>
      <w:ind w:left="288"/>
      <w:jc w:val="left"/>
    </w:pPr>
    <w:rPr>
      <w:rFonts w:ascii="Book Antiqua" w:hAnsi="Book Antiqua"/>
      <w:color w:val="000000"/>
      <w:kern w:val="0"/>
      <w:sz w:val="22"/>
      <w:szCs w:val="22"/>
    </w:rPr>
  </w:style>
  <w:style w:type="paragraph" w:customStyle="1" w:styleId="292">
    <w:name w:val="样式 宋体 小四 首行缩进:  0.74 厘米 行距: 1.5 倍行距"/>
    <w:basedOn w:val="1"/>
    <w:qFormat/>
    <w:uiPriority w:val="0"/>
    <w:pPr>
      <w:widowControl/>
      <w:spacing w:line="360" w:lineRule="auto"/>
    </w:pPr>
    <w:rPr>
      <w:rFonts w:ascii="宋体" w:hAnsi="宋体" w:cs="宋体"/>
      <w:kern w:val="0"/>
      <w:szCs w:val="21"/>
    </w:rPr>
  </w:style>
  <w:style w:type="paragraph" w:customStyle="1" w:styleId="293">
    <w:name w:val="样式 宋体 小四 行距: 1.5 倍行距"/>
    <w:basedOn w:val="1"/>
    <w:qFormat/>
    <w:uiPriority w:val="0"/>
    <w:pPr>
      <w:widowControl/>
      <w:spacing w:line="360" w:lineRule="auto"/>
    </w:pPr>
    <w:rPr>
      <w:rFonts w:ascii="宋体" w:hAnsi="宋体" w:cs="宋体"/>
      <w:kern w:val="0"/>
      <w:szCs w:val="21"/>
    </w:rPr>
  </w:style>
  <w:style w:type="paragraph" w:customStyle="1" w:styleId="294">
    <w:name w:val="样式 宋体 小四 左侧:  0.74 厘米 行距: 1.5 倍行距"/>
    <w:basedOn w:val="1"/>
    <w:qFormat/>
    <w:uiPriority w:val="0"/>
    <w:pPr>
      <w:widowControl/>
      <w:spacing w:line="360" w:lineRule="auto"/>
      <w:ind w:left="420"/>
    </w:pPr>
    <w:rPr>
      <w:rFonts w:ascii="宋体" w:hAnsi="宋体" w:cs="宋体"/>
      <w:kern w:val="0"/>
      <w:szCs w:val="21"/>
    </w:rPr>
  </w:style>
  <w:style w:type="character" w:customStyle="1" w:styleId="295">
    <w:name w:val="样式 宋体 小四"/>
    <w:qFormat/>
    <w:uiPriority w:val="0"/>
    <w:rPr>
      <w:rFonts w:ascii="宋体" w:hAnsi="宋体" w:eastAsia="宋体"/>
      <w:sz w:val="21"/>
      <w:szCs w:val="21"/>
      <w:lang w:val="en-US" w:eastAsia="zh-CN" w:bidi="ar-SA"/>
    </w:rPr>
  </w:style>
  <w:style w:type="paragraph" w:customStyle="1" w:styleId="296">
    <w:name w:val="正文6"/>
    <w:basedOn w:val="1"/>
    <w:qFormat/>
    <w:uiPriority w:val="0"/>
    <w:pPr>
      <w:widowControl/>
      <w:numPr>
        <w:ilvl w:val="0"/>
        <w:numId w:val="13"/>
      </w:numPr>
      <w:spacing w:before="60" w:after="60" w:line="360" w:lineRule="auto"/>
      <w:ind w:left="1020" w:leftChars="1020" w:firstLine="0"/>
    </w:pPr>
    <w:rPr>
      <w:rFonts w:ascii="Tempus Sans ITC" w:hAnsi="Tempus Sans ITC"/>
      <w:kern w:val="0"/>
      <w:sz w:val="24"/>
    </w:rPr>
  </w:style>
  <w:style w:type="paragraph" w:customStyle="1" w:styleId="297">
    <w:name w:val="符号正文2"/>
    <w:basedOn w:val="1"/>
    <w:qFormat/>
    <w:uiPriority w:val="0"/>
    <w:pPr>
      <w:widowControl/>
      <w:numPr>
        <w:ilvl w:val="0"/>
        <w:numId w:val="14"/>
      </w:numPr>
      <w:ind w:firstLine="0"/>
    </w:pPr>
    <w:rPr>
      <w:kern w:val="0"/>
      <w:szCs w:val="21"/>
    </w:rPr>
  </w:style>
  <w:style w:type="paragraph" w:customStyle="1" w:styleId="298">
    <w:name w:val="编号2"/>
    <w:basedOn w:val="1"/>
    <w:qFormat/>
    <w:uiPriority w:val="0"/>
    <w:pPr>
      <w:widowControl/>
      <w:tabs>
        <w:tab w:val="left" w:pos="840"/>
        <w:tab w:val="left" w:pos="1259"/>
      </w:tabs>
      <w:spacing w:line="360" w:lineRule="auto"/>
      <w:ind w:left="1259" w:hanging="420"/>
    </w:pPr>
    <w:rPr>
      <w:rFonts w:ascii="宋体" w:hAnsi="宋体"/>
      <w:kern w:val="0"/>
      <w:sz w:val="24"/>
    </w:rPr>
  </w:style>
  <w:style w:type="paragraph" w:customStyle="1" w:styleId="299">
    <w:name w:val="命令行命令"/>
    <w:basedOn w:val="1"/>
    <w:qFormat/>
    <w:uiPriority w:val="0"/>
    <w:pPr>
      <w:widowControl/>
      <w:tabs>
        <w:tab w:val="left" w:pos="425"/>
      </w:tabs>
      <w:spacing w:line="360" w:lineRule="auto"/>
      <w:ind w:left="425" w:hanging="425"/>
    </w:pPr>
    <w:rPr>
      <w:b/>
      <w:color w:val="FF0000"/>
      <w:kern w:val="0"/>
      <w:sz w:val="24"/>
      <w:u w:val="single"/>
    </w:rPr>
  </w:style>
  <w:style w:type="paragraph" w:customStyle="1" w:styleId="300">
    <w:name w:val="图表"/>
    <w:basedOn w:val="265"/>
    <w:next w:val="21"/>
    <w:qFormat/>
    <w:uiPriority w:val="0"/>
    <w:pPr>
      <w:tabs>
        <w:tab w:val="left" w:pos="1008"/>
      </w:tabs>
      <w:spacing w:line="480" w:lineRule="atLeast"/>
      <w:ind w:left="420" w:hanging="132"/>
      <w:jc w:val="center"/>
    </w:pPr>
    <w:rPr>
      <w:rFonts w:ascii="隶书" w:hAnsi="Times New Roman" w:eastAsia="隶书"/>
      <w:sz w:val="21"/>
      <w:szCs w:val="21"/>
    </w:rPr>
  </w:style>
  <w:style w:type="paragraph" w:customStyle="1" w:styleId="301">
    <w:name w:val="内容"/>
    <w:basedOn w:val="1"/>
    <w:qFormat/>
    <w:uiPriority w:val="0"/>
    <w:pPr>
      <w:widowControl/>
      <w:snapToGrid w:val="0"/>
      <w:spacing w:before="60" w:after="40"/>
      <w:ind w:left="300" w:right="300"/>
    </w:pPr>
    <w:rPr>
      <w:rFonts w:eastAsia="楷体_GB2312"/>
      <w:kern w:val="0"/>
      <w:sz w:val="24"/>
    </w:rPr>
  </w:style>
  <w:style w:type="paragraph" w:customStyle="1" w:styleId="302">
    <w:name w:val="正文4"/>
    <w:basedOn w:val="1"/>
    <w:qFormat/>
    <w:uiPriority w:val="0"/>
    <w:pPr>
      <w:widowControl/>
      <w:tabs>
        <w:tab w:val="left" w:pos="520"/>
      </w:tabs>
      <w:spacing w:before="60" w:after="60" w:line="360" w:lineRule="auto"/>
      <w:ind w:left="520" w:hanging="420"/>
    </w:pPr>
    <w:rPr>
      <w:kern w:val="0"/>
      <w:sz w:val="24"/>
    </w:rPr>
  </w:style>
  <w:style w:type="paragraph" w:customStyle="1" w:styleId="303">
    <w:name w:val="atg bulleted list"/>
    <w:basedOn w:val="1"/>
    <w:qFormat/>
    <w:uiPriority w:val="0"/>
    <w:pPr>
      <w:widowControl/>
      <w:tabs>
        <w:tab w:val="left" w:pos="840"/>
      </w:tabs>
      <w:ind w:left="840" w:hanging="420"/>
      <w:jc w:val="left"/>
    </w:pPr>
    <w:rPr>
      <w:rFonts w:eastAsia="Times New Roman"/>
      <w:kern w:val="0"/>
      <w:sz w:val="20"/>
      <w:szCs w:val="20"/>
    </w:rPr>
  </w:style>
  <w:style w:type="paragraph" w:customStyle="1" w:styleId="304">
    <w:name w:val="规范正文"/>
    <w:basedOn w:val="1"/>
    <w:link w:val="465"/>
    <w:qFormat/>
    <w:uiPriority w:val="0"/>
    <w:pPr>
      <w:widowControl/>
      <w:spacing w:line="360" w:lineRule="auto"/>
      <w:ind w:left="480"/>
    </w:pPr>
    <w:rPr>
      <w:kern w:val="0"/>
      <w:sz w:val="24"/>
    </w:rPr>
  </w:style>
  <w:style w:type="paragraph" w:customStyle="1" w:styleId="305">
    <w:name w:val="Default Text"/>
    <w:basedOn w:val="1"/>
    <w:qFormat/>
    <w:uiPriority w:val="0"/>
    <w:pPr>
      <w:widowControl/>
      <w:overflowPunct w:val="0"/>
      <w:autoSpaceDE w:val="0"/>
      <w:autoSpaceDN w:val="0"/>
      <w:jc w:val="left"/>
    </w:pPr>
    <w:rPr>
      <w:kern w:val="0"/>
      <w:sz w:val="20"/>
      <w:szCs w:val="20"/>
      <w:lang w:val="en-GB"/>
    </w:rPr>
  </w:style>
  <w:style w:type="paragraph" w:customStyle="1" w:styleId="306">
    <w:name w:val="正文标号"/>
    <w:basedOn w:val="1"/>
    <w:qFormat/>
    <w:uiPriority w:val="0"/>
    <w:pPr>
      <w:widowControl/>
      <w:tabs>
        <w:tab w:val="left" w:pos="840"/>
      </w:tabs>
      <w:spacing w:after="180" w:line="309" w:lineRule="auto"/>
      <w:ind w:left="840" w:hanging="420"/>
    </w:pPr>
    <w:rPr>
      <w:kern w:val="0"/>
      <w:szCs w:val="21"/>
    </w:rPr>
  </w:style>
  <w:style w:type="paragraph" w:customStyle="1" w:styleId="307">
    <w:name w:val="文档正文 Char"/>
    <w:basedOn w:val="1"/>
    <w:qFormat/>
    <w:uiPriority w:val="0"/>
    <w:pPr>
      <w:widowControl/>
      <w:spacing w:line="500" w:lineRule="exact"/>
    </w:pPr>
    <w:rPr>
      <w:rFonts w:ascii="仿宋_GB2312" w:eastAsia="仿宋_GB2312"/>
      <w:kern w:val="0"/>
      <w:sz w:val="28"/>
      <w:szCs w:val="28"/>
    </w:rPr>
  </w:style>
  <w:style w:type="paragraph" w:customStyle="1" w:styleId="308">
    <w:name w:val="TableItem5"/>
    <w:basedOn w:val="1"/>
    <w:qFormat/>
    <w:uiPriority w:val="0"/>
    <w:pPr>
      <w:widowControl/>
      <w:spacing w:before="20" w:after="20" w:line="320" w:lineRule="atLeast"/>
      <w:jc w:val="left"/>
    </w:pPr>
    <w:rPr>
      <w:rFonts w:ascii="Arial" w:hAnsi="Arial"/>
      <w:kern w:val="0"/>
      <w:szCs w:val="21"/>
    </w:rPr>
  </w:style>
  <w:style w:type="paragraph" w:customStyle="1" w:styleId="309">
    <w:name w:val="突出"/>
    <w:qFormat/>
    <w:uiPriority w:val="0"/>
    <w:pPr>
      <w:spacing w:before="120" w:line="360" w:lineRule="auto"/>
      <w:jc w:val="center"/>
    </w:pPr>
    <w:rPr>
      <w:rFonts w:ascii="Times New Roman" w:hAnsi="Times New Roman" w:eastAsia="宋体" w:cs="Times New Roman"/>
      <w:sz w:val="24"/>
      <w:szCs w:val="24"/>
      <w:lang w:val="en-US" w:eastAsia="zh-CN" w:bidi="ar-SA"/>
    </w:rPr>
  </w:style>
  <w:style w:type="paragraph" w:customStyle="1" w:styleId="310">
    <w:name w:val="图注2"/>
    <w:basedOn w:val="1"/>
    <w:qFormat/>
    <w:uiPriority w:val="0"/>
    <w:pPr>
      <w:widowControl/>
      <w:spacing w:after="120"/>
      <w:jc w:val="center"/>
    </w:pPr>
    <w:rPr>
      <w:kern w:val="0"/>
      <w:szCs w:val="21"/>
    </w:rPr>
  </w:style>
  <w:style w:type="paragraph" w:customStyle="1" w:styleId="3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2">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color w:val="FF0000"/>
      <w:kern w:val="0"/>
      <w:szCs w:val="21"/>
    </w:rPr>
  </w:style>
  <w:style w:type="paragraph" w:customStyle="1" w:styleId="313">
    <w:name w:val="xl2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b/>
      <w:color w:val="000000"/>
      <w:kern w:val="0"/>
      <w:szCs w:val="21"/>
    </w:rPr>
  </w:style>
  <w:style w:type="paragraph" w:customStyle="1" w:styleId="314">
    <w:name w:val="xl2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kern w:val="0"/>
      <w:sz w:val="24"/>
    </w:rPr>
  </w:style>
  <w:style w:type="paragraph" w:customStyle="1" w:styleId="315">
    <w:name w:val="xl27"/>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1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17">
    <w:name w:val="xl29"/>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18">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19">
    <w:name w:val="xl31"/>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b/>
      <w:color w:val="000000"/>
      <w:kern w:val="0"/>
      <w:szCs w:val="21"/>
    </w:rPr>
  </w:style>
  <w:style w:type="paragraph" w:customStyle="1" w:styleId="320">
    <w:name w:val="xl32"/>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kern w:val="0"/>
      <w:sz w:val="24"/>
    </w:rPr>
  </w:style>
  <w:style w:type="paragraph" w:customStyle="1" w:styleId="321">
    <w:name w:val="xl3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color w:val="FF0000"/>
      <w:kern w:val="0"/>
      <w:sz w:val="24"/>
    </w:rPr>
  </w:style>
  <w:style w:type="paragraph" w:customStyle="1" w:styleId="322">
    <w:name w:val="xl34"/>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pPr>
    <w:rPr>
      <w:rFonts w:ascii="Arial Unicode MS" w:hAnsi="Arial Unicode MS"/>
      <w:b/>
      <w:kern w:val="0"/>
      <w:szCs w:val="21"/>
    </w:rPr>
  </w:style>
  <w:style w:type="paragraph" w:customStyle="1" w:styleId="323">
    <w:name w:val="xl3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pPr>
    <w:rPr>
      <w:rFonts w:ascii="Arial Unicode MS" w:hAnsi="Arial Unicode MS"/>
      <w:b/>
      <w:kern w:val="0"/>
      <w:szCs w:val="21"/>
    </w:rPr>
  </w:style>
  <w:style w:type="paragraph" w:customStyle="1" w:styleId="324">
    <w:name w:val="xl36"/>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25">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kern w:val="0"/>
      <w:szCs w:val="21"/>
    </w:rPr>
  </w:style>
  <w:style w:type="paragraph" w:customStyle="1" w:styleId="326">
    <w:name w:val="xl38"/>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27">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b/>
      <w:color w:val="000000"/>
      <w:kern w:val="0"/>
      <w:szCs w:val="21"/>
    </w:rPr>
  </w:style>
  <w:style w:type="paragraph" w:customStyle="1" w:styleId="328">
    <w:name w:val="font6"/>
    <w:basedOn w:val="1"/>
    <w:qFormat/>
    <w:uiPriority w:val="0"/>
    <w:pPr>
      <w:widowControl/>
      <w:spacing w:before="100" w:beforeAutospacing="1" w:after="100" w:afterAutospacing="1"/>
      <w:jc w:val="left"/>
    </w:pPr>
    <w:rPr>
      <w:rFonts w:hint="eastAsia" w:ascii="宋体" w:hAnsi="宋体"/>
      <w:b/>
      <w:color w:val="000000"/>
      <w:kern w:val="0"/>
      <w:szCs w:val="21"/>
    </w:rPr>
  </w:style>
  <w:style w:type="character" w:customStyle="1" w:styleId="329">
    <w:name w:val="表内文字"/>
    <w:qFormat/>
    <w:uiPriority w:val="0"/>
    <w:rPr>
      <w:rFonts w:ascii="宋体" w:hAnsi="宋体"/>
      <w:sz w:val="18"/>
      <w:szCs w:val="18"/>
    </w:rPr>
  </w:style>
  <w:style w:type="paragraph" w:customStyle="1" w:styleId="330">
    <w:name w:val="正文5"/>
    <w:basedOn w:val="1"/>
    <w:qFormat/>
    <w:uiPriority w:val="0"/>
    <w:pPr>
      <w:widowControl/>
      <w:numPr>
        <w:ilvl w:val="0"/>
        <w:numId w:val="15"/>
      </w:numPr>
      <w:spacing w:before="60" w:after="60" w:line="360" w:lineRule="auto"/>
      <w:ind w:left="920" w:leftChars="920" w:firstLine="0"/>
    </w:pPr>
    <w:rPr>
      <w:rFonts w:ascii="Tempus Sans ITC" w:hAnsi="Tempus Sans ITC"/>
      <w:kern w:val="0"/>
      <w:sz w:val="24"/>
    </w:rPr>
  </w:style>
  <w:style w:type="paragraph" w:customStyle="1" w:styleId="331">
    <w:name w:val="Char Char Char Char11"/>
    <w:basedOn w:val="1"/>
    <w:qFormat/>
    <w:uiPriority w:val="0"/>
    <w:pPr>
      <w:widowControl/>
      <w:jc w:val="left"/>
    </w:pPr>
    <w:rPr>
      <w:rFonts w:ascii="Tahoma" w:hAnsi="Tahoma"/>
      <w:kern w:val="0"/>
      <w:sz w:val="24"/>
    </w:rPr>
  </w:style>
  <w:style w:type="paragraph" w:customStyle="1" w:styleId="332">
    <w:name w:val="Char2 Char Char Char Char Char Char Char Char Char1 Char Char Char"/>
    <w:basedOn w:val="26"/>
    <w:qFormat/>
    <w:uiPriority w:val="0"/>
    <w:pPr>
      <w:widowControl/>
      <w:shd w:val="clear" w:color="000000" w:fill="000080"/>
    </w:pPr>
    <w:rPr>
      <w:rFonts w:ascii="Tahoma" w:hAnsi="Tahoma"/>
      <w:kern w:val="0"/>
      <w:sz w:val="24"/>
      <w:szCs w:val="24"/>
    </w:rPr>
  </w:style>
  <w:style w:type="paragraph" w:customStyle="1" w:styleId="333">
    <w:name w:val="目录"/>
    <w:basedOn w:val="1"/>
    <w:qFormat/>
    <w:uiPriority w:val="0"/>
    <w:pPr>
      <w:pageBreakBefore/>
      <w:widowControl/>
      <w:spacing w:before="600" w:after="360" w:line="360" w:lineRule="exact"/>
      <w:jc w:val="center"/>
      <w:outlineLvl w:val="0"/>
    </w:pPr>
    <w:rPr>
      <w:rFonts w:ascii="Garamond" w:hAnsi="Garamond" w:eastAsia="楷体_GB2312"/>
      <w:b/>
      <w:kern w:val="0"/>
      <w:sz w:val="48"/>
      <w:szCs w:val="48"/>
    </w:rPr>
  </w:style>
  <w:style w:type="paragraph" w:customStyle="1" w:styleId="334">
    <w:name w:val="关于本文档"/>
    <w:basedOn w:val="1"/>
    <w:qFormat/>
    <w:uiPriority w:val="0"/>
    <w:pPr>
      <w:widowControl/>
      <w:spacing w:before="600" w:after="400" w:line="520" w:lineRule="exact"/>
      <w:ind w:left="851" w:hanging="426"/>
      <w:jc w:val="center"/>
      <w:outlineLvl w:val="0"/>
    </w:pPr>
    <w:rPr>
      <w:rFonts w:ascii="Arial" w:hAnsi="Arial" w:eastAsia="楷体_GB2312"/>
      <w:b/>
      <w:kern w:val="0"/>
      <w:sz w:val="48"/>
      <w:szCs w:val="48"/>
    </w:rPr>
  </w:style>
  <w:style w:type="paragraph" w:customStyle="1" w:styleId="335">
    <w:name w:val="Char Char15"/>
    <w:basedOn w:val="26"/>
    <w:qFormat/>
    <w:uiPriority w:val="0"/>
    <w:pPr>
      <w:widowControl/>
      <w:shd w:val="clear" w:color="000000" w:fill="000080"/>
    </w:pPr>
    <w:rPr>
      <w:rFonts w:ascii="Tahoma" w:hAnsi="Tahoma"/>
      <w:kern w:val="0"/>
      <w:sz w:val="21"/>
      <w:szCs w:val="21"/>
    </w:rPr>
  </w:style>
  <w:style w:type="paragraph" w:customStyle="1" w:styleId="336">
    <w:name w:val="样式 正文缩进 + (中文) 仿宋_GB2312 小四 Char Char Char"/>
    <w:basedOn w:val="21"/>
    <w:semiHidden/>
    <w:qFormat/>
    <w:uiPriority w:val="0"/>
    <w:pPr>
      <w:widowControl/>
      <w:autoSpaceDE/>
      <w:autoSpaceDN/>
      <w:adjustRightInd/>
      <w:spacing w:line="360" w:lineRule="auto"/>
      <w:ind w:firstLine="480"/>
      <w:jc w:val="both"/>
    </w:pPr>
    <w:rPr>
      <w:rFonts w:ascii="宋体" w:hAnsi="宋体" w:eastAsia="宋体"/>
      <w:szCs w:val="28"/>
    </w:rPr>
  </w:style>
  <w:style w:type="paragraph" w:customStyle="1" w:styleId="337">
    <w:name w:val="默认段落字体 Para Char Char Char Char Char Char Char Char Char Char Char Char Char Char Char Char2 Char"/>
    <w:next w:val="1"/>
    <w:semiHidden/>
    <w:qFormat/>
    <w:uiPriority w:val="0"/>
    <w:pPr>
      <w:numPr>
        <w:ilvl w:val="7"/>
        <w:numId w:val="16"/>
      </w:numPr>
      <w:spacing w:before="240" w:after="240"/>
      <w:outlineLvl w:val="7"/>
    </w:pPr>
    <w:rPr>
      <w:rFonts w:ascii="Arial" w:hAnsi="Arial" w:eastAsia="黑体" w:cs="Arial"/>
      <w:sz w:val="21"/>
      <w:szCs w:val="21"/>
      <w:lang w:val="en-US" w:eastAsia="zh-CN" w:bidi="ar-SA"/>
    </w:rPr>
  </w:style>
  <w:style w:type="paragraph" w:customStyle="1" w:styleId="338">
    <w:name w:val="样式 样式 正文缩进表正文正文非缩进特点Alt+Xmr正文缩进正文对齐标题4ALT+Z段1正文不缩进四号缩进... + 段前: ..."/>
    <w:basedOn w:val="1"/>
    <w:semiHidden/>
    <w:qFormat/>
    <w:uiPriority w:val="0"/>
    <w:pPr>
      <w:widowControl/>
      <w:spacing w:line="360" w:lineRule="auto"/>
      <w:ind w:firstLine="200"/>
    </w:pPr>
    <w:rPr>
      <w:kern w:val="0"/>
      <w:sz w:val="28"/>
      <w:szCs w:val="28"/>
    </w:rPr>
  </w:style>
  <w:style w:type="paragraph" w:customStyle="1" w:styleId="339">
    <w:name w:val="默认段落字体 Para Char Char Char Char Char Char Char Char"/>
    <w:basedOn w:val="1"/>
    <w:semiHidden/>
    <w:qFormat/>
    <w:uiPriority w:val="0"/>
    <w:pPr>
      <w:widowControl/>
    </w:pPr>
    <w:rPr>
      <w:rFonts w:ascii="Tahoma" w:hAnsi="Tahoma"/>
      <w:kern w:val="0"/>
      <w:sz w:val="28"/>
      <w:szCs w:val="28"/>
    </w:rPr>
  </w:style>
  <w:style w:type="paragraph" w:customStyle="1" w:styleId="340">
    <w:name w:val="表格内容"/>
    <w:basedOn w:val="1"/>
    <w:qFormat/>
    <w:uiPriority w:val="0"/>
    <w:pPr>
      <w:widowControl/>
      <w:autoSpaceDE w:val="0"/>
      <w:autoSpaceDN w:val="0"/>
      <w:spacing w:before="60"/>
      <w:jc w:val="center"/>
    </w:pPr>
    <w:rPr>
      <w:rFonts w:eastAsia="仿宋_GB2312"/>
      <w:kern w:val="0"/>
      <w:sz w:val="28"/>
      <w:szCs w:val="28"/>
    </w:rPr>
  </w:style>
  <w:style w:type="paragraph" w:customStyle="1" w:styleId="341">
    <w:name w:val="5 Char Char Char Char"/>
    <w:basedOn w:val="26"/>
    <w:semiHidden/>
    <w:qFormat/>
    <w:uiPriority w:val="0"/>
    <w:pPr>
      <w:widowControl/>
      <w:shd w:val="clear" w:color="000000" w:fill="000080"/>
    </w:pPr>
    <w:rPr>
      <w:rFonts w:ascii="Tahoma" w:hAnsi="Tahoma"/>
      <w:kern w:val="0"/>
      <w:sz w:val="21"/>
      <w:szCs w:val="21"/>
    </w:rPr>
  </w:style>
  <w:style w:type="paragraph" w:customStyle="1" w:styleId="342">
    <w:name w:val="样式 小四 首行缩进:  0.74 厘米 行距: 1.5 倍行距"/>
    <w:basedOn w:val="1"/>
    <w:semiHidden/>
    <w:qFormat/>
    <w:uiPriority w:val="0"/>
    <w:pPr>
      <w:widowControl/>
      <w:spacing w:line="360" w:lineRule="auto"/>
    </w:pPr>
    <w:rPr>
      <w:rFonts w:cs="宋体"/>
      <w:kern w:val="0"/>
      <w:sz w:val="28"/>
      <w:szCs w:val="28"/>
    </w:rPr>
  </w:style>
  <w:style w:type="paragraph" w:customStyle="1" w:styleId="343">
    <w:name w:val="居中（自）"/>
    <w:basedOn w:val="1"/>
    <w:semiHidden/>
    <w:qFormat/>
    <w:uiPriority w:val="0"/>
    <w:pPr>
      <w:widowControl/>
      <w:snapToGrid w:val="0"/>
      <w:spacing w:line="360" w:lineRule="auto"/>
      <w:ind w:firstLine="200"/>
      <w:jc w:val="center"/>
    </w:pPr>
    <w:rPr>
      <w:rFonts w:ascii="宋体"/>
      <w:kern w:val="0"/>
      <w:sz w:val="28"/>
      <w:szCs w:val="28"/>
    </w:rPr>
  </w:style>
  <w:style w:type="paragraph" w:customStyle="1" w:styleId="344">
    <w:name w:val="Char21"/>
    <w:basedOn w:val="1"/>
    <w:qFormat/>
    <w:uiPriority w:val="0"/>
    <w:pPr>
      <w:widowControl/>
    </w:pPr>
    <w:rPr>
      <w:kern w:val="0"/>
      <w:szCs w:val="21"/>
    </w:rPr>
  </w:style>
  <w:style w:type="paragraph" w:customStyle="1" w:styleId="345">
    <w:name w:val="Char111"/>
    <w:basedOn w:val="1"/>
    <w:qFormat/>
    <w:uiPriority w:val="0"/>
    <w:pPr>
      <w:widowControl/>
      <w:spacing w:after="160" w:line="240" w:lineRule="exact"/>
      <w:jc w:val="left"/>
    </w:pPr>
    <w:rPr>
      <w:rFonts w:ascii="Verdana" w:hAnsi="Verdana" w:eastAsia="仿宋_GB2312"/>
      <w:color w:val="000000"/>
      <w:kern w:val="0"/>
      <w:sz w:val="28"/>
      <w:szCs w:val="28"/>
      <w:lang w:eastAsia="en-US"/>
    </w:rPr>
  </w:style>
  <w:style w:type="paragraph" w:customStyle="1" w:styleId="346">
    <w:name w:val="Char Char Char Char Char Char Char Char Char Char Char Char Char Char Char Char Char Char Char Char Char"/>
    <w:basedOn w:val="1"/>
    <w:semiHidden/>
    <w:qFormat/>
    <w:uiPriority w:val="0"/>
    <w:pPr>
      <w:widowControl/>
    </w:pPr>
    <w:rPr>
      <w:kern w:val="0"/>
      <w:szCs w:val="21"/>
    </w:rPr>
  </w:style>
  <w:style w:type="paragraph" w:customStyle="1" w:styleId="347">
    <w:name w:val="B4"/>
    <w:basedOn w:val="1"/>
    <w:semiHidden/>
    <w:qFormat/>
    <w:uiPriority w:val="0"/>
    <w:pPr>
      <w:widowControl/>
      <w:spacing w:after="120"/>
      <w:ind w:left="1872"/>
      <w:jc w:val="left"/>
    </w:pPr>
    <w:rPr>
      <w:kern w:val="0"/>
      <w:sz w:val="22"/>
      <w:szCs w:val="22"/>
      <w:lang w:eastAsia="en-US"/>
    </w:rPr>
  </w:style>
  <w:style w:type="paragraph" w:customStyle="1" w:styleId="348">
    <w:name w:val="正文7"/>
    <w:basedOn w:val="1"/>
    <w:semiHidden/>
    <w:qFormat/>
    <w:uiPriority w:val="0"/>
    <w:pPr>
      <w:widowControl/>
      <w:numPr>
        <w:ilvl w:val="0"/>
        <w:numId w:val="17"/>
      </w:numPr>
      <w:tabs>
        <w:tab w:val="left" w:pos="720"/>
      </w:tabs>
      <w:spacing w:before="60" w:after="60" w:line="360" w:lineRule="auto"/>
      <w:ind w:left="0" w:firstLine="0"/>
    </w:pPr>
    <w:rPr>
      <w:kern w:val="0"/>
      <w:sz w:val="28"/>
      <w:szCs w:val="28"/>
    </w:rPr>
  </w:style>
  <w:style w:type="paragraph" w:customStyle="1" w:styleId="349">
    <w:name w:val="倪志刚项目单级编号"/>
    <w:basedOn w:val="265"/>
    <w:semiHidden/>
    <w:qFormat/>
    <w:uiPriority w:val="0"/>
    <w:pPr>
      <w:spacing w:before="120" w:after="120"/>
      <w:jc w:val="center"/>
    </w:pPr>
    <w:rPr>
      <w:rFonts w:ascii="宋体" w:hAnsi="宋体"/>
      <w:sz w:val="22"/>
      <w:szCs w:val="22"/>
    </w:rPr>
  </w:style>
  <w:style w:type="paragraph" w:customStyle="1" w:styleId="350">
    <w:name w:val="xl6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kern w:val="0"/>
      <w:sz w:val="28"/>
      <w:szCs w:val="28"/>
    </w:rPr>
  </w:style>
  <w:style w:type="character" w:customStyle="1" w:styleId="351">
    <w:name w:val="段 Char Char"/>
    <w:link w:val="199"/>
    <w:qFormat/>
    <w:uiPriority w:val="0"/>
    <w:rPr>
      <w:rFonts w:ascii="宋体"/>
      <w:sz w:val="21"/>
      <w:szCs w:val="21"/>
    </w:rPr>
  </w:style>
  <w:style w:type="paragraph" w:customStyle="1" w:styleId="352">
    <w:name w:val="默认段落字体 Para Char Char Char Char Char Char Char Char Char Char Char Char Char"/>
    <w:basedOn w:val="26"/>
    <w:semiHidden/>
    <w:qFormat/>
    <w:uiPriority w:val="0"/>
    <w:pPr>
      <w:widowControl/>
      <w:shd w:val="clear" w:color="000000" w:fill="000080"/>
      <w:jc w:val="left"/>
    </w:pPr>
    <w:rPr>
      <w:rFonts w:ascii="Tahoma" w:hAnsi="Tahoma"/>
      <w:kern w:val="0"/>
      <w:sz w:val="21"/>
      <w:szCs w:val="21"/>
    </w:rPr>
  </w:style>
  <w:style w:type="paragraph" w:customStyle="1" w:styleId="353">
    <w:name w:val="MM Topic 1"/>
    <w:basedOn w:val="3"/>
    <w:qFormat/>
    <w:uiPriority w:val="0"/>
    <w:pPr>
      <w:keepNext w:val="0"/>
      <w:keepLines w:val="0"/>
      <w:pageBreakBefore/>
      <w:widowControl/>
      <w:jc w:val="left"/>
    </w:pPr>
    <w:rPr>
      <w:rFonts w:ascii="Calibri" w:hAnsi="Calibri"/>
      <w:bCs w:val="0"/>
      <w:kern w:val="0"/>
    </w:rPr>
  </w:style>
  <w:style w:type="paragraph" w:customStyle="1" w:styleId="354">
    <w:name w:val="MM Topic 2"/>
    <w:basedOn w:val="4"/>
    <w:link w:val="355"/>
    <w:qFormat/>
    <w:uiPriority w:val="0"/>
    <w:pPr>
      <w:keepNext w:val="0"/>
      <w:keepLines w:val="0"/>
      <w:widowControl/>
      <w:tabs>
        <w:tab w:val="left" w:pos="0"/>
      </w:tabs>
      <w:spacing w:line="415" w:lineRule="auto"/>
      <w:ind w:left="210" w:firstLine="20"/>
      <w:jc w:val="left"/>
    </w:pPr>
    <w:rPr>
      <w:rFonts w:ascii="Cambria" w:hAnsi="Cambria" w:eastAsia="宋体"/>
      <w:bCs w:val="0"/>
      <w:kern w:val="0"/>
    </w:rPr>
  </w:style>
  <w:style w:type="character" w:customStyle="1" w:styleId="355">
    <w:name w:val="MM Topic 2 Char"/>
    <w:link w:val="354"/>
    <w:qFormat/>
    <w:uiPriority w:val="0"/>
    <w:rPr>
      <w:rFonts w:ascii="Cambria" w:hAnsi="Cambria"/>
      <w:b/>
      <w:sz w:val="32"/>
      <w:szCs w:val="32"/>
    </w:rPr>
  </w:style>
  <w:style w:type="paragraph" w:customStyle="1" w:styleId="356">
    <w:name w:val="MM Topic 3"/>
    <w:basedOn w:val="5"/>
    <w:link w:val="357"/>
    <w:qFormat/>
    <w:uiPriority w:val="0"/>
    <w:pPr>
      <w:keepNext w:val="0"/>
      <w:keepLines w:val="0"/>
      <w:widowControl/>
      <w:autoSpaceDE/>
      <w:autoSpaceDN/>
      <w:adjustRightInd/>
      <w:spacing w:before="260" w:after="260" w:line="415" w:lineRule="auto"/>
    </w:pPr>
    <w:rPr>
      <w:rFonts w:ascii="Calibri" w:hAnsi="Calibri" w:eastAsia="宋体"/>
      <w:b/>
      <w:sz w:val="32"/>
      <w:szCs w:val="32"/>
    </w:rPr>
  </w:style>
  <w:style w:type="character" w:customStyle="1" w:styleId="357">
    <w:name w:val="MM Topic 3 Char"/>
    <w:link w:val="356"/>
    <w:qFormat/>
    <w:uiPriority w:val="0"/>
    <w:rPr>
      <w:rFonts w:ascii="Calibri" w:hAnsi="Calibri"/>
      <w:b/>
      <w:sz w:val="32"/>
      <w:szCs w:val="32"/>
    </w:rPr>
  </w:style>
  <w:style w:type="paragraph" w:customStyle="1" w:styleId="358">
    <w:name w:val="MM Topic 4"/>
    <w:basedOn w:val="6"/>
    <w:link w:val="361"/>
    <w:qFormat/>
    <w:uiPriority w:val="0"/>
    <w:pPr>
      <w:keepNext w:val="0"/>
      <w:widowControl/>
      <w:spacing w:before="280" w:after="290" w:line="376" w:lineRule="auto"/>
    </w:pPr>
    <w:rPr>
      <w:rFonts w:ascii="Cambria" w:hAnsi="Cambria"/>
      <w:b/>
      <w:kern w:val="0"/>
      <w:sz w:val="24"/>
      <w:szCs w:val="24"/>
    </w:rPr>
  </w:style>
  <w:style w:type="paragraph" w:customStyle="1" w:styleId="359">
    <w:name w:val="MM Topic 6"/>
    <w:basedOn w:val="8"/>
    <w:link w:val="648"/>
    <w:semiHidden/>
    <w:qFormat/>
    <w:uiPriority w:val="0"/>
    <w:pPr>
      <w:keepNext w:val="0"/>
      <w:keepLines w:val="0"/>
      <w:widowControl/>
      <w:tabs>
        <w:tab w:val="left" w:pos="748"/>
      </w:tabs>
      <w:spacing w:line="319" w:lineRule="auto"/>
      <w:ind w:left="748" w:hanging="374"/>
    </w:pPr>
    <w:rPr>
      <w:rFonts w:ascii="Cambria" w:hAnsi="Cambria" w:eastAsia="宋体"/>
      <w:b w:val="0"/>
      <w:bCs w:val="0"/>
      <w:kern w:val="0"/>
    </w:rPr>
  </w:style>
  <w:style w:type="paragraph" w:customStyle="1" w:styleId="360">
    <w:name w:val="Heading"/>
    <w:basedOn w:val="1"/>
    <w:next w:val="34"/>
    <w:semiHidden/>
    <w:qFormat/>
    <w:uiPriority w:val="0"/>
    <w:pPr>
      <w:widowControl/>
      <w:jc w:val="left"/>
    </w:pPr>
    <w:rPr>
      <w:b/>
      <w:kern w:val="0"/>
      <w:sz w:val="28"/>
      <w:szCs w:val="28"/>
      <w:lang w:eastAsia="en-US"/>
    </w:rPr>
  </w:style>
  <w:style w:type="character" w:customStyle="1" w:styleId="361">
    <w:name w:val="MM Topic 4 Char"/>
    <w:link w:val="358"/>
    <w:qFormat/>
    <w:uiPriority w:val="0"/>
    <w:rPr>
      <w:rFonts w:ascii="Cambria" w:hAnsi="Cambria"/>
      <w:b/>
      <w:sz w:val="24"/>
      <w:szCs w:val="24"/>
    </w:rPr>
  </w:style>
  <w:style w:type="paragraph" w:customStyle="1" w:styleId="362">
    <w:name w:val="MM Topic 5"/>
    <w:basedOn w:val="7"/>
    <w:semiHidden/>
    <w:qFormat/>
    <w:uiPriority w:val="0"/>
    <w:pPr>
      <w:keepNext w:val="0"/>
      <w:keepLines w:val="0"/>
      <w:widowControl/>
      <w:tabs>
        <w:tab w:val="left" w:pos="748"/>
      </w:tabs>
      <w:spacing w:after="120"/>
      <w:ind w:left="748" w:hanging="374"/>
    </w:pPr>
    <w:rPr>
      <w:rFonts w:ascii="Calibri" w:hAnsi="Calibri"/>
      <w:b w:val="0"/>
      <w:bCs w:val="0"/>
      <w:kern w:val="0"/>
      <w:sz w:val="24"/>
      <w:szCs w:val="24"/>
    </w:rPr>
  </w:style>
  <w:style w:type="paragraph" w:customStyle="1" w:styleId="363">
    <w:name w:val="MM Topic 7"/>
    <w:basedOn w:val="9"/>
    <w:semiHidden/>
    <w:qFormat/>
    <w:uiPriority w:val="0"/>
    <w:pPr>
      <w:keepNext w:val="0"/>
      <w:keepLines w:val="0"/>
      <w:widowControl/>
      <w:tabs>
        <w:tab w:val="left" w:pos="748"/>
      </w:tabs>
      <w:spacing w:line="319" w:lineRule="auto"/>
      <w:ind w:left="748" w:hanging="374"/>
    </w:pPr>
    <w:rPr>
      <w:rFonts w:ascii="Calibri" w:hAnsi="Calibri"/>
      <w:b w:val="0"/>
      <w:bCs w:val="0"/>
      <w:kern w:val="0"/>
    </w:rPr>
  </w:style>
  <w:style w:type="paragraph" w:customStyle="1" w:styleId="364">
    <w:name w:val="一级列表"/>
    <w:basedOn w:val="1"/>
    <w:semiHidden/>
    <w:qFormat/>
    <w:uiPriority w:val="0"/>
    <w:pPr>
      <w:widowControl/>
      <w:tabs>
        <w:tab w:val="left" w:pos="1554"/>
      </w:tabs>
      <w:spacing w:line="360" w:lineRule="auto"/>
      <w:ind w:left="1554"/>
    </w:pPr>
    <w:rPr>
      <w:kern w:val="0"/>
      <w:szCs w:val="21"/>
    </w:rPr>
  </w:style>
  <w:style w:type="paragraph" w:customStyle="1" w:styleId="365">
    <w:name w:val="二级列表"/>
    <w:basedOn w:val="1"/>
    <w:semiHidden/>
    <w:qFormat/>
    <w:uiPriority w:val="0"/>
    <w:pPr>
      <w:widowControl/>
      <w:tabs>
        <w:tab w:val="left" w:pos="780"/>
      </w:tabs>
      <w:spacing w:line="360" w:lineRule="auto"/>
      <w:ind w:left="672"/>
    </w:pPr>
    <w:rPr>
      <w:kern w:val="0"/>
      <w:szCs w:val="21"/>
    </w:rPr>
  </w:style>
  <w:style w:type="paragraph" w:customStyle="1" w:styleId="366">
    <w:name w:val="样式 标题 5dashdsdddash1ds1dd1dash2ds2dd2dash3ds3dd3das..."/>
    <w:basedOn w:val="7"/>
    <w:semiHidden/>
    <w:qFormat/>
    <w:uiPriority w:val="0"/>
    <w:pPr>
      <w:keepNext w:val="0"/>
      <w:keepLines w:val="0"/>
      <w:widowControl/>
      <w:tabs>
        <w:tab w:val="left" w:pos="992"/>
      </w:tabs>
      <w:spacing w:after="120" w:line="240" w:lineRule="auto"/>
      <w:ind w:left="992" w:hanging="992"/>
    </w:pPr>
    <w:rPr>
      <w:rFonts w:cs="宋体"/>
      <w:b w:val="0"/>
      <w:bCs w:val="0"/>
      <w:kern w:val="0"/>
      <w:sz w:val="21"/>
      <w:szCs w:val="21"/>
      <w:lang w:eastAsia="en-US"/>
    </w:rPr>
  </w:style>
  <w:style w:type="paragraph" w:customStyle="1" w:styleId="367">
    <w:name w:val="默认段落字体 Para Char Char Char Char Char Char Char"/>
    <w:basedOn w:val="1"/>
    <w:qFormat/>
    <w:uiPriority w:val="0"/>
    <w:pPr>
      <w:widowControl/>
    </w:pPr>
    <w:rPr>
      <w:rFonts w:ascii="Tahoma" w:hAnsi="Tahoma"/>
      <w:kern w:val="0"/>
      <w:sz w:val="28"/>
      <w:szCs w:val="28"/>
    </w:rPr>
  </w:style>
  <w:style w:type="paragraph" w:customStyle="1" w:styleId="368">
    <w:name w:val="TableStyle"/>
    <w:basedOn w:val="1"/>
    <w:semiHidden/>
    <w:qFormat/>
    <w:uiPriority w:val="0"/>
    <w:pPr>
      <w:widowControl/>
      <w:jc w:val="center"/>
    </w:pPr>
    <w:rPr>
      <w:kern w:val="0"/>
      <w:sz w:val="22"/>
      <w:szCs w:val="22"/>
      <w:lang w:eastAsia="en-US"/>
    </w:rPr>
  </w:style>
  <w:style w:type="paragraph" w:customStyle="1" w:styleId="369">
    <w:name w:val="Body-Main"/>
    <w:basedOn w:val="1"/>
    <w:semiHidden/>
    <w:qFormat/>
    <w:uiPriority w:val="0"/>
    <w:pPr>
      <w:widowControl/>
      <w:ind w:left="360"/>
    </w:pPr>
    <w:rPr>
      <w:kern w:val="0"/>
      <w:sz w:val="22"/>
      <w:szCs w:val="22"/>
    </w:rPr>
  </w:style>
  <w:style w:type="paragraph" w:customStyle="1" w:styleId="370">
    <w:name w:val="重庆_正文样式"/>
    <w:basedOn w:val="1"/>
    <w:link w:val="371"/>
    <w:semiHidden/>
    <w:qFormat/>
    <w:uiPriority w:val="0"/>
    <w:pPr>
      <w:widowControl/>
      <w:autoSpaceDE w:val="0"/>
      <w:autoSpaceDN w:val="0"/>
      <w:spacing w:line="360" w:lineRule="auto"/>
      <w:ind w:firstLine="192"/>
      <w:jc w:val="left"/>
    </w:pPr>
    <w:rPr>
      <w:kern w:val="0"/>
      <w:sz w:val="28"/>
      <w:szCs w:val="28"/>
    </w:rPr>
  </w:style>
  <w:style w:type="character" w:customStyle="1" w:styleId="371">
    <w:name w:val="重庆_正文样式 Char"/>
    <w:link w:val="370"/>
    <w:semiHidden/>
    <w:qFormat/>
    <w:uiPriority w:val="0"/>
    <w:rPr>
      <w:sz w:val="28"/>
      <w:szCs w:val="28"/>
    </w:rPr>
  </w:style>
  <w:style w:type="character" w:customStyle="1" w:styleId="372">
    <w:name w:val="附图居中 Char"/>
    <w:link w:val="208"/>
    <w:qFormat/>
    <w:uiPriority w:val="0"/>
    <w:rPr>
      <w:sz w:val="21"/>
      <w:szCs w:val="21"/>
    </w:rPr>
  </w:style>
  <w:style w:type="character" w:customStyle="1" w:styleId="373">
    <w:name w:val="附图标题（图编号居中） Char"/>
    <w:link w:val="207"/>
    <w:qFormat/>
    <w:uiPriority w:val="0"/>
    <w:rPr>
      <w:rFonts w:ascii="Arial" w:hAnsi="Arial"/>
    </w:rPr>
  </w:style>
  <w:style w:type="paragraph" w:customStyle="1" w:styleId="374">
    <w:name w:val="编写建议"/>
    <w:basedOn w:val="1"/>
    <w:qFormat/>
    <w:uiPriority w:val="0"/>
    <w:pPr>
      <w:widowControl/>
      <w:autoSpaceDE w:val="0"/>
      <w:autoSpaceDN w:val="0"/>
      <w:spacing w:after="200" w:line="360" w:lineRule="auto"/>
      <w:ind w:firstLine="420"/>
      <w:jc w:val="left"/>
    </w:pPr>
    <w:rPr>
      <w:rFonts w:ascii="宋体" w:hAnsi="Arial" w:cs="宋体"/>
      <w:i/>
      <w:color w:val="0000FF"/>
      <w:kern w:val="0"/>
      <w:sz w:val="22"/>
      <w:szCs w:val="22"/>
      <w:lang w:eastAsia="en-US" w:bidi="en-US"/>
    </w:rPr>
  </w:style>
  <w:style w:type="paragraph" w:customStyle="1" w:styleId="375">
    <w:name w:val="表头文字"/>
    <w:basedOn w:val="1"/>
    <w:link w:val="376"/>
    <w:qFormat/>
    <w:uiPriority w:val="0"/>
    <w:pPr>
      <w:widowControl/>
      <w:spacing w:before="40" w:after="40"/>
      <w:jc w:val="center"/>
    </w:pPr>
    <w:rPr>
      <w:rFonts w:ascii="Arial" w:hAnsi="Arial"/>
      <w:b/>
      <w:kern w:val="0"/>
      <w:sz w:val="18"/>
      <w:szCs w:val="18"/>
    </w:rPr>
  </w:style>
  <w:style w:type="character" w:customStyle="1" w:styleId="376">
    <w:name w:val="表头文字 Char"/>
    <w:link w:val="375"/>
    <w:qFormat/>
    <w:uiPriority w:val="0"/>
    <w:rPr>
      <w:rFonts w:ascii="Arial" w:hAnsi="Arial"/>
      <w:b/>
      <w:sz w:val="18"/>
      <w:szCs w:val="18"/>
    </w:rPr>
  </w:style>
  <w:style w:type="paragraph" w:customStyle="1" w:styleId="377">
    <w:name w:val="表格内文字"/>
    <w:basedOn w:val="1"/>
    <w:link w:val="558"/>
    <w:qFormat/>
    <w:uiPriority w:val="0"/>
    <w:pPr>
      <w:widowControl/>
      <w:spacing w:before="40" w:after="40"/>
    </w:pPr>
    <w:rPr>
      <w:rFonts w:ascii="Arial" w:hAnsi="Arial"/>
      <w:kern w:val="0"/>
      <w:sz w:val="18"/>
      <w:szCs w:val="18"/>
    </w:rPr>
  </w:style>
  <w:style w:type="character" w:customStyle="1" w:styleId="378">
    <w:name w:val="表格 Char"/>
    <w:link w:val="147"/>
    <w:qFormat/>
    <w:uiPriority w:val="0"/>
    <w:rPr>
      <w:rFonts w:ascii="华文细黑" w:hAnsi="华文细黑"/>
      <w:sz w:val="21"/>
    </w:rPr>
  </w:style>
  <w:style w:type="paragraph" w:customStyle="1" w:styleId="379">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0">
    <w:name w:val="xl6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1">
    <w:name w:val="xl6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2">
    <w:name w:val="xl6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3">
    <w:name w:val="xl69"/>
    <w:basedOn w:val="1"/>
    <w:qFormat/>
    <w:uiPriority w:val="0"/>
    <w:pPr>
      <w:widowControl/>
      <w:pBdr>
        <w:left w:val="single" w:color="000000" w:sz="4" w:space="0"/>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4">
    <w:name w:val="xl70"/>
    <w:basedOn w:val="1"/>
    <w:qFormat/>
    <w:uiPriority w:val="0"/>
    <w:pPr>
      <w:widowControl/>
      <w:pBdr>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5">
    <w:name w:val="xl71"/>
    <w:basedOn w:val="1"/>
    <w:qFormat/>
    <w:uiPriority w:val="0"/>
    <w:pPr>
      <w:widowControl/>
      <w:pBdr>
        <w:top w:val="single" w:color="000000" w:sz="4" w:space="0"/>
        <w:lef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6">
    <w:name w:val="xl72"/>
    <w:basedOn w:val="1"/>
    <w:qFormat/>
    <w:uiPriority w:val="0"/>
    <w:pPr>
      <w:widowControl/>
      <w:pBdr>
        <w:left w:val="single" w:color="000000" w:sz="4" w:space="0"/>
        <w:bottom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7">
    <w:name w:val="xl73"/>
    <w:basedOn w:val="1"/>
    <w:qFormat/>
    <w:uiPriority w:val="0"/>
    <w:pPr>
      <w:widowControl/>
      <w:pBdr>
        <w:lef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8">
    <w:name w:val="xl74"/>
    <w:basedOn w:val="1"/>
    <w:qFormat/>
    <w:uiPriority w:val="0"/>
    <w:pPr>
      <w:widowControl/>
      <w:pBdr>
        <w:top w:val="single" w:color="000000" w:sz="4" w:space="0"/>
        <w:left w:val="single" w:color="000000" w:sz="4" w:space="0"/>
        <w:righ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89">
    <w:name w:val="xl75"/>
    <w:basedOn w:val="1"/>
    <w:qFormat/>
    <w:uiPriority w:val="0"/>
    <w:pPr>
      <w:widowControl/>
      <w:pBdr>
        <w:left w:val="single" w:color="000000" w:sz="4" w:space="0"/>
        <w:bottom w:val="single" w:color="000000" w:sz="4" w:space="0"/>
        <w:right w:val="single" w:color="000000" w:sz="4" w:space="0"/>
      </w:pBdr>
      <w:shd w:val="clear" w:color="000000" w:fill="99CCFF"/>
      <w:spacing w:before="100" w:beforeAutospacing="1" w:after="100" w:afterAutospacing="1"/>
      <w:jc w:val="center"/>
    </w:pPr>
    <w:rPr>
      <w:rFonts w:ascii="微软雅黑" w:hAnsi="宋体" w:eastAsia="微软雅黑" w:cs="宋体"/>
      <w:b/>
      <w:color w:val="000000"/>
      <w:kern w:val="0"/>
      <w:sz w:val="18"/>
      <w:szCs w:val="18"/>
    </w:rPr>
  </w:style>
  <w:style w:type="paragraph" w:customStyle="1" w:styleId="39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FF"/>
      <w:kern w:val="0"/>
      <w:sz w:val="20"/>
      <w:szCs w:val="20"/>
    </w:rPr>
  </w:style>
  <w:style w:type="paragraph" w:customStyle="1" w:styleId="39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392">
    <w:name w:val="xl7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93">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4">
    <w:name w:val="xl8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5">
    <w:name w:val="xl8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96">
    <w:name w:val="xl8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7">
    <w:name w:val="xl83"/>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399">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0">
    <w:name w:val="xl8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1">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402">
    <w:name w:val="缺省文本:1"/>
    <w:basedOn w:val="1"/>
    <w:qFormat/>
    <w:uiPriority w:val="0"/>
    <w:pPr>
      <w:widowControl/>
      <w:autoSpaceDE w:val="0"/>
      <w:autoSpaceDN w:val="0"/>
      <w:spacing w:line="480" w:lineRule="exact"/>
      <w:jc w:val="left"/>
    </w:pPr>
    <w:rPr>
      <w:rFonts w:ascii="宋体"/>
      <w:kern w:val="0"/>
      <w:sz w:val="24"/>
    </w:rPr>
  </w:style>
  <w:style w:type="paragraph" w:customStyle="1" w:styleId="403">
    <w:name w:val="段 Char Char Char"/>
    <w:basedOn w:val="1"/>
    <w:qFormat/>
    <w:uiPriority w:val="0"/>
    <w:pPr>
      <w:widowControl/>
      <w:spacing w:before="4" w:after="4" w:line="360" w:lineRule="auto"/>
      <w:ind w:firstLine="640"/>
      <w:jc w:val="left"/>
    </w:pPr>
    <w:rPr>
      <w:rFonts w:ascii="宋体" w:hAnsi="宋体"/>
      <w:kern w:val="0"/>
      <w:sz w:val="22"/>
      <w:szCs w:val="22"/>
    </w:rPr>
  </w:style>
  <w:style w:type="character" w:customStyle="1" w:styleId="404">
    <w:name w:val="正文 Char"/>
    <w:qFormat/>
    <w:uiPriority w:val="0"/>
    <w:rPr>
      <w:rFonts w:ascii="宋体" w:hAnsi="宋体" w:eastAsia="宋体"/>
      <w:sz w:val="28"/>
      <w:szCs w:val="28"/>
      <w:lang w:val="en-US" w:eastAsia="zh-CN" w:bidi="ar-SA"/>
    </w:rPr>
  </w:style>
  <w:style w:type="paragraph" w:customStyle="1" w:styleId="405">
    <w:name w:val="标题1"/>
    <w:basedOn w:val="3"/>
    <w:link w:val="415"/>
    <w:qFormat/>
    <w:uiPriority w:val="0"/>
    <w:pPr>
      <w:keepNext w:val="0"/>
      <w:keepLines w:val="0"/>
      <w:pageBreakBefore/>
      <w:widowControl/>
      <w:numPr>
        <w:ilvl w:val="0"/>
        <w:numId w:val="18"/>
      </w:numPr>
      <w:spacing w:line="360" w:lineRule="auto"/>
      <w:ind w:left="0" w:firstLine="0"/>
    </w:pPr>
    <w:rPr>
      <w:rFonts w:eastAsia="黑体"/>
      <w:b w:val="0"/>
      <w:bCs w:val="0"/>
      <w:kern w:val="0"/>
      <w:sz w:val="30"/>
      <w:szCs w:val="30"/>
    </w:rPr>
  </w:style>
  <w:style w:type="paragraph" w:customStyle="1" w:styleId="406">
    <w:name w:val="2级标题"/>
    <w:basedOn w:val="1"/>
    <w:link w:val="413"/>
    <w:qFormat/>
    <w:uiPriority w:val="0"/>
    <w:pPr>
      <w:widowControl/>
      <w:numPr>
        <w:ilvl w:val="1"/>
        <w:numId w:val="18"/>
      </w:numPr>
      <w:spacing w:line="360" w:lineRule="auto"/>
      <w:ind w:firstLine="0"/>
      <w:outlineLvl w:val="1"/>
    </w:pPr>
    <w:rPr>
      <w:b/>
      <w:kern w:val="0"/>
      <w:sz w:val="28"/>
      <w:szCs w:val="28"/>
    </w:rPr>
  </w:style>
  <w:style w:type="paragraph" w:customStyle="1" w:styleId="407">
    <w:name w:val="3级标题"/>
    <w:basedOn w:val="11"/>
    <w:link w:val="409"/>
    <w:qFormat/>
    <w:uiPriority w:val="0"/>
    <w:pPr>
      <w:keepNext w:val="0"/>
      <w:keepLines w:val="0"/>
      <w:widowControl/>
      <w:spacing w:before="0" w:after="0" w:line="360" w:lineRule="auto"/>
      <w:outlineLvl w:val="2"/>
    </w:pPr>
    <w:rPr>
      <w:rFonts w:ascii="Times New Roman" w:hAnsi="Times New Roman" w:eastAsia="宋体"/>
      <w:kern w:val="0"/>
      <w:sz w:val="24"/>
      <w:szCs w:val="24"/>
    </w:rPr>
  </w:style>
  <w:style w:type="paragraph" w:customStyle="1" w:styleId="408">
    <w:name w:val="4级标题"/>
    <w:basedOn w:val="1"/>
    <w:link w:val="414"/>
    <w:qFormat/>
    <w:uiPriority w:val="0"/>
    <w:pPr>
      <w:widowControl/>
      <w:tabs>
        <w:tab w:val="left" w:pos="2128"/>
      </w:tabs>
      <w:spacing w:line="360" w:lineRule="auto"/>
      <w:ind w:left="2128" w:hanging="851"/>
      <w:jc w:val="left"/>
      <w:outlineLvl w:val="3"/>
    </w:pPr>
    <w:rPr>
      <w:rFonts w:eastAsia="Times New Roman"/>
      <w:b/>
      <w:kern w:val="0"/>
      <w:sz w:val="28"/>
      <w:szCs w:val="28"/>
    </w:rPr>
  </w:style>
  <w:style w:type="character" w:customStyle="1" w:styleId="409">
    <w:name w:val="3级标题 Char"/>
    <w:link w:val="407"/>
    <w:qFormat/>
    <w:uiPriority w:val="0"/>
    <w:rPr>
      <w:sz w:val="24"/>
      <w:szCs w:val="24"/>
    </w:rPr>
  </w:style>
  <w:style w:type="paragraph" w:customStyle="1" w:styleId="410">
    <w:name w:val="5级标题"/>
    <w:basedOn w:val="1"/>
    <w:link w:val="418"/>
    <w:qFormat/>
    <w:uiPriority w:val="0"/>
    <w:pPr>
      <w:widowControl/>
      <w:tabs>
        <w:tab w:val="left" w:pos="992"/>
      </w:tabs>
      <w:spacing w:line="360" w:lineRule="auto"/>
      <w:ind w:left="992" w:hanging="992"/>
      <w:jc w:val="left"/>
      <w:outlineLvl w:val="4"/>
    </w:pPr>
    <w:rPr>
      <w:rFonts w:eastAsia="Times New Roman"/>
      <w:b/>
      <w:kern w:val="0"/>
      <w:sz w:val="28"/>
      <w:szCs w:val="28"/>
    </w:rPr>
  </w:style>
  <w:style w:type="paragraph" w:customStyle="1" w:styleId="411">
    <w:name w:val="1级标题"/>
    <w:basedOn w:val="405"/>
    <w:link w:val="412"/>
    <w:qFormat/>
    <w:uiPriority w:val="0"/>
    <w:pPr>
      <w:ind w:left="425" w:hanging="425"/>
    </w:pPr>
    <w:rPr>
      <w:rFonts w:eastAsia="宋体"/>
      <w:b/>
    </w:rPr>
  </w:style>
  <w:style w:type="character" w:customStyle="1" w:styleId="412">
    <w:name w:val="1级标题 Char"/>
    <w:link w:val="411"/>
    <w:qFormat/>
    <w:uiPriority w:val="0"/>
    <w:rPr>
      <w:b/>
      <w:sz w:val="30"/>
      <w:szCs w:val="30"/>
    </w:rPr>
  </w:style>
  <w:style w:type="character" w:customStyle="1" w:styleId="413">
    <w:name w:val="2级标题 Char"/>
    <w:link w:val="406"/>
    <w:qFormat/>
    <w:uiPriority w:val="0"/>
    <w:rPr>
      <w:b/>
      <w:sz w:val="28"/>
      <w:szCs w:val="28"/>
    </w:rPr>
  </w:style>
  <w:style w:type="character" w:customStyle="1" w:styleId="414">
    <w:name w:val="4级标题 Char"/>
    <w:link w:val="408"/>
    <w:qFormat/>
    <w:uiPriority w:val="0"/>
    <w:rPr>
      <w:rFonts w:eastAsia="Times New Roman"/>
      <w:b/>
      <w:sz w:val="28"/>
      <w:szCs w:val="28"/>
    </w:rPr>
  </w:style>
  <w:style w:type="character" w:customStyle="1" w:styleId="415">
    <w:name w:val="标题1 Char"/>
    <w:link w:val="405"/>
    <w:qFormat/>
    <w:uiPriority w:val="0"/>
    <w:rPr>
      <w:rFonts w:eastAsia="黑体"/>
      <w:sz w:val="30"/>
      <w:szCs w:val="30"/>
    </w:rPr>
  </w:style>
  <w:style w:type="paragraph" w:customStyle="1" w:styleId="416">
    <w:name w:val="样式2"/>
    <w:basedOn w:val="406"/>
    <w:link w:val="417"/>
    <w:qFormat/>
    <w:uiPriority w:val="0"/>
    <w:pPr>
      <w:tabs>
        <w:tab w:val="left" w:pos="567"/>
      </w:tabs>
      <w:ind w:left="567" w:hanging="567"/>
    </w:pPr>
    <w:rPr>
      <w:rFonts w:eastAsia="Times New Roman"/>
    </w:rPr>
  </w:style>
  <w:style w:type="character" w:customStyle="1" w:styleId="417">
    <w:name w:val="样式2 Char"/>
    <w:link w:val="416"/>
    <w:qFormat/>
    <w:uiPriority w:val="0"/>
    <w:rPr>
      <w:rFonts w:eastAsia="Times New Roman"/>
      <w:b/>
      <w:sz w:val="28"/>
      <w:szCs w:val="28"/>
    </w:rPr>
  </w:style>
  <w:style w:type="character" w:customStyle="1" w:styleId="418">
    <w:name w:val="5级标题 Char"/>
    <w:link w:val="410"/>
    <w:qFormat/>
    <w:uiPriority w:val="0"/>
    <w:rPr>
      <w:rFonts w:eastAsia="Times New Roman"/>
      <w:b/>
      <w:sz w:val="28"/>
      <w:szCs w:val="28"/>
    </w:rPr>
  </w:style>
  <w:style w:type="character" w:customStyle="1" w:styleId="419">
    <w:name w:val="正文1 Char"/>
    <w:link w:val="143"/>
    <w:qFormat/>
    <w:uiPriority w:val="0"/>
    <w:rPr>
      <w:kern w:val="2"/>
      <w:sz w:val="21"/>
      <w:szCs w:val="24"/>
    </w:rPr>
  </w:style>
  <w:style w:type="paragraph" w:customStyle="1" w:styleId="420">
    <w:name w:val="样式 标题 4标题4.h4heading 4h41heading 41h42heading 42h411hea..."/>
    <w:basedOn w:val="6"/>
    <w:qFormat/>
    <w:uiPriority w:val="0"/>
    <w:pPr>
      <w:keepNext w:val="0"/>
      <w:widowControl/>
      <w:tabs>
        <w:tab w:val="left" w:pos="519"/>
      </w:tabs>
      <w:spacing w:before="280" w:after="290" w:line="360" w:lineRule="auto"/>
      <w:ind w:left="1421" w:hanging="2"/>
    </w:pPr>
    <w:rPr>
      <w:rFonts w:ascii="宋体" w:hAnsi="宋体" w:cs="宋体"/>
      <w:b/>
      <w:kern w:val="0"/>
      <w:sz w:val="24"/>
      <w:szCs w:val="24"/>
    </w:rPr>
  </w:style>
  <w:style w:type="character" w:customStyle="1" w:styleId="421">
    <w:name w:val="CL正文符号1 Char"/>
    <w:link w:val="422"/>
    <w:qFormat/>
    <w:uiPriority w:val="0"/>
    <w:rPr>
      <w:rFonts w:ascii="宋体"/>
      <w:sz w:val="28"/>
      <w:szCs w:val="28"/>
    </w:rPr>
  </w:style>
  <w:style w:type="paragraph" w:customStyle="1" w:styleId="422">
    <w:name w:val="CL正文符号1"/>
    <w:basedOn w:val="1"/>
    <w:link w:val="421"/>
    <w:qFormat/>
    <w:uiPriority w:val="0"/>
    <w:pPr>
      <w:widowControl/>
      <w:numPr>
        <w:ilvl w:val="0"/>
        <w:numId w:val="19"/>
      </w:numPr>
      <w:tabs>
        <w:tab w:val="left" w:pos="360"/>
        <w:tab w:val="clear" w:pos="987"/>
      </w:tabs>
      <w:spacing w:before="100" w:beforeAutospacing="1" w:after="100" w:afterAutospacing="1" w:line="360" w:lineRule="auto"/>
      <w:ind w:left="0" w:firstLine="0"/>
    </w:pPr>
    <w:rPr>
      <w:rFonts w:ascii="宋体"/>
      <w:kern w:val="0"/>
      <w:sz w:val="28"/>
      <w:szCs w:val="28"/>
    </w:rPr>
  </w:style>
  <w:style w:type="paragraph" w:customStyle="1" w:styleId="423">
    <w:name w:val="CL标准正文首行缩进2字"/>
    <w:basedOn w:val="1"/>
    <w:link w:val="424"/>
    <w:qFormat/>
    <w:uiPriority w:val="0"/>
    <w:pPr>
      <w:widowControl/>
      <w:ind w:firstLine="560"/>
    </w:pPr>
    <w:rPr>
      <w:kern w:val="0"/>
      <w:sz w:val="28"/>
      <w:szCs w:val="28"/>
    </w:rPr>
  </w:style>
  <w:style w:type="character" w:customStyle="1" w:styleId="424">
    <w:name w:val="CL标准正文首行缩进2字 Char"/>
    <w:link w:val="423"/>
    <w:qFormat/>
    <w:uiPriority w:val="0"/>
    <w:rPr>
      <w:sz w:val="28"/>
      <w:szCs w:val="28"/>
    </w:rPr>
  </w:style>
  <w:style w:type="paragraph" w:customStyle="1" w:styleId="425">
    <w:name w:val="正文首行缩进2字"/>
    <w:basedOn w:val="1"/>
    <w:link w:val="426"/>
    <w:qFormat/>
    <w:uiPriority w:val="0"/>
    <w:pPr>
      <w:widowControl/>
      <w:ind w:firstLine="560"/>
    </w:pPr>
    <w:rPr>
      <w:rFonts w:eastAsia="楷体_GB2312"/>
      <w:kern w:val="0"/>
      <w:sz w:val="28"/>
      <w:szCs w:val="28"/>
    </w:rPr>
  </w:style>
  <w:style w:type="character" w:customStyle="1" w:styleId="426">
    <w:name w:val="正文首行缩进2字 Char"/>
    <w:link w:val="425"/>
    <w:qFormat/>
    <w:uiPriority w:val="0"/>
    <w:rPr>
      <w:rFonts w:eastAsia="楷体_GB2312"/>
      <w:sz w:val="28"/>
      <w:szCs w:val="28"/>
    </w:rPr>
  </w:style>
  <w:style w:type="character" w:customStyle="1" w:styleId="427">
    <w:name w:val="题注 字符"/>
    <w:link w:val="22"/>
    <w:qFormat/>
    <w:uiPriority w:val="0"/>
    <w:rPr>
      <w:rFonts w:ascii="Cambria" w:hAnsi="Cambria" w:eastAsia="黑体"/>
      <w:kern w:val="2"/>
    </w:rPr>
  </w:style>
  <w:style w:type="character" w:customStyle="1" w:styleId="428">
    <w:name w:val="标题文字"/>
    <w:qFormat/>
    <w:uiPriority w:val="0"/>
    <w:rPr>
      <w:rFonts w:ascii="宋体" w:hAnsi="宋体" w:eastAsia="宋体"/>
      <w:b/>
      <w:sz w:val="22"/>
      <w:szCs w:val="22"/>
      <w:lang w:val="en-US" w:eastAsia="zh-CN" w:bidi="ar-SA"/>
    </w:rPr>
  </w:style>
  <w:style w:type="paragraph" w:customStyle="1" w:styleId="429">
    <w:name w:val="一级正文"/>
    <w:basedOn w:val="1"/>
    <w:qFormat/>
    <w:uiPriority w:val="0"/>
    <w:pPr>
      <w:widowControl/>
      <w:spacing w:before="240" w:after="120" w:line="360" w:lineRule="auto"/>
    </w:pPr>
    <w:rPr>
      <w:rFonts w:ascii="Verdana" w:hAnsi="Verdana"/>
      <w:kern w:val="0"/>
      <w:szCs w:val="21"/>
    </w:rPr>
  </w:style>
  <w:style w:type="paragraph" w:customStyle="1" w:styleId="430">
    <w:name w:val="Char Char2"/>
    <w:basedOn w:val="1"/>
    <w:qFormat/>
    <w:uiPriority w:val="0"/>
    <w:pPr>
      <w:widowControl/>
    </w:pPr>
    <w:rPr>
      <w:rFonts w:ascii="Tahoma" w:hAnsi="Tahoma"/>
      <w:kern w:val="0"/>
      <w:sz w:val="24"/>
    </w:rPr>
  </w:style>
  <w:style w:type="character" w:customStyle="1" w:styleId="431">
    <w:name w:val="font121"/>
    <w:qFormat/>
    <w:uiPriority w:val="0"/>
    <w:rPr>
      <w:rFonts w:ascii="宋体" w:hAnsi="宋体" w:eastAsia="宋体"/>
      <w:sz w:val="15"/>
      <w:szCs w:val="15"/>
      <w:lang w:val="en-US" w:eastAsia="zh-CN" w:bidi="ar-SA"/>
    </w:rPr>
  </w:style>
  <w:style w:type="paragraph" w:customStyle="1" w:styleId="432">
    <w:name w:val="sky 正文"/>
    <w:basedOn w:val="1"/>
    <w:link w:val="433"/>
    <w:qFormat/>
    <w:uiPriority w:val="0"/>
    <w:pPr>
      <w:widowControl/>
      <w:spacing w:line="300" w:lineRule="auto"/>
      <w:ind w:firstLine="200"/>
    </w:pPr>
    <w:rPr>
      <w:kern w:val="0"/>
      <w:szCs w:val="21"/>
    </w:rPr>
  </w:style>
  <w:style w:type="character" w:customStyle="1" w:styleId="433">
    <w:name w:val="sky 正文 Char"/>
    <w:link w:val="432"/>
    <w:qFormat/>
    <w:uiPriority w:val="0"/>
    <w:rPr>
      <w:sz w:val="21"/>
      <w:szCs w:val="21"/>
    </w:rPr>
  </w:style>
  <w:style w:type="paragraph" w:customStyle="1" w:styleId="434">
    <w:name w:val="样式 标题 1章标题H1PIM 1h11.123321Heading 0Level 1 Topic Headin..."/>
    <w:basedOn w:val="3"/>
    <w:qFormat/>
    <w:uiPriority w:val="0"/>
    <w:pPr>
      <w:keepNext w:val="0"/>
      <w:keepLines w:val="0"/>
      <w:pageBreakBefore/>
      <w:widowControl/>
      <w:numPr>
        <w:ilvl w:val="0"/>
        <w:numId w:val="20"/>
      </w:numPr>
      <w:tabs>
        <w:tab w:val="left" w:pos="420"/>
      </w:tabs>
      <w:spacing w:before="29" w:after="29" w:line="720" w:lineRule="auto"/>
      <w:ind w:left="420" w:hanging="420"/>
      <w:jc w:val="center"/>
    </w:pPr>
    <w:rPr>
      <w:bCs w:val="0"/>
      <w:kern w:val="0"/>
      <w:sz w:val="28"/>
      <w:szCs w:val="28"/>
    </w:rPr>
  </w:style>
  <w:style w:type="paragraph" w:customStyle="1" w:styleId="435">
    <w:name w:val="正文11"/>
    <w:basedOn w:val="143"/>
    <w:qFormat/>
    <w:uiPriority w:val="0"/>
    <w:pPr>
      <w:widowControl/>
      <w:spacing w:line="360" w:lineRule="auto"/>
      <w:ind w:firstLine="200"/>
    </w:pPr>
    <w:rPr>
      <w:kern w:val="0"/>
      <w:sz w:val="24"/>
    </w:rPr>
  </w:style>
  <w:style w:type="paragraph" w:customStyle="1" w:styleId="436">
    <w:name w:val="计费规范编写 正文"/>
    <w:basedOn w:val="1"/>
    <w:link w:val="437"/>
    <w:qFormat/>
    <w:uiPriority w:val="0"/>
    <w:pPr>
      <w:widowControl/>
      <w:spacing w:line="360" w:lineRule="auto"/>
      <w:ind w:left="1134"/>
    </w:pPr>
    <w:rPr>
      <w:kern w:val="0"/>
      <w:sz w:val="24"/>
    </w:rPr>
  </w:style>
  <w:style w:type="character" w:customStyle="1" w:styleId="437">
    <w:name w:val="计费规范编写 正文 Char"/>
    <w:link w:val="436"/>
    <w:qFormat/>
    <w:uiPriority w:val="0"/>
    <w:rPr>
      <w:sz w:val="24"/>
      <w:szCs w:val="24"/>
    </w:rPr>
  </w:style>
  <w:style w:type="paragraph" w:customStyle="1" w:styleId="438">
    <w:name w:val="Char Char21"/>
    <w:basedOn w:val="1"/>
    <w:qFormat/>
    <w:uiPriority w:val="0"/>
    <w:pPr>
      <w:widowControl/>
      <w:spacing w:line="360" w:lineRule="auto"/>
      <w:ind w:left="1134" w:hanging="1134"/>
    </w:pPr>
    <w:rPr>
      <w:rFonts w:ascii="Tahoma" w:hAnsi="Tahoma"/>
      <w:kern w:val="0"/>
      <w:sz w:val="24"/>
    </w:rPr>
  </w:style>
  <w:style w:type="character" w:customStyle="1" w:styleId="439">
    <w:name w:val="文档正文 Char Char"/>
    <w:link w:val="265"/>
    <w:qFormat/>
    <w:uiPriority w:val="0"/>
    <w:rPr>
      <w:rFonts w:ascii="Arial" w:hAnsi="Arial"/>
      <w:sz w:val="24"/>
      <w:szCs w:val="24"/>
    </w:rPr>
  </w:style>
  <w:style w:type="paragraph" w:customStyle="1" w:styleId="440">
    <w:name w:val="t4"/>
    <w:basedOn w:val="6"/>
    <w:next w:val="34"/>
    <w:qFormat/>
    <w:uiPriority w:val="0"/>
    <w:pPr>
      <w:keepNext w:val="0"/>
      <w:widowControl/>
      <w:numPr>
        <w:ilvl w:val="0"/>
        <w:numId w:val="21"/>
      </w:numPr>
      <w:tabs>
        <w:tab w:val="left" w:pos="2134"/>
      </w:tabs>
      <w:spacing w:before="120" w:line="360" w:lineRule="auto"/>
    </w:pPr>
    <w:rPr>
      <w:rFonts w:hAnsi="宋体"/>
      <w:b/>
      <w:kern w:val="0"/>
      <w:sz w:val="24"/>
      <w:szCs w:val="24"/>
    </w:rPr>
  </w:style>
  <w:style w:type="paragraph" w:customStyle="1" w:styleId="441">
    <w:name w:val="封面落款"/>
    <w:basedOn w:val="1"/>
    <w:qFormat/>
    <w:uiPriority w:val="0"/>
    <w:pPr>
      <w:widowControl/>
      <w:spacing w:line="300" w:lineRule="auto"/>
      <w:ind w:left="1134" w:hanging="1134"/>
      <w:jc w:val="center"/>
    </w:pPr>
    <w:rPr>
      <w:spacing w:val="10"/>
      <w:kern w:val="0"/>
      <w:sz w:val="30"/>
      <w:szCs w:val="30"/>
    </w:rPr>
  </w:style>
  <w:style w:type="paragraph" w:customStyle="1" w:styleId="442">
    <w:name w:val="表文字"/>
    <w:qFormat/>
    <w:uiPriority w:val="0"/>
    <w:pPr>
      <w:spacing w:line="360" w:lineRule="auto"/>
      <w:ind w:left="1134" w:hanging="1134"/>
      <w:jc w:val="both"/>
    </w:pPr>
    <w:rPr>
      <w:rFonts w:ascii="宋体" w:hAnsi="Times New Roman" w:eastAsia="宋体" w:cs="Times New Roman"/>
      <w:lang w:val="en-US" w:eastAsia="zh-CN" w:bidi="ar-SA"/>
    </w:rPr>
  </w:style>
  <w:style w:type="character" w:customStyle="1" w:styleId="443">
    <w:name w:val="headline-content2"/>
    <w:basedOn w:val="89"/>
    <w:qFormat/>
    <w:uiPriority w:val="0"/>
    <w:rPr>
      <w:rFonts w:ascii="宋体" w:hAnsi="宋体" w:eastAsia="宋体"/>
      <w:sz w:val="22"/>
      <w:szCs w:val="22"/>
      <w:lang w:val="en-US" w:eastAsia="zh-CN" w:bidi="ar-SA"/>
    </w:rPr>
  </w:style>
  <w:style w:type="paragraph" w:customStyle="1" w:styleId="444">
    <w:name w:val="样式3"/>
    <w:basedOn w:val="408"/>
    <w:link w:val="446"/>
    <w:qFormat/>
    <w:uiPriority w:val="0"/>
    <w:pPr>
      <w:numPr>
        <w:ilvl w:val="3"/>
        <w:numId w:val="18"/>
      </w:numPr>
      <w:tabs>
        <w:tab w:val="left" w:pos="709"/>
        <w:tab w:val="left" w:pos="851"/>
      </w:tabs>
      <w:ind w:left="851" w:hanging="851"/>
      <w:jc w:val="both"/>
    </w:pPr>
    <w:rPr>
      <w:rFonts w:eastAsia="宋体" w:cs="宋体"/>
    </w:rPr>
  </w:style>
  <w:style w:type="paragraph" w:customStyle="1" w:styleId="445">
    <w:name w:val="样式4"/>
    <w:basedOn w:val="444"/>
    <w:link w:val="448"/>
    <w:qFormat/>
    <w:uiPriority w:val="0"/>
  </w:style>
  <w:style w:type="character" w:customStyle="1" w:styleId="446">
    <w:name w:val="样式3 Char"/>
    <w:link w:val="444"/>
    <w:qFormat/>
    <w:uiPriority w:val="0"/>
    <w:rPr>
      <w:rFonts w:cs="宋体"/>
      <w:b/>
      <w:sz w:val="28"/>
      <w:szCs w:val="28"/>
    </w:rPr>
  </w:style>
  <w:style w:type="paragraph" w:customStyle="1" w:styleId="447">
    <w:name w:val="Char2"/>
    <w:basedOn w:val="26"/>
    <w:qFormat/>
    <w:uiPriority w:val="0"/>
    <w:pPr>
      <w:widowControl/>
      <w:shd w:val="clear" w:color="000000" w:fill="000080"/>
      <w:spacing w:line="360" w:lineRule="auto"/>
      <w:ind w:left="1400" w:leftChars="1400"/>
    </w:pPr>
    <w:rPr>
      <w:rFonts w:ascii="Times New Roman"/>
      <w:kern w:val="0"/>
      <w:sz w:val="21"/>
      <w:szCs w:val="21"/>
    </w:rPr>
  </w:style>
  <w:style w:type="character" w:customStyle="1" w:styleId="448">
    <w:name w:val="样式4 Char"/>
    <w:basedOn w:val="446"/>
    <w:link w:val="445"/>
    <w:qFormat/>
    <w:uiPriority w:val="0"/>
    <w:rPr>
      <w:rFonts w:cs="宋体"/>
      <w:sz w:val="28"/>
      <w:szCs w:val="28"/>
    </w:rPr>
  </w:style>
  <w:style w:type="paragraph" w:customStyle="1" w:styleId="449">
    <w:name w:val="Char Char Char Char Char1"/>
    <w:basedOn w:val="1"/>
    <w:semiHidden/>
    <w:qFormat/>
    <w:uiPriority w:val="0"/>
    <w:pPr>
      <w:widowControl/>
      <w:tabs>
        <w:tab w:val="left" w:pos="1200"/>
      </w:tabs>
      <w:spacing w:line="360" w:lineRule="auto"/>
      <w:ind w:left="1134" w:hanging="1134"/>
    </w:pPr>
    <w:rPr>
      <w:rFonts w:ascii="宋体" w:hAnsi="宋体"/>
      <w:kern w:val="0"/>
      <w:sz w:val="22"/>
      <w:szCs w:val="22"/>
    </w:rPr>
  </w:style>
  <w:style w:type="paragraph" w:customStyle="1" w:styleId="450">
    <w:name w:val="Char Char Char Char Char Char11"/>
    <w:basedOn w:val="26"/>
    <w:qFormat/>
    <w:uiPriority w:val="0"/>
    <w:pPr>
      <w:widowControl/>
      <w:shd w:val="clear" w:color="000000" w:fill="000080"/>
      <w:spacing w:line="360" w:lineRule="auto"/>
      <w:ind w:left="1400" w:leftChars="1400"/>
    </w:pPr>
    <w:rPr>
      <w:rFonts w:ascii="Times New Roman"/>
      <w:kern w:val="0"/>
      <w:sz w:val="21"/>
      <w:szCs w:val="21"/>
    </w:rPr>
  </w:style>
  <w:style w:type="paragraph" w:customStyle="1" w:styleId="451">
    <w:name w:val="Char Char Char Char Char Char Char311"/>
    <w:basedOn w:val="1"/>
    <w:semiHidden/>
    <w:qFormat/>
    <w:uiPriority w:val="0"/>
    <w:pPr>
      <w:widowControl/>
      <w:tabs>
        <w:tab w:val="left" w:pos="1200"/>
      </w:tabs>
      <w:spacing w:line="360" w:lineRule="auto"/>
      <w:ind w:left="1134" w:hanging="1134"/>
    </w:pPr>
    <w:rPr>
      <w:rFonts w:ascii="Tahoma" w:hAnsi="Tahoma"/>
      <w:kern w:val="0"/>
      <w:sz w:val="24"/>
    </w:rPr>
  </w:style>
  <w:style w:type="paragraph" w:customStyle="1" w:styleId="452">
    <w:name w:val="Char Char1 Char Char1 Char Char111"/>
    <w:basedOn w:val="1"/>
    <w:qFormat/>
    <w:uiPriority w:val="0"/>
    <w:pPr>
      <w:widowControl/>
      <w:tabs>
        <w:tab w:val="left" w:pos="1200"/>
      </w:tabs>
      <w:spacing w:line="360" w:lineRule="auto"/>
      <w:ind w:left="1134" w:hanging="1134"/>
    </w:pPr>
    <w:rPr>
      <w:rFonts w:ascii="Tahoma" w:hAnsi="Tahoma"/>
      <w:kern w:val="0"/>
      <w:sz w:val="24"/>
    </w:rPr>
  </w:style>
  <w:style w:type="paragraph" w:customStyle="1" w:styleId="453">
    <w:name w:val="Char1 Char Char Char Char Char Char Char Char Char Char Char Char Char Char Char11"/>
    <w:basedOn w:val="1"/>
    <w:semiHidden/>
    <w:qFormat/>
    <w:uiPriority w:val="0"/>
    <w:pPr>
      <w:widowControl/>
      <w:tabs>
        <w:tab w:val="left" w:pos="1200"/>
      </w:tabs>
      <w:spacing w:line="360" w:lineRule="auto"/>
      <w:ind w:left="1134" w:hanging="1134"/>
    </w:pPr>
    <w:rPr>
      <w:rFonts w:ascii="Tahoma" w:hAnsi="Tahoma"/>
      <w:kern w:val="0"/>
      <w:sz w:val="24"/>
    </w:rPr>
  </w:style>
  <w:style w:type="paragraph" w:customStyle="1" w:styleId="454">
    <w:name w:val="Char Char Char Char Char Char Char Char Char Char Char Char Char Char Char Char Char Char Char Char Char11"/>
    <w:basedOn w:val="1"/>
    <w:semiHidden/>
    <w:qFormat/>
    <w:uiPriority w:val="0"/>
    <w:pPr>
      <w:widowControl/>
      <w:tabs>
        <w:tab w:val="left" w:pos="1200"/>
      </w:tabs>
      <w:spacing w:line="360" w:lineRule="auto"/>
      <w:ind w:left="1134" w:hanging="1134"/>
    </w:pPr>
    <w:rPr>
      <w:kern w:val="0"/>
      <w:szCs w:val="21"/>
    </w:rPr>
  </w:style>
  <w:style w:type="paragraph" w:customStyle="1" w:styleId="455">
    <w:name w:val="大圆点标题"/>
    <w:basedOn w:val="24"/>
    <w:qFormat/>
    <w:uiPriority w:val="0"/>
    <w:pPr>
      <w:numPr>
        <w:ilvl w:val="0"/>
        <w:numId w:val="22"/>
      </w:numPr>
      <w:tabs>
        <w:tab w:val="left" w:pos="1200"/>
      </w:tabs>
      <w:spacing w:before="72" w:line="300" w:lineRule="auto"/>
      <w:ind w:firstLine="0"/>
    </w:pPr>
    <w:rPr>
      <w:rFonts w:ascii="Arial" w:hAnsi="Arial" w:cs="Arial"/>
      <w:b/>
      <w:sz w:val="24"/>
      <w:szCs w:val="24"/>
    </w:rPr>
  </w:style>
  <w:style w:type="paragraph" w:customStyle="1" w:styleId="456">
    <w:name w:val="正文缩进(ALT+Z)"/>
    <w:basedOn w:val="1"/>
    <w:link w:val="457"/>
    <w:qFormat/>
    <w:uiPriority w:val="0"/>
    <w:pPr>
      <w:widowControl/>
      <w:tabs>
        <w:tab w:val="left" w:pos="1200"/>
      </w:tabs>
      <w:spacing w:line="360" w:lineRule="auto"/>
      <w:ind w:left="1134" w:firstLine="200"/>
    </w:pPr>
    <w:rPr>
      <w:kern w:val="0"/>
      <w:sz w:val="24"/>
    </w:rPr>
  </w:style>
  <w:style w:type="character" w:customStyle="1" w:styleId="457">
    <w:name w:val="正文缩进(ALT+Z) Char"/>
    <w:link w:val="456"/>
    <w:qFormat/>
    <w:uiPriority w:val="0"/>
    <w:rPr>
      <w:sz w:val="24"/>
      <w:szCs w:val="24"/>
    </w:rPr>
  </w:style>
  <w:style w:type="paragraph" w:customStyle="1" w:styleId="458">
    <w:name w:val="三级条标题"/>
    <w:basedOn w:val="1"/>
    <w:next w:val="1"/>
    <w:qFormat/>
    <w:uiPriority w:val="0"/>
    <w:pPr>
      <w:widowControl/>
      <w:numPr>
        <w:ilvl w:val="3"/>
        <w:numId w:val="23"/>
      </w:numPr>
      <w:tabs>
        <w:tab w:val="left" w:pos="1200"/>
      </w:tabs>
      <w:spacing w:line="360" w:lineRule="auto"/>
      <w:ind w:firstLine="0"/>
      <w:outlineLvl w:val="4"/>
    </w:pPr>
    <w:rPr>
      <w:rFonts w:ascii="宋体"/>
      <w:b/>
      <w:kern w:val="0"/>
      <w:sz w:val="24"/>
    </w:rPr>
  </w:style>
  <w:style w:type="paragraph" w:customStyle="1" w:styleId="459">
    <w:name w:val="四级条标题"/>
    <w:basedOn w:val="458"/>
    <w:next w:val="1"/>
    <w:qFormat/>
    <w:uiPriority w:val="0"/>
    <w:pPr>
      <w:numPr>
        <w:ilvl w:val="0"/>
        <w:numId w:val="0"/>
      </w:numPr>
      <w:outlineLvl w:val="5"/>
    </w:pPr>
  </w:style>
  <w:style w:type="character" w:customStyle="1" w:styleId="460">
    <w:name w:val="样式1 Char"/>
    <w:qFormat/>
    <w:uiPriority w:val="0"/>
    <w:rPr>
      <w:rFonts w:ascii="宋体" w:hAnsi="宋体" w:eastAsia="宋体"/>
      <w:sz w:val="24"/>
      <w:szCs w:val="24"/>
      <w:lang w:val="en-US" w:eastAsia="zh-CN" w:bidi="ar-SA"/>
    </w:rPr>
  </w:style>
  <w:style w:type="paragraph" w:customStyle="1" w:styleId="461">
    <w:name w:val="样式 标题 2h2Heading 2 HiddenHeading 2 CCBSl2heading 2I22nd l..."/>
    <w:basedOn w:val="4"/>
    <w:qFormat/>
    <w:uiPriority w:val="0"/>
    <w:pPr>
      <w:keepNext w:val="0"/>
      <w:keepLines w:val="0"/>
      <w:widowControl/>
      <w:tabs>
        <w:tab w:val="left" w:pos="0"/>
        <w:tab w:val="left" w:pos="576"/>
      </w:tabs>
      <w:spacing w:before="0" w:after="0" w:line="360" w:lineRule="auto"/>
      <w:ind w:left="576" w:hanging="576"/>
    </w:pPr>
    <w:rPr>
      <w:rFonts w:ascii="Times New Roman" w:hAnsi="Times New Roman" w:eastAsia="宋体" w:cs="宋体"/>
      <w:bCs w:val="0"/>
      <w:kern w:val="0"/>
      <w:sz w:val="28"/>
      <w:szCs w:val="28"/>
    </w:rPr>
  </w:style>
  <w:style w:type="paragraph" w:customStyle="1" w:styleId="462">
    <w:name w:val="封面主标题"/>
    <w:basedOn w:val="1"/>
    <w:qFormat/>
    <w:uiPriority w:val="0"/>
    <w:pPr>
      <w:widowControl/>
      <w:spacing w:before="156" w:after="156" w:line="360" w:lineRule="auto"/>
      <w:ind w:left="1134" w:hanging="1134"/>
      <w:jc w:val="center"/>
    </w:pPr>
    <w:rPr>
      <w:rFonts w:ascii="黑体" w:eastAsia="黑体" w:cs="宋体"/>
      <w:b/>
      <w:color w:val="000000"/>
      <w:kern w:val="0"/>
      <w:sz w:val="44"/>
      <w:szCs w:val="44"/>
    </w:rPr>
  </w:style>
  <w:style w:type="paragraph" w:customStyle="1" w:styleId="463">
    <w:name w:val="样式5"/>
    <w:basedOn w:val="435"/>
    <w:link w:val="464"/>
    <w:qFormat/>
    <w:uiPriority w:val="0"/>
  </w:style>
  <w:style w:type="character" w:customStyle="1" w:styleId="464">
    <w:name w:val="样式5 Char"/>
    <w:link w:val="463"/>
    <w:qFormat/>
    <w:uiPriority w:val="0"/>
    <w:rPr>
      <w:sz w:val="24"/>
      <w:szCs w:val="24"/>
    </w:rPr>
  </w:style>
  <w:style w:type="character" w:customStyle="1" w:styleId="465">
    <w:name w:val="规范正文 Char"/>
    <w:link w:val="304"/>
    <w:qFormat/>
    <w:uiPriority w:val="0"/>
    <w:rPr>
      <w:sz w:val="24"/>
      <w:szCs w:val="24"/>
    </w:rPr>
  </w:style>
  <w:style w:type="paragraph" w:customStyle="1" w:styleId="466">
    <w:name w:val="样式 标题 4h4H4PIM 4bulletblbbsect 1.2.3.4Ref Heading 1rh1..."/>
    <w:basedOn w:val="6"/>
    <w:qFormat/>
    <w:uiPriority w:val="0"/>
    <w:pPr>
      <w:keepNext w:val="0"/>
      <w:widowControl/>
      <w:snapToGrid w:val="0"/>
      <w:spacing w:before="120" w:after="120"/>
      <w:ind w:left="-539" w:firstLine="539"/>
    </w:pPr>
    <w:rPr>
      <w:rFonts w:ascii="宋体" w:hAnsi="宋体" w:cs="宋体"/>
      <w:color w:val="000000"/>
      <w:kern w:val="0"/>
      <w:sz w:val="21"/>
      <w:szCs w:val="21"/>
    </w:rPr>
  </w:style>
  <w:style w:type="character" w:customStyle="1" w:styleId="467">
    <w:name w:val="页脚 Char1"/>
    <w:qFormat/>
    <w:uiPriority w:val="0"/>
    <w:rPr>
      <w:rFonts w:ascii="宋体" w:hAnsi="宋体" w:eastAsia="宋体"/>
      <w:sz w:val="18"/>
      <w:szCs w:val="18"/>
      <w:lang w:val="en-US" w:eastAsia="zh-CN" w:bidi="ar-SA"/>
    </w:rPr>
  </w:style>
  <w:style w:type="character" w:customStyle="1" w:styleId="468">
    <w:name w:val="页眉 Char1"/>
    <w:qFormat/>
    <w:uiPriority w:val="0"/>
    <w:rPr>
      <w:rFonts w:ascii="宋体" w:hAnsi="宋体" w:eastAsia="宋体"/>
      <w:sz w:val="18"/>
      <w:szCs w:val="18"/>
      <w:lang w:val="en-US" w:eastAsia="zh-CN" w:bidi="ar-SA"/>
    </w:rPr>
  </w:style>
  <w:style w:type="character" w:customStyle="1" w:styleId="469">
    <w:name w:val="宏文本 Char1"/>
    <w:basedOn w:val="89"/>
    <w:qFormat/>
    <w:uiPriority w:val="0"/>
    <w:rPr>
      <w:rFonts w:ascii="Courier New" w:hAnsi="Courier New" w:eastAsia="宋体" w:cs="Courier New"/>
      <w:sz w:val="24"/>
      <w:szCs w:val="24"/>
    </w:rPr>
  </w:style>
  <w:style w:type="character" w:customStyle="1" w:styleId="470">
    <w:name w:val="脚注文本 Char1"/>
    <w:qFormat/>
    <w:uiPriority w:val="0"/>
    <w:rPr>
      <w:rFonts w:ascii="宋体" w:hAnsi="宋体" w:eastAsia="宋体"/>
      <w:sz w:val="18"/>
      <w:szCs w:val="18"/>
      <w:lang w:val="en-US" w:eastAsia="zh-CN" w:bidi="ar-SA"/>
    </w:rPr>
  </w:style>
  <w:style w:type="character" w:customStyle="1" w:styleId="471">
    <w:name w:val="尾注文本 Char1"/>
    <w:qFormat/>
    <w:uiPriority w:val="0"/>
    <w:rPr>
      <w:rFonts w:ascii="宋体" w:hAnsi="宋体" w:eastAsia="宋体"/>
      <w:sz w:val="24"/>
      <w:szCs w:val="24"/>
      <w:lang w:val="en-US" w:eastAsia="zh-CN" w:bidi="ar-SA"/>
    </w:rPr>
  </w:style>
  <w:style w:type="character" w:customStyle="1" w:styleId="472">
    <w:name w:val="正文文本缩进 2 Char1"/>
    <w:qFormat/>
    <w:uiPriority w:val="0"/>
    <w:rPr>
      <w:rFonts w:ascii="宋体" w:hAnsi="宋体" w:eastAsia="宋体"/>
      <w:sz w:val="24"/>
      <w:szCs w:val="24"/>
      <w:lang w:val="en-US" w:eastAsia="zh-CN" w:bidi="ar-SA"/>
    </w:rPr>
  </w:style>
  <w:style w:type="character" w:customStyle="1" w:styleId="473">
    <w:name w:val="批注框文本 Char1"/>
    <w:qFormat/>
    <w:uiPriority w:val="0"/>
    <w:rPr>
      <w:rFonts w:ascii="宋体" w:hAnsi="宋体" w:eastAsia="宋体"/>
      <w:sz w:val="18"/>
      <w:szCs w:val="18"/>
      <w:lang w:val="en-US" w:eastAsia="zh-CN" w:bidi="ar-SA"/>
    </w:rPr>
  </w:style>
  <w:style w:type="character" w:customStyle="1" w:styleId="474">
    <w:name w:val="bule"/>
    <w:qFormat/>
    <w:uiPriority w:val="0"/>
  </w:style>
  <w:style w:type="character" w:customStyle="1" w:styleId="475">
    <w:name w:val="header odd Char1"/>
    <w:qFormat/>
    <w:uiPriority w:val="0"/>
    <w:rPr>
      <w:rFonts w:ascii="宋体" w:hAnsi="宋体" w:eastAsia="宋体"/>
      <w:sz w:val="24"/>
      <w:szCs w:val="24"/>
      <w:lang w:val="en-US" w:eastAsia="zh-CN" w:bidi="ar-SA"/>
    </w:rPr>
  </w:style>
  <w:style w:type="character" w:customStyle="1" w:styleId="476">
    <w:name w:val="Char Char11"/>
    <w:qFormat/>
    <w:uiPriority w:val="0"/>
    <w:rPr>
      <w:rFonts w:ascii="宋体" w:hAnsi="宋体" w:eastAsia="宋体"/>
      <w:sz w:val="24"/>
      <w:szCs w:val="24"/>
      <w:lang w:val="en-US" w:eastAsia="zh-CN" w:bidi="ar-SA"/>
    </w:rPr>
  </w:style>
  <w:style w:type="character" w:customStyle="1" w:styleId="477">
    <w:name w:val="正文首行缩进 2 Char1"/>
    <w:basedOn w:val="119"/>
    <w:qFormat/>
    <w:uiPriority w:val="0"/>
    <w:rPr>
      <w:rFonts w:ascii="Times New Roman" w:hAnsi="Times New Roman" w:eastAsia="宋体" w:cs="Times New Roman"/>
      <w:kern w:val="0"/>
      <w:sz w:val="24"/>
      <w:szCs w:val="24"/>
    </w:rPr>
  </w:style>
  <w:style w:type="character" w:customStyle="1" w:styleId="478">
    <w:name w:val="Normal + Arial Char"/>
    <w:link w:val="479"/>
    <w:qFormat/>
    <w:uiPriority w:val="0"/>
    <w:rPr>
      <w:rFonts w:ascii="Arial" w:hAnsi="Arial" w:cs="Arial"/>
      <w:sz w:val="24"/>
      <w:szCs w:val="24"/>
    </w:rPr>
  </w:style>
  <w:style w:type="paragraph" w:customStyle="1" w:styleId="479">
    <w:name w:val="Normal + Arial"/>
    <w:basedOn w:val="1"/>
    <w:link w:val="478"/>
    <w:qFormat/>
    <w:uiPriority w:val="0"/>
    <w:pPr>
      <w:widowControl/>
      <w:spacing w:line="360" w:lineRule="auto"/>
      <w:jc w:val="left"/>
    </w:pPr>
    <w:rPr>
      <w:rFonts w:ascii="Arial" w:hAnsi="Arial" w:cs="Arial"/>
      <w:kern w:val="0"/>
      <w:sz w:val="24"/>
    </w:rPr>
  </w:style>
  <w:style w:type="character" w:customStyle="1" w:styleId="480">
    <w:name w:val="批注主题 Char1"/>
    <w:basedOn w:val="139"/>
    <w:qFormat/>
    <w:uiPriority w:val="0"/>
    <w:rPr>
      <w:rFonts w:ascii="宋体" w:hAnsi="宋体" w:eastAsia="宋体"/>
      <w:kern w:val="2"/>
      <w:sz w:val="24"/>
      <w:szCs w:val="24"/>
      <w:lang w:val="en-US" w:eastAsia="zh-CN" w:bidi="ar-SA"/>
    </w:rPr>
  </w:style>
  <w:style w:type="character" w:customStyle="1" w:styleId="481">
    <w:name w:val="正文文本 Char1"/>
    <w:qFormat/>
    <w:uiPriority w:val="0"/>
    <w:rPr>
      <w:rFonts w:ascii="宋体" w:hAnsi="宋体" w:eastAsia="宋体"/>
      <w:sz w:val="24"/>
      <w:szCs w:val="24"/>
      <w:lang w:val="en-US" w:eastAsia="zh-CN" w:bidi="ar-SA"/>
    </w:rPr>
  </w:style>
  <w:style w:type="character" w:customStyle="1" w:styleId="482">
    <w:name w:val="正文首行缩进 Char1"/>
    <w:basedOn w:val="481"/>
    <w:qFormat/>
    <w:uiPriority w:val="0"/>
    <w:rPr>
      <w:rFonts w:ascii="宋体" w:hAnsi="宋体" w:eastAsia="宋体"/>
      <w:sz w:val="24"/>
      <w:szCs w:val="24"/>
      <w:lang w:val="en-US" w:eastAsia="zh-CN" w:bidi="ar-SA"/>
    </w:rPr>
  </w:style>
  <w:style w:type="character" w:customStyle="1" w:styleId="483">
    <w:name w:val="HTML 预设格式 Char1"/>
    <w:basedOn w:val="89"/>
    <w:qFormat/>
    <w:uiPriority w:val="0"/>
    <w:rPr>
      <w:rFonts w:ascii="Courier New" w:hAnsi="Courier New" w:eastAsia="宋体" w:cs="Courier New"/>
      <w:sz w:val="20"/>
      <w:szCs w:val="20"/>
    </w:rPr>
  </w:style>
  <w:style w:type="character" w:customStyle="1" w:styleId="484">
    <w:name w:val="标题 Char1"/>
    <w:qFormat/>
    <w:uiPriority w:val="0"/>
    <w:rPr>
      <w:rFonts w:ascii="Cambria" w:hAnsi="Cambria" w:eastAsia="宋体" w:cs="Times New Roman"/>
      <w:b/>
      <w:sz w:val="32"/>
      <w:szCs w:val="32"/>
      <w:lang w:val="en-US" w:eastAsia="zh-CN" w:bidi="ar-SA"/>
    </w:rPr>
  </w:style>
  <w:style w:type="character" w:customStyle="1" w:styleId="485">
    <w:name w:val="h3 Char3"/>
    <w:qFormat/>
    <w:uiPriority w:val="0"/>
    <w:rPr>
      <w:rFonts w:eastAsia="宋体"/>
      <w:b/>
      <w:sz w:val="32"/>
      <w:szCs w:val="32"/>
      <w:lang w:val="en-US" w:eastAsia="zh-CN" w:bidi="ar-SA"/>
    </w:rPr>
  </w:style>
  <w:style w:type="character" w:customStyle="1" w:styleId="486">
    <w:name w:val="14px1"/>
    <w:qFormat/>
    <w:uiPriority w:val="0"/>
    <w:rPr>
      <w:sz w:val="21"/>
      <w:szCs w:val="21"/>
    </w:rPr>
  </w:style>
  <w:style w:type="character" w:customStyle="1" w:styleId="487">
    <w:name w:val="text1 Char Char"/>
    <w:link w:val="488"/>
    <w:qFormat/>
    <w:uiPriority w:val="0"/>
    <w:rPr>
      <w:rFonts w:cs="宋体"/>
      <w:sz w:val="24"/>
      <w:szCs w:val="24"/>
    </w:rPr>
  </w:style>
  <w:style w:type="paragraph" w:customStyle="1" w:styleId="488">
    <w:name w:val="text1"/>
    <w:basedOn w:val="1"/>
    <w:link w:val="487"/>
    <w:qFormat/>
    <w:uiPriority w:val="0"/>
    <w:pPr>
      <w:widowControl/>
      <w:spacing w:line="360" w:lineRule="auto"/>
      <w:ind w:firstLine="200"/>
    </w:pPr>
    <w:rPr>
      <w:rFonts w:cs="宋体"/>
      <w:kern w:val="0"/>
      <w:sz w:val="24"/>
    </w:rPr>
  </w:style>
  <w:style w:type="character" w:customStyle="1" w:styleId="489">
    <w:name w:val="Char Char1 Char"/>
    <w:qFormat/>
    <w:uiPriority w:val="0"/>
    <w:rPr>
      <w:rFonts w:ascii="Verdana" w:hAnsi="Verdana" w:eastAsia="宋体"/>
      <w:lang w:val="en-US" w:eastAsia="en-US" w:bidi="ar-SA"/>
    </w:rPr>
  </w:style>
  <w:style w:type="character" w:customStyle="1" w:styleId="490">
    <w:name w:val="计费规范编写 正文 Char Char Char Char"/>
    <w:link w:val="491"/>
    <w:qFormat/>
    <w:uiPriority w:val="0"/>
    <w:rPr>
      <w:rFonts w:ascii="Verdana" w:hAnsi="Verdana"/>
      <w:sz w:val="24"/>
      <w:szCs w:val="24"/>
    </w:rPr>
  </w:style>
  <w:style w:type="paragraph" w:customStyle="1" w:styleId="491">
    <w:name w:val="计费规范编写 正文 Char Char Char"/>
    <w:link w:val="490"/>
    <w:qFormat/>
    <w:uiPriority w:val="0"/>
    <w:rPr>
      <w:rFonts w:ascii="Verdana" w:hAnsi="Verdana" w:eastAsia="宋体" w:cs="Times New Roman"/>
      <w:sz w:val="24"/>
      <w:szCs w:val="24"/>
      <w:lang w:val="en-US" w:eastAsia="zh-CN" w:bidi="ar-SA"/>
    </w:rPr>
  </w:style>
  <w:style w:type="paragraph" w:customStyle="1" w:styleId="492">
    <w:name w:val="正文字缩2字"/>
    <w:basedOn w:val="1"/>
    <w:qFormat/>
    <w:uiPriority w:val="0"/>
    <w:pPr>
      <w:widowControl/>
      <w:spacing w:before="60" w:after="60" w:line="360" w:lineRule="auto"/>
      <w:ind w:left="200" w:firstLine="200"/>
    </w:pPr>
    <w:rPr>
      <w:kern w:val="0"/>
      <w:sz w:val="24"/>
    </w:rPr>
  </w:style>
  <w:style w:type="character" w:customStyle="1" w:styleId="493">
    <w:name w:val="正文文本缩进 3 Char1"/>
    <w:qFormat/>
    <w:uiPriority w:val="0"/>
    <w:rPr>
      <w:rFonts w:ascii="宋体" w:hAnsi="宋体" w:eastAsia="宋体"/>
      <w:sz w:val="16"/>
      <w:szCs w:val="16"/>
      <w:lang w:val="en-US" w:eastAsia="zh-CN" w:bidi="ar-SA"/>
    </w:rPr>
  </w:style>
  <w:style w:type="character" w:customStyle="1" w:styleId="494">
    <w:name w:val="注释标题 Char1"/>
    <w:basedOn w:val="89"/>
    <w:qFormat/>
    <w:uiPriority w:val="0"/>
    <w:rPr>
      <w:rFonts w:ascii="Times New Roman" w:hAnsi="Times New Roman" w:eastAsia="宋体" w:cs="Times New Roman"/>
      <w:sz w:val="24"/>
      <w:szCs w:val="24"/>
    </w:rPr>
  </w:style>
  <w:style w:type="character" w:customStyle="1" w:styleId="495">
    <w:name w:val="h3 Char1"/>
    <w:qFormat/>
    <w:uiPriority w:val="0"/>
    <w:rPr>
      <w:b/>
      <w:sz w:val="32"/>
      <w:szCs w:val="32"/>
    </w:rPr>
  </w:style>
  <w:style w:type="character" w:customStyle="1" w:styleId="496">
    <w:name w:val="Char Char14"/>
    <w:qFormat/>
    <w:uiPriority w:val="0"/>
    <w:rPr>
      <w:rFonts w:eastAsia="宋体"/>
      <w:sz w:val="21"/>
      <w:szCs w:val="21"/>
      <w:lang w:val="en-US" w:eastAsia="zh-CN" w:bidi="ar-SA"/>
    </w:rPr>
  </w:style>
  <w:style w:type="character" w:customStyle="1" w:styleId="497">
    <w:name w:val="Char Char12"/>
    <w:qFormat/>
    <w:uiPriority w:val="0"/>
    <w:rPr>
      <w:rFonts w:ascii="宋体" w:hAnsi="宋体" w:eastAsia="宋体"/>
      <w:sz w:val="24"/>
      <w:szCs w:val="24"/>
      <w:lang w:val="en-US" w:eastAsia="zh-CN" w:bidi="ar-SA"/>
    </w:rPr>
  </w:style>
  <w:style w:type="character" w:customStyle="1" w:styleId="498">
    <w:name w:val="Char Char10"/>
    <w:qFormat/>
    <w:uiPriority w:val="0"/>
    <w:rPr>
      <w:rFonts w:eastAsia="宋体"/>
      <w:sz w:val="18"/>
      <w:szCs w:val="18"/>
      <w:lang w:val="en-US" w:eastAsia="zh-CN" w:bidi="ar-SA"/>
    </w:rPr>
  </w:style>
  <w:style w:type="character" w:customStyle="1" w:styleId="499">
    <w:name w:val="header odd Char"/>
    <w:qFormat/>
    <w:uiPriority w:val="0"/>
    <w:rPr>
      <w:rFonts w:eastAsia="宋体"/>
      <w:sz w:val="18"/>
      <w:szCs w:val="18"/>
      <w:lang w:val="en-US" w:eastAsia="zh-CN" w:bidi="ar-SA"/>
    </w:rPr>
  </w:style>
  <w:style w:type="character" w:customStyle="1" w:styleId="500">
    <w:name w:val="样式 标题 1 + (中文) 黑体 四号 Char Char Char"/>
    <w:qFormat/>
    <w:uiPriority w:val="0"/>
    <w:rPr>
      <w:rFonts w:ascii="宋体" w:hAnsi="宋体" w:eastAsia="黑体" w:cs="Times New Roman"/>
      <w:b/>
      <w:sz w:val="28"/>
      <w:szCs w:val="28"/>
      <w:lang w:val="en-US" w:eastAsia="zh-CN" w:bidi="ar-SA"/>
    </w:rPr>
  </w:style>
  <w:style w:type="character" w:customStyle="1" w:styleId="501">
    <w:name w:val="样式 标题 3 + (中文) 黑体 小四 浅蓝 Char Char Char"/>
    <w:qFormat/>
    <w:uiPriority w:val="0"/>
    <w:rPr>
      <w:rFonts w:ascii="宋体" w:hAnsi="宋体" w:eastAsia="黑体"/>
      <w:b/>
      <w:color w:val="3366FF"/>
      <w:sz w:val="24"/>
      <w:szCs w:val="24"/>
      <w:lang w:val="en-US" w:eastAsia="zh-CN" w:bidi="ar-SA"/>
    </w:rPr>
  </w:style>
  <w:style w:type="character" w:customStyle="1" w:styleId="502">
    <w:name w:val="日期 Char1"/>
    <w:qFormat/>
    <w:uiPriority w:val="0"/>
    <w:rPr>
      <w:rFonts w:ascii="宋体" w:hAnsi="宋体" w:eastAsia="宋体"/>
      <w:sz w:val="24"/>
      <w:szCs w:val="24"/>
      <w:lang w:val="en-US" w:eastAsia="zh-CN" w:bidi="ar-SA"/>
    </w:rPr>
  </w:style>
  <w:style w:type="character" w:customStyle="1" w:styleId="503">
    <w:name w:val="h3 Char2"/>
    <w:qFormat/>
    <w:uiPriority w:val="0"/>
    <w:rPr>
      <w:rFonts w:eastAsia="宋体"/>
      <w:b/>
      <w:sz w:val="32"/>
      <w:szCs w:val="32"/>
      <w:lang w:val="en-US" w:eastAsia="zh-CN" w:bidi="ar-SA"/>
    </w:rPr>
  </w:style>
  <w:style w:type="character" w:customStyle="1" w:styleId="504">
    <w:name w:val="规范正文-1级项目符号 Char"/>
    <w:link w:val="505"/>
    <w:qFormat/>
    <w:uiPriority w:val="0"/>
    <w:rPr>
      <w:rFonts w:ascii="宋体" w:hAnsi="宋体" w:cs="宋体"/>
    </w:rPr>
  </w:style>
  <w:style w:type="paragraph" w:customStyle="1" w:styleId="505">
    <w:name w:val="规范正文-1级项目符号"/>
    <w:basedOn w:val="1"/>
    <w:link w:val="504"/>
    <w:qFormat/>
    <w:uiPriority w:val="0"/>
    <w:pPr>
      <w:widowControl/>
      <w:spacing w:line="360" w:lineRule="auto"/>
      <w:ind w:left="180"/>
    </w:pPr>
    <w:rPr>
      <w:rFonts w:ascii="宋体" w:hAnsi="宋体" w:cs="宋体"/>
      <w:kern w:val="0"/>
      <w:sz w:val="20"/>
      <w:szCs w:val="20"/>
    </w:rPr>
  </w:style>
  <w:style w:type="character" w:customStyle="1" w:styleId="506">
    <w:name w:val="Heading 3 Char Char"/>
    <w:qFormat/>
    <w:uiPriority w:val="0"/>
    <w:rPr>
      <w:rFonts w:eastAsia="宋体"/>
      <w:b/>
      <w:sz w:val="32"/>
      <w:szCs w:val="32"/>
      <w:lang w:val="en-US" w:eastAsia="zh-CN" w:bidi="ar-SA"/>
    </w:rPr>
  </w:style>
  <w:style w:type="character" w:customStyle="1" w:styleId="507">
    <w:name w:val="MM Topic 4 Char Char"/>
    <w:qFormat/>
    <w:uiPriority w:val="0"/>
    <w:rPr>
      <w:rFonts w:ascii="Cambria" w:hAnsi="Cambria" w:cs="Cambria"/>
      <w:b/>
      <w:sz w:val="28"/>
      <w:szCs w:val="28"/>
    </w:rPr>
  </w:style>
  <w:style w:type="character" w:customStyle="1" w:styleId="508">
    <w:name w:val="Char Char13"/>
    <w:qFormat/>
    <w:uiPriority w:val="0"/>
    <w:rPr>
      <w:rFonts w:eastAsia="宋体"/>
      <w:sz w:val="21"/>
      <w:szCs w:val="21"/>
      <w:lang w:val="en-US" w:eastAsia="zh-CN" w:bidi="ar-SA"/>
    </w:rPr>
  </w:style>
  <w:style w:type="character" w:customStyle="1" w:styleId="509">
    <w:name w:val="副标题 Char1"/>
    <w:basedOn w:val="89"/>
    <w:qFormat/>
    <w:uiPriority w:val="0"/>
    <w:rPr>
      <w:rFonts w:eastAsia="宋体" w:asciiTheme="majorHAnsi" w:hAnsiTheme="majorHAnsi" w:cstheme="minorBidi"/>
      <w:b/>
      <w:sz w:val="32"/>
      <w:szCs w:val="32"/>
    </w:rPr>
  </w:style>
  <w:style w:type="character" w:customStyle="1" w:styleId="510">
    <w:name w:val="引用 Char"/>
    <w:link w:val="511"/>
    <w:qFormat/>
    <w:uiPriority w:val="0"/>
    <w:rPr>
      <w:rFonts w:ascii="宋体" w:hAnsi="宋体"/>
      <w:i/>
      <w:color w:val="000000"/>
    </w:rPr>
  </w:style>
  <w:style w:type="paragraph" w:customStyle="1" w:styleId="511">
    <w:name w:val="引用1"/>
    <w:basedOn w:val="1"/>
    <w:next w:val="1"/>
    <w:link w:val="510"/>
    <w:qFormat/>
    <w:uiPriority w:val="0"/>
    <w:pPr>
      <w:widowControl/>
      <w:spacing w:line="360" w:lineRule="auto"/>
      <w:jc w:val="left"/>
    </w:pPr>
    <w:rPr>
      <w:rFonts w:ascii="宋体" w:hAnsi="宋体"/>
      <w:i/>
      <w:color w:val="000000"/>
      <w:kern w:val="0"/>
      <w:sz w:val="20"/>
      <w:szCs w:val="20"/>
    </w:rPr>
  </w:style>
  <w:style w:type="character" w:customStyle="1" w:styleId="512">
    <w:name w:val="引用 Char1"/>
    <w:basedOn w:val="89"/>
    <w:qFormat/>
    <w:uiPriority w:val="0"/>
    <w:rPr>
      <w:rFonts w:ascii="Times New Roman" w:hAnsi="Times New Roman" w:eastAsia="宋体" w:cs="Times New Roman"/>
      <w:i/>
      <w:color w:val="000000" w:themeColor="text1"/>
      <w:sz w:val="24"/>
      <w:szCs w:val="24"/>
      <w14:textFill>
        <w14:solidFill>
          <w14:schemeClr w14:val="tx1"/>
        </w14:solidFill>
      </w14:textFill>
    </w:rPr>
  </w:style>
  <w:style w:type="character" w:customStyle="1" w:styleId="513">
    <w:name w:val="明显引用 Char"/>
    <w:link w:val="514"/>
    <w:qFormat/>
    <w:uiPriority w:val="0"/>
    <w:rPr>
      <w:rFonts w:ascii="宋体" w:hAnsi="宋体"/>
      <w:b/>
      <w:i/>
      <w:color w:val="4F81BD"/>
    </w:rPr>
  </w:style>
  <w:style w:type="paragraph" w:customStyle="1" w:styleId="514">
    <w:name w:val="明显引用1"/>
    <w:basedOn w:val="1"/>
    <w:next w:val="1"/>
    <w:link w:val="513"/>
    <w:qFormat/>
    <w:uiPriority w:val="0"/>
    <w:pPr>
      <w:widowControl/>
      <w:pBdr>
        <w:bottom w:val="single" w:color="4F81BD" w:sz="4" w:space="4"/>
      </w:pBdr>
      <w:spacing w:before="200" w:after="280" w:line="360" w:lineRule="auto"/>
      <w:ind w:left="936" w:right="936"/>
      <w:jc w:val="left"/>
    </w:pPr>
    <w:rPr>
      <w:rFonts w:ascii="宋体" w:hAnsi="宋体"/>
      <w:b/>
      <w:i/>
      <w:color w:val="4F81BD"/>
      <w:kern w:val="0"/>
      <w:sz w:val="20"/>
      <w:szCs w:val="20"/>
    </w:rPr>
  </w:style>
  <w:style w:type="character" w:customStyle="1" w:styleId="515">
    <w:name w:val="明显引用 Char1"/>
    <w:basedOn w:val="89"/>
    <w:qFormat/>
    <w:uiPriority w:val="0"/>
    <w:rPr>
      <w:rFonts w:ascii="Times New Roman" w:hAnsi="Times New Roman" w:eastAsia="宋体" w:cs="Times New Roman"/>
      <w:b/>
      <w:i/>
      <w:color w:val="4F81BD" w:themeColor="accent1"/>
      <w:sz w:val="24"/>
      <w:szCs w:val="24"/>
      <w14:textFill>
        <w14:solidFill>
          <w14:schemeClr w14:val="accent1"/>
        </w14:solidFill>
      </w14:textFill>
    </w:rPr>
  </w:style>
  <w:style w:type="character" w:customStyle="1" w:styleId="516">
    <w:name w:val="highlight1"/>
    <w:qFormat/>
    <w:uiPriority w:val="0"/>
    <w:rPr>
      <w:shd w:val="clear" w:color="000000" w:fill="FFFF00"/>
    </w:rPr>
  </w:style>
  <w:style w:type="paragraph" w:customStyle="1" w:styleId="517">
    <w:name w:val="列 表"/>
    <w:basedOn w:val="1"/>
    <w:qFormat/>
    <w:uiPriority w:val="0"/>
    <w:pPr>
      <w:widowControl/>
      <w:numPr>
        <w:ilvl w:val="0"/>
        <w:numId w:val="24"/>
      </w:numPr>
      <w:tabs>
        <w:tab w:val="left" w:pos="630"/>
        <w:tab w:val="left" w:pos="840"/>
        <w:tab w:val="clear" w:pos="852"/>
      </w:tabs>
      <w:spacing w:line="360" w:lineRule="auto"/>
      <w:ind w:left="840" w:hanging="432"/>
    </w:pPr>
    <w:rPr>
      <w:rFonts w:ascii="Courier New" w:hAnsi="Courier New" w:eastAsia="楷体_GB2312"/>
      <w:kern w:val="0"/>
      <w:sz w:val="24"/>
    </w:rPr>
  </w:style>
  <w:style w:type="paragraph" w:customStyle="1" w:styleId="518">
    <w:name w:val="Table Normal1"/>
    <w:qFormat/>
    <w:uiPriority w:val="0"/>
    <w:pPr>
      <w:numPr>
        <w:ilvl w:val="0"/>
        <w:numId w:val="25"/>
      </w:numPr>
      <w:tabs>
        <w:tab w:val="clear" w:pos="720"/>
      </w:tabs>
      <w:ind w:left="0" w:firstLine="0"/>
    </w:pPr>
    <w:rPr>
      <w:rFonts w:ascii="Times New Roman" w:hAnsi="Times New Roman" w:eastAsia="宋体" w:cs="Times New Roman"/>
      <w:sz w:val="22"/>
      <w:szCs w:val="22"/>
      <w:lang w:val="en-US" w:eastAsia="en-US" w:bidi="ar-SA"/>
    </w:rPr>
  </w:style>
  <w:style w:type="paragraph" w:customStyle="1" w:styleId="519">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20">
    <w:name w:val="默认段落字体 Para Char Char Char Char Char Char Char Char Char Char"/>
    <w:basedOn w:val="1"/>
    <w:qFormat/>
    <w:uiPriority w:val="0"/>
    <w:pPr>
      <w:widowControl/>
      <w:numPr>
        <w:ilvl w:val="3"/>
        <w:numId w:val="26"/>
      </w:numPr>
      <w:tabs>
        <w:tab w:val="left" w:pos="360"/>
      </w:tabs>
      <w:ind w:left="360" w:hanging="360"/>
    </w:pPr>
    <w:rPr>
      <w:rFonts w:ascii="Tahoma" w:hAnsi="Tahoma"/>
      <w:kern w:val="0"/>
      <w:sz w:val="24"/>
    </w:rPr>
  </w:style>
  <w:style w:type="paragraph" w:customStyle="1" w:styleId="521">
    <w:name w:val="Char Char Char Char1 Char Char"/>
    <w:basedOn w:val="1"/>
    <w:qFormat/>
    <w:uiPriority w:val="0"/>
    <w:pPr>
      <w:widowControl/>
      <w:numPr>
        <w:ilvl w:val="0"/>
        <w:numId w:val="27"/>
      </w:numPr>
    </w:pPr>
    <w:rPr>
      <w:rFonts w:ascii="Tahoma" w:hAnsi="Tahoma"/>
      <w:kern w:val="0"/>
      <w:sz w:val="24"/>
    </w:rPr>
  </w:style>
  <w:style w:type="paragraph" w:customStyle="1" w:styleId="522">
    <w:name w:val="标准标题二"/>
    <w:qFormat/>
    <w:uiPriority w:val="0"/>
    <w:rPr>
      <w:rFonts w:ascii="Times New Roman" w:hAnsi="Times New Roman" w:eastAsia="宋体" w:cs="Times New Roman"/>
      <w:sz w:val="30"/>
      <w:szCs w:val="30"/>
      <w:lang w:val="en-US" w:eastAsia="zh-CN" w:bidi="ar-SA"/>
    </w:rPr>
  </w:style>
  <w:style w:type="paragraph" w:customStyle="1" w:styleId="523">
    <w:name w:val="标准标题一"/>
    <w:basedOn w:val="1"/>
    <w:qFormat/>
    <w:uiPriority w:val="0"/>
    <w:pPr>
      <w:widowControl/>
      <w:spacing w:line="480" w:lineRule="atLeast"/>
    </w:pPr>
    <w:rPr>
      <w:rFonts w:eastAsia="黑体"/>
      <w:b/>
      <w:kern w:val="0"/>
      <w:sz w:val="32"/>
      <w:szCs w:val="32"/>
    </w:rPr>
  </w:style>
  <w:style w:type="paragraph" w:customStyle="1" w:styleId="524">
    <w:name w:val="章标题"/>
    <w:next w:val="1"/>
    <w:qFormat/>
    <w:uiPriority w:val="0"/>
    <w:pPr>
      <w:spacing w:before="120" w:after="120"/>
      <w:ind w:left="180"/>
      <w:outlineLvl w:val="1"/>
    </w:pPr>
    <w:rPr>
      <w:rFonts w:ascii="黑体" w:hAnsi="Times New Roman" w:eastAsia="黑体" w:cs="Times New Roman"/>
      <w:sz w:val="21"/>
      <w:szCs w:val="21"/>
      <w:lang w:val="en-US" w:eastAsia="zh-CN" w:bidi="ar-SA"/>
    </w:rPr>
  </w:style>
  <w:style w:type="paragraph" w:customStyle="1" w:styleId="525">
    <w:name w:val="my标题1"/>
    <w:basedOn w:val="3"/>
    <w:qFormat/>
    <w:uiPriority w:val="0"/>
    <w:pPr>
      <w:keepNext w:val="0"/>
      <w:keepLines w:val="0"/>
      <w:pageBreakBefore/>
      <w:widowControl/>
      <w:numPr>
        <w:ilvl w:val="1"/>
        <w:numId w:val="28"/>
      </w:numPr>
      <w:tabs>
        <w:tab w:val="left" w:pos="900"/>
        <w:tab w:val="clear" w:pos="1380"/>
      </w:tabs>
      <w:spacing w:line="576" w:lineRule="auto"/>
      <w:ind w:left="900" w:hanging="360"/>
    </w:pPr>
    <w:rPr>
      <w:rFonts w:ascii="宋体" w:hAnsi="宋体" w:cs="Arial"/>
      <w:bCs w:val="0"/>
      <w:kern w:val="0"/>
      <w:sz w:val="28"/>
      <w:szCs w:val="28"/>
    </w:rPr>
  </w:style>
  <w:style w:type="paragraph" w:customStyle="1" w:styleId="526">
    <w:name w:val="my标题1_1"/>
    <w:basedOn w:val="4"/>
    <w:qFormat/>
    <w:uiPriority w:val="0"/>
    <w:pPr>
      <w:keepNext w:val="0"/>
      <w:keepLines w:val="0"/>
      <w:widowControl/>
      <w:numPr>
        <w:ilvl w:val="0"/>
        <w:numId w:val="29"/>
      </w:numPr>
      <w:tabs>
        <w:tab w:val="left" w:pos="0"/>
        <w:tab w:val="left" w:pos="1380"/>
      </w:tabs>
      <w:spacing w:line="415" w:lineRule="auto"/>
      <w:ind w:left="1380" w:hanging="420"/>
    </w:pPr>
    <w:rPr>
      <w:rFonts w:eastAsia="宋体"/>
      <w:bCs w:val="0"/>
      <w:kern w:val="0"/>
      <w:sz w:val="24"/>
      <w:szCs w:val="24"/>
    </w:rPr>
  </w:style>
  <w:style w:type="paragraph" w:customStyle="1" w:styleId="527">
    <w:name w:val="Char Char Char1 Char Char Char Char Char Char"/>
    <w:basedOn w:val="1"/>
    <w:qFormat/>
    <w:uiPriority w:val="0"/>
    <w:pPr>
      <w:widowControl/>
      <w:numPr>
        <w:ilvl w:val="0"/>
        <w:numId w:val="30"/>
      </w:numPr>
    </w:pPr>
    <w:rPr>
      <w:kern w:val="0"/>
      <w:szCs w:val="21"/>
    </w:rPr>
  </w:style>
  <w:style w:type="paragraph" w:customStyle="1" w:styleId="528">
    <w:name w:val="无间隔1"/>
    <w:qFormat/>
    <w:uiPriority w:val="0"/>
    <w:pPr>
      <w:jc w:val="both"/>
    </w:pPr>
    <w:rPr>
      <w:rFonts w:ascii="Calibri" w:hAnsi="Calibri" w:eastAsia="宋体" w:cs="Times New Roman"/>
      <w:sz w:val="21"/>
      <w:szCs w:val="21"/>
      <w:lang w:val="en-US" w:eastAsia="zh-CN" w:bidi="ar-SA"/>
    </w:rPr>
  </w:style>
  <w:style w:type="paragraph" w:customStyle="1" w:styleId="529">
    <w:name w:val="正文2"/>
    <w:basedOn w:val="1"/>
    <w:qFormat/>
    <w:uiPriority w:val="0"/>
    <w:pPr>
      <w:widowControl/>
      <w:numPr>
        <w:ilvl w:val="0"/>
        <w:numId w:val="31"/>
      </w:numPr>
      <w:tabs>
        <w:tab w:val="clear" w:pos="360"/>
      </w:tabs>
      <w:spacing w:after="120" w:line="360" w:lineRule="exact"/>
      <w:ind w:left="0" w:firstLine="0"/>
    </w:pPr>
    <w:rPr>
      <w:rFonts w:ascii="宋体" w:hAnsi="宋体"/>
      <w:kern w:val="0"/>
      <w:sz w:val="24"/>
    </w:rPr>
  </w:style>
  <w:style w:type="paragraph" w:customStyle="1" w:styleId="530">
    <w:name w:val="b2"/>
    <w:basedOn w:val="1"/>
    <w:qFormat/>
    <w:uiPriority w:val="0"/>
    <w:pPr>
      <w:widowControl/>
      <w:numPr>
        <w:ilvl w:val="0"/>
        <w:numId w:val="32"/>
      </w:numPr>
      <w:spacing w:line="360" w:lineRule="auto"/>
      <w:ind w:firstLine="0"/>
    </w:pPr>
    <w:rPr>
      <w:rFonts w:ascii="宋体" w:hAnsi="宋体"/>
      <w:kern w:val="0"/>
      <w:sz w:val="24"/>
    </w:rPr>
  </w:style>
  <w:style w:type="paragraph" w:customStyle="1" w:styleId="531">
    <w:name w:val="Char3"/>
    <w:basedOn w:val="26"/>
    <w:semiHidden/>
    <w:qFormat/>
    <w:uiPriority w:val="0"/>
    <w:pPr>
      <w:widowControl/>
      <w:shd w:val="clear" w:color="000000" w:fill="000080"/>
      <w:ind w:left="1400" w:leftChars="1400" w:firstLine="454"/>
      <w:jc w:val="left"/>
    </w:pPr>
    <w:rPr>
      <w:rFonts w:ascii="Tahoma" w:hAnsi="Tahoma" w:cs="宋体"/>
      <w:kern w:val="0"/>
      <w:sz w:val="21"/>
      <w:szCs w:val="21"/>
    </w:rPr>
  </w:style>
  <w:style w:type="paragraph" w:customStyle="1" w:styleId="532">
    <w:name w:val="Char Char Char Char Char Char1"/>
    <w:basedOn w:val="26"/>
    <w:semiHidden/>
    <w:qFormat/>
    <w:uiPriority w:val="0"/>
    <w:pPr>
      <w:widowControl/>
      <w:shd w:val="clear" w:color="000000" w:fill="000080"/>
      <w:ind w:left="1400" w:leftChars="1400"/>
    </w:pPr>
    <w:rPr>
      <w:rFonts w:ascii="Tahoma" w:hAnsi="Tahoma"/>
      <w:kern w:val="0"/>
      <w:sz w:val="24"/>
      <w:szCs w:val="24"/>
    </w:rPr>
  </w:style>
  <w:style w:type="paragraph" w:customStyle="1" w:styleId="533">
    <w:name w:val="Char Char Char Char Char Char Char31"/>
    <w:basedOn w:val="1"/>
    <w:semiHidden/>
    <w:qFormat/>
    <w:uiPriority w:val="0"/>
    <w:pPr>
      <w:widowControl/>
      <w:spacing w:line="360" w:lineRule="auto"/>
    </w:pPr>
    <w:rPr>
      <w:rFonts w:ascii="Tahoma" w:hAnsi="Tahoma"/>
      <w:kern w:val="0"/>
      <w:sz w:val="24"/>
    </w:rPr>
  </w:style>
  <w:style w:type="paragraph" w:customStyle="1" w:styleId="534">
    <w:name w:val="Char Char1 Char Char1 Char Char11"/>
    <w:basedOn w:val="1"/>
    <w:semiHidden/>
    <w:qFormat/>
    <w:uiPriority w:val="0"/>
    <w:pPr>
      <w:widowControl/>
    </w:pPr>
    <w:rPr>
      <w:rFonts w:ascii="Tahoma" w:hAnsi="Tahoma"/>
      <w:kern w:val="0"/>
      <w:sz w:val="24"/>
    </w:rPr>
  </w:style>
  <w:style w:type="paragraph" w:customStyle="1" w:styleId="535">
    <w:name w:val="Char11"/>
    <w:basedOn w:val="1"/>
    <w:semiHidden/>
    <w:qFormat/>
    <w:uiPriority w:val="0"/>
    <w:pPr>
      <w:widowControl/>
      <w:spacing w:line="360" w:lineRule="auto"/>
      <w:ind w:firstLine="196"/>
    </w:pPr>
    <w:rPr>
      <w:rFonts w:ascii="宋体" w:hAnsi="宋体"/>
      <w:b/>
      <w:kern w:val="0"/>
      <w:sz w:val="24"/>
    </w:rPr>
  </w:style>
  <w:style w:type="paragraph" w:customStyle="1" w:styleId="536">
    <w:name w:val="Char1 Char Char Char Char Char Char Char Char Char Char Char Char Char Char Char1"/>
    <w:basedOn w:val="1"/>
    <w:semiHidden/>
    <w:qFormat/>
    <w:uiPriority w:val="0"/>
    <w:pPr>
      <w:widowControl/>
    </w:pPr>
    <w:rPr>
      <w:rFonts w:ascii="Tahoma" w:hAnsi="Tahoma"/>
      <w:kern w:val="0"/>
      <w:sz w:val="24"/>
    </w:rPr>
  </w:style>
  <w:style w:type="paragraph" w:customStyle="1" w:styleId="537">
    <w:name w:val="Char Char Char Char Char Char Char Char Char Char Char Char Char Char Char Char Char Char Char Char Char1"/>
    <w:basedOn w:val="1"/>
    <w:semiHidden/>
    <w:qFormat/>
    <w:uiPriority w:val="0"/>
    <w:pPr>
      <w:widowControl/>
    </w:pPr>
    <w:rPr>
      <w:kern w:val="0"/>
      <w:szCs w:val="21"/>
    </w:rPr>
  </w:style>
  <w:style w:type="paragraph" w:customStyle="1" w:styleId="538">
    <w:name w:val="ALT+2点符"/>
    <w:basedOn w:val="1"/>
    <w:qFormat/>
    <w:uiPriority w:val="0"/>
    <w:pPr>
      <w:widowControl/>
      <w:numPr>
        <w:ilvl w:val="0"/>
        <w:numId w:val="33"/>
      </w:numPr>
      <w:spacing w:line="360" w:lineRule="auto"/>
      <w:ind w:firstLine="200"/>
    </w:pPr>
    <w:rPr>
      <w:kern w:val="0"/>
      <w:szCs w:val="21"/>
    </w:rPr>
  </w:style>
  <w:style w:type="character" w:customStyle="1" w:styleId="539">
    <w:name w:val="段 Char"/>
    <w:qFormat/>
    <w:uiPriority w:val="0"/>
    <w:rPr>
      <w:rFonts w:ascii="宋体" w:hAnsi="Tahoma" w:eastAsia="黑体"/>
      <w:sz w:val="21"/>
      <w:szCs w:val="21"/>
      <w:lang w:val="en-US" w:eastAsia="zh-CN" w:bidi="ar-SA"/>
    </w:rPr>
  </w:style>
  <w:style w:type="paragraph" w:customStyle="1" w:styleId="540">
    <w:name w:val="表"/>
    <w:link w:val="541"/>
    <w:qFormat/>
    <w:uiPriority w:val="0"/>
    <w:pPr>
      <w:spacing w:line="360" w:lineRule="auto"/>
    </w:pPr>
    <w:rPr>
      <w:rFonts w:ascii="Times New Roman" w:hAnsi="Times New Roman" w:eastAsia="宋体" w:cs="Times New Roman"/>
      <w:sz w:val="21"/>
      <w:szCs w:val="21"/>
      <w:lang w:val="en-US" w:eastAsia="zh-CN" w:bidi="ar-SA"/>
    </w:rPr>
  </w:style>
  <w:style w:type="character" w:customStyle="1" w:styleId="541">
    <w:name w:val="表 Char"/>
    <w:link w:val="540"/>
    <w:qFormat/>
    <w:uiPriority w:val="0"/>
    <w:rPr>
      <w:sz w:val="21"/>
      <w:szCs w:val="21"/>
    </w:rPr>
  </w:style>
  <w:style w:type="paragraph" w:customStyle="1" w:styleId="542">
    <w:name w:val="标题2"/>
    <w:basedOn w:val="4"/>
    <w:link w:val="802"/>
    <w:qFormat/>
    <w:uiPriority w:val="0"/>
    <w:pPr>
      <w:keepNext w:val="0"/>
      <w:keepLines w:val="0"/>
      <w:widowControl/>
      <w:tabs>
        <w:tab w:val="left" w:pos="0"/>
      </w:tabs>
      <w:spacing w:before="320" w:after="160" w:line="240" w:lineRule="auto"/>
      <w:ind w:left="840" w:hanging="420"/>
      <w:jc w:val="left"/>
    </w:pPr>
    <w:rPr>
      <w:rFonts w:eastAsia="宋体" w:cs="Arial"/>
      <w:bCs w:val="0"/>
      <w:spacing w:val="20"/>
      <w:kern w:val="0"/>
      <w:sz w:val="28"/>
      <w:szCs w:val="28"/>
      <w:lang w:eastAsia="en-US"/>
    </w:rPr>
  </w:style>
  <w:style w:type="paragraph" w:customStyle="1" w:styleId="543">
    <w:name w:val="标题3"/>
    <w:basedOn w:val="5"/>
    <w:link w:val="803"/>
    <w:qFormat/>
    <w:uiPriority w:val="0"/>
    <w:pPr>
      <w:keepNext w:val="0"/>
      <w:keepLines w:val="0"/>
      <w:widowControl/>
      <w:autoSpaceDE/>
      <w:autoSpaceDN/>
      <w:adjustRightInd/>
      <w:spacing w:before="240" w:line="240" w:lineRule="auto"/>
      <w:ind w:left="1260" w:hanging="420"/>
      <w:jc w:val="left"/>
    </w:pPr>
    <w:rPr>
      <w:rFonts w:ascii="Arial" w:hAnsi="Arial" w:eastAsia="宋体"/>
      <w:b/>
      <w:spacing w:val="20"/>
      <w:sz w:val="24"/>
      <w:szCs w:val="24"/>
      <w:lang w:val="pt-BR"/>
    </w:rPr>
  </w:style>
  <w:style w:type="character" w:customStyle="1" w:styleId="544">
    <w:name w:val="正文一 Char"/>
    <w:link w:val="99"/>
    <w:qFormat/>
    <w:uiPriority w:val="0"/>
    <w:rPr>
      <w:rFonts w:ascii="宋体" w:hAnsi="宋体"/>
      <w:sz w:val="28"/>
      <w:szCs w:val="28"/>
    </w:rPr>
  </w:style>
  <w:style w:type="paragraph" w:customStyle="1" w:styleId="545">
    <w:name w:val="Char22"/>
    <w:basedOn w:val="1"/>
    <w:qFormat/>
    <w:uiPriority w:val="0"/>
    <w:pPr>
      <w:widowControl/>
    </w:pPr>
    <w:rPr>
      <w:rFonts w:ascii="Tahoma" w:hAnsi="Tahoma"/>
      <w:kern w:val="0"/>
      <w:sz w:val="24"/>
    </w:rPr>
  </w:style>
  <w:style w:type="paragraph" w:customStyle="1" w:styleId="546">
    <w:name w:val="Normal1"/>
    <w:basedOn w:val="24"/>
    <w:qFormat/>
    <w:uiPriority w:val="0"/>
    <w:pPr>
      <w:tabs>
        <w:tab w:val="clear" w:pos="748"/>
      </w:tabs>
      <w:spacing w:after="120" w:line="240" w:lineRule="auto"/>
      <w:ind w:left="0"/>
    </w:pPr>
  </w:style>
  <w:style w:type="paragraph" w:customStyle="1" w:styleId="547">
    <w:name w:val="Char Char3"/>
    <w:basedOn w:val="26"/>
    <w:semiHidden/>
    <w:qFormat/>
    <w:uiPriority w:val="0"/>
    <w:pPr>
      <w:widowControl/>
      <w:shd w:val="clear" w:color="000000" w:fill="000080"/>
      <w:snapToGrid w:val="0"/>
      <w:jc w:val="left"/>
    </w:pPr>
    <w:rPr>
      <w:rFonts w:ascii="Tahoma" w:hAnsi="Tahoma"/>
      <w:kern w:val="0"/>
      <w:sz w:val="21"/>
      <w:szCs w:val="21"/>
    </w:rPr>
  </w:style>
  <w:style w:type="paragraph" w:customStyle="1" w:styleId="548">
    <w:name w:val="封面正文"/>
    <w:qFormat/>
    <w:uiPriority w:val="0"/>
    <w:pPr>
      <w:numPr>
        <w:ilvl w:val="0"/>
        <w:numId w:val="34"/>
      </w:numPr>
      <w:tabs>
        <w:tab w:val="clear" w:pos="425"/>
      </w:tabs>
      <w:ind w:left="0" w:firstLine="0"/>
      <w:jc w:val="both"/>
    </w:pPr>
    <w:rPr>
      <w:rFonts w:ascii="Times New Roman" w:hAnsi="Times New Roman" w:eastAsia="宋体" w:cs="Times New Roman"/>
      <w:lang w:val="en-US" w:eastAsia="zh-CN" w:bidi="ar-SA"/>
    </w:rPr>
  </w:style>
  <w:style w:type="paragraph" w:customStyle="1" w:styleId="549">
    <w:name w:val="正文（段前间距）"/>
    <w:basedOn w:val="21"/>
    <w:qFormat/>
    <w:uiPriority w:val="0"/>
    <w:pPr>
      <w:widowControl/>
      <w:autoSpaceDE/>
      <w:autoSpaceDN/>
      <w:adjustRightInd/>
      <w:spacing w:before="50" w:line="240" w:lineRule="atLeast"/>
      <w:ind w:firstLine="200"/>
      <w:jc w:val="both"/>
    </w:pPr>
    <w:rPr>
      <w:rFonts w:ascii="Times New Roman" w:eastAsia="宋体"/>
      <w:sz w:val="21"/>
      <w:szCs w:val="21"/>
    </w:rPr>
  </w:style>
  <w:style w:type="paragraph" w:customStyle="1" w:styleId="550">
    <w:name w:val="列项——"/>
    <w:qFormat/>
    <w:uiPriority w:val="0"/>
    <w:pPr>
      <w:tabs>
        <w:tab w:val="left" w:pos="567"/>
      </w:tabs>
      <w:ind w:left="567"/>
      <w:jc w:val="both"/>
    </w:pPr>
    <w:rPr>
      <w:rFonts w:ascii="宋体" w:hAnsi="Times New Roman" w:eastAsia="宋体" w:cs="Times New Roman"/>
      <w:sz w:val="21"/>
      <w:szCs w:val="21"/>
      <w:lang w:val="en-US" w:eastAsia="zh-CN" w:bidi="ar-SA"/>
    </w:rPr>
  </w:style>
  <w:style w:type="paragraph" w:customStyle="1" w:styleId="551">
    <w:name w:val="一级数字列表"/>
    <w:basedOn w:val="1"/>
    <w:qFormat/>
    <w:uiPriority w:val="0"/>
    <w:pPr>
      <w:widowControl/>
      <w:numPr>
        <w:ilvl w:val="0"/>
        <w:numId w:val="35"/>
      </w:numPr>
      <w:spacing w:line="360" w:lineRule="auto"/>
      <w:ind w:firstLine="0"/>
      <w:jc w:val="left"/>
    </w:pPr>
    <w:rPr>
      <w:kern w:val="0"/>
      <w:sz w:val="24"/>
    </w:rPr>
  </w:style>
  <w:style w:type="paragraph" w:customStyle="1" w:styleId="552">
    <w:name w:val="五级无标题条"/>
    <w:basedOn w:val="1"/>
    <w:qFormat/>
    <w:uiPriority w:val="0"/>
    <w:pPr>
      <w:widowControl/>
    </w:pPr>
    <w:rPr>
      <w:kern w:val="0"/>
      <w:szCs w:val="21"/>
    </w:rPr>
  </w:style>
  <w:style w:type="paragraph" w:customStyle="1" w:styleId="553">
    <w:name w:val="infoblue"/>
    <w:basedOn w:val="1"/>
    <w:qFormat/>
    <w:uiPriority w:val="0"/>
    <w:pPr>
      <w:widowControl/>
      <w:spacing w:after="120" w:line="240" w:lineRule="atLeast"/>
      <w:ind w:left="720"/>
      <w:jc w:val="left"/>
    </w:pPr>
    <w:rPr>
      <w:i/>
      <w:color w:val="0000FF"/>
      <w:kern w:val="0"/>
      <w:sz w:val="20"/>
      <w:szCs w:val="20"/>
      <w:lang w:eastAsia="en-US"/>
    </w:rPr>
  </w:style>
  <w:style w:type="paragraph" w:customStyle="1" w:styleId="554">
    <w:name w:val="默认段落字体 Para Char Char Char Char Char Char Char Char Char"/>
    <w:basedOn w:val="1"/>
    <w:qFormat/>
    <w:uiPriority w:val="0"/>
    <w:pPr>
      <w:widowControl/>
    </w:pPr>
    <w:rPr>
      <w:rFonts w:ascii="Tahoma" w:hAnsi="Tahoma"/>
      <w:kern w:val="0"/>
      <w:sz w:val="24"/>
    </w:rPr>
  </w:style>
  <w:style w:type="character" w:customStyle="1" w:styleId="555">
    <w:name w:val="IBM 正文 Char Char Char Char Char Char"/>
    <w:link w:val="556"/>
    <w:qFormat/>
    <w:uiPriority w:val="0"/>
    <w:rPr>
      <w:rFonts w:ascii="Calibri" w:hAnsi="Calibri"/>
      <w:sz w:val="24"/>
      <w:szCs w:val="24"/>
    </w:rPr>
  </w:style>
  <w:style w:type="paragraph" w:customStyle="1" w:styleId="556">
    <w:name w:val="IBM 正文 Char Char Char Char Char"/>
    <w:basedOn w:val="1"/>
    <w:link w:val="555"/>
    <w:qFormat/>
    <w:uiPriority w:val="0"/>
    <w:pPr>
      <w:widowControl/>
      <w:spacing w:line="360" w:lineRule="exact"/>
    </w:pPr>
    <w:rPr>
      <w:rFonts w:ascii="Calibri" w:hAnsi="Calibri"/>
      <w:kern w:val="0"/>
      <w:sz w:val="24"/>
    </w:rPr>
  </w:style>
  <w:style w:type="character" w:customStyle="1" w:styleId="557">
    <w:name w:val="标题 3 Char Char"/>
    <w:qFormat/>
    <w:uiPriority w:val="0"/>
    <w:rPr>
      <w:rFonts w:ascii="宋体" w:hAnsi="宋体" w:eastAsia="宋体"/>
      <w:b/>
      <w:sz w:val="28"/>
      <w:szCs w:val="28"/>
      <w:lang w:val="en-US" w:eastAsia="zh-CN" w:bidi="ar-SA"/>
    </w:rPr>
  </w:style>
  <w:style w:type="character" w:customStyle="1" w:styleId="558">
    <w:name w:val="表格内文字 Char"/>
    <w:link w:val="377"/>
    <w:qFormat/>
    <w:uiPriority w:val="0"/>
    <w:rPr>
      <w:rFonts w:ascii="Arial" w:hAnsi="Arial"/>
      <w:sz w:val="18"/>
      <w:szCs w:val="18"/>
    </w:rPr>
  </w:style>
  <w:style w:type="paragraph" w:customStyle="1" w:styleId="559">
    <w:name w:val="Body1!"/>
    <w:basedOn w:val="4"/>
    <w:link w:val="560"/>
    <w:qFormat/>
    <w:uiPriority w:val="0"/>
    <w:pPr>
      <w:keepNext w:val="0"/>
      <w:keepLines w:val="0"/>
      <w:widowControl/>
      <w:tabs>
        <w:tab w:val="left" w:pos="0"/>
        <w:tab w:val="left" w:pos="1247"/>
      </w:tabs>
      <w:spacing w:before="120" w:after="0" w:line="288" w:lineRule="auto"/>
      <w:ind w:left="1247" w:firstLine="200"/>
      <w:jc w:val="left"/>
      <w:outlineLvl w:val="9"/>
    </w:pPr>
    <w:rPr>
      <w:rFonts w:eastAsia="宋体"/>
      <w:bCs w:val="0"/>
      <w:kern w:val="0"/>
      <w:sz w:val="21"/>
      <w:szCs w:val="21"/>
    </w:rPr>
  </w:style>
  <w:style w:type="character" w:customStyle="1" w:styleId="560">
    <w:name w:val="Body1! Char"/>
    <w:link w:val="559"/>
    <w:qFormat/>
    <w:uiPriority w:val="0"/>
    <w:rPr>
      <w:rFonts w:ascii="Arial" w:hAnsi="Arial"/>
      <w:b/>
      <w:sz w:val="21"/>
      <w:szCs w:val="21"/>
    </w:rPr>
  </w:style>
  <w:style w:type="paragraph" w:customStyle="1" w:styleId="561">
    <w:name w:val="Body"/>
    <w:basedOn w:val="1"/>
    <w:link w:val="562"/>
    <w:qFormat/>
    <w:uiPriority w:val="0"/>
    <w:pPr>
      <w:widowControl/>
      <w:tabs>
        <w:tab w:val="left" w:pos="1247"/>
      </w:tabs>
      <w:spacing w:before="120" w:line="288" w:lineRule="auto"/>
      <w:ind w:left="1247"/>
    </w:pPr>
    <w:rPr>
      <w:rFonts w:ascii="Arial" w:hAnsi="Arial"/>
      <w:kern w:val="0"/>
      <w:szCs w:val="21"/>
      <w:lang w:eastAsia="en-US"/>
    </w:rPr>
  </w:style>
  <w:style w:type="character" w:customStyle="1" w:styleId="562">
    <w:name w:val="Body Char2"/>
    <w:link w:val="561"/>
    <w:qFormat/>
    <w:uiPriority w:val="0"/>
    <w:rPr>
      <w:rFonts w:ascii="Arial" w:hAnsi="Arial"/>
      <w:sz w:val="21"/>
      <w:szCs w:val="21"/>
      <w:lang w:eastAsia="en-US"/>
    </w:rPr>
  </w:style>
  <w:style w:type="paragraph" w:customStyle="1" w:styleId="563">
    <w:name w:val="样式 标题 3sect1.2.3h3l3CTl3+toc 3heading 3Sub-section Title..."/>
    <w:basedOn w:val="5"/>
    <w:qFormat/>
    <w:uiPriority w:val="0"/>
    <w:pPr>
      <w:keepNext w:val="0"/>
      <w:keepLines w:val="0"/>
      <w:widowControl/>
      <w:tabs>
        <w:tab w:val="left" w:pos="722"/>
      </w:tabs>
      <w:autoSpaceDE/>
      <w:autoSpaceDN/>
      <w:adjustRightInd/>
      <w:spacing w:before="0" w:after="0" w:line="360" w:lineRule="auto"/>
      <w:ind w:left="722" w:hanging="720"/>
    </w:pPr>
    <w:rPr>
      <w:rFonts w:ascii="Times New Roman" w:eastAsia="宋体" w:cs="宋体"/>
      <w:b/>
      <w:szCs w:val="28"/>
    </w:rPr>
  </w:style>
  <w:style w:type="paragraph" w:customStyle="1" w:styleId="564">
    <w:name w:val="文件标题1"/>
    <w:basedOn w:val="1"/>
    <w:qFormat/>
    <w:uiPriority w:val="0"/>
    <w:pPr>
      <w:widowControl/>
      <w:numPr>
        <w:ilvl w:val="0"/>
        <w:numId w:val="36"/>
      </w:numPr>
      <w:spacing w:line="360" w:lineRule="auto"/>
      <w:ind w:firstLine="0"/>
      <w:jc w:val="left"/>
      <w:outlineLvl w:val="0"/>
    </w:pPr>
    <w:rPr>
      <w:b/>
      <w:kern w:val="0"/>
      <w:sz w:val="24"/>
    </w:rPr>
  </w:style>
  <w:style w:type="paragraph" w:customStyle="1" w:styleId="565">
    <w:name w:val="文件标题1.1"/>
    <w:basedOn w:val="1"/>
    <w:link w:val="566"/>
    <w:qFormat/>
    <w:uiPriority w:val="0"/>
    <w:pPr>
      <w:widowControl/>
      <w:numPr>
        <w:ilvl w:val="1"/>
        <w:numId w:val="36"/>
      </w:numPr>
      <w:spacing w:line="360" w:lineRule="auto"/>
      <w:ind w:firstLine="0"/>
      <w:jc w:val="left"/>
      <w:outlineLvl w:val="1"/>
    </w:pPr>
    <w:rPr>
      <w:b/>
      <w:kern w:val="0"/>
      <w:sz w:val="24"/>
    </w:rPr>
  </w:style>
  <w:style w:type="character" w:customStyle="1" w:styleId="566">
    <w:name w:val="文件标题1.1 Char Char"/>
    <w:link w:val="565"/>
    <w:qFormat/>
    <w:uiPriority w:val="0"/>
    <w:rPr>
      <w:b/>
      <w:sz w:val="24"/>
      <w:szCs w:val="24"/>
    </w:rPr>
  </w:style>
  <w:style w:type="paragraph" w:customStyle="1" w:styleId="567">
    <w:name w:val="图编号"/>
    <w:basedOn w:val="8"/>
    <w:qFormat/>
    <w:uiPriority w:val="0"/>
    <w:pPr>
      <w:keepNext w:val="0"/>
      <w:keepLines w:val="0"/>
      <w:widowControl/>
      <w:spacing w:before="0" w:after="0" w:line="360" w:lineRule="auto"/>
      <w:ind w:left="3312" w:hanging="432"/>
      <w:jc w:val="center"/>
    </w:pPr>
    <w:rPr>
      <w:rFonts w:ascii="Times New Roman" w:hAnsi="Times New Roman" w:eastAsia="宋体"/>
      <w:b w:val="0"/>
      <w:bCs w:val="0"/>
      <w:kern w:val="0"/>
      <w:sz w:val="21"/>
      <w:szCs w:val="21"/>
    </w:rPr>
  </w:style>
  <w:style w:type="paragraph" w:customStyle="1" w:styleId="568">
    <w:name w:val="表编号"/>
    <w:basedOn w:val="9"/>
    <w:qFormat/>
    <w:uiPriority w:val="0"/>
    <w:pPr>
      <w:keepNext w:val="0"/>
      <w:keepLines w:val="0"/>
      <w:widowControl/>
      <w:numPr>
        <w:ilvl w:val="0"/>
        <w:numId w:val="37"/>
      </w:numPr>
      <w:spacing w:before="0" w:after="0" w:line="360" w:lineRule="auto"/>
      <w:jc w:val="center"/>
    </w:pPr>
    <w:rPr>
      <w:b w:val="0"/>
      <w:bCs w:val="0"/>
      <w:kern w:val="0"/>
      <w:sz w:val="21"/>
      <w:szCs w:val="21"/>
    </w:rPr>
  </w:style>
  <w:style w:type="paragraph" w:customStyle="1" w:styleId="569">
    <w:name w:val="标准标题三"/>
    <w:basedOn w:val="1"/>
    <w:qFormat/>
    <w:uiPriority w:val="0"/>
    <w:pPr>
      <w:widowControl/>
      <w:numPr>
        <w:ilvl w:val="3"/>
        <w:numId w:val="38"/>
      </w:numPr>
      <w:tabs>
        <w:tab w:val="left" w:pos="709"/>
        <w:tab w:val="clear" w:pos="851"/>
      </w:tabs>
      <w:spacing w:line="480" w:lineRule="atLeast"/>
      <w:ind w:left="709" w:hanging="709"/>
    </w:pPr>
    <w:rPr>
      <w:rFonts w:eastAsia="黑体"/>
      <w:b/>
      <w:kern w:val="0"/>
      <w:sz w:val="28"/>
      <w:szCs w:val="28"/>
    </w:rPr>
  </w:style>
  <w:style w:type="paragraph" w:customStyle="1" w:styleId="570">
    <w:name w:val="样式 表格标题(居中) + 宋体 小四 非加粗 左 行距: 1.5 倍行距"/>
    <w:basedOn w:val="191"/>
    <w:qFormat/>
    <w:uiPriority w:val="0"/>
    <w:pPr>
      <w:spacing w:line="360" w:lineRule="auto"/>
      <w:ind w:firstLine="200"/>
    </w:pPr>
    <w:rPr>
      <w:rFonts w:ascii="宋体" w:hAnsi="宋体" w:cs="宋体"/>
      <w:b w:val="0"/>
      <w:sz w:val="24"/>
      <w:szCs w:val="24"/>
    </w:rPr>
  </w:style>
  <w:style w:type="character" w:customStyle="1" w:styleId="571">
    <w:name w:val="表格 Char Char"/>
    <w:qFormat/>
    <w:uiPriority w:val="0"/>
    <w:rPr>
      <w:sz w:val="21"/>
      <w:szCs w:val="21"/>
      <w:lang w:val="en-US" w:eastAsia="zh-CN"/>
    </w:rPr>
  </w:style>
  <w:style w:type="paragraph" w:customStyle="1" w:styleId="572">
    <w:name w:val="正文首行缩进  2 字符"/>
    <w:basedOn w:val="83"/>
    <w:qFormat/>
    <w:uiPriority w:val="0"/>
    <w:pPr>
      <w:snapToGrid w:val="0"/>
      <w:spacing w:after="0"/>
      <w:ind w:left="0" w:firstLine="200"/>
      <w:jc w:val="left"/>
    </w:pPr>
    <w:rPr>
      <w:rFonts w:cs="宋体"/>
      <w:b/>
    </w:rPr>
  </w:style>
  <w:style w:type="paragraph" w:customStyle="1" w:styleId="573">
    <w:name w:val="正文缩进1"/>
    <w:basedOn w:val="1"/>
    <w:qFormat/>
    <w:uiPriority w:val="0"/>
    <w:pPr>
      <w:widowControl/>
      <w:snapToGrid w:val="0"/>
      <w:spacing w:line="360" w:lineRule="auto"/>
      <w:ind w:firstLine="420"/>
      <w:jc w:val="left"/>
    </w:pPr>
    <w:rPr>
      <w:kern w:val="0"/>
      <w:sz w:val="24"/>
    </w:rPr>
  </w:style>
  <w:style w:type="paragraph" w:customStyle="1" w:styleId="574">
    <w:name w:val="正文缩进2"/>
    <w:basedOn w:val="1"/>
    <w:qFormat/>
    <w:uiPriority w:val="0"/>
    <w:pPr>
      <w:widowControl/>
      <w:snapToGrid w:val="0"/>
      <w:spacing w:line="360" w:lineRule="auto"/>
      <w:ind w:firstLine="420"/>
      <w:jc w:val="left"/>
    </w:pPr>
    <w:rPr>
      <w:kern w:val="0"/>
      <w:sz w:val="24"/>
    </w:rPr>
  </w:style>
  <w:style w:type="character" w:customStyle="1" w:styleId="575">
    <w:name w:val="Char Char131"/>
    <w:qFormat/>
    <w:uiPriority w:val="0"/>
    <w:rPr>
      <w:rFonts w:ascii="Times New Roman" w:hAnsi="Times New Roman" w:eastAsia="宋体" w:cs="Times New Roman"/>
      <w:sz w:val="18"/>
      <w:szCs w:val="18"/>
    </w:rPr>
  </w:style>
  <w:style w:type="character" w:customStyle="1" w:styleId="576">
    <w:name w:val="Char Char121"/>
    <w:qFormat/>
    <w:uiPriority w:val="0"/>
    <w:rPr>
      <w:rFonts w:ascii="Times New Roman" w:hAnsi="Times New Roman" w:eastAsia="宋体" w:cs="Times New Roman"/>
      <w:sz w:val="18"/>
      <w:szCs w:val="18"/>
    </w:rPr>
  </w:style>
  <w:style w:type="paragraph" w:customStyle="1" w:styleId="577">
    <w:name w:val="插图说明"/>
    <w:basedOn w:val="1"/>
    <w:link w:val="935"/>
    <w:qFormat/>
    <w:uiPriority w:val="0"/>
    <w:pPr>
      <w:widowControl/>
      <w:spacing w:after="240"/>
      <w:ind w:firstLine="200"/>
      <w:jc w:val="center"/>
    </w:pPr>
    <w:rPr>
      <w:rFonts w:eastAsia="黑体"/>
      <w:kern w:val="0"/>
      <w:sz w:val="24"/>
    </w:rPr>
  </w:style>
  <w:style w:type="paragraph" w:customStyle="1" w:styleId="578">
    <w:name w:val="图号编码"/>
    <w:qFormat/>
    <w:uiPriority w:val="0"/>
    <w:pPr>
      <w:numPr>
        <w:ilvl w:val="0"/>
        <w:numId w:val="39"/>
      </w:numPr>
      <w:kinsoku w:val="0"/>
      <w:wordWrap w:val="0"/>
      <w:overflowPunct w:val="0"/>
      <w:autoSpaceDE w:val="0"/>
      <w:autoSpaceDN w:val="0"/>
      <w:jc w:val="center"/>
    </w:pPr>
    <w:rPr>
      <w:rFonts w:ascii="Times New Roman" w:hAnsi="Times New Roman" w:eastAsia="宋体" w:cs="Times New Roman"/>
      <w:sz w:val="21"/>
      <w:szCs w:val="21"/>
      <w:lang w:val="en-US" w:eastAsia="zh-CN" w:bidi="ar-SA"/>
    </w:rPr>
  </w:style>
  <w:style w:type="table" w:customStyle="1" w:styleId="579">
    <w:name w:val="Table"/>
    <w:basedOn w:val="86"/>
    <w:qFormat/>
    <w:uiPriority w:val="0"/>
    <w:pPr>
      <w:snapToGrid w:val="0"/>
    </w:pPr>
    <w:tblStylePr w:type="firstRow">
      <w:pPr>
        <w:wordWrap w:val="0"/>
        <w:ind w:left="0" w:leftChars="0" w:firstLine="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000000" w:fill="D9D9D9"/>
      </w:tcPr>
    </w:tblStylePr>
  </w:style>
  <w:style w:type="paragraph" w:customStyle="1" w:styleId="580">
    <w:name w:val="样式 首行缩进:  2 字符"/>
    <w:basedOn w:val="1"/>
    <w:qFormat/>
    <w:uiPriority w:val="0"/>
    <w:pPr>
      <w:widowControl/>
      <w:spacing w:line="360" w:lineRule="auto"/>
      <w:ind w:firstLine="200"/>
    </w:pPr>
    <w:rPr>
      <w:rFonts w:cs="宋体"/>
      <w:kern w:val="0"/>
      <w:szCs w:val="21"/>
    </w:rPr>
  </w:style>
  <w:style w:type="paragraph" w:customStyle="1" w:styleId="581">
    <w:name w:val="正文s"/>
    <w:basedOn w:val="456"/>
    <w:next w:val="410"/>
    <w:qFormat/>
    <w:uiPriority w:val="0"/>
    <w:pPr>
      <w:tabs>
        <w:tab w:val="clear" w:pos="1200"/>
      </w:tabs>
      <w:ind w:left="0" w:firstLine="420"/>
    </w:pPr>
    <w:rPr>
      <w:rFonts w:cs="宋体"/>
      <w:sz w:val="21"/>
      <w:szCs w:val="21"/>
    </w:rPr>
  </w:style>
  <w:style w:type="paragraph" w:customStyle="1" w:styleId="582">
    <w:name w:val="编号1内正文"/>
    <w:basedOn w:val="1"/>
    <w:link w:val="583"/>
    <w:qFormat/>
    <w:uiPriority w:val="0"/>
    <w:pPr>
      <w:widowControl/>
      <w:tabs>
        <w:tab w:val="left" w:pos="1667"/>
      </w:tabs>
      <w:spacing w:before="60" w:after="60" w:line="288" w:lineRule="auto"/>
      <w:ind w:left="1667"/>
    </w:pPr>
    <w:rPr>
      <w:rFonts w:ascii="Arial" w:hAnsi="Arial"/>
      <w:kern w:val="0"/>
      <w:szCs w:val="21"/>
    </w:rPr>
  </w:style>
  <w:style w:type="character" w:customStyle="1" w:styleId="583">
    <w:name w:val="编号1内正文 Char"/>
    <w:link w:val="582"/>
    <w:qFormat/>
    <w:uiPriority w:val="0"/>
    <w:rPr>
      <w:rFonts w:ascii="Arial" w:hAnsi="Arial"/>
      <w:sz w:val="21"/>
      <w:szCs w:val="21"/>
    </w:rPr>
  </w:style>
  <w:style w:type="paragraph" w:customStyle="1" w:styleId="584">
    <w:name w:val="标题5"/>
    <w:basedOn w:val="1"/>
    <w:link w:val="796"/>
    <w:qFormat/>
    <w:uiPriority w:val="0"/>
    <w:pPr>
      <w:widowControl/>
      <w:tabs>
        <w:tab w:val="left" w:pos="992"/>
      </w:tabs>
      <w:spacing w:line="360" w:lineRule="auto"/>
      <w:ind w:left="992" w:hanging="992"/>
      <w:outlineLvl w:val="4"/>
    </w:pPr>
    <w:rPr>
      <w:b/>
      <w:kern w:val="0"/>
      <w:sz w:val="28"/>
      <w:szCs w:val="28"/>
    </w:rPr>
  </w:style>
  <w:style w:type="paragraph" w:customStyle="1" w:styleId="585">
    <w:name w:val="1.1"/>
    <w:basedOn w:val="133"/>
    <w:link w:val="587"/>
    <w:qFormat/>
    <w:uiPriority w:val="0"/>
    <w:pPr>
      <w:widowControl/>
      <w:tabs>
        <w:tab w:val="left" w:pos="284"/>
      </w:tabs>
      <w:ind w:left="992" w:firstLine="0" w:firstLineChars="0"/>
    </w:pPr>
    <w:rPr>
      <w:rFonts w:ascii="Calibri" w:hAnsi="Calibri"/>
      <w:b/>
      <w:kern w:val="0"/>
      <w:sz w:val="28"/>
      <w:szCs w:val="28"/>
    </w:rPr>
  </w:style>
  <w:style w:type="character" w:customStyle="1" w:styleId="586">
    <w:name w:val="列出段落 Char"/>
    <w:link w:val="133"/>
    <w:qFormat/>
    <w:uiPriority w:val="0"/>
    <w:rPr>
      <w:kern w:val="2"/>
      <w:sz w:val="21"/>
    </w:rPr>
  </w:style>
  <w:style w:type="character" w:customStyle="1" w:styleId="587">
    <w:name w:val="1.1 Char"/>
    <w:link w:val="585"/>
    <w:qFormat/>
    <w:uiPriority w:val="0"/>
    <w:rPr>
      <w:rFonts w:ascii="Calibri" w:hAnsi="Calibri"/>
      <w:b/>
      <w:sz w:val="28"/>
      <w:szCs w:val="28"/>
    </w:rPr>
  </w:style>
  <w:style w:type="character" w:customStyle="1" w:styleId="588">
    <w:name w:val="Char Char7"/>
    <w:qFormat/>
    <w:uiPriority w:val="0"/>
    <w:rPr>
      <w:rFonts w:ascii="宋体" w:hAnsi="Courier New" w:eastAsia="宋体" w:cs="Times New Roman"/>
    </w:rPr>
  </w:style>
  <w:style w:type="paragraph" w:customStyle="1" w:styleId="589">
    <w:name w:val="msolistparagraph"/>
    <w:basedOn w:val="1"/>
    <w:qFormat/>
    <w:uiPriority w:val="0"/>
    <w:pPr>
      <w:widowControl/>
      <w:spacing w:line="360" w:lineRule="auto"/>
    </w:pPr>
    <w:rPr>
      <w:kern w:val="0"/>
      <w:sz w:val="24"/>
    </w:rPr>
  </w:style>
  <w:style w:type="paragraph" w:customStyle="1" w:styleId="590">
    <w:name w:val="样式 标题 3h3H3sect1.2.3Alt+31.1.1 Heading 3Titolo Sotto/Sotto..."/>
    <w:basedOn w:val="5"/>
    <w:qFormat/>
    <w:uiPriority w:val="0"/>
    <w:pPr>
      <w:keepNext w:val="0"/>
      <w:keepLines w:val="0"/>
      <w:widowControl/>
      <w:autoSpaceDE/>
      <w:autoSpaceDN/>
      <w:adjustRightInd/>
      <w:spacing w:line="360" w:lineRule="auto"/>
      <w:ind w:left="1035" w:hanging="855"/>
    </w:pPr>
    <w:rPr>
      <w:rFonts w:ascii="Times New Roman" w:eastAsia="宋体" w:cs="宋体"/>
      <w:b/>
      <w:sz w:val="30"/>
      <w:szCs w:val="30"/>
    </w:rPr>
  </w:style>
  <w:style w:type="paragraph" w:customStyle="1" w:styleId="591">
    <w:name w:val="样式 宋体 四号 行距: 1.5 倍行距"/>
    <w:basedOn w:val="1"/>
    <w:qFormat/>
    <w:uiPriority w:val="0"/>
    <w:pPr>
      <w:widowControl/>
      <w:spacing w:line="360" w:lineRule="auto"/>
      <w:ind w:firstLine="225"/>
    </w:pPr>
    <w:rPr>
      <w:rFonts w:ascii="宋体" w:hAnsi="宋体" w:cs="宋体"/>
      <w:kern w:val="0"/>
      <w:sz w:val="24"/>
    </w:rPr>
  </w:style>
  <w:style w:type="character" w:customStyle="1" w:styleId="592">
    <w:name w:val="样式 宋体 四号"/>
    <w:qFormat/>
    <w:uiPriority w:val="0"/>
    <w:rPr>
      <w:rFonts w:ascii="宋体" w:hAnsi="宋体"/>
      <w:sz w:val="24"/>
      <w:szCs w:val="24"/>
    </w:rPr>
  </w:style>
  <w:style w:type="paragraph" w:customStyle="1" w:styleId="593">
    <w:name w:val="Char Char Char Char Char Char2 Char Char Char Char"/>
    <w:basedOn w:val="1"/>
    <w:qFormat/>
    <w:uiPriority w:val="0"/>
    <w:pPr>
      <w:widowControl/>
      <w:spacing w:line="360" w:lineRule="auto"/>
      <w:ind w:firstLine="200"/>
    </w:pPr>
    <w:rPr>
      <w:rFonts w:ascii="Tahoma" w:hAnsi="Tahoma"/>
      <w:kern w:val="0"/>
      <w:sz w:val="24"/>
    </w:rPr>
  </w:style>
  <w:style w:type="paragraph" w:customStyle="1" w:styleId="594">
    <w:name w:val="样式 标题 3h3H3sect1.2.3Alt+31.1.1 Heading 3Titolo Sotto/Sotto...1"/>
    <w:basedOn w:val="5"/>
    <w:qFormat/>
    <w:uiPriority w:val="0"/>
    <w:pPr>
      <w:keepNext w:val="0"/>
      <w:keepLines w:val="0"/>
      <w:widowControl/>
      <w:autoSpaceDE/>
      <w:autoSpaceDN/>
      <w:adjustRightInd/>
      <w:spacing w:line="360" w:lineRule="auto"/>
      <w:ind w:left="1134" w:hanging="855"/>
    </w:pPr>
    <w:rPr>
      <w:rFonts w:ascii="宋体" w:hAnsi="宋体" w:eastAsia="宋体"/>
      <w:b/>
      <w:sz w:val="30"/>
      <w:szCs w:val="30"/>
    </w:rPr>
  </w:style>
  <w:style w:type="paragraph" w:customStyle="1" w:styleId="595">
    <w:name w:val="摘要"/>
    <w:basedOn w:val="1"/>
    <w:next w:val="4"/>
    <w:qFormat/>
    <w:uiPriority w:val="0"/>
    <w:pPr>
      <w:widowControl/>
      <w:spacing w:line="360" w:lineRule="auto"/>
    </w:pPr>
    <w:rPr>
      <w:rFonts w:eastAsia="黑体"/>
      <w:kern w:val="0"/>
      <w:sz w:val="24"/>
    </w:rPr>
  </w:style>
  <w:style w:type="paragraph" w:customStyle="1" w:styleId="596">
    <w:name w:val="Char1 Char Char1"/>
    <w:basedOn w:val="1"/>
    <w:qFormat/>
    <w:uiPriority w:val="0"/>
    <w:pPr>
      <w:widowControl/>
    </w:pPr>
    <w:rPr>
      <w:rFonts w:ascii="Tahoma" w:hAnsi="Tahoma"/>
      <w:kern w:val="0"/>
      <w:sz w:val="24"/>
    </w:rPr>
  </w:style>
  <w:style w:type="character" w:customStyle="1" w:styleId="597">
    <w:name w:val="t18"/>
    <w:qFormat/>
    <w:uiPriority w:val="0"/>
  </w:style>
  <w:style w:type="paragraph" w:customStyle="1" w:styleId="598">
    <w:name w:val="Char Char Char Char Char Char Char Char Char Char"/>
    <w:basedOn w:val="1"/>
    <w:qFormat/>
    <w:uiPriority w:val="0"/>
    <w:pPr>
      <w:widowControl/>
    </w:pPr>
    <w:rPr>
      <w:rFonts w:ascii="Tahoma" w:hAnsi="Tahoma"/>
      <w:kern w:val="0"/>
      <w:sz w:val="24"/>
    </w:rPr>
  </w:style>
  <w:style w:type="paragraph" w:customStyle="1" w:styleId="599">
    <w:name w:val="正文图标题"/>
    <w:next w:val="199"/>
    <w:qFormat/>
    <w:uiPriority w:val="0"/>
    <w:pPr>
      <w:numPr>
        <w:ilvl w:val="0"/>
        <w:numId w:val="40"/>
      </w:numPr>
      <w:jc w:val="center"/>
    </w:pPr>
    <w:rPr>
      <w:rFonts w:ascii="黑体" w:hAnsi="Times New Roman" w:eastAsia="黑体" w:cs="Times New Roman"/>
      <w:sz w:val="21"/>
      <w:szCs w:val="21"/>
      <w:lang w:val="en-US" w:eastAsia="zh-CN" w:bidi="ar-SA"/>
    </w:rPr>
  </w:style>
  <w:style w:type="character" w:customStyle="1" w:styleId="600">
    <w:name w:val="tw4winInternal"/>
    <w:qFormat/>
    <w:uiPriority w:val="0"/>
    <w:rPr>
      <w:rFonts w:ascii="Courier New" w:hAnsi="Courier New"/>
      <w:color w:val="FF0000"/>
    </w:rPr>
  </w:style>
  <w:style w:type="character" w:customStyle="1" w:styleId="601">
    <w:name w:val="tw4winMark"/>
    <w:qFormat/>
    <w:uiPriority w:val="0"/>
    <w:rPr>
      <w:rFonts w:ascii="Courier New" w:hAnsi="Courier New"/>
      <w:vanish/>
      <w:color w:val="800080"/>
      <w:vertAlign w:val="subscript"/>
    </w:rPr>
  </w:style>
  <w:style w:type="character" w:customStyle="1" w:styleId="602">
    <w:name w:val="tw4winTerm"/>
    <w:qFormat/>
    <w:uiPriority w:val="0"/>
    <w:rPr>
      <w:color w:val="0000FF"/>
    </w:rPr>
  </w:style>
  <w:style w:type="character" w:customStyle="1" w:styleId="603">
    <w:name w:val="--规划正文 Char"/>
    <w:qFormat/>
    <w:uiPriority w:val="0"/>
    <w:rPr>
      <w:rFonts w:ascii="Arial" w:hAnsi="Arial" w:eastAsia="宋体"/>
      <w:sz w:val="21"/>
      <w:szCs w:val="21"/>
      <w:lang w:val="en-US" w:eastAsia="zh-CN"/>
    </w:rPr>
  </w:style>
  <w:style w:type="character" w:customStyle="1" w:styleId="604">
    <w:name w:val="tw4winError"/>
    <w:qFormat/>
    <w:uiPriority w:val="0"/>
    <w:rPr>
      <w:rFonts w:ascii="Courier New" w:hAnsi="Courier New"/>
      <w:color w:val="00FF00"/>
      <w:sz w:val="40"/>
      <w:szCs w:val="40"/>
    </w:rPr>
  </w:style>
  <w:style w:type="character" w:customStyle="1" w:styleId="605">
    <w:name w:val="tw4winExternal"/>
    <w:qFormat/>
    <w:uiPriority w:val="0"/>
    <w:rPr>
      <w:rFonts w:ascii="Courier New" w:hAnsi="Courier New"/>
      <w:color w:val="808080"/>
    </w:rPr>
  </w:style>
  <w:style w:type="character" w:customStyle="1" w:styleId="606">
    <w:name w:val="tw4winPopup"/>
    <w:qFormat/>
    <w:uiPriority w:val="0"/>
    <w:rPr>
      <w:rFonts w:ascii="Courier New" w:hAnsi="Courier New"/>
      <w:color w:val="008000"/>
    </w:rPr>
  </w:style>
  <w:style w:type="character" w:customStyle="1" w:styleId="607">
    <w:name w:val="tw4winJump"/>
    <w:qFormat/>
    <w:uiPriority w:val="0"/>
    <w:rPr>
      <w:rFonts w:ascii="Courier New" w:hAnsi="Courier New"/>
      <w:color w:val="008080"/>
    </w:rPr>
  </w:style>
  <w:style w:type="paragraph" w:customStyle="1" w:styleId="608">
    <w:name w:val="Paragraph2"/>
    <w:basedOn w:val="1"/>
    <w:qFormat/>
    <w:uiPriority w:val="0"/>
    <w:pPr>
      <w:widowControl/>
      <w:spacing w:before="80" w:line="240" w:lineRule="atLeast"/>
      <w:ind w:left="720"/>
    </w:pPr>
    <w:rPr>
      <w:rFonts w:ascii="宋体"/>
      <w:color w:val="000000"/>
      <w:kern w:val="0"/>
      <w:sz w:val="20"/>
      <w:szCs w:val="20"/>
      <w:lang w:val="en-AU"/>
    </w:rPr>
  </w:style>
  <w:style w:type="paragraph" w:customStyle="1" w:styleId="609">
    <w:name w:val="源程序"/>
    <w:qFormat/>
    <w:uiPriority w:val="0"/>
    <w:pPr>
      <w:kinsoku w:val="0"/>
      <w:wordWrap w:val="0"/>
      <w:overflowPunct w:val="0"/>
      <w:autoSpaceDE w:val="0"/>
      <w:autoSpaceDN w:val="0"/>
      <w:ind w:left="482"/>
    </w:pPr>
    <w:rPr>
      <w:rFonts w:ascii="Courier New" w:hAnsi="Courier New" w:eastAsia="仿宋_GB2312" w:cs="Times New Roman"/>
      <w:sz w:val="24"/>
      <w:szCs w:val="24"/>
      <w:lang w:val="en-US" w:eastAsia="zh-CN" w:bidi="ar-SA"/>
    </w:rPr>
  </w:style>
  <w:style w:type="paragraph" w:customStyle="1" w:styleId="610">
    <w:name w:val="Paragraph4"/>
    <w:basedOn w:val="1"/>
    <w:qFormat/>
    <w:uiPriority w:val="0"/>
    <w:pPr>
      <w:widowControl/>
      <w:spacing w:before="80"/>
      <w:ind w:left="2250"/>
    </w:pPr>
    <w:rPr>
      <w:rFonts w:ascii="宋体"/>
      <w:kern w:val="0"/>
      <w:sz w:val="20"/>
      <w:szCs w:val="20"/>
    </w:rPr>
  </w:style>
  <w:style w:type="paragraph" w:customStyle="1" w:styleId="611">
    <w:name w:val="Bullet2"/>
    <w:basedOn w:val="1"/>
    <w:qFormat/>
    <w:uiPriority w:val="0"/>
    <w:pPr>
      <w:widowControl/>
      <w:spacing w:line="240" w:lineRule="atLeast"/>
      <w:ind w:left="1440" w:hanging="360"/>
      <w:jc w:val="left"/>
    </w:pPr>
    <w:rPr>
      <w:rFonts w:ascii="宋体"/>
      <w:color w:val="000080"/>
      <w:kern w:val="0"/>
      <w:sz w:val="20"/>
      <w:szCs w:val="20"/>
    </w:rPr>
  </w:style>
  <w:style w:type="paragraph" w:customStyle="1" w:styleId="612">
    <w:name w:val="表格头"/>
    <w:basedOn w:val="1"/>
    <w:qFormat/>
    <w:uiPriority w:val="0"/>
    <w:pPr>
      <w:widowControl/>
      <w:jc w:val="center"/>
    </w:pPr>
    <w:rPr>
      <w:b/>
      <w:kern w:val="0"/>
      <w:sz w:val="18"/>
      <w:szCs w:val="18"/>
    </w:rPr>
  </w:style>
  <w:style w:type="paragraph" w:customStyle="1" w:styleId="613">
    <w:name w:val="Char Char Char Char Char Char1 Char"/>
    <w:basedOn w:val="1"/>
    <w:qFormat/>
    <w:uiPriority w:val="0"/>
    <w:pPr>
      <w:widowControl/>
      <w:spacing w:line="360" w:lineRule="auto"/>
      <w:ind w:firstLine="200"/>
    </w:pPr>
    <w:rPr>
      <w:rFonts w:ascii="Tahoma" w:hAnsi="Tahoma"/>
      <w:kern w:val="0"/>
      <w:sz w:val="24"/>
    </w:rPr>
  </w:style>
  <w:style w:type="paragraph" w:customStyle="1" w:styleId="614">
    <w:name w:val="InfoBlue"/>
    <w:basedOn w:val="1"/>
    <w:next w:val="34"/>
    <w:qFormat/>
    <w:uiPriority w:val="0"/>
    <w:pPr>
      <w:widowControl/>
      <w:spacing w:after="120" w:line="240" w:lineRule="atLeast"/>
      <w:ind w:left="720"/>
      <w:jc w:val="left"/>
    </w:pPr>
    <w:rPr>
      <w:rFonts w:ascii="宋体"/>
      <w:i/>
      <w:color w:val="0000FF"/>
      <w:kern w:val="0"/>
      <w:sz w:val="20"/>
      <w:szCs w:val="20"/>
    </w:rPr>
  </w:style>
  <w:style w:type="paragraph" w:customStyle="1" w:styleId="615">
    <w:name w:val="table text"/>
    <w:basedOn w:val="1"/>
    <w:qFormat/>
    <w:uiPriority w:val="0"/>
    <w:pPr>
      <w:widowControl/>
      <w:spacing w:line="360" w:lineRule="auto"/>
      <w:jc w:val="left"/>
    </w:pPr>
    <w:rPr>
      <w:kern w:val="0"/>
      <w:sz w:val="22"/>
      <w:szCs w:val="22"/>
    </w:rPr>
  </w:style>
  <w:style w:type="paragraph" w:customStyle="1" w:styleId="616">
    <w:name w:val="Char Char Char Char Char Char Char Char Char Char Char Char Char Char"/>
    <w:basedOn w:val="1"/>
    <w:qFormat/>
    <w:uiPriority w:val="0"/>
    <w:pPr>
      <w:widowControl/>
      <w:spacing w:line="360" w:lineRule="auto"/>
      <w:ind w:firstLine="200"/>
    </w:pPr>
    <w:rPr>
      <w:rFonts w:ascii="Tahoma" w:hAnsi="Tahoma"/>
      <w:kern w:val="0"/>
      <w:sz w:val="24"/>
    </w:rPr>
  </w:style>
  <w:style w:type="paragraph" w:customStyle="1" w:styleId="617">
    <w:name w:val="Operation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18">
    <w:name w:val="Char Char Char Char Char Char Char Char"/>
    <w:basedOn w:val="1"/>
    <w:qFormat/>
    <w:uiPriority w:val="0"/>
    <w:pPr>
      <w:widowControl/>
    </w:pPr>
    <w:rPr>
      <w:rFonts w:ascii="Tahoma" w:hAnsi="Tahoma"/>
      <w:kern w:val="0"/>
      <w:sz w:val="24"/>
    </w:rPr>
  </w:style>
  <w:style w:type="paragraph" w:customStyle="1" w:styleId="619">
    <w:name w:val="关键词"/>
    <w:basedOn w:val="1"/>
    <w:next w:val="1"/>
    <w:qFormat/>
    <w:uiPriority w:val="0"/>
    <w:pPr>
      <w:widowControl/>
      <w:tabs>
        <w:tab w:val="left" w:pos="840"/>
        <w:tab w:val="left" w:pos="1871"/>
        <w:tab w:val="left" w:pos="3827"/>
      </w:tabs>
      <w:spacing w:after="240"/>
      <w:ind w:left="567" w:right="567" w:hanging="420"/>
    </w:pPr>
    <w:rPr>
      <w:kern w:val="0"/>
      <w:sz w:val="18"/>
      <w:szCs w:val="18"/>
    </w:rPr>
  </w:style>
  <w:style w:type="paragraph" w:customStyle="1" w:styleId="620">
    <w:name w:val="样式 左 段前: 7.8 磅 段后: 7.8 磅"/>
    <w:basedOn w:val="1"/>
    <w:qFormat/>
    <w:uiPriority w:val="0"/>
    <w:pPr>
      <w:widowControl/>
      <w:spacing w:before="156" w:after="156"/>
      <w:ind w:firstLine="420"/>
      <w:jc w:val="left"/>
    </w:pPr>
    <w:rPr>
      <w:kern w:val="0"/>
      <w:szCs w:val="21"/>
    </w:rPr>
  </w:style>
  <w:style w:type="paragraph" w:customStyle="1" w:styleId="621">
    <w:name w:val="Figure Description"/>
    <w:next w:val="1"/>
    <w:qFormat/>
    <w:uiPriority w:val="0"/>
    <w:pPr>
      <w:tabs>
        <w:tab w:val="left" w:pos="3260"/>
      </w:tabs>
      <w:snapToGrid w:val="0"/>
      <w:spacing w:before="80" w:after="320"/>
      <w:ind w:left="3260" w:hanging="1134"/>
      <w:jc w:val="center"/>
    </w:pPr>
    <w:rPr>
      <w:rFonts w:ascii="Arial" w:hAnsi="Arial" w:eastAsia="黑体" w:cs="Times New Roman"/>
      <w:sz w:val="18"/>
      <w:szCs w:val="18"/>
      <w:lang w:val="en-US" w:eastAsia="zh-CN" w:bidi="ar-SA"/>
    </w:rPr>
  </w:style>
  <w:style w:type="paragraph" w:customStyle="1" w:styleId="622">
    <w:name w:val="样式 正文文本封面顶部文字（居中） + 首行缩进:  2 字符"/>
    <w:basedOn w:val="34"/>
    <w:qFormat/>
    <w:uiPriority w:val="0"/>
    <w:pPr>
      <w:widowControl/>
      <w:tabs>
        <w:tab w:val="left" w:pos="1361"/>
      </w:tabs>
      <w:snapToGrid w:val="0"/>
      <w:spacing w:line="360" w:lineRule="auto"/>
      <w:ind w:firstLine="200"/>
      <w:jc w:val="left"/>
    </w:pPr>
    <w:rPr>
      <w:rFonts w:cs="宋体"/>
      <w:kern w:val="0"/>
      <w:sz w:val="24"/>
      <w:szCs w:val="24"/>
    </w:rPr>
  </w:style>
  <w:style w:type="paragraph" w:customStyle="1" w:styleId="623">
    <w:name w:val="Paragraph1"/>
    <w:basedOn w:val="1"/>
    <w:qFormat/>
    <w:uiPriority w:val="0"/>
    <w:pPr>
      <w:widowControl/>
      <w:spacing w:before="80"/>
    </w:pPr>
    <w:rPr>
      <w:rFonts w:ascii="宋体"/>
      <w:kern w:val="0"/>
      <w:sz w:val="20"/>
      <w:szCs w:val="20"/>
    </w:rPr>
  </w:style>
  <w:style w:type="paragraph" w:customStyle="1" w:styleId="624">
    <w:name w:val="计费规范编写 标题1"/>
    <w:basedOn w:val="1"/>
    <w:qFormat/>
    <w:uiPriority w:val="0"/>
    <w:pPr>
      <w:pageBreakBefore/>
      <w:widowControl/>
      <w:tabs>
        <w:tab w:val="left" w:pos="425"/>
      </w:tabs>
      <w:spacing w:before="240" w:after="120" w:line="360" w:lineRule="auto"/>
      <w:ind w:left="425" w:hanging="425"/>
      <w:jc w:val="left"/>
      <w:outlineLvl w:val="0"/>
    </w:pPr>
    <w:rPr>
      <w:b/>
      <w:kern w:val="0"/>
      <w:sz w:val="44"/>
      <w:szCs w:val="44"/>
    </w:rPr>
  </w:style>
  <w:style w:type="paragraph" w:customStyle="1" w:styleId="625">
    <w:name w:val="Attribute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26">
    <w:name w:val="Main Title"/>
    <w:basedOn w:val="1"/>
    <w:qFormat/>
    <w:uiPriority w:val="0"/>
    <w:pPr>
      <w:widowControl/>
      <w:spacing w:before="480" w:after="60"/>
      <w:jc w:val="center"/>
    </w:pPr>
    <w:rPr>
      <w:rFonts w:ascii="宋体"/>
      <w:b/>
      <w:kern w:val="0"/>
      <w:sz w:val="32"/>
      <w:szCs w:val="32"/>
    </w:rPr>
  </w:style>
  <w:style w:type="paragraph" w:customStyle="1" w:styleId="627">
    <w:name w:val="Char Char7 Char Char5 Char Char Char Char4 Char Char4 Char Char"/>
    <w:basedOn w:val="1"/>
    <w:qFormat/>
    <w:uiPriority w:val="0"/>
    <w:pPr>
      <w:widowControl/>
      <w:spacing w:line="360" w:lineRule="auto"/>
    </w:pPr>
    <w:rPr>
      <w:rFonts w:ascii="宋体" w:hAnsi="宋体"/>
      <w:kern w:val="0"/>
      <w:sz w:val="22"/>
      <w:szCs w:val="22"/>
    </w:rPr>
  </w:style>
  <w:style w:type="paragraph" w:customStyle="1" w:styleId="628">
    <w:name w:val="Table Header"/>
    <w:basedOn w:val="1"/>
    <w:qFormat/>
    <w:uiPriority w:val="0"/>
    <w:pPr>
      <w:widowControl/>
      <w:spacing w:before="120" w:line="360" w:lineRule="auto"/>
      <w:jc w:val="center"/>
    </w:pPr>
    <w:rPr>
      <w:rFonts w:ascii="Sabon Serif for Nokia" w:hAnsi="Sabon Serif for Nokia"/>
      <w:b/>
      <w:kern w:val="0"/>
      <w:sz w:val="22"/>
      <w:szCs w:val="22"/>
      <w:lang w:val="en-AU" w:eastAsia="en-US"/>
    </w:rPr>
  </w:style>
  <w:style w:type="paragraph" w:customStyle="1" w:styleId="629">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30">
    <w:name w:val="Bullet1"/>
    <w:basedOn w:val="1"/>
    <w:qFormat/>
    <w:uiPriority w:val="0"/>
    <w:pPr>
      <w:widowControl/>
      <w:spacing w:line="240" w:lineRule="atLeast"/>
      <w:ind w:left="720" w:hanging="432"/>
      <w:jc w:val="left"/>
    </w:pPr>
    <w:rPr>
      <w:rFonts w:ascii="宋体"/>
      <w:kern w:val="0"/>
      <w:sz w:val="20"/>
      <w:szCs w:val="20"/>
    </w:rPr>
  </w:style>
  <w:style w:type="paragraph" w:customStyle="1" w:styleId="631">
    <w:name w:val="Class Documentation"/>
    <w:basedOn w:val="1"/>
    <w:qFormat/>
    <w:uiPriority w:val="0"/>
    <w:pPr>
      <w:widowControl/>
      <w:overflowPunct w:val="0"/>
      <w:autoSpaceDE w:val="0"/>
      <w:autoSpaceDN w:val="0"/>
      <w:spacing w:before="60"/>
      <w:ind w:left="1440"/>
      <w:jc w:val="left"/>
    </w:pPr>
    <w:rPr>
      <w:kern w:val="0"/>
      <w:sz w:val="20"/>
      <w:szCs w:val="20"/>
    </w:rPr>
  </w:style>
  <w:style w:type="paragraph" w:customStyle="1" w:styleId="632">
    <w:name w:val="Table Description"/>
    <w:next w:val="1"/>
    <w:qFormat/>
    <w:uiPriority w:val="0"/>
    <w:pPr>
      <w:tabs>
        <w:tab w:val="left" w:pos="3827"/>
      </w:tabs>
      <w:snapToGrid w:val="0"/>
      <w:spacing w:before="160" w:after="80"/>
      <w:ind w:left="3827" w:hanging="1276"/>
      <w:jc w:val="center"/>
    </w:pPr>
    <w:rPr>
      <w:rFonts w:ascii="Arial" w:hAnsi="Arial" w:eastAsia="黑体" w:cs="Times New Roman"/>
      <w:sz w:val="18"/>
      <w:szCs w:val="18"/>
      <w:lang w:val="en-US" w:eastAsia="zh-CN" w:bidi="ar-SA"/>
    </w:rPr>
  </w:style>
  <w:style w:type="paragraph" w:customStyle="1" w:styleId="633">
    <w:name w:val="Bullet"/>
    <w:basedOn w:val="1"/>
    <w:qFormat/>
    <w:uiPriority w:val="0"/>
    <w:pPr>
      <w:widowControl/>
      <w:tabs>
        <w:tab w:val="left" w:pos="720"/>
      </w:tabs>
      <w:spacing w:before="120"/>
      <w:ind w:left="720" w:right="360"/>
    </w:pPr>
    <w:rPr>
      <w:rFonts w:ascii="宋体"/>
      <w:kern w:val="0"/>
      <w:sz w:val="20"/>
      <w:szCs w:val="20"/>
    </w:rPr>
  </w:style>
  <w:style w:type="paragraph" w:customStyle="1" w:styleId="634">
    <w:name w:val="Paragraph3"/>
    <w:basedOn w:val="1"/>
    <w:qFormat/>
    <w:uiPriority w:val="0"/>
    <w:pPr>
      <w:widowControl/>
      <w:spacing w:before="80"/>
      <w:ind w:left="1530"/>
    </w:pPr>
    <w:rPr>
      <w:rFonts w:ascii="宋体"/>
      <w:kern w:val="0"/>
      <w:sz w:val="20"/>
      <w:szCs w:val="20"/>
    </w:rPr>
  </w:style>
  <w:style w:type="paragraph" w:customStyle="1" w:styleId="635">
    <w:name w:val="文档编号"/>
    <w:basedOn w:val="1"/>
    <w:next w:val="1"/>
    <w:qFormat/>
    <w:uiPriority w:val="0"/>
    <w:pPr>
      <w:widowControl/>
      <w:spacing w:line="360" w:lineRule="auto"/>
      <w:jc w:val="center"/>
    </w:pPr>
    <w:rPr>
      <w:rFonts w:ascii="宋体"/>
      <w:kern w:val="0"/>
      <w:sz w:val="24"/>
    </w:rPr>
  </w:style>
  <w:style w:type="paragraph" w:customStyle="1" w:styleId="636">
    <w:name w:val="序号1"/>
    <w:basedOn w:val="4"/>
    <w:qFormat/>
    <w:uiPriority w:val="0"/>
    <w:pPr>
      <w:keepNext w:val="0"/>
      <w:keepLines w:val="0"/>
      <w:widowControl/>
      <w:tabs>
        <w:tab w:val="left" w:pos="0"/>
        <w:tab w:val="left" w:pos="907"/>
        <w:tab w:val="left" w:pos="3827"/>
      </w:tabs>
      <w:spacing w:before="240" w:after="240" w:line="240" w:lineRule="auto"/>
      <w:ind w:left="907" w:hanging="397"/>
    </w:pPr>
    <w:rPr>
      <w:rFonts w:ascii="Times New Roman"/>
      <w:bCs w:val="0"/>
      <w:kern w:val="0"/>
      <w:sz w:val="28"/>
      <w:szCs w:val="28"/>
    </w:rPr>
  </w:style>
  <w:style w:type="paragraph" w:customStyle="1" w:styleId="637">
    <w:name w:val="Tabletext"/>
    <w:basedOn w:val="1"/>
    <w:qFormat/>
    <w:uiPriority w:val="0"/>
    <w:pPr>
      <w:widowControl/>
      <w:spacing w:after="120" w:line="240" w:lineRule="atLeast"/>
      <w:jc w:val="left"/>
    </w:pPr>
    <w:rPr>
      <w:rFonts w:ascii="宋体"/>
      <w:kern w:val="0"/>
      <w:sz w:val="20"/>
      <w:szCs w:val="20"/>
    </w:rPr>
  </w:style>
  <w:style w:type="paragraph" w:customStyle="1" w:styleId="638">
    <w:name w:val="Char1 Char Char Char"/>
    <w:basedOn w:val="1"/>
    <w:qFormat/>
    <w:uiPriority w:val="0"/>
    <w:pPr>
      <w:widowControl/>
      <w:ind w:firstLine="170"/>
    </w:pPr>
    <w:rPr>
      <w:rFonts w:ascii="Tahoma" w:hAnsi="Tahoma"/>
      <w:kern w:val="0"/>
      <w:sz w:val="28"/>
      <w:szCs w:val="28"/>
    </w:rPr>
  </w:style>
  <w:style w:type="character" w:customStyle="1" w:styleId="639">
    <w:name w:val="style14 style29 style31 style32"/>
    <w:qFormat/>
    <w:uiPriority w:val="0"/>
  </w:style>
  <w:style w:type="paragraph" w:customStyle="1" w:styleId="640">
    <w:name w:val="Char2 Char Char Char Char Char Char Char Char1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41">
    <w:name w:val="正文 2"/>
    <w:basedOn w:val="1"/>
    <w:qFormat/>
    <w:uiPriority w:val="0"/>
    <w:pPr>
      <w:widowControl/>
      <w:tabs>
        <w:tab w:val="left" w:pos="1440"/>
        <w:tab w:val="left" w:pos="2520"/>
        <w:tab w:val="left" w:pos="3600"/>
        <w:tab w:val="left" w:pos="4680"/>
        <w:tab w:val="left" w:pos="5760"/>
        <w:tab w:val="left" w:pos="6840"/>
        <w:tab w:val="left" w:pos="7920"/>
      </w:tabs>
      <w:spacing w:before="120" w:line="360" w:lineRule="exact"/>
      <w:ind w:left="851"/>
    </w:pPr>
    <w:rPr>
      <w:rFonts w:ascii="Garamond" w:hAnsi="Garamond"/>
      <w:kern w:val="0"/>
      <w:sz w:val="24"/>
    </w:rPr>
  </w:style>
  <w:style w:type="paragraph" w:customStyle="1" w:styleId="642">
    <w:name w:val="正文 1"/>
    <w:basedOn w:val="1"/>
    <w:link w:val="643"/>
    <w:qFormat/>
    <w:uiPriority w:val="0"/>
    <w:pPr>
      <w:widowControl/>
      <w:tabs>
        <w:tab w:val="left" w:pos="900"/>
        <w:tab w:val="left" w:pos="1980"/>
        <w:tab w:val="left" w:pos="3060"/>
        <w:tab w:val="left" w:pos="4140"/>
        <w:tab w:val="left" w:pos="5220"/>
        <w:tab w:val="left" w:pos="6300"/>
        <w:tab w:val="left" w:pos="7380"/>
      </w:tabs>
      <w:spacing w:before="120" w:line="360" w:lineRule="exact"/>
      <w:ind w:left="425"/>
    </w:pPr>
    <w:rPr>
      <w:rFonts w:ascii="Garamond" w:hAnsi="Garamond"/>
      <w:kern w:val="0"/>
      <w:sz w:val="24"/>
    </w:rPr>
  </w:style>
  <w:style w:type="character" w:customStyle="1" w:styleId="643">
    <w:name w:val="正文 1 Char"/>
    <w:link w:val="642"/>
    <w:qFormat/>
    <w:uiPriority w:val="0"/>
    <w:rPr>
      <w:rFonts w:ascii="Garamond" w:hAnsi="Garamond"/>
      <w:sz w:val="24"/>
      <w:szCs w:val="24"/>
    </w:rPr>
  </w:style>
  <w:style w:type="character" w:customStyle="1" w:styleId="644">
    <w:name w:val="unnamed1"/>
    <w:qFormat/>
    <w:uiPriority w:val="0"/>
    <w:rPr>
      <w:rFonts w:ascii="宋体" w:eastAsia="宋体"/>
      <w:sz w:val="21"/>
      <w:szCs w:val="21"/>
      <w:lang w:val="en-US" w:eastAsia="zh-CN" w:bidi="ar-SA"/>
    </w:rPr>
  </w:style>
  <w:style w:type="paragraph" w:customStyle="1" w:styleId="645">
    <w:name w:val="居中插图"/>
    <w:basedOn w:val="1"/>
    <w:qFormat/>
    <w:uiPriority w:val="0"/>
    <w:pPr>
      <w:widowControl/>
      <w:spacing w:before="120" w:line="240" w:lineRule="atLeast"/>
      <w:jc w:val="center"/>
    </w:pPr>
    <w:rPr>
      <w:rFonts w:ascii="Courier New" w:hAnsi="Courier New" w:eastAsia="楷体_GB2312"/>
      <w:kern w:val="0"/>
      <w:szCs w:val="21"/>
    </w:rPr>
  </w:style>
  <w:style w:type="character" w:customStyle="1" w:styleId="646">
    <w:name w:val="Char Char8"/>
    <w:qFormat/>
    <w:uiPriority w:val="0"/>
    <w:rPr>
      <w:rFonts w:ascii="Arial" w:hAnsi="Arial" w:eastAsia="仿宋_GB2312"/>
      <w:sz w:val="24"/>
      <w:szCs w:val="24"/>
    </w:rPr>
  </w:style>
  <w:style w:type="character" w:customStyle="1" w:styleId="647">
    <w:name w:val="Char Char5"/>
    <w:qFormat/>
    <w:uiPriority w:val="0"/>
    <w:rPr>
      <w:rFonts w:ascii="Arial" w:hAnsi="Arial" w:eastAsia="仿宋_GB2312"/>
      <w:sz w:val="18"/>
      <w:szCs w:val="18"/>
    </w:rPr>
  </w:style>
  <w:style w:type="character" w:customStyle="1" w:styleId="648">
    <w:name w:val="MM Topic 6 Char"/>
    <w:link w:val="359"/>
    <w:semiHidden/>
    <w:qFormat/>
    <w:uiPriority w:val="0"/>
    <w:rPr>
      <w:rFonts w:ascii="Cambria" w:hAnsi="Cambria"/>
      <w:sz w:val="24"/>
      <w:szCs w:val="24"/>
    </w:rPr>
  </w:style>
  <w:style w:type="paragraph" w:customStyle="1" w:styleId="649">
    <w:name w:val="MM Topic 8"/>
    <w:basedOn w:val="10"/>
    <w:qFormat/>
    <w:uiPriority w:val="0"/>
    <w:pPr>
      <w:keepNext w:val="0"/>
      <w:keepLines w:val="0"/>
      <w:widowControl/>
      <w:spacing w:line="319" w:lineRule="auto"/>
    </w:pPr>
    <w:rPr>
      <w:rFonts w:ascii="Cambria" w:hAnsi="Cambria" w:eastAsia="宋体"/>
      <w:kern w:val="0"/>
    </w:rPr>
  </w:style>
  <w:style w:type="paragraph" w:customStyle="1" w:styleId="650">
    <w:name w:val="MM Topic 9"/>
    <w:basedOn w:val="11"/>
    <w:qFormat/>
    <w:uiPriority w:val="0"/>
    <w:pPr>
      <w:keepNext w:val="0"/>
      <w:keepLines w:val="0"/>
      <w:widowControl/>
      <w:tabs>
        <w:tab w:val="left" w:pos="4620"/>
      </w:tabs>
      <w:spacing w:line="319" w:lineRule="auto"/>
    </w:pPr>
    <w:rPr>
      <w:rFonts w:ascii="Cambria" w:hAnsi="Cambria" w:eastAsia="宋体"/>
      <w:kern w:val="0"/>
    </w:rPr>
  </w:style>
  <w:style w:type="paragraph" w:customStyle="1" w:styleId="651">
    <w:name w:val="正文21"/>
    <w:basedOn w:val="1"/>
    <w:link w:val="652"/>
    <w:qFormat/>
    <w:uiPriority w:val="0"/>
    <w:pPr>
      <w:widowControl/>
      <w:spacing w:line="360" w:lineRule="auto"/>
      <w:ind w:left="200" w:leftChars="200" w:firstLine="200"/>
    </w:pPr>
    <w:rPr>
      <w:kern w:val="0"/>
      <w:sz w:val="24"/>
    </w:rPr>
  </w:style>
  <w:style w:type="character" w:customStyle="1" w:styleId="652">
    <w:name w:val="正文2 Char"/>
    <w:link w:val="651"/>
    <w:qFormat/>
    <w:uiPriority w:val="0"/>
    <w:rPr>
      <w:sz w:val="24"/>
      <w:szCs w:val="24"/>
    </w:rPr>
  </w:style>
  <w:style w:type="paragraph" w:customStyle="1" w:styleId="653">
    <w:name w:val="p0"/>
    <w:basedOn w:val="1"/>
    <w:qFormat/>
    <w:uiPriority w:val="0"/>
    <w:pPr>
      <w:widowControl/>
      <w:spacing w:line="360" w:lineRule="auto"/>
    </w:pPr>
    <w:rPr>
      <w:rFonts w:ascii="Calibri" w:hAnsi="Calibri"/>
      <w:kern w:val="0"/>
      <w:sz w:val="24"/>
    </w:rPr>
  </w:style>
  <w:style w:type="paragraph" w:customStyle="1" w:styleId="654">
    <w:name w:val="Bullet with text 5"/>
    <w:basedOn w:val="1"/>
    <w:qFormat/>
    <w:uiPriority w:val="0"/>
    <w:pPr>
      <w:widowControl/>
      <w:numPr>
        <w:ilvl w:val="0"/>
        <w:numId w:val="41"/>
      </w:numPr>
      <w:ind w:firstLine="0"/>
      <w:jc w:val="left"/>
    </w:pPr>
    <w:rPr>
      <w:rFonts w:ascii="Arial" w:hAnsi="Arial"/>
      <w:kern w:val="0"/>
      <w:sz w:val="24"/>
      <w:lang w:val="en-GB" w:eastAsia="en-US"/>
    </w:rPr>
  </w:style>
  <w:style w:type="paragraph" w:customStyle="1" w:styleId="655">
    <w:name w:val="Header 3"/>
    <w:basedOn w:val="3"/>
    <w:next w:val="1"/>
    <w:qFormat/>
    <w:uiPriority w:val="0"/>
    <w:pPr>
      <w:keepNext w:val="0"/>
      <w:keepLines w:val="0"/>
      <w:pageBreakBefore/>
      <w:widowControl/>
      <w:spacing w:before="80" w:after="80" w:line="240" w:lineRule="auto"/>
      <w:jc w:val="left"/>
      <w:outlineLvl w:val="9"/>
    </w:pPr>
    <w:rPr>
      <w:rFonts w:ascii="Arial" w:hAnsi="Arial"/>
      <w:b w:val="0"/>
      <w:bCs w:val="0"/>
      <w:kern w:val="0"/>
      <w:sz w:val="24"/>
      <w:szCs w:val="24"/>
      <w:lang w:val="en-GB" w:eastAsia="en-US"/>
    </w:rPr>
  </w:style>
  <w:style w:type="character" w:customStyle="1" w:styleId="656">
    <w:name w:val="Character UserEntry"/>
    <w:qFormat/>
    <w:uiPriority w:val="0"/>
    <w:rPr>
      <w:color w:val="FF0000"/>
    </w:rPr>
  </w:style>
  <w:style w:type="paragraph" w:customStyle="1" w:styleId="657">
    <w:name w:val="HP_Table_Title"/>
    <w:basedOn w:val="1"/>
    <w:next w:val="1"/>
    <w:qFormat/>
    <w:uiPriority w:val="0"/>
    <w:pPr>
      <w:widowControl/>
      <w:spacing w:before="240" w:after="60"/>
      <w:jc w:val="left"/>
    </w:pPr>
    <w:rPr>
      <w:rFonts w:ascii="Arial" w:hAnsi="Arial"/>
      <w:b/>
      <w:kern w:val="0"/>
      <w:sz w:val="18"/>
      <w:szCs w:val="18"/>
      <w:lang w:val="en-GB" w:eastAsia="en-US"/>
    </w:rPr>
  </w:style>
  <w:style w:type="paragraph" w:customStyle="1" w:styleId="658">
    <w:name w:val="HP_Internal"/>
    <w:basedOn w:val="1"/>
    <w:next w:val="1"/>
    <w:qFormat/>
    <w:uiPriority w:val="0"/>
    <w:pPr>
      <w:widowControl/>
      <w:jc w:val="left"/>
    </w:pPr>
    <w:rPr>
      <w:rFonts w:ascii="Arial" w:hAnsi="Arial"/>
      <w:i/>
      <w:kern w:val="0"/>
      <w:sz w:val="18"/>
      <w:szCs w:val="18"/>
      <w:lang w:val="en-GB" w:eastAsia="en-US"/>
    </w:rPr>
  </w:style>
  <w:style w:type="paragraph" w:customStyle="1" w:styleId="659">
    <w:name w:val="Table_Small"/>
    <w:qFormat/>
    <w:uiPriority w:val="0"/>
    <w:pPr>
      <w:spacing w:before="40" w:after="40"/>
    </w:pPr>
    <w:rPr>
      <w:rFonts w:ascii="Arial" w:hAnsi="Arial" w:eastAsiaTheme="minorEastAsia" w:cstheme="minorBidi"/>
      <w:sz w:val="16"/>
      <w:szCs w:val="16"/>
      <w:lang w:val="en-GB" w:eastAsia="en-US" w:bidi="ar-SA"/>
    </w:rPr>
  </w:style>
  <w:style w:type="paragraph" w:customStyle="1" w:styleId="660">
    <w:name w:val="Table_Sm_Heading"/>
    <w:qFormat/>
    <w:uiPriority w:val="0"/>
    <w:pPr>
      <w:spacing w:before="60"/>
    </w:pPr>
    <w:rPr>
      <w:rFonts w:ascii="Times New Roman" w:hAnsi="Times New Roman" w:eastAsia="宋体" w:cs="Times New Roman"/>
      <w:sz w:val="16"/>
      <w:szCs w:val="16"/>
      <w:lang w:val="en-US" w:eastAsia="zh-CN" w:bidi="ar-SA"/>
    </w:rPr>
  </w:style>
  <w:style w:type="paragraph" w:customStyle="1" w:styleId="661">
    <w:name w:val="Table_Heading"/>
    <w:basedOn w:val="1"/>
    <w:qFormat/>
    <w:uiPriority w:val="0"/>
    <w:pPr>
      <w:widowControl/>
      <w:spacing w:before="40" w:after="40"/>
      <w:jc w:val="left"/>
    </w:pPr>
    <w:rPr>
      <w:rFonts w:ascii="Arial" w:hAnsi="Arial"/>
      <w:b/>
      <w:kern w:val="0"/>
      <w:sz w:val="24"/>
      <w:lang w:val="en-GB" w:eastAsia="en-US"/>
    </w:rPr>
  </w:style>
  <w:style w:type="paragraph" w:customStyle="1" w:styleId="662">
    <w:name w:val="Table_Sm_Heading_Right"/>
    <w:basedOn w:val="660"/>
    <w:qFormat/>
    <w:uiPriority w:val="0"/>
    <w:pPr>
      <w:jc w:val="right"/>
    </w:pPr>
  </w:style>
  <w:style w:type="paragraph" w:customStyle="1" w:styleId="663">
    <w:name w:val="Table_Medium"/>
    <w:qFormat/>
    <w:uiPriority w:val="0"/>
    <w:pPr>
      <w:spacing w:before="40" w:after="40"/>
    </w:pPr>
    <w:rPr>
      <w:rFonts w:ascii="Arial" w:hAnsi="Arial" w:eastAsiaTheme="minorEastAsia" w:cstheme="minorBidi"/>
      <w:sz w:val="18"/>
      <w:szCs w:val="18"/>
      <w:lang w:val="en-GB" w:eastAsia="en-US" w:bidi="ar-SA"/>
    </w:rPr>
  </w:style>
  <w:style w:type="paragraph" w:customStyle="1" w:styleId="664">
    <w:name w:val="TOC_Heading"/>
    <w:basedOn w:val="1"/>
    <w:next w:val="1"/>
    <w:qFormat/>
    <w:uiPriority w:val="0"/>
    <w:pPr>
      <w:widowControl/>
      <w:spacing w:before="80" w:after="120"/>
      <w:jc w:val="left"/>
    </w:pPr>
    <w:rPr>
      <w:rFonts w:ascii="Arial" w:hAnsi="Arial"/>
      <w:b/>
      <w:kern w:val="0"/>
      <w:sz w:val="24"/>
      <w:lang w:val="en-GB" w:eastAsia="en-US"/>
    </w:rPr>
  </w:style>
  <w:style w:type="paragraph" w:customStyle="1" w:styleId="665">
    <w:name w:val="Bullet with text 1"/>
    <w:basedOn w:val="1"/>
    <w:qFormat/>
    <w:uiPriority w:val="0"/>
    <w:pPr>
      <w:widowControl/>
      <w:numPr>
        <w:ilvl w:val="0"/>
        <w:numId w:val="42"/>
      </w:numPr>
      <w:ind w:firstLine="0"/>
      <w:jc w:val="left"/>
    </w:pPr>
    <w:rPr>
      <w:rFonts w:ascii="Arial" w:hAnsi="Arial"/>
      <w:kern w:val="0"/>
      <w:sz w:val="24"/>
      <w:lang w:val="en-GB" w:eastAsia="en-US"/>
    </w:rPr>
  </w:style>
  <w:style w:type="paragraph" w:customStyle="1" w:styleId="666">
    <w:name w:val="Bullet with text 2"/>
    <w:basedOn w:val="1"/>
    <w:qFormat/>
    <w:uiPriority w:val="0"/>
    <w:pPr>
      <w:widowControl/>
      <w:numPr>
        <w:ilvl w:val="0"/>
        <w:numId w:val="43"/>
      </w:numPr>
      <w:ind w:firstLine="0"/>
      <w:jc w:val="left"/>
    </w:pPr>
    <w:rPr>
      <w:rFonts w:ascii="Arial" w:hAnsi="Arial"/>
      <w:kern w:val="0"/>
      <w:sz w:val="24"/>
      <w:lang w:val="en-GB" w:eastAsia="en-US"/>
    </w:rPr>
  </w:style>
  <w:style w:type="paragraph" w:customStyle="1" w:styleId="667">
    <w:name w:val="Bullet with text 3"/>
    <w:basedOn w:val="1"/>
    <w:qFormat/>
    <w:uiPriority w:val="0"/>
    <w:pPr>
      <w:widowControl/>
      <w:numPr>
        <w:ilvl w:val="0"/>
        <w:numId w:val="44"/>
      </w:numPr>
      <w:ind w:firstLine="0"/>
      <w:jc w:val="left"/>
    </w:pPr>
    <w:rPr>
      <w:rFonts w:ascii="Arial" w:hAnsi="Arial"/>
      <w:kern w:val="0"/>
      <w:sz w:val="24"/>
      <w:lang w:val="en-GB" w:eastAsia="en-US"/>
    </w:rPr>
  </w:style>
  <w:style w:type="paragraph" w:customStyle="1" w:styleId="668">
    <w:name w:val="Bullet with text 4"/>
    <w:basedOn w:val="1"/>
    <w:qFormat/>
    <w:uiPriority w:val="0"/>
    <w:pPr>
      <w:widowControl/>
      <w:numPr>
        <w:ilvl w:val="0"/>
        <w:numId w:val="45"/>
      </w:numPr>
      <w:ind w:firstLine="0"/>
      <w:jc w:val="left"/>
    </w:pPr>
    <w:rPr>
      <w:rFonts w:ascii="Arial" w:hAnsi="Arial"/>
      <w:kern w:val="0"/>
      <w:sz w:val="24"/>
      <w:lang w:val="en-GB" w:eastAsia="en-US"/>
    </w:rPr>
  </w:style>
  <w:style w:type="paragraph" w:customStyle="1" w:styleId="669">
    <w:name w:val="Normal_UserEntry"/>
    <w:basedOn w:val="1"/>
    <w:qFormat/>
    <w:uiPriority w:val="0"/>
    <w:pPr>
      <w:widowControl/>
      <w:jc w:val="left"/>
    </w:pPr>
    <w:rPr>
      <w:rFonts w:ascii="Arial" w:hAnsi="Arial"/>
      <w:color w:val="FF0000"/>
      <w:kern w:val="0"/>
      <w:sz w:val="24"/>
      <w:lang w:val="en-GB" w:eastAsia="en-US"/>
    </w:rPr>
  </w:style>
  <w:style w:type="paragraph" w:customStyle="1" w:styleId="670">
    <w:name w:val="Numbered list 1"/>
    <w:basedOn w:val="1"/>
    <w:next w:val="1"/>
    <w:qFormat/>
    <w:uiPriority w:val="0"/>
    <w:pPr>
      <w:widowControl/>
      <w:numPr>
        <w:ilvl w:val="0"/>
        <w:numId w:val="46"/>
      </w:numPr>
      <w:ind w:firstLine="0"/>
      <w:jc w:val="left"/>
    </w:pPr>
    <w:rPr>
      <w:rFonts w:ascii="Arial" w:hAnsi="Arial"/>
      <w:kern w:val="0"/>
      <w:sz w:val="24"/>
      <w:lang w:val="en-GB" w:eastAsia="en-US"/>
    </w:rPr>
  </w:style>
  <w:style w:type="paragraph" w:customStyle="1" w:styleId="671">
    <w:name w:val="Numbered list 2.1"/>
    <w:basedOn w:val="3"/>
    <w:next w:val="1"/>
    <w:qFormat/>
    <w:uiPriority w:val="0"/>
    <w:pPr>
      <w:keepNext w:val="0"/>
      <w:keepLines w:val="0"/>
      <w:pageBreakBefore/>
      <w:widowControl/>
      <w:tabs>
        <w:tab w:val="left" w:pos="720"/>
        <w:tab w:val="left" w:pos="1554"/>
      </w:tabs>
      <w:spacing w:before="240" w:after="60" w:line="240" w:lineRule="auto"/>
      <w:ind w:left="720" w:hanging="720"/>
      <w:jc w:val="left"/>
    </w:pPr>
    <w:rPr>
      <w:rFonts w:ascii="Arial" w:hAnsi="Arial"/>
      <w:bCs w:val="0"/>
      <w:kern w:val="0"/>
      <w:sz w:val="28"/>
      <w:szCs w:val="28"/>
      <w:lang w:val="en-GB" w:eastAsia="en-US"/>
    </w:rPr>
  </w:style>
  <w:style w:type="paragraph" w:customStyle="1" w:styleId="672">
    <w:name w:val="Numbered list 2.2"/>
    <w:basedOn w:val="4"/>
    <w:next w:val="1"/>
    <w:qFormat/>
    <w:uiPriority w:val="0"/>
    <w:pPr>
      <w:keepNext w:val="0"/>
      <w:keepLines w:val="0"/>
      <w:widowControl/>
      <w:numPr>
        <w:ilvl w:val="0"/>
        <w:numId w:val="16"/>
      </w:numPr>
      <w:tabs>
        <w:tab w:val="left" w:pos="0"/>
        <w:tab w:val="left" w:pos="720"/>
        <w:tab w:val="left" w:pos="840"/>
      </w:tabs>
      <w:spacing w:before="240" w:after="60" w:line="240" w:lineRule="auto"/>
      <w:ind w:left="720" w:hanging="720"/>
      <w:jc w:val="left"/>
    </w:pPr>
    <w:rPr>
      <w:rFonts w:eastAsia="宋体"/>
      <w:bCs w:val="0"/>
      <w:kern w:val="0"/>
      <w:sz w:val="24"/>
      <w:szCs w:val="24"/>
      <w:lang w:val="en-GB" w:eastAsia="en-US"/>
    </w:rPr>
  </w:style>
  <w:style w:type="paragraph" w:customStyle="1" w:styleId="673">
    <w:name w:val="Numbered list 2.3"/>
    <w:basedOn w:val="5"/>
    <w:next w:val="1"/>
    <w:qFormat/>
    <w:uiPriority w:val="0"/>
    <w:pPr>
      <w:keepNext w:val="0"/>
      <w:keepLines w:val="0"/>
      <w:widowControl/>
      <w:tabs>
        <w:tab w:val="left" w:pos="360"/>
        <w:tab w:val="left" w:pos="1080"/>
        <w:tab w:val="left" w:pos="1440"/>
      </w:tabs>
      <w:autoSpaceDE/>
      <w:autoSpaceDN/>
      <w:adjustRightInd/>
      <w:spacing w:before="240" w:after="60" w:line="240" w:lineRule="auto"/>
      <w:ind w:left="360" w:hanging="360"/>
      <w:jc w:val="left"/>
    </w:pPr>
    <w:rPr>
      <w:rFonts w:ascii="Arial" w:hAnsi="Arial" w:eastAsia="宋体"/>
      <w:b/>
      <w:sz w:val="22"/>
      <w:szCs w:val="22"/>
      <w:lang w:val="en-GB" w:eastAsia="en-US"/>
    </w:rPr>
  </w:style>
  <w:style w:type="paragraph" w:customStyle="1" w:styleId="674">
    <w:name w:val="Numbered list 2.4"/>
    <w:basedOn w:val="6"/>
    <w:next w:val="1"/>
    <w:qFormat/>
    <w:uiPriority w:val="0"/>
    <w:pPr>
      <w:keepNext w:val="0"/>
      <w:widowControl/>
      <w:numPr>
        <w:ilvl w:val="0"/>
        <w:numId w:val="47"/>
      </w:numPr>
      <w:tabs>
        <w:tab w:val="left" w:pos="1080"/>
        <w:tab w:val="left" w:pos="1440"/>
        <w:tab w:val="left" w:pos="1800"/>
        <w:tab w:val="left" w:pos="2160"/>
      </w:tabs>
      <w:spacing w:before="240" w:after="60"/>
      <w:jc w:val="left"/>
    </w:pPr>
    <w:rPr>
      <w:rFonts w:ascii="Arial" w:hAnsi="Arial"/>
      <w:b/>
      <w:kern w:val="0"/>
      <w:sz w:val="24"/>
      <w:szCs w:val="24"/>
      <w:lang w:val="en-GB" w:eastAsia="en-US"/>
    </w:rPr>
  </w:style>
  <w:style w:type="paragraph" w:customStyle="1" w:styleId="675">
    <w:name w:val="Numbered list 3.1"/>
    <w:basedOn w:val="3"/>
    <w:next w:val="1"/>
    <w:qFormat/>
    <w:uiPriority w:val="0"/>
    <w:pPr>
      <w:keepNext w:val="0"/>
      <w:keepLines w:val="0"/>
      <w:pageBreakBefore/>
      <w:widowControl/>
      <w:tabs>
        <w:tab w:val="left" w:pos="360"/>
      </w:tabs>
      <w:spacing w:before="240" w:after="60" w:line="240" w:lineRule="auto"/>
      <w:ind w:left="360" w:hanging="360"/>
      <w:jc w:val="left"/>
    </w:pPr>
    <w:rPr>
      <w:rFonts w:ascii="Arial" w:hAnsi="Arial"/>
      <w:bCs w:val="0"/>
      <w:kern w:val="0"/>
      <w:sz w:val="28"/>
      <w:szCs w:val="28"/>
      <w:lang w:val="en-GB" w:eastAsia="en-US"/>
    </w:rPr>
  </w:style>
  <w:style w:type="paragraph" w:customStyle="1" w:styleId="676">
    <w:name w:val="Numbered list 3.2"/>
    <w:basedOn w:val="4"/>
    <w:next w:val="1"/>
    <w:qFormat/>
    <w:uiPriority w:val="0"/>
    <w:pPr>
      <w:keepNext w:val="0"/>
      <w:keepLines w:val="0"/>
      <w:widowControl/>
      <w:tabs>
        <w:tab w:val="left" w:pos="0"/>
        <w:tab w:val="left" w:pos="360"/>
      </w:tabs>
      <w:spacing w:before="240" w:after="60" w:line="240" w:lineRule="auto"/>
      <w:ind w:left="360" w:hanging="360"/>
      <w:jc w:val="left"/>
    </w:pPr>
    <w:rPr>
      <w:rFonts w:eastAsia="宋体"/>
      <w:bCs w:val="0"/>
      <w:kern w:val="0"/>
      <w:sz w:val="24"/>
      <w:szCs w:val="24"/>
      <w:lang w:val="en-GB" w:eastAsia="en-US"/>
    </w:rPr>
  </w:style>
  <w:style w:type="paragraph" w:customStyle="1" w:styleId="677">
    <w:name w:val="Numbered list 3.3"/>
    <w:basedOn w:val="5"/>
    <w:next w:val="1"/>
    <w:qFormat/>
    <w:uiPriority w:val="0"/>
    <w:pPr>
      <w:keepNext w:val="0"/>
      <w:keepLines w:val="0"/>
      <w:widowControl/>
      <w:tabs>
        <w:tab w:val="left" w:pos="720"/>
      </w:tabs>
      <w:autoSpaceDE/>
      <w:autoSpaceDN/>
      <w:adjustRightInd/>
      <w:spacing w:before="240" w:after="60" w:line="240" w:lineRule="auto"/>
      <w:ind w:left="360" w:hanging="360"/>
      <w:jc w:val="left"/>
    </w:pPr>
    <w:rPr>
      <w:rFonts w:ascii="Arial" w:hAnsi="Arial" w:eastAsia="宋体"/>
      <w:b/>
      <w:sz w:val="22"/>
      <w:szCs w:val="22"/>
      <w:lang w:val="en-GB" w:eastAsia="en-US"/>
    </w:rPr>
  </w:style>
  <w:style w:type="paragraph" w:customStyle="1" w:styleId="678">
    <w:name w:val="Table_Center"/>
    <w:qFormat/>
    <w:uiPriority w:val="0"/>
    <w:pPr>
      <w:spacing w:before="40" w:after="40"/>
      <w:jc w:val="center"/>
    </w:pPr>
    <w:rPr>
      <w:rFonts w:ascii="Arial" w:hAnsi="Arial" w:eastAsiaTheme="minorEastAsia" w:cstheme="minorBidi"/>
      <w:sz w:val="24"/>
      <w:szCs w:val="24"/>
      <w:lang w:val="en-GB" w:eastAsia="en-US" w:bidi="ar-SA"/>
    </w:rPr>
  </w:style>
  <w:style w:type="paragraph" w:customStyle="1" w:styleId="679">
    <w:name w:val="Table_Heading_Center"/>
    <w:basedOn w:val="661"/>
    <w:qFormat/>
    <w:uiPriority w:val="0"/>
    <w:pPr>
      <w:jc w:val="center"/>
    </w:pPr>
  </w:style>
  <w:style w:type="paragraph" w:customStyle="1" w:styleId="680">
    <w:name w:val="Table_Right"/>
    <w:qFormat/>
    <w:uiPriority w:val="0"/>
    <w:pPr>
      <w:spacing w:before="40" w:after="40"/>
      <w:jc w:val="right"/>
    </w:pPr>
    <w:rPr>
      <w:rFonts w:ascii="Arial" w:hAnsi="Arial" w:eastAsiaTheme="minorEastAsia" w:cstheme="minorBidi"/>
      <w:sz w:val="24"/>
      <w:szCs w:val="24"/>
      <w:lang w:val="en-GB" w:eastAsia="en-US" w:bidi="ar-SA"/>
    </w:rPr>
  </w:style>
  <w:style w:type="paragraph" w:customStyle="1" w:styleId="681">
    <w:name w:val="Table_Sm_Heading_Center"/>
    <w:basedOn w:val="660"/>
    <w:qFormat/>
    <w:uiPriority w:val="0"/>
    <w:pPr>
      <w:jc w:val="center"/>
    </w:pPr>
  </w:style>
  <w:style w:type="paragraph" w:customStyle="1" w:styleId="682">
    <w:name w:val="Table_Small_Center"/>
    <w:basedOn w:val="659"/>
    <w:qFormat/>
    <w:uiPriority w:val="0"/>
    <w:pPr>
      <w:jc w:val="center"/>
    </w:pPr>
  </w:style>
  <w:style w:type="paragraph" w:customStyle="1" w:styleId="683">
    <w:name w:val="Table_Small_Right"/>
    <w:basedOn w:val="659"/>
    <w:qFormat/>
    <w:uiPriority w:val="0"/>
    <w:pPr>
      <w:jc w:val="right"/>
    </w:pPr>
  </w:style>
  <w:style w:type="paragraph" w:customStyle="1" w:styleId="684">
    <w:name w:val="Table_Title"/>
    <w:basedOn w:val="1"/>
    <w:next w:val="1"/>
    <w:qFormat/>
    <w:uiPriority w:val="0"/>
    <w:pPr>
      <w:widowControl/>
      <w:spacing w:before="240" w:after="60"/>
      <w:jc w:val="left"/>
    </w:pPr>
    <w:rPr>
      <w:rFonts w:ascii="Arial" w:hAnsi="Arial"/>
      <w:b/>
      <w:kern w:val="0"/>
      <w:sz w:val="24"/>
      <w:lang w:val="en-GB" w:eastAsia="en-US"/>
    </w:rPr>
  </w:style>
  <w:style w:type="paragraph" w:customStyle="1" w:styleId="685">
    <w:name w:val="Title_Center"/>
    <w:basedOn w:val="81"/>
    <w:qFormat/>
    <w:uiPriority w:val="0"/>
    <w:pPr>
      <w:widowControl/>
      <w:wordWrap w:val="0"/>
      <w:outlineLvl w:val="9"/>
    </w:pPr>
    <w:rPr>
      <w:rFonts w:ascii="Arial" w:hAnsi="Arial"/>
      <w:bCs w:val="0"/>
      <w:kern w:val="0"/>
      <w:sz w:val="24"/>
      <w:szCs w:val="24"/>
      <w:lang w:val="en-GB" w:eastAsia="en-US"/>
    </w:rPr>
  </w:style>
  <w:style w:type="paragraph" w:customStyle="1" w:styleId="686">
    <w:name w:val="TitlePage_Header"/>
    <w:basedOn w:val="1"/>
    <w:qFormat/>
    <w:uiPriority w:val="0"/>
    <w:pPr>
      <w:widowControl/>
      <w:spacing w:before="240" w:after="240"/>
      <w:ind w:left="3240"/>
      <w:jc w:val="left"/>
    </w:pPr>
    <w:rPr>
      <w:rFonts w:ascii="Arial" w:hAnsi="Arial"/>
      <w:b/>
      <w:kern w:val="0"/>
      <w:sz w:val="32"/>
      <w:szCs w:val="32"/>
      <w:lang w:val="en-GB" w:eastAsia="en-US"/>
    </w:rPr>
  </w:style>
  <w:style w:type="paragraph" w:customStyle="1" w:styleId="687">
    <w:name w:val="TitlePage_TopBorder"/>
    <w:basedOn w:val="686"/>
    <w:next w:val="686"/>
    <w:qFormat/>
    <w:uiPriority w:val="0"/>
    <w:pPr>
      <w:pBdr>
        <w:top w:val="single" w:color="000000" w:sz="18" w:space="1"/>
      </w:pBdr>
    </w:pPr>
  </w:style>
  <w:style w:type="paragraph" w:customStyle="1" w:styleId="688">
    <w:name w:val="RM_Indt as Bull w txt 2"/>
    <w:basedOn w:val="666"/>
    <w:next w:val="666"/>
    <w:qFormat/>
    <w:uiPriority w:val="0"/>
    <w:pPr>
      <w:numPr>
        <w:numId w:val="0"/>
      </w:numPr>
      <w:ind w:left="720"/>
    </w:pPr>
  </w:style>
  <w:style w:type="paragraph" w:customStyle="1" w:styleId="689">
    <w:name w:val="Table_Heading_Right"/>
    <w:basedOn w:val="661"/>
    <w:qFormat/>
    <w:uiPriority w:val="0"/>
    <w:pPr>
      <w:jc w:val="right"/>
    </w:pPr>
  </w:style>
  <w:style w:type="paragraph" w:customStyle="1" w:styleId="690">
    <w:name w:val="RM_Heading 1"/>
    <w:basedOn w:val="3"/>
    <w:next w:val="1"/>
    <w:qFormat/>
    <w:uiPriority w:val="0"/>
    <w:pPr>
      <w:keepNext w:val="0"/>
      <w:keepLines w:val="0"/>
      <w:pageBreakBefore/>
      <w:widowControl/>
      <w:tabs>
        <w:tab w:val="left" w:pos="425"/>
      </w:tabs>
      <w:spacing w:before="240" w:after="60" w:line="240" w:lineRule="auto"/>
      <w:ind w:left="425" w:hanging="425"/>
      <w:jc w:val="left"/>
    </w:pPr>
    <w:rPr>
      <w:rFonts w:ascii="Arial" w:hAnsi="Arial"/>
      <w:bCs w:val="0"/>
      <w:kern w:val="0"/>
      <w:sz w:val="32"/>
      <w:szCs w:val="32"/>
      <w:lang w:val="en-GB" w:eastAsia="en-US"/>
    </w:rPr>
  </w:style>
  <w:style w:type="paragraph" w:customStyle="1" w:styleId="691">
    <w:name w:val="RM_Heading 2"/>
    <w:basedOn w:val="4"/>
    <w:next w:val="1"/>
    <w:qFormat/>
    <w:uiPriority w:val="0"/>
    <w:pPr>
      <w:keepNext w:val="0"/>
      <w:keepLines w:val="0"/>
      <w:pageBreakBefore/>
      <w:widowControl/>
      <w:tabs>
        <w:tab w:val="left" w:pos="0"/>
        <w:tab w:val="left" w:pos="567"/>
      </w:tabs>
      <w:spacing w:before="240" w:after="60" w:line="240" w:lineRule="auto"/>
      <w:ind w:left="567" w:hanging="567"/>
      <w:jc w:val="left"/>
    </w:pPr>
    <w:rPr>
      <w:rFonts w:eastAsia="宋体"/>
      <w:bCs w:val="0"/>
      <w:kern w:val="0"/>
      <w:sz w:val="30"/>
      <w:szCs w:val="30"/>
      <w:lang w:val="en-GB" w:eastAsia="en-US"/>
    </w:rPr>
  </w:style>
  <w:style w:type="paragraph" w:customStyle="1" w:styleId="692">
    <w:name w:val="RM_Heading 3"/>
    <w:basedOn w:val="5"/>
    <w:next w:val="1"/>
    <w:qFormat/>
    <w:uiPriority w:val="0"/>
    <w:pPr>
      <w:keepNext w:val="0"/>
      <w:keepLines w:val="0"/>
      <w:pageBreakBefore/>
      <w:widowControl/>
      <w:tabs>
        <w:tab w:val="left" w:pos="709"/>
      </w:tabs>
      <w:autoSpaceDE/>
      <w:autoSpaceDN/>
      <w:adjustRightInd/>
      <w:spacing w:before="240" w:after="60" w:line="240" w:lineRule="auto"/>
      <w:ind w:left="709" w:hanging="709"/>
      <w:jc w:val="left"/>
    </w:pPr>
    <w:rPr>
      <w:rFonts w:ascii="Arial" w:hAnsi="Arial" w:eastAsia="宋体"/>
      <w:b/>
      <w:szCs w:val="28"/>
      <w:lang w:val="en-GB" w:eastAsia="en-US"/>
    </w:rPr>
  </w:style>
  <w:style w:type="paragraph" w:customStyle="1" w:styleId="693">
    <w:name w:val="RM_Table_Bullet"/>
    <w:basedOn w:val="668"/>
    <w:next w:val="1"/>
    <w:qFormat/>
    <w:uiPriority w:val="0"/>
    <w:pPr>
      <w:tabs>
        <w:tab w:val="left" w:pos="567"/>
        <w:tab w:val="clear" w:pos="1440"/>
      </w:tabs>
      <w:ind w:left="568" w:hanging="284"/>
    </w:pPr>
  </w:style>
  <w:style w:type="paragraph" w:customStyle="1" w:styleId="694">
    <w:name w:val="Body Bullet SQ"/>
    <w:basedOn w:val="1"/>
    <w:qFormat/>
    <w:uiPriority w:val="0"/>
    <w:pPr>
      <w:widowControl/>
      <w:numPr>
        <w:ilvl w:val="0"/>
        <w:numId w:val="48"/>
      </w:numPr>
      <w:jc w:val="left"/>
    </w:pPr>
    <w:rPr>
      <w:kern w:val="0"/>
      <w:sz w:val="24"/>
      <w:lang w:val="en-GB" w:eastAsia="en-US"/>
    </w:rPr>
  </w:style>
  <w:style w:type="paragraph" w:customStyle="1" w:styleId="695">
    <w:name w:val="Halfline"/>
    <w:basedOn w:val="1"/>
    <w:qFormat/>
    <w:uiPriority w:val="0"/>
    <w:pPr>
      <w:widowControl/>
      <w:tabs>
        <w:tab w:val="left" w:pos="3289"/>
      </w:tabs>
      <w:spacing w:after="200" w:line="240" w:lineRule="exact"/>
      <w:ind w:left="3289" w:hanging="1758"/>
      <w:jc w:val="left"/>
    </w:pPr>
    <w:rPr>
      <w:rFonts w:ascii="ITCCenturyBookT" w:hAnsi="ITCCenturyBookT"/>
      <w:kern w:val="0"/>
      <w:sz w:val="24"/>
      <w:lang w:val="en-GB" w:eastAsia="en-US"/>
    </w:rPr>
  </w:style>
  <w:style w:type="paragraph" w:customStyle="1" w:styleId="696">
    <w:name w:val="Table Text Bold"/>
    <w:basedOn w:val="155"/>
    <w:qFormat/>
    <w:uiPriority w:val="0"/>
    <w:pPr>
      <w:widowControl/>
      <w:spacing w:line="200" w:lineRule="exact"/>
      <w:jc w:val="left"/>
    </w:pPr>
    <w:rPr>
      <w:rFonts w:ascii="Arial" w:hAnsi="Arial" w:eastAsia="宋体" w:cs="Times New Roman"/>
      <w:b/>
      <w:kern w:val="0"/>
      <w:sz w:val="16"/>
      <w:szCs w:val="16"/>
      <w:lang w:val="en-GB"/>
    </w:rPr>
  </w:style>
  <w:style w:type="paragraph" w:customStyle="1" w:styleId="697">
    <w:name w:val="Para 3 Text"/>
    <w:qFormat/>
    <w:uiPriority w:val="0"/>
    <w:pPr>
      <w:spacing w:line="288" w:lineRule="atLeast"/>
      <w:ind w:left="864"/>
    </w:pPr>
    <w:rPr>
      <w:rFonts w:ascii="Times New Roman" w:hAnsi="Times New Roman" w:eastAsia="宋体" w:cs="Times New Roman"/>
      <w:color w:val="000000"/>
      <w:sz w:val="24"/>
      <w:szCs w:val="24"/>
      <w:lang w:val="en-US" w:eastAsia="en-US" w:bidi="ar-SA"/>
    </w:rPr>
  </w:style>
  <w:style w:type="paragraph" w:customStyle="1" w:styleId="698">
    <w:name w:val="Para 2 Text"/>
    <w:qFormat/>
    <w:uiPriority w:val="0"/>
    <w:pPr>
      <w:ind w:left="648"/>
    </w:pPr>
    <w:rPr>
      <w:rFonts w:ascii="Times New Roman" w:hAnsi="Times New Roman" w:eastAsia="宋体" w:cs="Times New Roman"/>
      <w:color w:val="000000"/>
      <w:sz w:val="24"/>
      <w:szCs w:val="24"/>
      <w:lang w:val="en-US" w:eastAsia="en-US" w:bidi="ar-SA"/>
    </w:rPr>
  </w:style>
  <w:style w:type="paragraph" w:customStyle="1" w:styleId="699">
    <w:name w:val="Number List"/>
    <w:qFormat/>
    <w:uiPriority w:val="0"/>
    <w:pPr>
      <w:tabs>
        <w:tab w:val="left" w:pos="1302"/>
      </w:tabs>
      <w:ind w:left="168" w:firstLine="400"/>
    </w:pPr>
    <w:rPr>
      <w:rFonts w:ascii="Times New Roman" w:hAnsi="Times New Roman" w:eastAsia="宋体" w:cs="Times New Roman"/>
      <w:color w:val="000000"/>
      <w:sz w:val="24"/>
      <w:szCs w:val="24"/>
      <w:lang w:val="en-US" w:eastAsia="en-US" w:bidi="ar-SA"/>
    </w:rPr>
  </w:style>
  <w:style w:type="paragraph" w:customStyle="1" w:styleId="700">
    <w:name w:val="Table_Sm_Heading_bogus"/>
    <w:basedOn w:val="660"/>
    <w:qFormat/>
    <w:uiPriority w:val="0"/>
    <w:pPr>
      <w:jc w:val="center"/>
    </w:pPr>
    <w:rPr>
      <w:rFonts w:ascii="Futura Bk" w:hAnsi="Futura Bk"/>
    </w:rPr>
  </w:style>
  <w:style w:type="paragraph" w:customStyle="1" w:styleId="701">
    <w:name w:val="Table_not_used"/>
    <w:qFormat/>
    <w:uiPriority w:val="0"/>
    <w:pPr>
      <w:spacing w:before="40" w:after="40"/>
      <w:jc w:val="right"/>
    </w:pPr>
    <w:rPr>
      <w:rFonts w:ascii="Futura Bk" w:hAnsi="Futura Bk" w:eastAsiaTheme="minorEastAsia" w:cstheme="minorBidi"/>
      <w:sz w:val="24"/>
      <w:szCs w:val="24"/>
      <w:lang w:val="en-US" w:eastAsia="en-US" w:bidi="ar-SA"/>
    </w:rPr>
  </w:style>
  <w:style w:type="paragraph" w:customStyle="1" w:styleId="702">
    <w:name w:val="Figure"/>
    <w:basedOn w:val="34"/>
    <w:qFormat/>
    <w:uiPriority w:val="0"/>
    <w:pPr>
      <w:widowControl/>
      <w:tabs>
        <w:tab w:val="left" w:pos="1361"/>
        <w:tab w:val="center" w:pos="8640"/>
      </w:tabs>
      <w:spacing w:before="120" w:after="240" w:line="360" w:lineRule="auto"/>
      <w:jc w:val="center"/>
    </w:pPr>
    <w:rPr>
      <w:kern w:val="0"/>
      <w:sz w:val="21"/>
      <w:szCs w:val="21"/>
    </w:rPr>
  </w:style>
  <w:style w:type="paragraph" w:customStyle="1" w:styleId="703">
    <w:name w:val="template"/>
    <w:basedOn w:val="1"/>
    <w:qFormat/>
    <w:uiPriority w:val="0"/>
    <w:pPr>
      <w:widowControl/>
      <w:spacing w:line="240" w:lineRule="exact"/>
      <w:jc w:val="left"/>
    </w:pPr>
    <w:rPr>
      <w:rFonts w:ascii="Arial" w:hAnsi="Arial"/>
      <w:i/>
      <w:kern w:val="0"/>
      <w:sz w:val="22"/>
      <w:szCs w:val="22"/>
    </w:rPr>
  </w:style>
  <w:style w:type="paragraph" w:customStyle="1" w:styleId="704">
    <w:name w:val="第二层标题"/>
    <w:basedOn w:val="81"/>
    <w:qFormat/>
    <w:uiPriority w:val="0"/>
    <w:pPr>
      <w:widowControl/>
      <w:tabs>
        <w:tab w:val="left" w:pos="794"/>
      </w:tabs>
      <w:wordWrap w:val="0"/>
      <w:ind w:left="794" w:hanging="374"/>
      <w:jc w:val="both"/>
    </w:pPr>
    <w:rPr>
      <w:rFonts w:ascii="仿宋_GB2312" w:hAnsi="Arial" w:eastAsia="仿宋_GB2312" w:cs="Arial"/>
      <w:bCs w:val="0"/>
      <w:kern w:val="0"/>
      <w:sz w:val="36"/>
      <w:szCs w:val="36"/>
    </w:rPr>
  </w:style>
  <w:style w:type="paragraph" w:customStyle="1" w:styleId="705">
    <w:name w:val="第三层标题"/>
    <w:basedOn w:val="81"/>
    <w:qFormat/>
    <w:uiPriority w:val="0"/>
    <w:pPr>
      <w:widowControl/>
      <w:tabs>
        <w:tab w:val="left" w:pos="794"/>
      </w:tabs>
      <w:wordWrap w:val="0"/>
      <w:ind w:left="794" w:hanging="374"/>
      <w:jc w:val="both"/>
    </w:pPr>
    <w:rPr>
      <w:rFonts w:ascii="仿宋_GB2312" w:hAnsi="Arial" w:eastAsia="仿宋_GB2312" w:cs="Arial"/>
      <w:bCs w:val="0"/>
      <w:kern w:val="0"/>
    </w:rPr>
  </w:style>
  <w:style w:type="paragraph" w:customStyle="1" w:styleId="706">
    <w:name w:val="缺省文本"/>
    <w:basedOn w:val="1"/>
    <w:qFormat/>
    <w:uiPriority w:val="0"/>
    <w:pPr>
      <w:widowControl/>
      <w:autoSpaceDE w:val="0"/>
      <w:autoSpaceDN w:val="0"/>
      <w:spacing w:line="360" w:lineRule="auto"/>
      <w:ind w:left="15"/>
      <w:jc w:val="left"/>
    </w:pPr>
    <w:rPr>
      <w:rFonts w:ascii="Arial" w:hAnsi="Arial"/>
      <w:kern w:val="0"/>
      <w:szCs w:val="21"/>
    </w:rPr>
  </w:style>
  <w:style w:type="paragraph" w:customStyle="1" w:styleId="707">
    <w:name w:val="列举1"/>
    <w:basedOn w:val="1"/>
    <w:qFormat/>
    <w:uiPriority w:val="0"/>
    <w:pPr>
      <w:widowControl/>
      <w:tabs>
        <w:tab w:val="left" w:pos="425"/>
      </w:tabs>
      <w:spacing w:line="360" w:lineRule="auto"/>
      <w:ind w:left="17"/>
    </w:pPr>
    <w:rPr>
      <w:kern w:val="0"/>
      <w:sz w:val="24"/>
    </w:rPr>
  </w:style>
  <w:style w:type="paragraph" w:customStyle="1" w:styleId="708">
    <w:name w:val="表格2"/>
    <w:basedOn w:val="1"/>
    <w:qFormat/>
    <w:uiPriority w:val="0"/>
    <w:pPr>
      <w:widowControl/>
    </w:pPr>
    <w:rPr>
      <w:kern w:val="0"/>
      <w:szCs w:val="21"/>
    </w:rPr>
  </w:style>
  <w:style w:type="character" w:customStyle="1" w:styleId="709">
    <w:name w:val="样式 仿宋_GB2312 四号"/>
    <w:qFormat/>
    <w:uiPriority w:val="0"/>
    <w:rPr>
      <w:rFonts w:ascii="Arial" w:hAnsi="Arial" w:eastAsia="宋体"/>
      <w:sz w:val="21"/>
      <w:szCs w:val="21"/>
    </w:rPr>
  </w:style>
  <w:style w:type="paragraph" w:customStyle="1" w:styleId="710">
    <w:name w:val="Char Char Char Char Char Char Char1"/>
    <w:basedOn w:val="1"/>
    <w:qFormat/>
    <w:uiPriority w:val="0"/>
    <w:pPr>
      <w:widowControl/>
    </w:pPr>
    <w:rPr>
      <w:rFonts w:ascii="Tahoma" w:hAnsi="Tahoma"/>
      <w:kern w:val="0"/>
      <w:sz w:val="24"/>
    </w:rPr>
  </w:style>
  <w:style w:type="paragraph" w:customStyle="1" w:styleId="711">
    <w:name w:val="正文2文字缩进"/>
    <w:basedOn w:val="1"/>
    <w:qFormat/>
    <w:uiPriority w:val="0"/>
    <w:pPr>
      <w:widowControl/>
      <w:spacing w:line="360" w:lineRule="auto"/>
      <w:ind w:right="210" w:firstLine="200"/>
    </w:pPr>
    <w:rPr>
      <w:kern w:val="0"/>
      <w:sz w:val="24"/>
    </w:rPr>
  </w:style>
  <w:style w:type="paragraph" w:customStyle="1" w:styleId="712">
    <w:name w:val="正文 + 小四"/>
    <w:basedOn w:val="1"/>
    <w:qFormat/>
    <w:uiPriority w:val="0"/>
    <w:pPr>
      <w:widowControl/>
      <w:ind w:left="360"/>
    </w:pPr>
    <w:rPr>
      <w:kern w:val="0"/>
      <w:sz w:val="24"/>
    </w:rPr>
  </w:style>
  <w:style w:type="paragraph" w:customStyle="1" w:styleId="713">
    <w:name w:val="7-*"/>
    <w:basedOn w:val="1"/>
    <w:qFormat/>
    <w:uiPriority w:val="0"/>
    <w:pPr>
      <w:widowControl/>
      <w:numPr>
        <w:ilvl w:val="0"/>
        <w:numId w:val="49"/>
      </w:numPr>
      <w:spacing w:line="360" w:lineRule="auto"/>
      <w:ind w:firstLine="0"/>
      <w:jc w:val="left"/>
    </w:pPr>
    <w:rPr>
      <w:rFonts w:ascii="宋体" w:hAnsi="Book Antiqua" w:cs="宋体"/>
      <w:kern w:val="0"/>
      <w:sz w:val="24"/>
      <w:lang w:val="zh-CN"/>
    </w:rPr>
  </w:style>
  <w:style w:type="paragraph" w:customStyle="1" w:styleId="714">
    <w:name w:val="公司地址"/>
    <w:basedOn w:val="1"/>
    <w:qFormat/>
    <w:uiPriority w:val="0"/>
    <w:pPr>
      <w:widowControl/>
      <w:spacing w:after="120" w:line="480" w:lineRule="atLeast"/>
      <w:jc w:val="center"/>
    </w:pPr>
    <w:rPr>
      <w:rFonts w:ascii="Arial" w:hAnsi="Arial" w:eastAsia="黑体" w:cs="Arial"/>
      <w:b/>
      <w:color w:val="000000"/>
      <w:kern w:val="0"/>
      <w:sz w:val="44"/>
      <w:szCs w:val="44"/>
    </w:rPr>
  </w:style>
  <w:style w:type="paragraph" w:customStyle="1" w:styleId="715">
    <w:name w:val="项目名称"/>
    <w:basedOn w:val="1"/>
    <w:qFormat/>
    <w:uiPriority w:val="0"/>
    <w:pPr>
      <w:widowControl/>
      <w:spacing w:after="120" w:line="480" w:lineRule="atLeast"/>
      <w:jc w:val="center"/>
    </w:pPr>
    <w:rPr>
      <w:rFonts w:ascii="长城仿宋" w:hAnsi="宋体" w:eastAsia="隶书"/>
      <w:b/>
      <w:color w:val="000000"/>
      <w:kern w:val="0"/>
      <w:sz w:val="44"/>
      <w:szCs w:val="44"/>
    </w:rPr>
  </w:style>
  <w:style w:type="paragraph" w:customStyle="1" w:styleId="716">
    <w:name w:val="Style Heading 2 + 宋体 Not Italic"/>
    <w:basedOn w:val="4"/>
    <w:qFormat/>
    <w:uiPriority w:val="0"/>
    <w:pPr>
      <w:keepNext w:val="0"/>
      <w:keepLines w:val="0"/>
      <w:widowControl/>
      <w:tabs>
        <w:tab w:val="left" w:pos="0"/>
        <w:tab w:val="left" w:pos="718"/>
      </w:tabs>
      <w:spacing w:before="240" w:after="60" w:afterAutospacing="1" w:line="240" w:lineRule="atLeast"/>
      <w:ind w:left="718" w:hanging="576"/>
      <w:jc w:val="left"/>
    </w:pPr>
    <w:rPr>
      <w:bCs w:val="0"/>
      <w:i/>
      <w:color w:val="000000"/>
      <w:kern w:val="0"/>
      <w:sz w:val="28"/>
      <w:szCs w:val="28"/>
    </w:rPr>
  </w:style>
  <w:style w:type="paragraph" w:customStyle="1" w:styleId="717">
    <w:name w:val="Reminder"/>
    <w:basedOn w:val="45"/>
    <w:qFormat/>
    <w:uiPriority w:val="0"/>
    <w:pPr>
      <w:widowControl/>
      <w:spacing w:before="100" w:beforeAutospacing="1" w:after="100" w:afterAutospacing="1" w:line="360" w:lineRule="auto"/>
      <w:ind w:left="288" w:firstLine="432"/>
      <w:jc w:val="left"/>
    </w:pPr>
    <w:rPr>
      <w:rFonts w:ascii="Courier New" w:cs="Courier New"/>
      <w:b/>
      <w:color w:val="FF0000"/>
      <w:kern w:val="0"/>
      <w:sz w:val="22"/>
      <w:szCs w:val="22"/>
    </w:rPr>
  </w:style>
  <w:style w:type="paragraph" w:customStyle="1" w:styleId="718">
    <w:name w:val="Bullet 1"/>
    <w:basedOn w:val="1"/>
    <w:qFormat/>
    <w:uiPriority w:val="0"/>
    <w:pPr>
      <w:widowControl/>
      <w:numPr>
        <w:ilvl w:val="0"/>
        <w:numId w:val="50"/>
      </w:numPr>
      <w:suppressLineNumbers/>
      <w:spacing w:line="360" w:lineRule="auto"/>
      <w:ind w:firstLine="0"/>
      <w:jc w:val="left"/>
    </w:pPr>
    <w:rPr>
      <w:rFonts w:ascii="宋体" w:hAnsi="宋体"/>
      <w:kern w:val="0"/>
      <w:sz w:val="22"/>
      <w:szCs w:val="22"/>
      <w:lang w:val="en-GB"/>
    </w:rPr>
  </w:style>
  <w:style w:type="paragraph" w:customStyle="1" w:styleId="719">
    <w:name w:val="样式 标题 1 + 段前: 6 磅 段后: 自动"/>
    <w:basedOn w:val="3"/>
    <w:qFormat/>
    <w:uiPriority w:val="0"/>
    <w:pPr>
      <w:keepNext w:val="0"/>
      <w:keepLines w:val="0"/>
      <w:pageBreakBefore/>
      <w:widowControl/>
      <w:tabs>
        <w:tab w:val="left" w:pos="432"/>
      </w:tabs>
      <w:spacing w:before="120" w:after="240" w:afterAutospacing="1" w:line="240" w:lineRule="atLeast"/>
      <w:ind w:left="432" w:hanging="432"/>
      <w:jc w:val="left"/>
    </w:pPr>
    <w:rPr>
      <w:rFonts w:ascii="黑体" w:hAnsi="Arial" w:eastAsia="黑体" w:cs="宋体"/>
      <w:bCs w:val="0"/>
      <w:color w:val="000000"/>
      <w:kern w:val="0"/>
    </w:rPr>
  </w:style>
  <w:style w:type="paragraph" w:customStyle="1" w:styleId="720">
    <w:name w:val="!标题1"/>
    <w:basedOn w:val="3"/>
    <w:qFormat/>
    <w:uiPriority w:val="0"/>
    <w:pPr>
      <w:keepNext w:val="0"/>
      <w:keepLines w:val="0"/>
      <w:pageBreakBefore/>
      <w:widowControl/>
      <w:tabs>
        <w:tab w:val="left" w:pos="1554"/>
      </w:tabs>
      <w:spacing w:before="240" w:after="60" w:afterAutospacing="1" w:line="240" w:lineRule="auto"/>
      <w:ind w:left="1554" w:hanging="420"/>
    </w:pPr>
    <w:rPr>
      <w:rFonts w:ascii="Tahoma" w:hAnsi="Tahoma" w:eastAsia="黑体" w:cs="Tahoma"/>
      <w:bCs w:val="0"/>
      <w:color w:val="000000"/>
      <w:kern w:val="0"/>
      <w:sz w:val="32"/>
      <w:szCs w:val="32"/>
    </w:rPr>
  </w:style>
  <w:style w:type="paragraph" w:customStyle="1" w:styleId="721">
    <w:name w:val="正文3"/>
    <w:basedOn w:val="1"/>
    <w:qFormat/>
    <w:uiPriority w:val="0"/>
    <w:pPr>
      <w:widowControl/>
      <w:numPr>
        <w:ilvl w:val="0"/>
        <w:numId w:val="51"/>
      </w:numPr>
      <w:spacing w:line="288" w:lineRule="auto"/>
      <w:ind w:right="210" w:firstLine="0"/>
    </w:pPr>
    <w:rPr>
      <w:kern w:val="0"/>
      <w:szCs w:val="21"/>
    </w:rPr>
  </w:style>
  <w:style w:type="paragraph" w:customStyle="1" w:styleId="722">
    <w:name w:val="样式 标题 1 + 行距: 单倍行距"/>
    <w:basedOn w:val="3"/>
    <w:qFormat/>
    <w:uiPriority w:val="0"/>
    <w:pPr>
      <w:keepNext w:val="0"/>
      <w:keepLines w:val="0"/>
      <w:pageBreakBefore/>
      <w:widowControl/>
      <w:numPr>
        <w:ilvl w:val="0"/>
        <w:numId w:val="52"/>
      </w:numPr>
      <w:spacing w:before="0" w:after="240" w:line="240" w:lineRule="auto"/>
      <w:jc w:val="left"/>
    </w:pPr>
    <w:rPr>
      <w:rFonts w:ascii="宋体" w:hAnsi="宋体" w:cs="宋体"/>
      <w:bCs w:val="0"/>
      <w:kern w:val="0"/>
    </w:rPr>
  </w:style>
  <w:style w:type="character" w:customStyle="1" w:styleId="723">
    <w:name w:val="apple-style-span"/>
    <w:qFormat/>
    <w:uiPriority w:val="0"/>
    <w:rPr>
      <w:rFonts w:ascii="宋体" w:hAnsi="宋体" w:eastAsia="宋体"/>
      <w:sz w:val="22"/>
      <w:szCs w:val="22"/>
      <w:lang w:val="en-US" w:eastAsia="zh-CN" w:bidi="ar-SA"/>
    </w:rPr>
  </w:style>
  <w:style w:type="character" w:customStyle="1" w:styleId="724">
    <w:name w:val="apple-converted-space"/>
    <w:qFormat/>
    <w:uiPriority w:val="0"/>
    <w:rPr>
      <w:rFonts w:ascii="宋体" w:hAnsi="宋体" w:eastAsia="宋体"/>
      <w:sz w:val="22"/>
      <w:szCs w:val="22"/>
      <w:lang w:val="en-US" w:eastAsia="zh-CN" w:bidi="ar-SA"/>
    </w:rPr>
  </w:style>
  <w:style w:type="paragraph" w:customStyle="1" w:styleId="725">
    <w:name w:val="默认段落字体 Para Char Char"/>
    <w:basedOn w:val="1"/>
    <w:qFormat/>
    <w:uiPriority w:val="0"/>
    <w:pPr>
      <w:widowControl/>
    </w:pPr>
    <w:rPr>
      <w:rFonts w:ascii="Arial" w:hAnsi="Arial" w:cs="Arial"/>
      <w:kern w:val="0"/>
      <w:szCs w:val="21"/>
    </w:rPr>
  </w:style>
  <w:style w:type="character" w:customStyle="1" w:styleId="726">
    <w:name w:val="Default Char"/>
    <w:link w:val="98"/>
    <w:qFormat/>
    <w:uiPriority w:val="0"/>
    <w:rPr>
      <w:color w:val="000000"/>
      <w:sz w:val="24"/>
      <w:szCs w:val="24"/>
    </w:rPr>
  </w:style>
  <w:style w:type="paragraph" w:customStyle="1" w:styleId="727">
    <w:name w:val="CM182"/>
    <w:basedOn w:val="98"/>
    <w:next w:val="98"/>
    <w:qFormat/>
    <w:uiPriority w:val="0"/>
    <w:pPr>
      <w:widowControl/>
      <w:adjustRightInd/>
      <w:spacing w:after="283"/>
    </w:pPr>
    <w:rPr>
      <w:color w:val="auto"/>
    </w:rPr>
  </w:style>
  <w:style w:type="paragraph" w:customStyle="1" w:styleId="728">
    <w:name w:val="插图格式"/>
    <w:basedOn w:val="1"/>
    <w:qFormat/>
    <w:uiPriority w:val="0"/>
    <w:pPr>
      <w:widowControl/>
      <w:autoSpaceDE w:val="0"/>
      <w:autoSpaceDN w:val="0"/>
      <w:spacing w:after="120" w:line="360" w:lineRule="atLeast"/>
      <w:jc w:val="center"/>
    </w:pPr>
    <w:rPr>
      <w:kern w:val="0"/>
      <w:sz w:val="24"/>
    </w:rPr>
  </w:style>
  <w:style w:type="character" w:customStyle="1" w:styleId="729">
    <w:name w:val="正文（首行缩进两字） Char3"/>
    <w:qFormat/>
    <w:uiPriority w:val="0"/>
    <w:rPr>
      <w:rFonts w:ascii="宋体" w:hAnsi="宋体" w:eastAsia="宋体" w:cs="Times New Roman"/>
      <w:sz w:val="24"/>
      <w:szCs w:val="24"/>
    </w:rPr>
  </w:style>
  <w:style w:type="character" w:customStyle="1" w:styleId="730">
    <w:name w:val="bt3 Char"/>
    <w:qFormat/>
    <w:uiPriority w:val="0"/>
    <w:rPr>
      <w:rFonts w:ascii="Tahoma" w:hAnsi="Tahoma" w:eastAsia="宋体"/>
      <w:b/>
      <w:sz w:val="24"/>
      <w:szCs w:val="24"/>
      <w:lang w:val="en-US" w:eastAsia="zh-CN" w:bidi="ar-SA"/>
    </w:rPr>
  </w:style>
  <w:style w:type="paragraph" w:customStyle="1" w:styleId="731">
    <w:name w:val="表内文字（加粗居中）"/>
    <w:basedOn w:val="1"/>
    <w:qFormat/>
    <w:uiPriority w:val="0"/>
    <w:pPr>
      <w:widowControl/>
      <w:numPr>
        <w:ilvl w:val="0"/>
        <w:numId w:val="53"/>
      </w:numPr>
      <w:tabs>
        <w:tab w:val="clear" w:pos="432"/>
      </w:tabs>
      <w:spacing w:line="300" w:lineRule="auto"/>
      <w:ind w:left="0" w:firstLine="0"/>
      <w:jc w:val="center"/>
    </w:pPr>
    <w:rPr>
      <w:rFonts w:ascii="宋体" w:hAnsi="宋体" w:cs="宋体"/>
      <w:b/>
      <w:kern w:val="0"/>
      <w:szCs w:val="21"/>
    </w:rPr>
  </w:style>
  <w:style w:type="character" w:customStyle="1" w:styleId="732">
    <w:name w:val="Char Char51"/>
    <w:qFormat/>
    <w:uiPriority w:val="0"/>
    <w:rPr>
      <w:rFonts w:eastAsia="宋体"/>
      <w:sz w:val="21"/>
      <w:szCs w:val="21"/>
      <w:lang w:val="en-US" w:eastAsia="zh-CN" w:bidi="ar-SA"/>
    </w:rPr>
  </w:style>
  <w:style w:type="paragraph" w:customStyle="1" w:styleId="733">
    <w:name w:val="二级有编号文本"/>
    <w:basedOn w:val="84"/>
    <w:next w:val="84"/>
    <w:qFormat/>
    <w:uiPriority w:val="0"/>
    <w:pPr>
      <w:numPr>
        <w:ilvl w:val="0"/>
        <w:numId w:val="54"/>
      </w:numPr>
      <w:tabs>
        <w:tab w:val="left" w:pos="360"/>
        <w:tab w:val="clear" w:pos="227"/>
      </w:tabs>
      <w:spacing w:after="0" w:line="440" w:lineRule="exact"/>
      <w:ind w:left="420" w:firstLine="0"/>
    </w:pPr>
    <w:rPr>
      <w:sz w:val="24"/>
      <w:szCs w:val="24"/>
    </w:rPr>
  </w:style>
  <w:style w:type="table" w:customStyle="1" w:styleId="734">
    <w:name w:val="网格型11"/>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35">
    <w:name w:val="Heading 5 Char"/>
    <w:qFormat/>
    <w:uiPriority w:val="0"/>
    <w:rPr>
      <w:b/>
      <w:sz w:val="28"/>
      <w:szCs w:val="28"/>
    </w:rPr>
  </w:style>
  <w:style w:type="character" w:customStyle="1" w:styleId="736">
    <w:name w:val="Heading 4 Char"/>
    <w:qFormat/>
    <w:uiPriority w:val="0"/>
    <w:rPr>
      <w:rFonts w:ascii="Cambria" w:hAnsi="Cambria" w:eastAsia="宋体" w:cs="Times New Roman"/>
      <w:b/>
      <w:sz w:val="28"/>
      <w:szCs w:val="28"/>
    </w:rPr>
  </w:style>
  <w:style w:type="character" w:customStyle="1" w:styleId="737">
    <w:name w:val="批注引用1"/>
    <w:qFormat/>
    <w:uiPriority w:val="0"/>
    <w:rPr>
      <w:rFonts w:cs="Times New Roman"/>
      <w:sz w:val="21"/>
      <w:szCs w:val="21"/>
    </w:rPr>
  </w:style>
  <w:style w:type="character" w:customStyle="1" w:styleId="738">
    <w:name w:val="Heading 2 Char1"/>
    <w:qFormat/>
    <w:uiPriority w:val="0"/>
    <w:rPr>
      <w:rFonts w:ascii="Cambria" w:hAnsi="Cambria" w:eastAsia="宋体" w:cs="Times New Roman"/>
      <w:b/>
      <w:sz w:val="32"/>
      <w:szCs w:val="32"/>
    </w:rPr>
  </w:style>
  <w:style w:type="character" w:customStyle="1" w:styleId="739">
    <w:name w:val="页码1"/>
    <w:qFormat/>
    <w:uiPriority w:val="0"/>
    <w:rPr>
      <w:rFonts w:cs="Times New Roman"/>
    </w:rPr>
  </w:style>
  <w:style w:type="character" w:customStyle="1" w:styleId="740">
    <w:name w:val="st1"/>
    <w:qFormat/>
    <w:uiPriority w:val="0"/>
    <w:rPr>
      <w:rFonts w:cs="Times New Roman"/>
    </w:rPr>
  </w:style>
  <w:style w:type="character" w:customStyle="1" w:styleId="741">
    <w:name w:val="Heading 1 Char"/>
    <w:qFormat/>
    <w:uiPriority w:val="0"/>
    <w:rPr>
      <w:b/>
      <w:sz w:val="44"/>
      <w:szCs w:val="44"/>
    </w:rPr>
  </w:style>
  <w:style w:type="paragraph" w:customStyle="1" w:styleId="742">
    <w:name w:val="列出段落111"/>
    <w:basedOn w:val="1"/>
    <w:qFormat/>
    <w:uiPriority w:val="0"/>
    <w:pPr>
      <w:widowControl/>
      <w:ind w:firstLine="420"/>
    </w:pPr>
    <w:rPr>
      <w:rFonts w:ascii="Calibri" w:hAnsi="Calibri" w:cs="黑体"/>
      <w:kern w:val="0"/>
      <w:szCs w:val="21"/>
    </w:rPr>
  </w:style>
  <w:style w:type="paragraph" w:customStyle="1" w:styleId="743">
    <w:name w:val="文档结构图1"/>
    <w:basedOn w:val="1"/>
    <w:qFormat/>
    <w:uiPriority w:val="0"/>
    <w:pPr>
      <w:widowControl/>
    </w:pPr>
    <w:rPr>
      <w:rFonts w:ascii="宋体"/>
      <w:kern w:val="0"/>
      <w:sz w:val="18"/>
      <w:szCs w:val="18"/>
    </w:rPr>
  </w:style>
  <w:style w:type="character" w:customStyle="1" w:styleId="744">
    <w:name w:val="文档结构图 Char1"/>
    <w:qFormat/>
    <w:uiPriority w:val="0"/>
    <w:rPr>
      <w:sz w:val="21"/>
      <w:szCs w:val="21"/>
      <w:shd w:val="clear" w:color="000000" w:fill="000080"/>
    </w:rPr>
  </w:style>
  <w:style w:type="character" w:customStyle="1" w:styleId="745">
    <w:name w:val="程序片段 Char"/>
    <w:qFormat/>
    <w:uiPriority w:val="0"/>
    <w:rPr>
      <w:rFonts w:ascii="Courier New" w:hAnsi="Courier New" w:eastAsia="宋体"/>
      <w:sz w:val="24"/>
      <w:szCs w:val="24"/>
      <w:lang w:val="en-US" w:eastAsia="zh-CN" w:bidi="ar-SA"/>
    </w:rPr>
  </w:style>
  <w:style w:type="character" w:customStyle="1" w:styleId="746">
    <w:name w:val="short_text"/>
    <w:qFormat/>
    <w:uiPriority w:val="0"/>
  </w:style>
  <w:style w:type="character" w:customStyle="1" w:styleId="747">
    <w:name w:val="文档正文 Char Char Char Char Char Char Char"/>
    <w:qFormat/>
    <w:uiPriority w:val="0"/>
    <w:rPr>
      <w:rFonts w:ascii="Arial" w:hAnsi="Arial" w:eastAsia="宋体"/>
      <w:sz w:val="24"/>
      <w:szCs w:val="24"/>
      <w:lang w:val="en-US" w:eastAsia="zh-CN" w:bidi="ar-SA"/>
    </w:rPr>
  </w:style>
  <w:style w:type="character" w:customStyle="1" w:styleId="748">
    <w:name w:val="文档正文 Char Char Char Char Char Char Char1 Char Char Char Char"/>
    <w:link w:val="749"/>
    <w:qFormat/>
    <w:uiPriority w:val="0"/>
    <w:rPr>
      <w:rFonts w:ascii="Arial" w:hAnsi="Arial"/>
      <w:sz w:val="24"/>
      <w:szCs w:val="24"/>
    </w:rPr>
  </w:style>
  <w:style w:type="paragraph" w:customStyle="1" w:styleId="749">
    <w:name w:val="文档正文 Char Char Char Char Char Char Char1 Char Char Char"/>
    <w:basedOn w:val="1"/>
    <w:link w:val="748"/>
    <w:qFormat/>
    <w:uiPriority w:val="0"/>
    <w:pPr>
      <w:widowControl/>
      <w:spacing w:line="360" w:lineRule="auto"/>
    </w:pPr>
    <w:rPr>
      <w:rFonts w:ascii="Arial" w:hAnsi="Arial"/>
      <w:kern w:val="0"/>
      <w:sz w:val="24"/>
    </w:rPr>
  </w:style>
  <w:style w:type="character" w:customStyle="1" w:styleId="750">
    <w:name w:val="文档正文 Char Char1 Char Char Char1 Char Char Char Char"/>
    <w:link w:val="751"/>
    <w:qFormat/>
    <w:uiPriority w:val="0"/>
    <w:rPr>
      <w:rFonts w:ascii="Arial" w:hAnsi="Arial"/>
      <w:sz w:val="24"/>
      <w:szCs w:val="24"/>
    </w:rPr>
  </w:style>
  <w:style w:type="paragraph" w:customStyle="1" w:styleId="751">
    <w:name w:val="文档正文 Char Char1 Char Char Char1 Char Char Char"/>
    <w:basedOn w:val="1"/>
    <w:link w:val="750"/>
    <w:qFormat/>
    <w:uiPriority w:val="0"/>
    <w:pPr>
      <w:widowControl/>
      <w:spacing w:line="360" w:lineRule="auto"/>
    </w:pPr>
    <w:rPr>
      <w:rFonts w:ascii="Arial" w:hAnsi="Arial"/>
      <w:kern w:val="0"/>
      <w:sz w:val="24"/>
    </w:rPr>
  </w:style>
  <w:style w:type="character" w:customStyle="1" w:styleId="752">
    <w:name w:val="文档正文 Char Char1 Char Char Char"/>
    <w:qFormat/>
    <w:uiPriority w:val="0"/>
    <w:rPr>
      <w:rFonts w:ascii="Arial" w:hAnsi="Arial" w:eastAsia="宋体"/>
      <w:sz w:val="24"/>
      <w:szCs w:val="24"/>
      <w:lang w:val="en-US" w:eastAsia="zh-CN" w:bidi="ar-SA"/>
    </w:rPr>
  </w:style>
  <w:style w:type="character" w:customStyle="1" w:styleId="753">
    <w:name w:val="Char Char6"/>
    <w:qFormat/>
    <w:uiPriority w:val="0"/>
    <w:rPr>
      <w:rFonts w:ascii="Garamond" w:hAnsi="Garamond" w:eastAsia="宋体"/>
      <w:smallCaps/>
      <w:color w:val="333399"/>
      <w:sz w:val="21"/>
      <w:szCs w:val="21"/>
      <w:lang w:val="en-US" w:eastAsia="zh-CN" w:bidi="ar-SA"/>
    </w:rPr>
  </w:style>
  <w:style w:type="character" w:customStyle="1" w:styleId="754">
    <w:name w:val="Itali Courier"/>
    <w:qFormat/>
    <w:uiPriority w:val="0"/>
    <w:rPr>
      <w:rFonts w:ascii="Courier New" w:hAnsi="Courier New" w:eastAsia="宋体"/>
      <w:i/>
      <w:color w:val="auto"/>
      <w:sz w:val="24"/>
      <w:szCs w:val="24"/>
      <w:u w:val="none"/>
    </w:rPr>
  </w:style>
  <w:style w:type="character" w:customStyle="1" w:styleId="755">
    <w:name w:val="word"/>
    <w:qFormat/>
    <w:uiPriority w:val="0"/>
  </w:style>
  <w:style w:type="character" w:customStyle="1" w:styleId="756">
    <w:name w:val="样式 标题 2H2H21H22H23H24H25H26H27H28H29H210H211H212H2...2 Char Char Char Char Char Char Char Char Char Char Char Char Char Char Char Char"/>
    <w:qFormat/>
    <w:uiPriority w:val="0"/>
    <w:rPr>
      <w:rFonts w:ascii="Arial" w:hAnsi="Arial" w:eastAsia="宋体" w:cs="Arial"/>
      <w:b/>
      <w:caps/>
      <w:sz w:val="24"/>
      <w:szCs w:val="24"/>
      <w:lang w:val="en-US" w:eastAsia="zh-CN" w:bidi="ar-SA"/>
    </w:rPr>
  </w:style>
  <w:style w:type="paragraph" w:customStyle="1" w:styleId="757">
    <w:name w:val="正文 5"/>
    <w:qFormat/>
    <w:uiPriority w:val="0"/>
    <w:pPr>
      <w:tabs>
        <w:tab w:val="left" w:pos="1800"/>
        <w:tab w:val="left" w:pos="2880"/>
        <w:tab w:val="left" w:pos="3960"/>
        <w:tab w:val="left" w:pos="5040"/>
        <w:tab w:val="left" w:pos="6120"/>
        <w:tab w:val="left" w:pos="7200"/>
      </w:tabs>
      <w:ind w:left="1701"/>
    </w:pPr>
    <w:rPr>
      <w:rFonts w:ascii="Times New Roman" w:hAnsi="Times New Roman" w:eastAsia="宋体" w:cs="Times New Roman"/>
      <w:lang w:val="en-US" w:eastAsia="zh-CN" w:bidi="ar-SA"/>
    </w:rPr>
  </w:style>
  <w:style w:type="paragraph" w:customStyle="1" w:styleId="758">
    <w:name w:val="正文 4"/>
    <w:qFormat/>
    <w:uiPriority w:val="0"/>
    <w:pPr>
      <w:tabs>
        <w:tab w:val="left" w:pos="1800"/>
        <w:tab w:val="left" w:pos="2880"/>
        <w:tab w:val="left" w:pos="3960"/>
        <w:tab w:val="left" w:pos="5040"/>
        <w:tab w:val="left" w:pos="6120"/>
        <w:tab w:val="left" w:pos="7200"/>
      </w:tabs>
    </w:pPr>
    <w:rPr>
      <w:rFonts w:ascii="Times New Roman" w:hAnsi="Times New Roman" w:eastAsia="宋体" w:cs="Times New Roman"/>
      <w:lang w:val="en-US" w:eastAsia="zh-CN" w:bidi="ar-SA"/>
    </w:rPr>
  </w:style>
  <w:style w:type="paragraph" w:customStyle="1" w:styleId="759">
    <w:name w:val="正文 3"/>
    <w:basedOn w:val="1"/>
    <w:qFormat/>
    <w:uiPriority w:val="0"/>
    <w:pPr>
      <w:widowControl/>
      <w:tabs>
        <w:tab w:val="left" w:pos="1800"/>
        <w:tab w:val="left" w:pos="2880"/>
        <w:tab w:val="left" w:pos="3960"/>
        <w:tab w:val="left" w:pos="5040"/>
        <w:tab w:val="left" w:pos="6120"/>
        <w:tab w:val="left" w:pos="7200"/>
      </w:tabs>
      <w:spacing w:before="120" w:line="360" w:lineRule="exact"/>
      <w:ind w:left="851"/>
    </w:pPr>
    <w:rPr>
      <w:rFonts w:ascii="Garamond" w:hAnsi="Garamond" w:eastAsia="楷体_GB2312"/>
      <w:kern w:val="0"/>
      <w:sz w:val="24"/>
    </w:rPr>
  </w:style>
  <w:style w:type="paragraph" w:customStyle="1" w:styleId="760">
    <w:name w:val="封面日期"/>
    <w:basedOn w:val="1"/>
    <w:qFormat/>
    <w:uiPriority w:val="0"/>
    <w:pPr>
      <w:widowControl/>
      <w:spacing w:before="240" w:line="480" w:lineRule="exact"/>
      <w:jc w:val="center"/>
    </w:pPr>
    <w:rPr>
      <w:rFonts w:ascii="Garamond" w:hAnsi="Garamond" w:eastAsia="楷体_GB2312"/>
      <w:b/>
      <w:kern w:val="0"/>
      <w:sz w:val="32"/>
      <w:szCs w:val="32"/>
    </w:rPr>
  </w:style>
  <w:style w:type="paragraph" w:customStyle="1" w:styleId="761">
    <w:name w:val="封面版本号"/>
    <w:basedOn w:val="1"/>
    <w:qFormat/>
    <w:uiPriority w:val="0"/>
    <w:pPr>
      <w:widowControl/>
      <w:spacing w:before="240"/>
      <w:jc w:val="center"/>
    </w:pPr>
    <w:rPr>
      <w:rFonts w:eastAsia="楷体_GB2312"/>
      <w:b/>
      <w:kern w:val="0"/>
      <w:sz w:val="32"/>
      <w:szCs w:val="32"/>
    </w:rPr>
  </w:style>
  <w:style w:type="paragraph" w:customStyle="1" w:styleId="762">
    <w:name w:val="封面左上角标题"/>
    <w:basedOn w:val="1"/>
    <w:qFormat/>
    <w:uiPriority w:val="0"/>
    <w:pPr>
      <w:widowControl/>
      <w:spacing w:before="360"/>
    </w:pPr>
    <w:rPr>
      <w:rFonts w:eastAsia="楷体_GB2312"/>
      <w:b/>
      <w:kern w:val="0"/>
      <w:sz w:val="32"/>
      <w:szCs w:val="32"/>
    </w:rPr>
  </w:style>
  <w:style w:type="paragraph" w:customStyle="1" w:styleId="763">
    <w:name w:val="项目符号缩进"/>
    <w:basedOn w:val="1"/>
    <w:qFormat/>
    <w:uiPriority w:val="0"/>
    <w:pPr>
      <w:widowControl/>
      <w:overflowPunct w:val="0"/>
      <w:autoSpaceDE w:val="0"/>
      <w:autoSpaceDN w:val="0"/>
      <w:spacing w:line="360" w:lineRule="auto"/>
      <w:jc w:val="left"/>
    </w:pPr>
    <w:rPr>
      <w:rFonts w:ascii="Arial"/>
      <w:kern w:val="0"/>
      <w:sz w:val="24"/>
    </w:rPr>
  </w:style>
  <w:style w:type="paragraph" w:customStyle="1" w:styleId="764">
    <w:name w:val="文档正文 Char Char Char Char"/>
    <w:basedOn w:val="1"/>
    <w:qFormat/>
    <w:uiPriority w:val="0"/>
    <w:pPr>
      <w:widowControl/>
      <w:spacing w:line="360" w:lineRule="auto"/>
    </w:pPr>
    <w:rPr>
      <w:rFonts w:ascii="Arial" w:hAnsi="Arial"/>
      <w:kern w:val="0"/>
      <w:sz w:val="24"/>
    </w:rPr>
  </w:style>
  <w:style w:type="paragraph" w:customStyle="1" w:styleId="765">
    <w:name w:val="z-窗体顶端1"/>
    <w:basedOn w:val="1"/>
    <w:next w:val="1"/>
    <w:link w:val="766"/>
    <w:qFormat/>
    <w:uiPriority w:val="0"/>
    <w:pPr>
      <w:widowControl/>
      <w:pBdr>
        <w:bottom w:val="single" w:color="000000" w:sz="6" w:space="1"/>
      </w:pBdr>
      <w:jc w:val="center"/>
    </w:pPr>
    <w:rPr>
      <w:rFonts w:ascii="Arial" w:hAnsi="Arial" w:cs="Arial"/>
      <w:vanish/>
      <w:kern w:val="0"/>
      <w:sz w:val="16"/>
      <w:szCs w:val="16"/>
    </w:rPr>
  </w:style>
  <w:style w:type="character" w:customStyle="1" w:styleId="766">
    <w:name w:val="z-窗体顶端 Char"/>
    <w:basedOn w:val="89"/>
    <w:link w:val="765"/>
    <w:qFormat/>
    <w:uiPriority w:val="0"/>
    <w:rPr>
      <w:rFonts w:ascii="Arial" w:hAnsi="Arial" w:cs="Arial"/>
      <w:vanish/>
      <w:sz w:val="16"/>
      <w:szCs w:val="16"/>
    </w:rPr>
  </w:style>
  <w:style w:type="paragraph" w:customStyle="1" w:styleId="767">
    <w:name w:val="列表编号 1"/>
    <w:basedOn w:val="20"/>
    <w:qFormat/>
    <w:uiPriority w:val="0"/>
    <w:pPr>
      <w:numPr>
        <w:ilvl w:val="0"/>
        <w:numId w:val="0"/>
      </w:numPr>
      <w:spacing w:line="360" w:lineRule="exact"/>
    </w:pPr>
    <w:rPr>
      <w:rFonts w:ascii="Garamond" w:hAnsi="Garamond" w:eastAsia="楷体_GB2312"/>
    </w:rPr>
  </w:style>
  <w:style w:type="paragraph" w:customStyle="1" w:styleId="768">
    <w:name w:val="列表项目符号 1"/>
    <w:basedOn w:val="24"/>
    <w:qFormat/>
    <w:uiPriority w:val="0"/>
    <w:pPr>
      <w:tabs>
        <w:tab w:val="clear" w:pos="748"/>
      </w:tabs>
      <w:spacing w:line="360" w:lineRule="exact"/>
      <w:ind w:left="0"/>
    </w:pPr>
    <w:rPr>
      <w:rFonts w:ascii="Garamond" w:hAnsi="Garamond" w:eastAsia="楷体_GB2312"/>
      <w:sz w:val="24"/>
      <w:szCs w:val="24"/>
    </w:rPr>
  </w:style>
  <w:style w:type="paragraph" w:customStyle="1" w:styleId="769">
    <w:name w:val="附录"/>
    <w:basedOn w:val="1"/>
    <w:qFormat/>
    <w:uiPriority w:val="0"/>
    <w:pPr>
      <w:widowControl/>
      <w:spacing w:before="600" w:after="400" w:line="480" w:lineRule="exact"/>
      <w:ind w:left="75"/>
      <w:jc w:val="center"/>
      <w:outlineLvl w:val="0"/>
    </w:pPr>
    <w:rPr>
      <w:rFonts w:ascii="Arial" w:hAnsi="Arial" w:eastAsia="楷体_GB2312"/>
      <w:b/>
      <w:kern w:val="0"/>
      <w:sz w:val="48"/>
      <w:szCs w:val="48"/>
    </w:rPr>
  </w:style>
  <w:style w:type="paragraph" w:customStyle="1" w:styleId="770">
    <w:name w:val="样式 标题 5dashdsddh5H5ITT t5PA Pico Section5H5-Heading 5l..."/>
    <w:basedOn w:val="7"/>
    <w:qFormat/>
    <w:uiPriority w:val="0"/>
    <w:pPr>
      <w:keepNext w:val="0"/>
      <w:keepLines w:val="0"/>
      <w:widowControl/>
      <w:tabs>
        <w:tab w:val="left" w:pos="992"/>
      </w:tabs>
      <w:ind w:left="992" w:hanging="992"/>
      <w:outlineLvl w:val="1"/>
    </w:pPr>
    <w:rPr>
      <w:rFonts w:ascii="Arial" w:hAnsi="Arial"/>
      <w:b w:val="0"/>
      <w:bCs w:val="0"/>
      <w:kern w:val="0"/>
      <w:sz w:val="24"/>
      <w:szCs w:val="24"/>
    </w:rPr>
  </w:style>
  <w:style w:type="paragraph" w:customStyle="1" w:styleId="771">
    <w:name w:val="文档正文 Char Char1"/>
    <w:basedOn w:val="1"/>
    <w:qFormat/>
    <w:uiPriority w:val="0"/>
    <w:pPr>
      <w:widowControl/>
      <w:spacing w:line="360" w:lineRule="auto"/>
    </w:pPr>
    <w:rPr>
      <w:rFonts w:ascii="Arial" w:hAnsi="Arial"/>
      <w:kern w:val="0"/>
      <w:sz w:val="24"/>
    </w:rPr>
  </w:style>
  <w:style w:type="paragraph" w:customStyle="1" w:styleId="772">
    <w:name w:val="1 Char Char Char Char Char Char Char"/>
    <w:basedOn w:val="1"/>
    <w:qFormat/>
    <w:uiPriority w:val="0"/>
    <w:pPr>
      <w:widowControl/>
      <w:jc w:val="left"/>
    </w:pPr>
    <w:rPr>
      <w:rFonts w:ascii="Tahoma" w:hAnsi="Tahoma"/>
      <w:kern w:val="0"/>
      <w:sz w:val="24"/>
    </w:rPr>
  </w:style>
  <w:style w:type="paragraph" w:customStyle="1" w:styleId="773">
    <w:name w:val="Char Char Char Char1"/>
    <w:basedOn w:val="1"/>
    <w:qFormat/>
    <w:uiPriority w:val="0"/>
    <w:pPr>
      <w:widowControl/>
      <w:jc w:val="left"/>
    </w:pPr>
    <w:rPr>
      <w:rFonts w:ascii="Tahoma" w:hAnsi="Tahoma"/>
      <w:kern w:val="0"/>
      <w:sz w:val="24"/>
    </w:rPr>
  </w:style>
  <w:style w:type="paragraph" w:customStyle="1" w:styleId="774">
    <w:name w:val="正文文字的字体"/>
    <w:basedOn w:val="1"/>
    <w:qFormat/>
    <w:uiPriority w:val="0"/>
    <w:pPr>
      <w:widowControl/>
      <w:snapToGrid w:val="0"/>
      <w:ind w:firstLine="200"/>
    </w:pPr>
    <w:rPr>
      <w:color w:val="000000"/>
      <w:kern w:val="0"/>
      <w:szCs w:val="21"/>
    </w:rPr>
  </w:style>
  <w:style w:type="paragraph" w:customStyle="1" w:styleId="775">
    <w:name w:val="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76">
    <w:name w:val="封面软件名称"/>
    <w:basedOn w:val="1"/>
    <w:next w:val="1"/>
    <w:qFormat/>
    <w:uiPriority w:val="0"/>
    <w:pPr>
      <w:widowControl/>
      <w:pBdr>
        <w:bottom w:val="threeDEngrave" w:color="000000" w:sz="48" w:space="1"/>
      </w:pBdr>
      <w:spacing w:before="3600"/>
      <w:jc w:val="center"/>
    </w:pPr>
    <w:rPr>
      <w:rFonts w:ascii="Garamond" w:hAnsi="Garamond" w:eastAsia="楷体_GB2312"/>
      <w:b/>
      <w:kern w:val="0"/>
      <w:sz w:val="52"/>
      <w:szCs w:val="52"/>
    </w:rPr>
  </w:style>
  <w:style w:type="paragraph" w:customStyle="1" w:styleId="777">
    <w:name w:val="样式 标题 2H2H21H22H23H24H25H26H27H28H29H210H211H212H2..."/>
    <w:basedOn w:val="4"/>
    <w:qFormat/>
    <w:uiPriority w:val="0"/>
    <w:pPr>
      <w:keepNext w:val="0"/>
      <w:keepLines w:val="0"/>
      <w:widowControl/>
      <w:tabs>
        <w:tab w:val="left" w:pos="0"/>
        <w:tab w:val="left" w:pos="567"/>
      </w:tabs>
      <w:spacing w:before="120" w:after="156" w:line="240" w:lineRule="auto"/>
      <w:ind w:left="567" w:hanging="567"/>
    </w:pPr>
    <w:rPr>
      <w:rFonts w:eastAsia="宋体" w:cs="Arial"/>
      <w:bCs w:val="0"/>
      <w:caps/>
      <w:color w:val="000000"/>
      <w:kern w:val="0"/>
      <w:sz w:val="24"/>
      <w:szCs w:val="24"/>
    </w:rPr>
  </w:style>
  <w:style w:type="paragraph" w:customStyle="1" w:styleId="778">
    <w:name w:val="form caption 9pt"/>
    <w:basedOn w:val="1"/>
    <w:qFormat/>
    <w:uiPriority w:val="0"/>
    <w:pPr>
      <w:widowControl/>
      <w:overflowPunct w:val="0"/>
      <w:autoSpaceDE w:val="0"/>
      <w:autoSpaceDN w:val="0"/>
      <w:spacing w:before="40" w:after="40"/>
      <w:jc w:val="center"/>
    </w:pPr>
    <w:rPr>
      <w:rFonts w:ascii="MingLiU" w:eastAsia="MingLiU"/>
      <w:b/>
      <w:caps/>
      <w:kern w:val="0"/>
      <w:sz w:val="18"/>
      <w:szCs w:val="18"/>
      <w:lang w:eastAsia="zh-TW"/>
    </w:rPr>
  </w:style>
  <w:style w:type="paragraph" w:customStyle="1" w:styleId="779">
    <w:name w:val="Char Char Char Char Char Char Char Char Char Char Char Char Char Char Char Char Char Char Char Char1"/>
    <w:basedOn w:val="1"/>
    <w:qFormat/>
    <w:uiPriority w:val="0"/>
    <w:pPr>
      <w:widowControl/>
      <w:jc w:val="left"/>
    </w:pPr>
    <w:rPr>
      <w:rFonts w:ascii="Tahoma" w:hAnsi="Tahoma"/>
      <w:kern w:val="0"/>
      <w:sz w:val="24"/>
    </w:rPr>
  </w:style>
  <w:style w:type="paragraph" w:customStyle="1" w:styleId="780">
    <w:name w:val="Char Char Char Char Char Char Char Char Char Char Char Char Char Char Char Char Char Char Char Char1 Char Char Char Char"/>
    <w:basedOn w:val="1"/>
    <w:qFormat/>
    <w:uiPriority w:val="0"/>
    <w:pPr>
      <w:widowControl/>
      <w:jc w:val="left"/>
    </w:pPr>
    <w:rPr>
      <w:rFonts w:ascii="Tahoma" w:hAnsi="Tahoma"/>
      <w:kern w:val="0"/>
      <w:sz w:val="24"/>
    </w:rPr>
  </w:style>
  <w:style w:type="paragraph" w:customStyle="1" w:styleId="781">
    <w:name w:val="封面公司名称"/>
    <w:basedOn w:val="21"/>
    <w:qFormat/>
    <w:uiPriority w:val="0"/>
    <w:pPr>
      <w:widowControl/>
      <w:autoSpaceDE/>
      <w:autoSpaceDN/>
      <w:adjustRightInd/>
      <w:spacing w:before="400" w:line="400" w:lineRule="exact"/>
      <w:ind w:firstLine="0"/>
      <w:jc w:val="center"/>
    </w:pPr>
    <w:rPr>
      <w:rFonts w:ascii="Garamond" w:hAnsi="Garamond" w:eastAsia="宋体"/>
      <w:b/>
      <w:sz w:val="30"/>
      <w:szCs w:val="30"/>
    </w:rPr>
  </w:style>
  <w:style w:type="paragraph" w:customStyle="1" w:styleId="782">
    <w:name w:val="版权声明"/>
    <w:basedOn w:val="1"/>
    <w:qFormat/>
    <w:uiPriority w:val="0"/>
    <w:pPr>
      <w:pageBreakBefore/>
      <w:widowControl/>
      <w:spacing w:before="600" w:after="1200" w:line="360" w:lineRule="exact"/>
      <w:jc w:val="center"/>
      <w:outlineLvl w:val="0"/>
    </w:pPr>
    <w:rPr>
      <w:rFonts w:ascii="Garamond" w:hAnsi="Garamond" w:eastAsia="楷体_GB2312"/>
      <w:b/>
      <w:kern w:val="0"/>
      <w:sz w:val="48"/>
      <w:szCs w:val="48"/>
    </w:rPr>
  </w:style>
  <w:style w:type="paragraph" w:customStyle="1" w:styleId="783">
    <w:name w:val="Char Char Char Char 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84">
    <w:name w:val="程序片段"/>
    <w:basedOn w:val="1"/>
    <w:qFormat/>
    <w:uiPriority w:val="0"/>
    <w:pPr>
      <w:widowControl/>
      <w:shd w:val="pct10" w:color="000000" w:fill="FFFFFF"/>
      <w:tabs>
        <w:tab w:val="left" w:pos="1080"/>
      </w:tabs>
      <w:spacing w:line="240" w:lineRule="atLeast"/>
      <w:ind w:left="851"/>
    </w:pPr>
    <w:rPr>
      <w:rFonts w:ascii="Courier New" w:hAnsi="Courier New"/>
      <w:kern w:val="0"/>
      <w:sz w:val="24"/>
    </w:rPr>
  </w:style>
  <w:style w:type="paragraph" w:customStyle="1" w:styleId="785">
    <w:name w:val="副题"/>
    <w:basedOn w:val="1"/>
    <w:next w:val="1"/>
    <w:qFormat/>
    <w:uiPriority w:val="0"/>
    <w:pPr>
      <w:widowControl/>
      <w:spacing w:after="600" w:line="360" w:lineRule="exact"/>
      <w:jc w:val="right"/>
    </w:pPr>
    <w:rPr>
      <w:rFonts w:ascii="Garamond" w:hAnsi="Garamond" w:eastAsia="楷体_GB2312"/>
      <w:b/>
      <w:spacing w:val="20"/>
      <w:kern w:val="0"/>
      <w:sz w:val="30"/>
      <w:szCs w:val="30"/>
    </w:rPr>
  </w:style>
  <w:style w:type="paragraph" w:customStyle="1" w:styleId="786">
    <w:name w:val="问题"/>
    <w:basedOn w:val="1"/>
    <w:qFormat/>
    <w:uiPriority w:val="0"/>
    <w:pPr>
      <w:widowControl/>
      <w:tabs>
        <w:tab w:val="left" w:pos="360"/>
      </w:tabs>
      <w:spacing w:before="120" w:line="360" w:lineRule="exact"/>
      <w:ind w:left="360" w:hanging="360"/>
      <w:outlineLvl w:val="1"/>
    </w:pPr>
    <w:rPr>
      <w:rFonts w:ascii="Garamond" w:hAnsi="Garamond" w:eastAsia="楷体_GB2312"/>
      <w:b/>
      <w:kern w:val="0"/>
      <w:sz w:val="24"/>
    </w:rPr>
  </w:style>
  <w:style w:type="paragraph" w:customStyle="1" w:styleId="787">
    <w:name w:val="Char Char Char Char Char Char Char Char Char Char Char Char 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88">
    <w:name w:val="z-窗体底端1"/>
    <w:basedOn w:val="1"/>
    <w:next w:val="1"/>
    <w:link w:val="789"/>
    <w:qFormat/>
    <w:uiPriority w:val="0"/>
    <w:pPr>
      <w:widowControl/>
      <w:pBdr>
        <w:top w:val="single" w:color="000000" w:sz="6" w:space="1"/>
      </w:pBdr>
      <w:jc w:val="center"/>
    </w:pPr>
    <w:rPr>
      <w:rFonts w:ascii="Arial" w:hAnsi="Arial" w:cs="Arial"/>
      <w:vanish/>
      <w:kern w:val="0"/>
      <w:sz w:val="16"/>
      <w:szCs w:val="16"/>
    </w:rPr>
  </w:style>
  <w:style w:type="character" w:customStyle="1" w:styleId="789">
    <w:name w:val="z-窗体底端 Char"/>
    <w:basedOn w:val="89"/>
    <w:link w:val="788"/>
    <w:qFormat/>
    <w:uiPriority w:val="0"/>
    <w:rPr>
      <w:rFonts w:ascii="Arial" w:hAnsi="Arial" w:cs="Arial"/>
      <w:vanish/>
      <w:sz w:val="16"/>
      <w:szCs w:val="16"/>
    </w:rPr>
  </w:style>
  <w:style w:type="paragraph" w:customStyle="1" w:styleId="790">
    <w:name w:val="批注框文本1"/>
    <w:basedOn w:val="1"/>
    <w:qFormat/>
    <w:uiPriority w:val="0"/>
    <w:pPr>
      <w:widowControl/>
    </w:pPr>
    <w:rPr>
      <w:kern w:val="0"/>
      <w:sz w:val="16"/>
      <w:szCs w:val="16"/>
    </w:rPr>
  </w:style>
  <w:style w:type="paragraph" w:customStyle="1" w:styleId="791">
    <w:name w:val="样式 标题 5H5PIM 5dashdsddRoman listh5heading 5Block Label..."/>
    <w:basedOn w:val="6"/>
    <w:next w:val="7"/>
    <w:qFormat/>
    <w:uiPriority w:val="0"/>
    <w:pPr>
      <w:keepNext w:val="0"/>
      <w:widowControl/>
      <w:tabs>
        <w:tab w:val="left" w:pos="2268"/>
      </w:tabs>
      <w:spacing w:before="280" w:after="290" w:line="372" w:lineRule="auto"/>
      <w:ind w:left="2268" w:hanging="992"/>
    </w:pPr>
    <w:rPr>
      <w:rFonts w:ascii="Garamond" w:hAnsi="Garamond" w:eastAsia="楷体_GB2312" w:cs="宋体"/>
      <w:b/>
      <w:kern w:val="0"/>
      <w:sz w:val="24"/>
      <w:szCs w:val="24"/>
    </w:rPr>
  </w:style>
  <w:style w:type="paragraph" w:customStyle="1" w:styleId="792">
    <w:name w:val="Char Char Char"/>
    <w:basedOn w:val="1"/>
    <w:qFormat/>
    <w:uiPriority w:val="0"/>
    <w:pPr>
      <w:widowControl/>
      <w:jc w:val="left"/>
    </w:pPr>
    <w:rPr>
      <w:rFonts w:ascii="Tahoma" w:hAnsi="Tahoma"/>
      <w:kern w:val="0"/>
      <w:sz w:val="24"/>
    </w:rPr>
  </w:style>
  <w:style w:type="paragraph" w:customStyle="1" w:styleId="793">
    <w:name w:val="Char Char Char Char Char Char Char Char Char Char Char Char Char Char Char Char Char Char Char Char1 Char Char"/>
    <w:basedOn w:val="1"/>
    <w:qFormat/>
    <w:uiPriority w:val="0"/>
    <w:pPr>
      <w:widowControl/>
      <w:jc w:val="left"/>
    </w:pPr>
    <w:rPr>
      <w:rFonts w:ascii="Tahoma" w:hAnsi="Tahoma"/>
      <w:kern w:val="0"/>
      <w:sz w:val="24"/>
    </w:rPr>
  </w:style>
  <w:style w:type="paragraph" w:customStyle="1" w:styleId="794">
    <w:name w:val="Char Char Char Char Char Char Char Char Char Char Char Char Char Char Char Char Char Char"/>
    <w:basedOn w:val="1"/>
    <w:qFormat/>
    <w:uiPriority w:val="0"/>
    <w:pPr>
      <w:widowControl/>
      <w:jc w:val="left"/>
    </w:pPr>
    <w:rPr>
      <w:rFonts w:ascii="Tahoma" w:hAnsi="Tahoma"/>
      <w:kern w:val="0"/>
      <w:sz w:val="24"/>
    </w:rPr>
  </w:style>
  <w:style w:type="paragraph" w:customStyle="1" w:styleId="795">
    <w:name w:val="正文wh Char Char Char Char"/>
    <w:basedOn w:val="1"/>
    <w:qFormat/>
    <w:uiPriority w:val="0"/>
    <w:pPr>
      <w:widowControl/>
      <w:spacing w:line="360" w:lineRule="auto"/>
      <w:ind w:firstLine="200"/>
    </w:pPr>
    <w:rPr>
      <w:rFonts w:ascii="Tahoma" w:hAnsi="Tahoma"/>
      <w:kern w:val="0"/>
      <w:sz w:val="24"/>
    </w:rPr>
  </w:style>
  <w:style w:type="character" w:customStyle="1" w:styleId="796">
    <w:name w:val="标题5 Char"/>
    <w:link w:val="584"/>
    <w:qFormat/>
    <w:uiPriority w:val="0"/>
    <w:rPr>
      <w:b/>
      <w:sz w:val="28"/>
      <w:szCs w:val="28"/>
    </w:rPr>
  </w:style>
  <w:style w:type="paragraph" w:customStyle="1" w:styleId="797">
    <w:name w:val="新正文【规划】"/>
    <w:basedOn w:val="1"/>
    <w:link w:val="798"/>
    <w:qFormat/>
    <w:uiPriority w:val="0"/>
    <w:pPr>
      <w:widowControl/>
      <w:spacing w:line="360" w:lineRule="auto"/>
      <w:ind w:firstLine="177"/>
    </w:pPr>
    <w:rPr>
      <w:rFonts w:ascii="Calibri" w:hAnsi="Calibri"/>
      <w:kern w:val="0"/>
      <w:sz w:val="24"/>
    </w:rPr>
  </w:style>
  <w:style w:type="character" w:customStyle="1" w:styleId="798">
    <w:name w:val="新正文【规划】 Char"/>
    <w:link w:val="797"/>
    <w:qFormat/>
    <w:uiPriority w:val="0"/>
    <w:rPr>
      <w:rFonts w:ascii="Calibri" w:hAnsi="Calibri"/>
      <w:sz w:val="24"/>
      <w:szCs w:val="24"/>
    </w:rPr>
  </w:style>
  <w:style w:type="paragraph" w:customStyle="1" w:styleId="799">
    <w:name w:val="dy4"/>
    <w:basedOn w:val="5"/>
    <w:qFormat/>
    <w:uiPriority w:val="0"/>
    <w:pPr>
      <w:keepNext w:val="0"/>
      <w:keepLines w:val="0"/>
      <w:widowControl/>
      <w:tabs>
        <w:tab w:val="left" w:pos="300"/>
        <w:tab w:val="left" w:pos="851"/>
      </w:tabs>
      <w:autoSpaceDE/>
      <w:autoSpaceDN/>
      <w:adjustRightInd/>
      <w:spacing w:before="260" w:after="260" w:line="415" w:lineRule="auto"/>
      <w:ind w:left="851" w:hanging="851"/>
      <w:jc w:val="left"/>
    </w:pPr>
    <w:rPr>
      <w:rFonts w:ascii="Times New Roman" w:eastAsia="宋体"/>
      <w:b/>
      <w:sz w:val="30"/>
      <w:szCs w:val="30"/>
    </w:rPr>
  </w:style>
  <w:style w:type="paragraph" w:customStyle="1" w:styleId="800">
    <w:name w:val="样式17"/>
    <w:basedOn w:val="22"/>
    <w:qFormat/>
    <w:uiPriority w:val="0"/>
    <w:pPr>
      <w:widowControl/>
      <w:numPr>
        <w:ilvl w:val="0"/>
        <w:numId w:val="55"/>
      </w:numPr>
      <w:tabs>
        <w:tab w:val="left" w:pos="360"/>
        <w:tab w:val="left" w:pos="2000"/>
        <w:tab w:val="clear" w:pos="1701"/>
      </w:tabs>
      <w:spacing w:before="120" w:after="360"/>
      <w:ind w:left="0" w:firstLine="0"/>
      <w:jc w:val="center"/>
    </w:pPr>
    <w:rPr>
      <w:rFonts w:ascii="Arial" w:hAnsi="Arial" w:eastAsia="宋体"/>
      <w:kern w:val="0"/>
      <w:sz w:val="18"/>
      <w:szCs w:val="18"/>
      <w:lang w:eastAsia="en-US"/>
    </w:rPr>
  </w:style>
  <w:style w:type="paragraph" w:customStyle="1" w:styleId="801">
    <w:name w:val="图位"/>
    <w:basedOn w:val="561"/>
    <w:qFormat/>
    <w:uiPriority w:val="0"/>
    <w:pPr>
      <w:tabs>
        <w:tab w:val="left" w:pos="0"/>
        <w:tab w:val="clear" w:pos="1247"/>
      </w:tabs>
      <w:ind w:left="0"/>
      <w:jc w:val="center"/>
    </w:pPr>
    <w:rPr>
      <w:lang w:val="pt-BR" w:eastAsia="zh-CN"/>
    </w:rPr>
  </w:style>
  <w:style w:type="character" w:customStyle="1" w:styleId="802">
    <w:name w:val="标题2 Char"/>
    <w:link w:val="542"/>
    <w:qFormat/>
    <w:uiPriority w:val="0"/>
    <w:rPr>
      <w:rFonts w:ascii="Arial" w:hAnsi="Arial" w:cs="Arial"/>
      <w:b/>
      <w:spacing w:val="20"/>
      <w:sz w:val="28"/>
      <w:szCs w:val="28"/>
      <w:lang w:eastAsia="en-US"/>
    </w:rPr>
  </w:style>
  <w:style w:type="character" w:customStyle="1" w:styleId="803">
    <w:name w:val="标题3 Char"/>
    <w:link w:val="543"/>
    <w:qFormat/>
    <w:uiPriority w:val="0"/>
    <w:rPr>
      <w:rFonts w:ascii="Arial" w:hAnsi="Arial"/>
      <w:b/>
      <w:spacing w:val="20"/>
      <w:sz w:val="24"/>
      <w:szCs w:val="24"/>
      <w:lang w:val="pt-BR"/>
    </w:rPr>
  </w:style>
  <w:style w:type="paragraph" w:customStyle="1" w:styleId="804">
    <w:name w:val="8 Char Char Char Char Char Char Char"/>
    <w:basedOn w:val="26"/>
    <w:qFormat/>
    <w:uiPriority w:val="0"/>
    <w:pPr>
      <w:widowControl/>
      <w:shd w:val="clear" w:color="000000" w:fill="000080"/>
      <w:spacing w:line="436" w:lineRule="exact"/>
      <w:ind w:left="357" w:leftChars="357"/>
      <w:jc w:val="left"/>
      <w:outlineLvl w:val="3"/>
    </w:pPr>
    <w:rPr>
      <w:rFonts w:ascii="Tahoma" w:hAnsi="Tahoma"/>
      <w:b/>
      <w:kern w:val="0"/>
      <w:sz w:val="24"/>
      <w:szCs w:val="24"/>
    </w:rPr>
  </w:style>
  <w:style w:type="character" w:customStyle="1" w:styleId="805">
    <w:name w:val="批注引用11"/>
    <w:qFormat/>
    <w:uiPriority w:val="0"/>
    <w:rPr>
      <w:rFonts w:cs="Times New Roman"/>
      <w:sz w:val="21"/>
      <w:szCs w:val="21"/>
    </w:rPr>
  </w:style>
  <w:style w:type="character" w:customStyle="1" w:styleId="806">
    <w:name w:val="页码11"/>
    <w:qFormat/>
    <w:uiPriority w:val="0"/>
    <w:rPr>
      <w:rFonts w:cs="Times New Roman"/>
    </w:rPr>
  </w:style>
  <w:style w:type="paragraph" w:customStyle="1" w:styleId="807">
    <w:name w:val="列出段落11"/>
    <w:basedOn w:val="1"/>
    <w:qFormat/>
    <w:uiPriority w:val="0"/>
    <w:pPr>
      <w:widowControl/>
      <w:ind w:firstLine="420"/>
    </w:pPr>
    <w:rPr>
      <w:rFonts w:ascii="Calibri" w:hAnsi="Calibri" w:cs="黑体"/>
      <w:kern w:val="0"/>
      <w:szCs w:val="21"/>
    </w:rPr>
  </w:style>
  <w:style w:type="paragraph" w:customStyle="1" w:styleId="808">
    <w:name w:val="文档结构图11"/>
    <w:basedOn w:val="1"/>
    <w:qFormat/>
    <w:uiPriority w:val="0"/>
    <w:pPr>
      <w:widowControl/>
    </w:pPr>
    <w:rPr>
      <w:rFonts w:ascii="宋体"/>
      <w:kern w:val="0"/>
      <w:sz w:val="18"/>
      <w:szCs w:val="18"/>
    </w:rPr>
  </w:style>
  <w:style w:type="character" w:customStyle="1" w:styleId="809">
    <w:name w:val="Body Char"/>
    <w:qFormat/>
    <w:uiPriority w:val="0"/>
    <w:rPr>
      <w:rFonts w:ascii="Arial" w:hAnsi="Arial"/>
      <w:sz w:val="21"/>
      <w:szCs w:val="21"/>
      <w:lang w:eastAsia="en-US"/>
    </w:rPr>
  </w:style>
  <w:style w:type="paragraph" w:customStyle="1" w:styleId="810">
    <w:name w:val="Char Char1 Char1"/>
    <w:basedOn w:val="1"/>
    <w:qFormat/>
    <w:uiPriority w:val="0"/>
    <w:pPr>
      <w:widowControl/>
    </w:pPr>
    <w:rPr>
      <w:rFonts w:ascii="Tahoma" w:hAnsi="Tahoma"/>
      <w:kern w:val="0"/>
      <w:sz w:val="24"/>
    </w:rPr>
  </w:style>
  <w:style w:type="paragraph" w:customStyle="1" w:styleId="811">
    <w:name w:val="Item List in Table"/>
    <w:basedOn w:val="1"/>
    <w:qFormat/>
    <w:uiPriority w:val="0"/>
    <w:pPr>
      <w:widowControl/>
      <w:numPr>
        <w:ilvl w:val="0"/>
        <w:numId w:val="56"/>
      </w:numPr>
      <w:snapToGrid w:val="0"/>
      <w:spacing w:before="80" w:after="80" w:line="240" w:lineRule="atLeast"/>
      <w:ind w:firstLine="0"/>
      <w:jc w:val="left"/>
    </w:pPr>
    <w:rPr>
      <w:rFonts w:ascii="Arial" w:hAnsi="Arial" w:cs="Arial"/>
      <w:kern w:val="0"/>
      <w:szCs w:val="21"/>
    </w:rPr>
  </w:style>
  <w:style w:type="character" w:customStyle="1" w:styleId="812">
    <w:name w:val="列表编号 字符"/>
    <w:link w:val="20"/>
    <w:qFormat/>
    <w:uiPriority w:val="0"/>
    <w:rPr>
      <w:sz w:val="24"/>
      <w:szCs w:val="24"/>
    </w:rPr>
  </w:style>
  <w:style w:type="table" w:customStyle="1" w:styleId="813">
    <w:name w:val="网格型111"/>
    <w:basedOn w:val="85"/>
    <w:qFormat/>
    <w:uiPriority w:val="0"/>
    <w:pPr>
      <w:spacing w:after="120"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1111"/>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5">
    <w:name w:val="表格样式1"/>
    <w:basedOn w:val="85"/>
    <w:semiHidden/>
    <w:qFormat/>
    <w:uiPriority w:val="0"/>
    <w:pPr>
      <w:spacing w:after="120" w:line="360" w:lineRule="auto"/>
      <w:jc w:val="both"/>
    </w:pPr>
    <w:tblPr>
      <w:tblBorders>
        <w:top w:val="single" w:color="008000" w:sz="12" w:space="0"/>
        <w:left w:val="single" w:color="008000" w:sz="12" w:space="0"/>
        <w:bottom w:val="single" w:color="008000" w:sz="12" w:space="0"/>
        <w:right w:val="single" w:color="008000" w:sz="12" w:space="0"/>
        <w:insideH w:val="single" w:color="008000" w:sz="2" w:space="0"/>
        <w:insideV w:val="single" w:color="008000" w:sz="2" w:space="0"/>
      </w:tblBorders>
    </w:tblPr>
    <w:tcPr>
      <w:shd w:val="clear" w:color="000000" w:fill="auto"/>
    </w:tcPr>
    <w:tblStylePr w:type="firstRow">
      <w:rPr>
        <w:b w:val="0"/>
      </w:rPr>
      <w:tcPr>
        <w:tcBorders>
          <w:bottom w:val="single" w:color="008000" w:sz="6" w:space="0"/>
          <w:tl2br w:val="nil"/>
          <w:tr2bl w:val="nil"/>
        </w:tcBorders>
        <w:shd w:val="clear" w:color="000000" w:fill="E6E6E6"/>
      </w:tcPr>
    </w:tblStylePr>
    <w:tblStylePr w:type="lastRow">
      <w:tcPr>
        <w:tcBorders>
          <w:top w:val="single" w:color="008000" w:sz="6" w:space="0"/>
          <w:tl2br w:val="nil"/>
          <w:tr2bl w:val="nil"/>
        </w:tcBorders>
      </w:tcPr>
    </w:tblStylePr>
  </w:style>
  <w:style w:type="paragraph" w:customStyle="1" w:styleId="816">
    <w:name w:val="QB 正文"/>
    <w:basedOn w:val="1"/>
    <w:link w:val="817"/>
    <w:qFormat/>
    <w:uiPriority w:val="0"/>
    <w:pPr>
      <w:widowControl/>
      <w:overflowPunct w:val="0"/>
      <w:autoSpaceDE w:val="0"/>
      <w:autoSpaceDN w:val="0"/>
      <w:spacing w:line="360" w:lineRule="auto"/>
      <w:ind w:firstLine="400"/>
      <w:jc w:val="left"/>
    </w:pPr>
    <w:rPr>
      <w:rFonts w:ascii="ˎ̥" w:hAnsi="ˎ̥"/>
      <w:kern w:val="0"/>
      <w:sz w:val="24"/>
    </w:rPr>
  </w:style>
  <w:style w:type="character" w:customStyle="1" w:styleId="817">
    <w:name w:val="QB 正文 Char"/>
    <w:link w:val="816"/>
    <w:qFormat/>
    <w:uiPriority w:val="0"/>
    <w:rPr>
      <w:rFonts w:ascii="ˎ̥" w:hAnsi="ˎ̥"/>
      <w:sz w:val="24"/>
      <w:szCs w:val="24"/>
    </w:rPr>
  </w:style>
  <w:style w:type="paragraph" w:customStyle="1" w:styleId="818">
    <w:name w:val="文档内容"/>
    <w:basedOn w:val="1"/>
    <w:qFormat/>
    <w:uiPriority w:val="0"/>
    <w:pPr>
      <w:widowControl/>
      <w:spacing w:line="360" w:lineRule="auto"/>
      <w:ind w:firstLine="200"/>
    </w:pPr>
    <w:rPr>
      <w:kern w:val="0"/>
      <w:sz w:val="24"/>
    </w:rPr>
  </w:style>
  <w:style w:type="paragraph" w:customStyle="1" w:styleId="819">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20">
    <w:name w:val="图段落"/>
    <w:next w:val="1"/>
    <w:qFormat/>
    <w:uiPriority w:val="0"/>
    <w:pPr>
      <w:spacing w:before="60" w:after="120"/>
      <w:jc w:val="center"/>
    </w:pPr>
    <w:rPr>
      <w:rFonts w:ascii="Times New Roman" w:hAnsi="Times New Roman" w:eastAsia="宋体" w:cs="Times New Roman"/>
      <w:sz w:val="24"/>
      <w:szCs w:val="24"/>
      <w:lang w:val="en-US" w:eastAsia="zh-CN" w:bidi="ar-SA"/>
    </w:rPr>
  </w:style>
  <w:style w:type="paragraph" w:customStyle="1" w:styleId="821">
    <w:name w:val="编号1级"/>
    <w:link w:val="822"/>
    <w:qFormat/>
    <w:uiPriority w:val="0"/>
    <w:pPr>
      <w:numPr>
        <w:ilvl w:val="0"/>
        <w:numId w:val="57"/>
      </w:numPr>
      <w:snapToGrid w:val="0"/>
      <w:spacing w:before="60" w:line="360" w:lineRule="auto"/>
    </w:pPr>
    <w:rPr>
      <w:rFonts w:ascii="Times New Roman" w:hAnsi="Times New Roman" w:eastAsia="宋体" w:cs="Times New Roman"/>
      <w:sz w:val="24"/>
      <w:szCs w:val="24"/>
      <w:lang w:val="en-US" w:eastAsia="zh-CN" w:bidi="ar-SA"/>
    </w:rPr>
  </w:style>
  <w:style w:type="character" w:customStyle="1" w:styleId="822">
    <w:name w:val="编号1级 Char"/>
    <w:link w:val="821"/>
    <w:qFormat/>
    <w:uiPriority w:val="0"/>
    <w:rPr>
      <w:sz w:val="24"/>
      <w:szCs w:val="24"/>
    </w:rPr>
  </w:style>
  <w:style w:type="paragraph" w:customStyle="1" w:styleId="823">
    <w:name w:val="Style 正文（首行缩进）2 + First line:  2 ch"/>
    <w:basedOn w:val="1"/>
    <w:link w:val="824"/>
    <w:qFormat/>
    <w:uiPriority w:val="0"/>
    <w:pPr>
      <w:widowControl/>
      <w:spacing w:before="100" w:beforeAutospacing="1" w:after="100" w:afterAutospacing="1" w:line="300" w:lineRule="auto"/>
      <w:ind w:firstLine="200"/>
      <w:jc w:val="left"/>
    </w:pPr>
    <w:rPr>
      <w:rFonts w:ascii="Arial" w:hAnsi="Arial"/>
      <w:kern w:val="0"/>
      <w:sz w:val="24"/>
    </w:rPr>
  </w:style>
  <w:style w:type="character" w:customStyle="1" w:styleId="824">
    <w:name w:val="Style 正文（首行缩进）2 + First line:  2 ch Char"/>
    <w:link w:val="823"/>
    <w:qFormat/>
    <w:uiPriority w:val="0"/>
    <w:rPr>
      <w:rFonts w:ascii="Arial" w:hAnsi="Arial"/>
      <w:sz w:val="24"/>
      <w:szCs w:val="24"/>
    </w:rPr>
  </w:style>
  <w:style w:type="paragraph" w:customStyle="1" w:styleId="825">
    <w:name w:val="样式 正文首行缩进 2 + 左"/>
    <w:basedOn w:val="84"/>
    <w:qFormat/>
    <w:uiPriority w:val="0"/>
    <w:pPr>
      <w:spacing w:after="0" w:line="360" w:lineRule="auto"/>
      <w:ind w:left="0" w:leftChars="0" w:firstLine="0"/>
      <w:jc w:val="left"/>
    </w:pPr>
    <w:rPr>
      <w:rFonts w:cs="宋体"/>
      <w:sz w:val="24"/>
      <w:szCs w:val="24"/>
    </w:rPr>
  </w:style>
  <w:style w:type="paragraph" w:customStyle="1" w:styleId="826">
    <w:name w:val="样式 标题 2h2Heading 2 HiddenHeading 2 CCBSl2heading 2I22nd l...1"/>
    <w:basedOn w:val="4"/>
    <w:qFormat/>
    <w:uiPriority w:val="0"/>
    <w:pPr>
      <w:keepNext w:val="0"/>
      <w:keepLines w:val="0"/>
      <w:widowControl/>
      <w:numPr>
        <w:ilvl w:val="0"/>
        <w:numId w:val="58"/>
      </w:numPr>
      <w:tabs>
        <w:tab w:val="left" w:pos="0"/>
        <w:tab w:val="left" w:pos="425"/>
      </w:tabs>
      <w:spacing w:before="0" w:after="0" w:line="360" w:lineRule="auto"/>
      <w:ind w:left="537" w:hanging="537"/>
      <w:jc w:val="left"/>
    </w:pPr>
    <w:rPr>
      <w:rFonts w:ascii="Times New Roman" w:hAnsi="Times New Roman" w:eastAsia="宋体" w:cs="宋体"/>
      <w:bCs w:val="0"/>
      <w:smallCaps/>
      <w:color w:val="000000"/>
      <w:kern w:val="0"/>
      <w:sz w:val="28"/>
      <w:szCs w:val="28"/>
      <w:lang w:bidi="en-US"/>
    </w:rPr>
  </w:style>
  <w:style w:type="paragraph" w:customStyle="1" w:styleId="827">
    <w:name w:val="样式 标题 1H1h1PIM 11.123321H11H12H111H13H1121Huvudrubri..."/>
    <w:basedOn w:val="3"/>
    <w:qFormat/>
    <w:uiPriority w:val="0"/>
    <w:pPr>
      <w:keepNext w:val="0"/>
      <w:keepLines w:val="0"/>
      <w:pageBreakBefore/>
      <w:widowControl/>
      <w:numPr>
        <w:ilvl w:val="0"/>
        <w:numId w:val="59"/>
      </w:numPr>
      <w:tabs>
        <w:tab w:val="left" w:pos="567"/>
      </w:tabs>
      <w:ind w:left="567" w:firstLine="0"/>
      <w:contextualSpacing/>
      <w:jc w:val="left"/>
    </w:pPr>
    <w:rPr>
      <w:rFonts w:ascii="Arial" w:hAnsi="Arial"/>
      <w:b w:val="0"/>
      <w:bCs w:val="0"/>
      <w:smallCaps/>
      <w:spacing w:val="5"/>
      <w:kern w:val="0"/>
      <w:position w:val="6"/>
      <w:lang w:eastAsia="en-US" w:bidi="en-US"/>
    </w:rPr>
  </w:style>
  <w:style w:type="paragraph" w:customStyle="1" w:styleId="828">
    <w:name w:val="正文首行缩进（绿盟科技）"/>
    <w:basedOn w:val="1"/>
    <w:link w:val="829"/>
    <w:qFormat/>
    <w:uiPriority w:val="0"/>
    <w:pPr>
      <w:widowControl/>
      <w:spacing w:after="50" w:line="300" w:lineRule="auto"/>
      <w:jc w:val="left"/>
    </w:pPr>
    <w:rPr>
      <w:rFonts w:ascii="Arial" w:hAnsi="Arial"/>
      <w:kern w:val="0"/>
      <w:szCs w:val="21"/>
      <w:lang w:eastAsia="en-US" w:bidi="en-US"/>
    </w:rPr>
  </w:style>
  <w:style w:type="character" w:customStyle="1" w:styleId="829">
    <w:name w:val="正文首行缩进（绿盟科技） Char"/>
    <w:link w:val="828"/>
    <w:qFormat/>
    <w:uiPriority w:val="0"/>
    <w:rPr>
      <w:rFonts w:ascii="Arial" w:hAnsi="Arial"/>
      <w:sz w:val="21"/>
      <w:szCs w:val="21"/>
      <w:lang w:eastAsia="en-US" w:bidi="en-US"/>
    </w:rPr>
  </w:style>
  <w:style w:type="paragraph" w:customStyle="1" w:styleId="830">
    <w:name w:val="标题 1（绿盟科技）"/>
    <w:basedOn w:val="3"/>
    <w:next w:val="1"/>
    <w:qFormat/>
    <w:uiPriority w:val="0"/>
    <w:pPr>
      <w:keepNext w:val="0"/>
      <w:keepLines w:val="0"/>
      <w:pageBreakBefore/>
      <w:widowControl/>
      <w:pBdr>
        <w:bottom w:val="single" w:color="000000" w:sz="48" w:space="1"/>
      </w:pBdr>
      <w:spacing w:before="600" w:line="576" w:lineRule="auto"/>
      <w:ind w:left="907" w:hanging="907"/>
      <w:jc w:val="left"/>
    </w:pPr>
    <w:rPr>
      <w:rFonts w:ascii="Arial" w:hAnsi="Arial" w:eastAsia="黑体"/>
      <w:bCs w:val="0"/>
      <w:kern w:val="0"/>
    </w:rPr>
  </w:style>
  <w:style w:type="paragraph" w:customStyle="1" w:styleId="831">
    <w:name w:val="标题 2（绿盟科技）"/>
    <w:basedOn w:val="4"/>
    <w:next w:val="1"/>
    <w:qFormat/>
    <w:uiPriority w:val="0"/>
    <w:pPr>
      <w:keepNext w:val="0"/>
      <w:keepLines w:val="0"/>
      <w:widowControl/>
      <w:tabs>
        <w:tab w:val="left" w:pos="0"/>
      </w:tabs>
      <w:spacing w:line="415" w:lineRule="auto"/>
      <w:ind w:left="907" w:hanging="907"/>
      <w:jc w:val="left"/>
    </w:pPr>
    <w:rPr>
      <w:bCs w:val="0"/>
      <w:kern w:val="0"/>
    </w:rPr>
  </w:style>
  <w:style w:type="paragraph" w:customStyle="1" w:styleId="832">
    <w:name w:val="标题 3（绿盟科技）"/>
    <w:basedOn w:val="5"/>
    <w:next w:val="1"/>
    <w:qFormat/>
    <w:uiPriority w:val="0"/>
    <w:pPr>
      <w:keepNext w:val="0"/>
      <w:keepLines w:val="0"/>
      <w:widowControl/>
      <w:tabs>
        <w:tab w:val="left" w:pos="960"/>
      </w:tabs>
      <w:autoSpaceDE/>
      <w:autoSpaceDN/>
      <w:adjustRightInd/>
      <w:spacing w:before="260" w:after="260" w:line="415" w:lineRule="auto"/>
      <w:ind w:left="907" w:hanging="907"/>
      <w:jc w:val="left"/>
    </w:pPr>
    <w:rPr>
      <w:rFonts w:ascii="Arial" w:hAnsi="Arial"/>
      <w:b/>
      <w:sz w:val="30"/>
      <w:szCs w:val="30"/>
    </w:rPr>
  </w:style>
  <w:style w:type="paragraph" w:customStyle="1" w:styleId="833">
    <w:name w:val="标题 4（绿盟科技）"/>
    <w:basedOn w:val="6"/>
    <w:next w:val="1"/>
    <w:qFormat/>
    <w:uiPriority w:val="0"/>
    <w:pPr>
      <w:keepNext w:val="0"/>
      <w:widowControl/>
      <w:numPr>
        <w:ilvl w:val="0"/>
        <w:numId w:val="60"/>
      </w:numPr>
      <w:spacing w:before="280" w:after="156" w:line="376" w:lineRule="auto"/>
      <w:jc w:val="left"/>
    </w:pPr>
    <w:rPr>
      <w:rFonts w:ascii="Arial" w:hAnsi="Arial" w:eastAsia="黑体"/>
      <w:b/>
      <w:kern w:val="0"/>
      <w:sz w:val="24"/>
      <w:szCs w:val="24"/>
    </w:rPr>
  </w:style>
  <w:style w:type="paragraph" w:customStyle="1" w:styleId="834">
    <w:name w:val="标题 5（有编号）（绿盟科技）"/>
    <w:basedOn w:val="1"/>
    <w:next w:val="1"/>
    <w:qFormat/>
    <w:uiPriority w:val="0"/>
    <w:pPr>
      <w:widowControl/>
      <w:numPr>
        <w:ilvl w:val="4"/>
        <w:numId w:val="60"/>
      </w:numPr>
      <w:spacing w:before="280" w:after="156" w:line="376" w:lineRule="auto"/>
      <w:ind w:firstLine="0"/>
      <w:jc w:val="left"/>
      <w:outlineLvl w:val="4"/>
    </w:pPr>
    <w:rPr>
      <w:rFonts w:ascii="Arial" w:hAnsi="Arial" w:eastAsia="黑体"/>
      <w:b/>
      <w:kern w:val="0"/>
      <w:sz w:val="24"/>
    </w:rPr>
  </w:style>
  <w:style w:type="paragraph" w:customStyle="1" w:styleId="835">
    <w:name w:val="标题 6（有编号）（绿盟科技）"/>
    <w:basedOn w:val="1"/>
    <w:next w:val="1"/>
    <w:qFormat/>
    <w:uiPriority w:val="0"/>
    <w:pPr>
      <w:widowControl/>
      <w:numPr>
        <w:ilvl w:val="5"/>
        <w:numId w:val="60"/>
      </w:numPr>
      <w:spacing w:before="240" w:after="64" w:line="319" w:lineRule="auto"/>
      <w:ind w:firstLine="0"/>
      <w:jc w:val="left"/>
      <w:outlineLvl w:val="5"/>
    </w:pPr>
    <w:rPr>
      <w:rFonts w:ascii="Arial" w:hAnsi="Arial" w:eastAsia="黑体"/>
      <w:b/>
      <w:kern w:val="0"/>
      <w:szCs w:val="21"/>
    </w:rPr>
  </w:style>
  <w:style w:type="paragraph" w:customStyle="1" w:styleId="836">
    <w:name w:val="插图标注（绿盟科技）"/>
    <w:next w:val="1"/>
    <w:qFormat/>
    <w:uiPriority w:val="0"/>
    <w:pPr>
      <w:numPr>
        <w:ilvl w:val="6"/>
        <w:numId w:val="60"/>
      </w:numPr>
      <w:spacing w:after="156"/>
      <w:jc w:val="center"/>
    </w:pPr>
    <w:rPr>
      <w:rFonts w:ascii="Arial" w:hAnsi="Arial" w:eastAsia="宋体" w:cs="Arial"/>
      <w:sz w:val="21"/>
      <w:szCs w:val="21"/>
      <w:lang w:val="en-US" w:eastAsia="zh-CN" w:bidi="ar-SA"/>
    </w:rPr>
  </w:style>
  <w:style w:type="paragraph" w:customStyle="1" w:styleId="837">
    <w:name w:val="表格标注（绿盟科技）"/>
    <w:basedOn w:val="836"/>
    <w:next w:val="1"/>
    <w:qFormat/>
    <w:uiPriority w:val="0"/>
    <w:pPr>
      <w:numPr>
        <w:ilvl w:val="0"/>
        <w:numId w:val="0"/>
      </w:numPr>
    </w:pPr>
  </w:style>
  <w:style w:type="paragraph" w:customStyle="1" w:styleId="838">
    <w:name w:val="正文（绿盟科技）"/>
    <w:link w:val="839"/>
    <w:qFormat/>
    <w:uiPriority w:val="0"/>
    <w:pPr>
      <w:spacing w:line="300" w:lineRule="auto"/>
    </w:pPr>
    <w:rPr>
      <w:rFonts w:ascii="Arial" w:hAnsi="Arial" w:eastAsia="宋体" w:cs="Times New Roman"/>
      <w:sz w:val="21"/>
      <w:szCs w:val="21"/>
      <w:lang w:val="en-US" w:eastAsia="zh-CN" w:bidi="ar-SA"/>
    </w:rPr>
  </w:style>
  <w:style w:type="character" w:customStyle="1" w:styleId="839">
    <w:name w:val="正文（绿盟科技） Char"/>
    <w:link w:val="838"/>
    <w:qFormat/>
    <w:uiPriority w:val="0"/>
    <w:rPr>
      <w:rFonts w:ascii="Arial" w:hAnsi="Arial"/>
      <w:sz w:val="21"/>
      <w:szCs w:val="21"/>
    </w:rPr>
  </w:style>
  <w:style w:type="paragraph" w:customStyle="1" w:styleId="840">
    <w:name w:val="列表（符号一级）（绿盟科技）"/>
    <w:basedOn w:val="838"/>
    <w:link w:val="842"/>
    <w:qFormat/>
    <w:uiPriority w:val="0"/>
    <w:pPr>
      <w:numPr>
        <w:ilvl w:val="0"/>
        <w:numId w:val="61"/>
      </w:numPr>
    </w:pPr>
  </w:style>
  <w:style w:type="paragraph" w:customStyle="1" w:styleId="841">
    <w:name w:val="列表（符号二级）（绿盟科技）"/>
    <w:basedOn w:val="840"/>
    <w:qFormat/>
    <w:uiPriority w:val="0"/>
    <w:pPr>
      <w:numPr>
        <w:numId w:val="0"/>
      </w:numPr>
      <w:tabs>
        <w:tab w:val="left" w:pos="360"/>
        <w:tab w:val="left" w:pos="737"/>
      </w:tabs>
      <w:ind w:left="576" w:hanging="576"/>
    </w:pPr>
  </w:style>
  <w:style w:type="character" w:customStyle="1" w:styleId="842">
    <w:name w:val="列表（符号一级）（绿盟科技） Char"/>
    <w:link w:val="840"/>
    <w:qFormat/>
    <w:uiPriority w:val="0"/>
    <w:rPr>
      <w:rFonts w:ascii="Arial" w:hAnsi="Arial"/>
      <w:sz w:val="21"/>
      <w:szCs w:val="21"/>
    </w:rPr>
  </w:style>
  <w:style w:type="paragraph" w:customStyle="1" w:styleId="843">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rFonts w:ascii="宋体" w:hAnsi="宋体" w:cs="宋体"/>
      <w:b/>
      <w:kern w:val="0"/>
      <w:sz w:val="20"/>
      <w:szCs w:val="20"/>
    </w:rPr>
  </w:style>
  <w:style w:type="paragraph" w:customStyle="1" w:styleId="844">
    <w:name w:val="xl88"/>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45">
    <w:name w:val="xl89"/>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6">
    <w:name w:val="xl90"/>
    <w:basedOn w:val="1"/>
    <w:qFormat/>
    <w:uiPriority w:val="0"/>
    <w:pPr>
      <w:widowControl/>
      <w:pBdr>
        <w:top w:val="single" w:color="000000" w:sz="8" w:space="0"/>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7">
    <w:name w:val="xl91"/>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48">
    <w:name w:val="xl9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49">
    <w:name w:val="xl9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50">
    <w:name w:val="xl9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b/>
      <w:kern w:val="0"/>
      <w:sz w:val="20"/>
      <w:szCs w:val="20"/>
    </w:rPr>
  </w:style>
  <w:style w:type="paragraph" w:customStyle="1" w:styleId="851">
    <w:name w:val="xl95"/>
    <w:basedOn w:val="1"/>
    <w:qFormat/>
    <w:uiPriority w:val="0"/>
    <w:pPr>
      <w:widowControl/>
      <w:pBdr>
        <w:top w:val="single" w:color="000000" w:sz="4" w:space="0"/>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2">
    <w:name w:val="xl96"/>
    <w:basedOn w:val="1"/>
    <w:qFormat/>
    <w:uiPriority w:val="0"/>
    <w:pPr>
      <w:widowControl/>
      <w:pBdr>
        <w:left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3">
    <w:name w:val="xl97"/>
    <w:basedOn w:val="1"/>
    <w:qFormat/>
    <w:uiPriority w:val="0"/>
    <w:pPr>
      <w:widowControl/>
      <w:pBdr>
        <w:left w:val="single" w:color="000000" w:sz="8" w:space="0"/>
        <w:bottom w:val="single" w:color="000000" w:sz="8"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4">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855">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856">
    <w:name w:val="font7"/>
    <w:basedOn w:val="1"/>
    <w:qFormat/>
    <w:uiPriority w:val="0"/>
    <w:pPr>
      <w:widowControl/>
      <w:spacing w:before="100" w:beforeAutospacing="1" w:after="100" w:afterAutospacing="1"/>
      <w:jc w:val="left"/>
    </w:pPr>
    <w:rPr>
      <w:rFonts w:ascii="Verdana" w:hAnsi="Verdana" w:cs="宋体"/>
      <w:kern w:val="0"/>
      <w:sz w:val="20"/>
      <w:szCs w:val="20"/>
    </w:rPr>
  </w:style>
  <w:style w:type="paragraph" w:customStyle="1" w:styleId="857">
    <w:name w:val="font8"/>
    <w:basedOn w:val="1"/>
    <w:qFormat/>
    <w:uiPriority w:val="0"/>
    <w:pPr>
      <w:widowControl/>
      <w:spacing w:before="100" w:beforeAutospacing="1" w:after="100" w:afterAutospacing="1"/>
      <w:jc w:val="left"/>
    </w:pPr>
    <w:rPr>
      <w:rFonts w:ascii="宋体" w:hAnsi="宋体" w:cs="宋体"/>
      <w:b/>
      <w:kern w:val="0"/>
      <w:sz w:val="20"/>
      <w:szCs w:val="20"/>
    </w:rPr>
  </w:style>
  <w:style w:type="paragraph" w:customStyle="1" w:styleId="858">
    <w:name w:val="font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859">
    <w:name w:val="文档正文 Char1"/>
    <w:qFormat/>
    <w:uiPriority w:val="0"/>
    <w:rPr>
      <w:rFonts w:ascii="宋体" w:eastAsia="宋体"/>
      <w:sz w:val="21"/>
      <w:szCs w:val="21"/>
      <w:lang w:val="en-US" w:eastAsia="zh-CN" w:bidi="ar-SA"/>
    </w:rPr>
  </w:style>
  <w:style w:type="paragraph" w:customStyle="1" w:styleId="86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61">
    <w:name w:val="样式 标题 2h2Heading 2 HiddenHeading 2 CCBSheading 2第一章 标题 2H2..."/>
    <w:basedOn w:val="4"/>
    <w:qFormat/>
    <w:uiPriority w:val="0"/>
    <w:pPr>
      <w:keepNext w:val="0"/>
      <w:keepLines w:val="0"/>
      <w:widowControl/>
      <w:numPr>
        <w:ilvl w:val="0"/>
        <w:numId w:val="38"/>
      </w:numPr>
      <w:tabs>
        <w:tab w:val="left" w:pos="0"/>
        <w:tab w:val="left" w:pos="567"/>
        <w:tab w:val="left" w:pos="576"/>
      </w:tabs>
      <w:spacing w:before="120" w:after="0" w:line="180" w:lineRule="auto"/>
      <w:jc w:val="left"/>
    </w:pPr>
    <w:rPr>
      <w:rFonts w:ascii="宋体" w:hAnsi="宋体" w:eastAsia="宋体" w:cs="Arial"/>
      <w:bCs w:val="0"/>
      <w:i/>
      <w:kern w:val="0"/>
      <w:sz w:val="28"/>
      <w:szCs w:val="28"/>
      <w:shd w:val="pct10" w:color="000000" w:fill="FFFFFF"/>
    </w:rPr>
  </w:style>
  <w:style w:type="paragraph" w:customStyle="1" w:styleId="862">
    <w:name w:val="gang"/>
    <w:qFormat/>
    <w:uiPriority w:val="0"/>
    <w:pPr>
      <w:spacing w:before="120" w:after="120" w:line="360" w:lineRule="auto"/>
      <w:ind w:firstLine="200"/>
    </w:pPr>
    <w:rPr>
      <w:rFonts w:ascii="Times New Roman" w:hAnsi="Times New Roman" w:eastAsia="宋体" w:cs="Times New Roman"/>
      <w:sz w:val="21"/>
      <w:szCs w:val="21"/>
      <w:lang w:val="en-US" w:eastAsia="zh-CN" w:bidi="ar-SA"/>
    </w:rPr>
  </w:style>
  <w:style w:type="paragraph" w:customStyle="1" w:styleId="863">
    <w:name w:val="l标题1"/>
    <w:next w:val="1"/>
    <w:qFormat/>
    <w:uiPriority w:val="0"/>
    <w:pPr>
      <w:numPr>
        <w:ilvl w:val="0"/>
        <w:numId w:val="62"/>
      </w:numPr>
      <w:spacing w:before="120" w:after="120"/>
      <w:outlineLvl w:val="0"/>
    </w:pPr>
    <w:rPr>
      <w:rFonts w:ascii="宋体" w:hAnsi="宋体" w:eastAsia="宋体" w:cs="Arial"/>
      <w:b/>
      <w:sz w:val="36"/>
      <w:szCs w:val="36"/>
      <w:lang w:val="en-US" w:eastAsia="zh-CN" w:bidi="ar-SA"/>
    </w:rPr>
  </w:style>
  <w:style w:type="paragraph" w:customStyle="1" w:styleId="864">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5">
    <w:name w:val="font11"/>
    <w:basedOn w:val="1"/>
    <w:qFormat/>
    <w:uiPriority w:val="0"/>
    <w:pPr>
      <w:widowControl/>
      <w:spacing w:before="100" w:beforeAutospacing="1" w:after="100" w:afterAutospacing="1"/>
      <w:jc w:val="left"/>
    </w:pPr>
    <w:rPr>
      <w:rFonts w:ascii="宋体" w:hAnsi="宋体" w:cs="宋体"/>
      <w:b/>
      <w:color w:val="000000"/>
      <w:kern w:val="0"/>
      <w:sz w:val="18"/>
      <w:szCs w:val="18"/>
    </w:rPr>
  </w:style>
  <w:style w:type="paragraph" w:customStyle="1" w:styleId="866">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67">
    <w:name w:val="font13"/>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868">
    <w:name w:val="font14"/>
    <w:basedOn w:val="1"/>
    <w:qFormat/>
    <w:uiPriority w:val="0"/>
    <w:pPr>
      <w:widowControl/>
      <w:spacing w:before="100" w:beforeAutospacing="1" w:after="100" w:afterAutospacing="1"/>
      <w:jc w:val="left"/>
    </w:pPr>
    <w:rPr>
      <w:kern w:val="0"/>
      <w:sz w:val="20"/>
      <w:szCs w:val="20"/>
    </w:rPr>
  </w:style>
  <w:style w:type="paragraph" w:customStyle="1" w:styleId="869">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9D9D9"/>
      <w:spacing w:before="100" w:beforeAutospacing="1" w:after="100" w:afterAutospacing="1"/>
      <w:jc w:val="right"/>
    </w:pPr>
    <w:rPr>
      <w:rFonts w:ascii="宋体" w:hAnsi="宋体" w:cs="宋体"/>
      <w:kern w:val="0"/>
      <w:sz w:val="20"/>
      <w:szCs w:val="20"/>
    </w:rPr>
  </w:style>
  <w:style w:type="paragraph" w:customStyle="1" w:styleId="87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9D9D9"/>
      <w:spacing w:before="100" w:beforeAutospacing="1" w:after="100" w:afterAutospacing="1"/>
      <w:jc w:val="right"/>
    </w:pPr>
    <w:rPr>
      <w:rFonts w:ascii="宋体" w:hAnsi="宋体" w:cs="宋体"/>
      <w:kern w:val="0"/>
      <w:sz w:val="20"/>
      <w:szCs w:val="20"/>
    </w:rPr>
  </w:style>
  <w:style w:type="paragraph" w:customStyle="1" w:styleId="871">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pPr>
    <w:rPr>
      <w:rFonts w:ascii="宋体" w:hAnsi="宋体" w:cs="宋体"/>
      <w:kern w:val="0"/>
      <w:sz w:val="20"/>
      <w:szCs w:val="20"/>
    </w:rPr>
  </w:style>
  <w:style w:type="paragraph" w:customStyle="1" w:styleId="872">
    <w:name w:val="xl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874">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left"/>
    </w:pPr>
    <w:rPr>
      <w:rFonts w:ascii="宋体" w:hAnsi="宋体" w:cs="宋体"/>
      <w:kern w:val="0"/>
      <w:sz w:val="20"/>
      <w:szCs w:val="20"/>
    </w:rPr>
  </w:style>
  <w:style w:type="paragraph" w:customStyle="1" w:styleId="875">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kern w:val="0"/>
      <w:sz w:val="20"/>
      <w:szCs w:val="20"/>
    </w:rPr>
  </w:style>
  <w:style w:type="paragraph" w:customStyle="1" w:styleId="876">
    <w:name w:val="xl1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7">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right"/>
    </w:pPr>
    <w:rPr>
      <w:rFonts w:ascii="宋体" w:hAnsi="宋体" w:cs="宋体"/>
      <w:kern w:val="0"/>
      <w:sz w:val="20"/>
      <w:szCs w:val="20"/>
    </w:rPr>
  </w:style>
  <w:style w:type="paragraph" w:customStyle="1" w:styleId="878">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79">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kern w:val="0"/>
      <w:sz w:val="20"/>
      <w:szCs w:val="20"/>
    </w:rPr>
  </w:style>
  <w:style w:type="paragraph" w:customStyle="1" w:styleId="880">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881">
    <w:name w:val="xl11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82">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 w:val="20"/>
      <w:szCs w:val="20"/>
    </w:rPr>
  </w:style>
  <w:style w:type="paragraph" w:customStyle="1" w:styleId="883">
    <w:name w:val="xl114"/>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884">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kern w:val="0"/>
      <w:sz w:val="20"/>
      <w:szCs w:val="20"/>
    </w:rPr>
  </w:style>
  <w:style w:type="paragraph" w:customStyle="1" w:styleId="885">
    <w:name w:val="xl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微软雅黑" w:hAnsi="微软雅黑" w:eastAsia="微软雅黑" w:cs="宋体"/>
      <w:color w:val="000000"/>
      <w:kern w:val="0"/>
      <w:sz w:val="24"/>
    </w:rPr>
  </w:style>
  <w:style w:type="paragraph" w:customStyle="1" w:styleId="886">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887">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kern w:val="0"/>
      <w:szCs w:val="21"/>
    </w:rPr>
  </w:style>
  <w:style w:type="paragraph" w:customStyle="1" w:styleId="888">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color w:val="000000"/>
      <w:kern w:val="0"/>
      <w:szCs w:val="21"/>
    </w:rPr>
  </w:style>
  <w:style w:type="paragraph" w:customStyle="1" w:styleId="889">
    <w:name w:val="font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890">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891">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892">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Cs w:val="21"/>
    </w:rPr>
  </w:style>
  <w:style w:type="paragraph" w:customStyle="1" w:styleId="893">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Cs w:val="21"/>
    </w:rPr>
  </w:style>
  <w:style w:type="paragraph" w:customStyle="1" w:styleId="894">
    <w:name w:val="xl1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895">
    <w:name w:val="xl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896">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Cs w:val="21"/>
    </w:rPr>
  </w:style>
  <w:style w:type="paragraph" w:customStyle="1" w:styleId="897">
    <w:name w:val="xl12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898">
    <w:name w:val="xl128"/>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b/>
      <w:color w:val="000000"/>
      <w:kern w:val="0"/>
      <w:szCs w:val="21"/>
    </w:rPr>
  </w:style>
  <w:style w:type="paragraph" w:customStyle="1" w:styleId="899">
    <w:name w:val="xl129"/>
    <w:basedOn w:val="1"/>
    <w:qFormat/>
    <w:uiPriority w:val="0"/>
    <w:pPr>
      <w:widowControl/>
      <w:pBdr>
        <w:top w:val="single" w:color="000000" w:sz="4" w:space="0"/>
        <w:bottom w:val="single" w:color="000000" w:sz="4" w:space="0"/>
        <w:right w:val="single" w:color="000000" w:sz="8" w:space="0"/>
      </w:pBdr>
      <w:spacing w:before="100" w:beforeAutospacing="1" w:after="100" w:afterAutospacing="1"/>
      <w:jc w:val="left"/>
    </w:pPr>
    <w:rPr>
      <w:rFonts w:ascii="宋体" w:hAnsi="宋体" w:cs="宋体"/>
      <w:b/>
      <w:color w:val="000000"/>
      <w:kern w:val="0"/>
      <w:szCs w:val="21"/>
    </w:rPr>
  </w:style>
  <w:style w:type="paragraph" w:customStyle="1" w:styleId="900">
    <w:name w:val="xl130"/>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center"/>
    </w:pPr>
    <w:rPr>
      <w:rFonts w:ascii="宋体" w:hAnsi="宋体" w:cs="宋体"/>
      <w:kern w:val="0"/>
      <w:szCs w:val="21"/>
    </w:rPr>
  </w:style>
  <w:style w:type="paragraph" w:customStyle="1" w:styleId="901">
    <w:name w:val="xl131"/>
    <w:basedOn w:val="1"/>
    <w:qFormat/>
    <w:uiPriority w:val="0"/>
    <w:pPr>
      <w:widowControl/>
      <w:pBdr>
        <w:top w:val="single" w:color="000000" w:sz="4" w:space="0"/>
        <w:bottom w:val="single" w:color="000000" w:sz="8" w:space="0"/>
      </w:pBdr>
      <w:spacing w:before="100" w:beforeAutospacing="1" w:after="100" w:afterAutospacing="1"/>
      <w:jc w:val="center"/>
    </w:pPr>
    <w:rPr>
      <w:rFonts w:ascii="宋体" w:hAnsi="宋体" w:cs="宋体"/>
      <w:kern w:val="0"/>
      <w:szCs w:val="21"/>
    </w:rPr>
  </w:style>
  <w:style w:type="paragraph" w:customStyle="1" w:styleId="902">
    <w:name w:val="xl132"/>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903">
    <w:name w:val="xl1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904">
    <w:name w:val="xl13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905">
    <w:name w:val="xl1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906">
    <w:name w:val="xl13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kern w:val="0"/>
      <w:szCs w:val="21"/>
    </w:rPr>
  </w:style>
  <w:style w:type="paragraph" w:customStyle="1" w:styleId="907">
    <w:name w:val="xl137"/>
    <w:basedOn w:val="1"/>
    <w:qFormat/>
    <w:uiPriority w:val="0"/>
    <w:pPr>
      <w:widowControl/>
      <w:pBdr>
        <w:top w:val="single" w:color="000000" w:sz="4" w:space="0"/>
        <w:bottom w:val="single" w:color="000000" w:sz="4" w:space="0"/>
      </w:pBdr>
      <w:spacing w:before="100" w:beforeAutospacing="1" w:after="100" w:afterAutospacing="1"/>
      <w:jc w:val="center"/>
    </w:pPr>
    <w:rPr>
      <w:kern w:val="0"/>
      <w:szCs w:val="21"/>
    </w:rPr>
  </w:style>
  <w:style w:type="paragraph" w:customStyle="1" w:styleId="908">
    <w:name w:val="xl1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kern w:val="0"/>
      <w:szCs w:val="21"/>
    </w:rPr>
  </w:style>
  <w:style w:type="paragraph" w:customStyle="1" w:styleId="909">
    <w:name w:val="xl13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b/>
      <w:kern w:val="0"/>
      <w:szCs w:val="21"/>
    </w:rPr>
  </w:style>
  <w:style w:type="paragraph" w:customStyle="1" w:styleId="910">
    <w:name w:val="HFIndent1Bullet"/>
    <w:basedOn w:val="1"/>
    <w:qFormat/>
    <w:uiPriority w:val="0"/>
    <w:pPr>
      <w:widowControl/>
      <w:numPr>
        <w:ilvl w:val="0"/>
        <w:numId w:val="63"/>
      </w:numPr>
      <w:ind w:firstLine="0"/>
    </w:pPr>
    <w:rPr>
      <w:rFonts w:ascii="Arial" w:hAnsi="Arial"/>
      <w:kern w:val="0"/>
      <w:sz w:val="20"/>
      <w:szCs w:val="20"/>
      <w:lang w:eastAsia="en-US"/>
    </w:rPr>
  </w:style>
  <w:style w:type="paragraph" w:customStyle="1" w:styleId="911">
    <w:name w:val="彩色列表 - 着色 11"/>
    <w:basedOn w:val="1"/>
    <w:qFormat/>
    <w:uiPriority w:val="0"/>
    <w:pPr>
      <w:widowControl/>
      <w:spacing w:line="360" w:lineRule="auto"/>
      <w:ind w:firstLine="420"/>
    </w:pPr>
    <w:rPr>
      <w:rFonts w:ascii="Arial" w:hAnsi="Arial"/>
      <w:kern w:val="0"/>
      <w:szCs w:val="21"/>
    </w:rPr>
  </w:style>
  <w:style w:type="character" w:customStyle="1" w:styleId="912">
    <w:name w:val="标题 4 Char1"/>
    <w:qFormat/>
    <w:uiPriority w:val="0"/>
    <w:rPr>
      <w:rFonts w:ascii="宋体" w:hAnsi="宋体"/>
      <w:b/>
      <w:sz w:val="30"/>
      <w:szCs w:val="30"/>
    </w:rPr>
  </w:style>
  <w:style w:type="character" w:customStyle="1" w:styleId="913">
    <w:name w:val="title_marcom"/>
    <w:basedOn w:val="89"/>
    <w:qFormat/>
    <w:uiPriority w:val="0"/>
  </w:style>
  <w:style w:type="paragraph" w:customStyle="1" w:styleId="914">
    <w:name w:val="小五正文"/>
    <w:basedOn w:val="1"/>
    <w:qFormat/>
    <w:uiPriority w:val="0"/>
    <w:pPr>
      <w:widowControl/>
      <w:spacing w:line="360" w:lineRule="auto"/>
      <w:ind w:firstLine="420"/>
    </w:pPr>
    <w:rPr>
      <w:kern w:val="0"/>
      <w:szCs w:val="21"/>
    </w:rPr>
  </w:style>
  <w:style w:type="character" w:customStyle="1" w:styleId="915">
    <w:name w:val="title_emph"/>
    <w:basedOn w:val="89"/>
    <w:qFormat/>
    <w:uiPriority w:val="0"/>
  </w:style>
  <w:style w:type="paragraph" w:customStyle="1" w:styleId="916">
    <w:name w:val="正文中带正方形项目符号正文"/>
    <w:basedOn w:val="1"/>
    <w:qFormat/>
    <w:uiPriority w:val="0"/>
    <w:pPr>
      <w:widowControl/>
      <w:tabs>
        <w:tab w:val="left" w:pos="814"/>
      </w:tabs>
      <w:ind w:left="284"/>
    </w:pPr>
    <w:rPr>
      <w:kern w:val="0"/>
      <w:sz w:val="24"/>
    </w:rPr>
  </w:style>
  <w:style w:type="character" w:customStyle="1" w:styleId="917">
    <w:name w:val="point_normal"/>
    <w:basedOn w:val="89"/>
    <w:qFormat/>
    <w:uiPriority w:val="0"/>
  </w:style>
  <w:style w:type="character" w:customStyle="1" w:styleId="918">
    <w:name w:val="para"/>
    <w:basedOn w:val="89"/>
    <w:qFormat/>
    <w:uiPriority w:val="0"/>
  </w:style>
  <w:style w:type="paragraph" w:customStyle="1" w:styleId="919">
    <w:name w:val="CellBody"/>
    <w:basedOn w:val="1"/>
    <w:qFormat/>
    <w:uiPriority w:val="0"/>
    <w:pPr>
      <w:widowControl/>
      <w:tabs>
        <w:tab w:val="left" w:pos="907"/>
      </w:tabs>
      <w:spacing w:line="360" w:lineRule="auto"/>
      <w:ind w:left="907" w:hanging="427"/>
      <w:jc w:val="left"/>
    </w:pPr>
    <w:rPr>
      <w:kern w:val="0"/>
      <w:sz w:val="24"/>
    </w:rPr>
  </w:style>
  <w:style w:type="paragraph" w:customStyle="1" w:styleId="920">
    <w:name w:val="样式 标题 4 + 加粗"/>
    <w:basedOn w:val="6"/>
    <w:qFormat/>
    <w:uiPriority w:val="0"/>
    <w:pPr>
      <w:keepNext w:val="0"/>
      <w:widowControl/>
      <w:tabs>
        <w:tab w:val="left" w:pos="864"/>
      </w:tabs>
      <w:spacing w:line="360" w:lineRule="auto"/>
      <w:ind w:left="864" w:hanging="864"/>
    </w:pPr>
    <w:rPr>
      <w:rFonts w:ascii="宋体" w:hAnsi="宋体"/>
      <w:kern w:val="0"/>
      <w:sz w:val="30"/>
      <w:szCs w:val="30"/>
    </w:rPr>
  </w:style>
  <w:style w:type="character" w:customStyle="1" w:styleId="921">
    <w:name w:val="content1"/>
    <w:basedOn w:val="89"/>
    <w:qFormat/>
    <w:uiPriority w:val="0"/>
  </w:style>
  <w:style w:type="paragraph" w:customStyle="1" w:styleId="922">
    <w:name w:val="正文缩减"/>
    <w:basedOn w:val="1"/>
    <w:qFormat/>
    <w:uiPriority w:val="0"/>
    <w:pPr>
      <w:widowControl/>
      <w:spacing w:line="300" w:lineRule="auto"/>
      <w:ind w:firstLine="420"/>
    </w:pPr>
    <w:rPr>
      <w:kern w:val="0"/>
      <w:szCs w:val="21"/>
    </w:rPr>
  </w:style>
  <w:style w:type="paragraph" w:customStyle="1" w:styleId="923">
    <w:name w:val="样式 标题 4 + 左侧:  0 厘米 首行缩进:  0 厘米 行距: 1.5 倍行距"/>
    <w:basedOn w:val="6"/>
    <w:qFormat/>
    <w:uiPriority w:val="0"/>
    <w:pPr>
      <w:keepNext w:val="0"/>
      <w:widowControl/>
      <w:tabs>
        <w:tab w:val="left" w:pos="720"/>
      </w:tabs>
      <w:spacing w:line="360" w:lineRule="auto"/>
      <w:ind w:left="720" w:hanging="720"/>
      <w:outlineLvl w:val="2"/>
    </w:pPr>
    <w:rPr>
      <w:rFonts w:ascii="宋体" w:hAnsi="宋体" w:cs="宋体"/>
      <w:b/>
      <w:kern w:val="0"/>
      <w:sz w:val="30"/>
      <w:szCs w:val="30"/>
    </w:rPr>
  </w:style>
  <w:style w:type="paragraph" w:customStyle="1" w:styleId="924">
    <w:name w:val="样式 标题 1 + 行距: 1.5 倍行距"/>
    <w:basedOn w:val="3"/>
    <w:qFormat/>
    <w:uiPriority w:val="0"/>
    <w:pPr>
      <w:keepNext w:val="0"/>
      <w:keepLines w:val="0"/>
      <w:widowControl/>
      <w:spacing w:before="120" w:after="0" w:line="360" w:lineRule="auto"/>
    </w:pPr>
    <w:rPr>
      <w:rFonts w:ascii="宋体" w:hAnsi="宋体" w:cs="宋体"/>
      <w:bCs w:val="0"/>
      <w:color w:val="000000"/>
      <w:kern w:val="0"/>
    </w:rPr>
  </w:style>
  <w:style w:type="paragraph" w:customStyle="1" w:styleId="925">
    <w:name w:val="样式 标题 2H2Heading 2 HiddenHeading 2 CCBSh22nd levelHeader 2..."/>
    <w:basedOn w:val="4"/>
    <w:qFormat/>
    <w:uiPriority w:val="0"/>
    <w:pPr>
      <w:keepNext w:val="0"/>
      <w:keepLines w:val="0"/>
      <w:widowControl/>
      <w:tabs>
        <w:tab w:val="left" w:pos="0"/>
      </w:tabs>
      <w:spacing w:before="120" w:after="100" w:afterAutospacing="1" w:line="360" w:lineRule="auto"/>
      <w:jc w:val="left"/>
    </w:pPr>
    <w:rPr>
      <w:rFonts w:ascii="Times New Roman" w:hAnsi="Times New Roman" w:eastAsia="宋体" w:cs="宋体"/>
      <w:bCs w:val="0"/>
      <w:kern w:val="0"/>
      <w:sz w:val="36"/>
      <w:szCs w:val="36"/>
    </w:rPr>
  </w:style>
  <w:style w:type="paragraph" w:customStyle="1" w:styleId="926">
    <w:name w:val="表格正文（左对齐）"/>
    <w:basedOn w:val="1"/>
    <w:qFormat/>
    <w:uiPriority w:val="0"/>
    <w:pPr>
      <w:widowControl/>
      <w:autoSpaceDE w:val="0"/>
      <w:autoSpaceDN w:val="0"/>
      <w:jc w:val="left"/>
    </w:pPr>
    <w:rPr>
      <w:rFonts w:ascii="宋体"/>
      <w:b/>
      <w:color w:val="000000"/>
      <w:kern w:val="0"/>
      <w:sz w:val="28"/>
      <w:szCs w:val="28"/>
    </w:rPr>
  </w:style>
  <w:style w:type="paragraph" w:customStyle="1" w:styleId="927">
    <w:name w:val="Char4"/>
    <w:next w:val="1"/>
    <w:qFormat/>
    <w:uiPriority w:val="0"/>
    <w:pPr>
      <w:tabs>
        <w:tab w:val="left" w:pos="3360"/>
      </w:tabs>
      <w:spacing w:before="240" w:after="240"/>
      <w:ind w:left="3360" w:hanging="420"/>
      <w:outlineLvl w:val="7"/>
    </w:pPr>
    <w:rPr>
      <w:rFonts w:ascii="Arial" w:hAnsi="Arial" w:eastAsia="黑体" w:cs="Arial"/>
      <w:sz w:val="21"/>
      <w:szCs w:val="21"/>
      <w:lang w:val="en-US" w:eastAsia="zh-CN" w:bidi="ar-SA"/>
    </w:rPr>
  </w:style>
  <w:style w:type="paragraph" w:customStyle="1" w:styleId="928">
    <w:name w:val="条目1_My"/>
    <w:basedOn w:val="1"/>
    <w:qFormat/>
    <w:uiPriority w:val="0"/>
    <w:pPr>
      <w:widowControl/>
      <w:numPr>
        <w:ilvl w:val="0"/>
        <w:numId w:val="64"/>
      </w:numPr>
      <w:spacing w:line="360" w:lineRule="auto"/>
      <w:ind w:firstLine="0"/>
    </w:pPr>
    <w:rPr>
      <w:rFonts w:ascii="Verdana" w:hAnsi="Verdana"/>
      <w:kern w:val="0"/>
      <w:sz w:val="24"/>
    </w:rPr>
  </w:style>
  <w:style w:type="paragraph" w:customStyle="1" w:styleId="929">
    <w:name w:val="一级条标题"/>
    <w:basedOn w:val="524"/>
    <w:next w:val="6"/>
    <w:qFormat/>
    <w:uiPriority w:val="0"/>
    <w:pPr>
      <w:spacing w:before="0" w:after="0"/>
      <w:ind w:left="0"/>
      <w:jc w:val="both"/>
      <w:outlineLvl w:val="2"/>
    </w:pPr>
  </w:style>
  <w:style w:type="paragraph" w:customStyle="1" w:styleId="930">
    <w:name w:val="二级条标题"/>
    <w:basedOn w:val="929"/>
    <w:next w:val="6"/>
    <w:qFormat/>
    <w:uiPriority w:val="0"/>
    <w:pPr>
      <w:outlineLvl w:val="3"/>
    </w:pPr>
  </w:style>
  <w:style w:type="paragraph" w:customStyle="1" w:styleId="931">
    <w:name w:val="SRS正文"/>
    <w:basedOn w:val="1"/>
    <w:qFormat/>
    <w:uiPriority w:val="0"/>
    <w:pPr>
      <w:widowControl/>
      <w:spacing w:before="120" w:line="360" w:lineRule="auto"/>
    </w:pPr>
    <w:rPr>
      <w:kern w:val="0"/>
      <w:sz w:val="24"/>
    </w:rPr>
  </w:style>
  <w:style w:type="paragraph" w:customStyle="1" w:styleId="932">
    <w:name w:val="Char Char1 Char Char Char"/>
    <w:basedOn w:val="1"/>
    <w:qFormat/>
    <w:uiPriority w:val="0"/>
    <w:pPr>
      <w:widowControl/>
      <w:spacing w:line="360" w:lineRule="auto"/>
      <w:ind w:left="720"/>
      <w:jc w:val="left"/>
    </w:pPr>
    <w:rPr>
      <w:rFonts w:ascii="Verdana" w:hAnsi="Verdana" w:eastAsia="黑体"/>
      <w:kern w:val="0"/>
      <w:sz w:val="24"/>
      <w:lang w:eastAsia="en-US"/>
    </w:rPr>
  </w:style>
  <w:style w:type="paragraph" w:customStyle="1" w:styleId="933">
    <w:name w:val="图号"/>
    <w:basedOn w:val="1"/>
    <w:qFormat/>
    <w:uiPriority w:val="0"/>
    <w:pPr>
      <w:widowControl/>
      <w:numPr>
        <w:ilvl w:val="0"/>
        <w:numId w:val="65"/>
      </w:numPr>
      <w:autoSpaceDE w:val="0"/>
      <w:autoSpaceDN w:val="0"/>
      <w:spacing w:before="105" w:line="360" w:lineRule="auto"/>
      <w:jc w:val="center"/>
    </w:pPr>
    <w:rPr>
      <w:kern w:val="0"/>
      <w:szCs w:val="21"/>
    </w:rPr>
  </w:style>
  <w:style w:type="paragraph" w:customStyle="1" w:styleId="934">
    <w:name w:val="1）编号"/>
    <w:qFormat/>
    <w:uiPriority w:val="0"/>
    <w:pPr>
      <w:numPr>
        <w:ilvl w:val="0"/>
        <w:numId w:val="66"/>
      </w:numPr>
      <w:spacing w:line="360" w:lineRule="auto"/>
    </w:pPr>
    <w:rPr>
      <w:rFonts w:ascii="宋体" w:hAnsi="宋体" w:eastAsia="宋体" w:cs="宋体"/>
      <w:sz w:val="24"/>
      <w:szCs w:val="24"/>
      <w:lang w:val="en-GB" w:eastAsia="zh-CN" w:bidi="ar-SA"/>
    </w:rPr>
  </w:style>
  <w:style w:type="character" w:customStyle="1" w:styleId="935">
    <w:name w:val="插图说明 Char"/>
    <w:link w:val="577"/>
    <w:qFormat/>
    <w:uiPriority w:val="0"/>
    <w:rPr>
      <w:rFonts w:eastAsia="黑体"/>
      <w:sz w:val="24"/>
      <w:szCs w:val="24"/>
    </w:rPr>
  </w:style>
  <w:style w:type="paragraph" w:customStyle="1" w:styleId="936">
    <w:name w:val="正文(缩进)"/>
    <w:basedOn w:val="1"/>
    <w:qFormat/>
    <w:uiPriority w:val="0"/>
    <w:pPr>
      <w:widowControl/>
      <w:spacing w:before="120" w:line="400" w:lineRule="exact"/>
      <w:ind w:firstLine="200"/>
    </w:pPr>
    <w:rPr>
      <w:kern w:val="0"/>
      <w:sz w:val="24"/>
    </w:rPr>
  </w:style>
  <w:style w:type="paragraph" w:customStyle="1" w:styleId="937">
    <w:name w:val="列项"/>
    <w:basedOn w:val="1"/>
    <w:qFormat/>
    <w:uiPriority w:val="0"/>
    <w:pPr>
      <w:widowControl/>
      <w:numPr>
        <w:ilvl w:val="0"/>
        <w:numId w:val="67"/>
      </w:numPr>
      <w:ind w:firstLine="0"/>
    </w:pPr>
    <w:rPr>
      <w:kern w:val="0"/>
      <w:szCs w:val="21"/>
    </w:rPr>
  </w:style>
  <w:style w:type="paragraph" w:customStyle="1" w:styleId="938">
    <w:name w:val="版本控制标题"/>
    <w:basedOn w:val="1"/>
    <w:qFormat/>
    <w:uiPriority w:val="0"/>
    <w:pPr>
      <w:widowControl/>
      <w:numPr>
        <w:ilvl w:val="0"/>
        <w:numId w:val="68"/>
      </w:numPr>
      <w:tabs>
        <w:tab w:val="clear" w:pos="845"/>
      </w:tabs>
      <w:spacing w:before="156" w:after="156"/>
      <w:ind w:left="0" w:firstLine="0"/>
    </w:pPr>
    <w:rPr>
      <w:rFonts w:cs="宋体"/>
      <w:b/>
      <w:kern w:val="0"/>
      <w:sz w:val="24"/>
    </w:rPr>
  </w:style>
  <w:style w:type="paragraph" w:customStyle="1" w:styleId="939">
    <w:name w:val="Style Heading 4H4Ref Heading 1rh1Heading sqlsect 1.2.3.4bulle...1"/>
    <w:basedOn w:val="6"/>
    <w:qFormat/>
    <w:uiPriority w:val="0"/>
    <w:pPr>
      <w:keepNext w:val="0"/>
      <w:widowControl/>
      <w:tabs>
        <w:tab w:val="left" w:pos="864"/>
      </w:tabs>
      <w:spacing w:before="100" w:after="100" w:line="360" w:lineRule="auto"/>
      <w:ind w:left="864" w:hanging="864"/>
    </w:pPr>
    <w:rPr>
      <w:rFonts w:ascii="宋体" w:hAnsi="宋体" w:cs="宋体"/>
      <w:b/>
      <w:kern w:val="0"/>
      <w:sz w:val="24"/>
      <w:szCs w:val="24"/>
    </w:rPr>
  </w:style>
  <w:style w:type="paragraph" w:customStyle="1" w:styleId="940">
    <w:name w:val="实施日期"/>
    <w:basedOn w:val="1"/>
    <w:qFormat/>
    <w:uiPriority w:val="0"/>
    <w:pPr>
      <w:widowControl/>
      <w:jc w:val="right"/>
    </w:pPr>
    <w:rPr>
      <w:rFonts w:eastAsia="黑体"/>
      <w:kern w:val="0"/>
      <w:sz w:val="28"/>
      <w:szCs w:val="28"/>
    </w:rPr>
  </w:style>
  <w:style w:type="paragraph" w:customStyle="1" w:styleId="941">
    <w:name w:val="圆点列表1（Alt+A）"/>
    <w:basedOn w:val="1"/>
    <w:qFormat/>
    <w:uiPriority w:val="0"/>
    <w:pPr>
      <w:widowControl/>
      <w:tabs>
        <w:tab w:val="left" w:pos="720"/>
      </w:tabs>
      <w:spacing w:line="360" w:lineRule="auto"/>
      <w:ind w:left="720" w:hanging="360"/>
    </w:pPr>
    <w:rPr>
      <w:rFonts w:ascii="宋体"/>
      <w:kern w:val="0"/>
      <w:sz w:val="24"/>
    </w:rPr>
  </w:style>
  <w:style w:type="paragraph" w:customStyle="1" w:styleId="942">
    <w:name w:val="默认段落字体 Para Char Char Char Char Char Char Char Char Char1 Char Char Char Char"/>
    <w:basedOn w:val="26"/>
    <w:qFormat/>
    <w:uiPriority w:val="0"/>
    <w:pPr>
      <w:widowControl/>
      <w:shd w:val="clear" w:color="000000" w:fill="000080"/>
    </w:pPr>
    <w:rPr>
      <w:rFonts w:ascii="Tahoma" w:hAnsi="Tahoma"/>
      <w:kern w:val="0"/>
      <w:sz w:val="24"/>
      <w:szCs w:val="24"/>
    </w:rPr>
  </w:style>
  <w:style w:type="paragraph" w:customStyle="1" w:styleId="943">
    <w:name w:val="Char Char1 Char Char1 Char Char1 Char Char Char"/>
    <w:basedOn w:val="1"/>
    <w:qFormat/>
    <w:uiPriority w:val="0"/>
    <w:pPr>
      <w:widowControl/>
    </w:pPr>
    <w:rPr>
      <w:kern w:val="0"/>
      <w:sz w:val="24"/>
    </w:rPr>
  </w:style>
  <w:style w:type="paragraph" w:customStyle="1" w:styleId="944">
    <w:name w:val="样式 两端对齐"/>
    <w:basedOn w:val="1"/>
    <w:qFormat/>
    <w:uiPriority w:val="0"/>
    <w:pPr>
      <w:widowControl/>
      <w:spacing w:line="360" w:lineRule="auto"/>
      <w:ind w:firstLine="200"/>
    </w:pPr>
    <w:rPr>
      <w:rFonts w:ascii="宋体" w:cs="宋体"/>
      <w:kern w:val="0"/>
      <w:sz w:val="24"/>
    </w:rPr>
  </w:style>
  <w:style w:type="paragraph" w:customStyle="1" w:styleId="945">
    <w:name w:val="样式 标题 5Alt+5dashdsddH5h5Block LabelPIM 5 + 小四"/>
    <w:basedOn w:val="7"/>
    <w:qFormat/>
    <w:uiPriority w:val="0"/>
    <w:pPr>
      <w:keepNext w:val="0"/>
      <w:keepLines w:val="0"/>
      <w:widowControl/>
      <w:tabs>
        <w:tab w:val="left" w:pos="1368"/>
      </w:tabs>
      <w:spacing w:before="120" w:after="120" w:line="360" w:lineRule="auto"/>
      <w:ind w:left="1366" w:hanging="1009"/>
    </w:pPr>
    <w:rPr>
      <w:rFonts w:ascii="宋体"/>
      <w:b w:val="0"/>
      <w:bCs w:val="0"/>
      <w:kern w:val="0"/>
      <w:sz w:val="24"/>
      <w:szCs w:val="24"/>
    </w:rPr>
  </w:style>
  <w:style w:type="paragraph" w:customStyle="1" w:styleId="946">
    <w:name w:val="图"/>
    <w:next w:val="1"/>
    <w:link w:val="947"/>
    <w:qFormat/>
    <w:uiPriority w:val="0"/>
    <w:pPr>
      <w:spacing w:line="240" w:lineRule="atLeast"/>
      <w:jc w:val="center"/>
    </w:pPr>
    <w:rPr>
      <w:rFonts w:ascii="Times New Roman" w:hAnsi="Times New Roman" w:eastAsia="宋体" w:cs="Times New Roman"/>
      <w:color w:val="000000"/>
      <w:sz w:val="21"/>
      <w:szCs w:val="21"/>
      <w:lang w:val="en-US" w:eastAsia="zh-CN" w:bidi="ar-SA"/>
    </w:rPr>
  </w:style>
  <w:style w:type="character" w:customStyle="1" w:styleId="947">
    <w:name w:val="图 Char"/>
    <w:link w:val="946"/>
    <w:qFormat/>
    <w:uiPriority w:val="0"/>
    <w:rPr>
      <w:color w:val="000000"/>
      <w:sz w:val="21"/>
      <w:szCs w:val="21"/>
    </w:rPr>
  </w:style>
  <w:style w:type="paragraph" w:customStyle="1" w:styleId="948">
    <w:name w:val="正文1级"/>
    <w:qFormat/>
    <w:uiPriority w:val="0"/>
    <w:pPr>
      <w:tabs>
        <w:tab w:val="left" w:pos="420"/>
      </w:tabs>
      <w:spacing w:after="60" w:line="400" w:lineRule="exact"/>
      <w:ind w:left="839" w:hanging="419"/>
      <w:jc w:val="both"/>
    </w:pPr>
    <w:rPr>
      <w:rFonts w:ascii="Times New Roman" w:hAnsi="Times New Roman" w:eastAsia="宋体" w:cs="Times New Roman"/>
      <w:sz w:val="24"/>
      <w:szCs w:val="24"/>
      <w:lang w:val="en-US" w:eastAsia="zh-CN" w:bidi="ar-SA"/>
    </w:rPr>
  </w:style>
  <w:style w:type="paragraph" w:customStyle="1" w:styleId="949">
    <w:name w:val="正文2级"/>
    <w:qFormat/>
    <w:uiPriority w:val="0"/>
    <w:pPr>
      <w:tabs>
        <w:tab w:val="left" w:pos="839"/>
      </w:tabs>
      <w:spacing w:after="60" w:line="400" w:lineRule="exact"/>
      <w:ind w:left="1259" w:hanging="420"/>
      <w:jc w:val="both"/>
    </w:pPr>
    <w:rPr>
      <w:rFonts w:ascii="Times New Roman" w:hAnsi="Times New Roman" w:eastAsia="宋体" w:cs="Times New Roman"/>
      <w:sz w:val="24"/>
      <w:szCs w:val="24"/>
      <w:lang w:val="en-US" w:eastAsia="zh-CN" w:bidi="ar-SA"/>
    </w:rPr>
  </w:style>
  <w:style w:type="paragraph" w:customStyle="1" w:styleId="950">
    <w:name w:val="编号3级"/>
    <w:qFormat/>
    <w:uiPriority w:val="0"/>
    <w:pPr>
      <w:tabs>
        <w:tab w:val="left" w:pos="0"/>
      </w:tabs>
      <w:spacing w:line="400" w:lineRule="exact"/>
      <w:ind w:left="1259" w:hanging="420"/>
    </w:pPr>
    <w:rPr>
      <w:rFonts w:ascii="Times New Roman" w:hAnsi="Times New Roman" w:eastAsia="宋体" w:cs="Times New Roman"/>
      <w:sz w:val="24"/>
      <w:szCs w:val="24"/>
      <w:lang w:val="en-US" w:eastAsia="zh-CN" w:bidi="ar-SA"/>
    </w:rPr>
  </w:style>
  <w:style w:type="paragraph" w:customStyle="1" w:styleId="951">
    <w:name w:val="编号2级"/>
    <w:qFormat/>
    <w:uiPriority w:val="0"/>
    <w:pPr>
      <w:tabs>
        <w:tab w:val="left" w:pos="840"/>
      </w:tabs>
      <w:spacing w:after="48" w:line="400" w:lineRule="exact"/>
      <w:ind w:left="1679" w:hanging="419"/>
    </w:pPr>
    <w:rPr>
      <w:rFonts w:ascii="Times New Roman" w:hAnsi="Times New Roman" w:eastAsia="宋体" w:cs="Times New Roman"/>
      <w:sz w:val="24"/>
      <w:szCs w:val="24"/>
      <w:lang w:val="en-US" w:eastAsia="zh-CN" w:bidi="ar-SA"/>
    </w:rPr>
  </w:style>
  <w:style w:type="paragraph" w:customStyle="1" w:styleId="952">
    <w:name w:val="正文3级"/>
    <w:qFormat/>
    <w:uiPriority w:val="0"/>
    <w:pPr>
      <w:tabs>
        <w:tab w:val="left" w:pos="0"/>
      </w:tabs>
      <w:spacing w:after="60" w:line="400" w:lineRule="exact"/>
      <w:ind w:left="1678" w:hanging="419"/>
      <w:jc w:val="both"/>
    </w:pPr>
    <w:rPr>
      <w:rFonts w:ascii="Times New Roman" w:hAnsi="Times New Roman" w:eastAsia="宋体" w:cs="Times New Roman"/>
      <w:sz w:val="24"/>
      <w:szCs w:val="24"/>
      <w:lang w:val="en-US" w:eastAsia="zh-CN" w:bidi="ar-SA"/>
    </w:rPr>
  </w:style>
  <w:style w:type="paragraph" w:customStyle="1" w:styleId="953">
    <w:name w:val="表后"/>
    <w:next w:val="83"/>
    <w:link w:val="956"/>
    <w:qFormat/>
    <w:uiPriority w:val="0"/>
    <w:rPr>
      <w:rFonts w:ascii="宋体" w:hAnsi="宋体" w:eastAsia="宋体" w:cs="Times New Roman"/>
      <w:color w:val="000000"/>
      <w:sz w:val="21"/>
      <w:szCs w:val="21"/>
      <w:lang w:val="en-US" w:eastAsia="zh-CN" w:bidi="ar-SA"/>
    </w:rPr>
  </w:style>
  <w:style w:type="paragraph" w:customStyle="1" w:styleId="954">
    <w:name w:val="表内"/>
    <w:next w:val="953"/>
    <w:link w:val="955"/>
    <w:qFormat/>
    <w:uiPriority w:val="0"/>
    <w:pPr>
      <w:jc w:val="center"/>
    </w:pPr>
    <w:rPr>
      <w:rFonts w:ascii="Times New Roman" w:hAnsi="Times New Roman" w:eastAsia="宋体" w:cs="宋体"/>
      <w:lang w:val="en-US" w:eastAsia="zh-CN" w:bidi="ar-SA"/>
    </w:rPr>
  </w:style>
  <w:style w:type="character" w:customStyle="1" w:styleId="955">
    <w:name w:val="表内 Char"/>
    <w:link w:val="954"/>
    <w:qFormat/>
    <w:uiPriority w:val="0"/>
    <w:rPr>
      <w:rFonts w:cs="宋体"/>
    </w:rPr>
  </w:style>
  <w:style w:type="character" w:customStyle="1" w:styleId="956">
    <w:name w:val="表后 Char"/>
    <w:link w:val="953"/>
    <w:qFormat/>
    <w:uiPriority w:val="0"/>
    <w:rPr>
      <w:rFonts w:ascii="宋体" w:hAnsi="宋体"/>
      <w:color w:val="000000"/>
      <w:sz w:val="21"/>
      <w:szCs w:val="21"/>
    </w:rPr>
  </w:style>
  <w:style w:type="paragraph" w:customStyle="1" w:styleId="957">
    <w:name w:val="一级标题"/>
    <w:qFormat/>
    <w:uiPriority w:val="0"/>
    <w:pPr>
      <w:numPr>
        <w:ilvl w:val="0"/>
        <w:numId w:val="69"/>
      </w:numPr>
      <w:tabs>
        <w:tab w:val="clear" w:pos="403"/>
      </w:tabs>
      <w:spacing w:line="480" w:lineRule="auto"/>
      <w:ind w:left="425" w:hanging="425"/>
    </w:pPr>
    <w:rPr>
      <w:rFonts w:ascii="Times New Roman" w:hAnsi="Times New Roman" w:eastAsia="宋体" w:cs="Times New Roman"/>
      <w:b/>
      <w:sz w:val="24"/>
      <w:szCs w:val="24"/>
      <w:lang w:val="en-US" w:eastAsia="zh-CN" w:bidi="ar-SA"/>
    </w:rPr>
  </w:style>
  <w:style w:type="paragraph" w:customStyle="1" w:styleId="958">
    <w:name w:val="Char Char Char1"/>
    <w:basedOn w:val="1"/>
    <w:qFormat/>
    <w:uiPriority w:val="0"/>
    <w:pPr>
      <w:widowControl/>
      <w:spacing w:line="360" w:lineRule="auto"/>
    </w:pPr>
    <w:rPr>
      <w:rFonts w:ascii="宋体" w:hAnsi="宋体"/>
      <w:kern w:val="0"/>
      <w:sz w:val="22"/>
      <w:szCs w:val="22"/>
    </w:rPr>
  </w:style>
  <w:style w:type="paragraph" w:customStyle="1" w:styleId="959">
    <w:name w:val="Char Char3 Char Char Char Char Char Char Char"/>
    <w:basedOn w:val="1"/>
    <w:qFormat/>
    <w:uiPriority w:val="0"/>
    <w:pPr>
      <w:widowControl/>
    </w:pPr>
    <w:rPr>
      <w:rFonts w:ascii="Tahoma" w:hAnsi="Tahoma"/>
      <w:kern w:val="0"/>
      <w:sz w:val="24"/>
    </w:rPr>
  </w:style>
  <w:style w:type="paragraph" w:customStyle="1" w:styleId="960">
    <w:name w:val="默认段落字体 Para Char Char Char Char Char Char Char Char Char Char Char Char Char Char Char Char"/>
    <w:basedOn w:val="1"/>
    <w:qFormat/>
    <w:uiPriority w:val="0"/>
    <w:pPr>
      <w:widowControl/>
    </w:pPr>
    <w:rPr>
      <w:rFonts w:ascii="Tahoma" w:hAnsi="Tahoma"/>
      <w:kern w:val="0"/>
      <w:sz w:val="24"/>
    </w:rPr>
  </w:style>
  <w:style w:type="paragraph" w:customStyle="1" w:styleId="961">
    <w:name w:val="Char Char Char Char Char Char Char Char Char Char Char Char Char Char Char Char Char1 Char"/>
    <w:basedOn w:val="1"/>
    <w:qFormat/>
    <w:uiPriority w:val="0"/>
    <w:pPr>
      <w:widowControl/>
    </w:pPr>
    <w:rPr>
      <w:rFonts w:ascii="Tahoma" w:hAnsi="Tahoma" w:eastAsia="黑体"/>
      <w:kern w:val="0"/>
      <w:sz w:val="30"/>
      <w:szCs w:val="30"/>
    </w:rPr>
  </w:style>
  <w:style w:type="paragraph" w:customStyle="1" w:styleId="962">
    <w:name w:val="默认段落字体 Para Char Char Char Char Char Char Char Char Char Char Char Char Char Char Char Char Char Char Char Char Char Char Char Char Char Char Char Char Char"/>
    <w:basedOn w:val="26"/>
    <w:qFormat/>
    <w:uiPriority w:val="0"/>
    <w:pPr>
      <w:widowControl/>
      <w:shd w:val="clear" w:color="000000" w:fill="000080"/>
    </w:pPr>
    <w:rPr>
      <w:rFonts w:ascii="Tahoma" w:hAnsi="Tahoma"/>
      <w:kern w:val="0"/>
      <w:sz w:val="24"/>
      <w:szCs w:val="24"/>
    </w:rPr>
  </w:style>
  <w:style w:type="paragraph" w:customStyle="1" w:styleId="963">
    <w:name w:val="样式 标题 2 + 左侧:  1 字符 右侧:  1 字符"/>
    <w:basedOn w:val="4"/>
    <w:qFormat/>
    <w:uiPriority w:val="0"/>
    <w:pPr>
      <w:keepNext w:val="0"/>
      <w:keepLines w:val="0"/>
      <w:widowControl/>
      <w:tabs>
        <w:tab w:val="left" w:pos="0"/>
      </w:tabs>
      <w:spacing w:line="415" w:lineRule="auto"/>
      <w:ind w:left="210" w:leftChars="210" w:right="210"/>
    </w:pPr>
    <w:rPr>
      <w:rFonts w:cs="宋体"/>
      <w:bCs w:val="0"/>
      <w:kern w:val="0"/>
    </w:rPr>
  </w:style>
  <w:style w:type="paragraph" w:customStyle="1" w:styleId="964">
    <w:name w:val="样式 标题6样式2 + 左侧:  1 字符 右侧:  1 字符"/>
    <w:basedOn w:val="1"/>
    <w:qFormat/>
    <w:uiPriority w:val="0"/>
    <w:pPr>
      <w:widowControl/>
      <w:numPr>
        <w:ilvl w:val="0"/>
        <w:numId w:val="70"/>
      </w:numPr>
      <w:spacing w:before="240" w:after="64" w:line="360" w:lineRule="auto"/>
      <w:ind w:right="210" w:firstLine="0"/>
      <w:outlineLvl w:val="5"/>
    </w:pPr>
    <w:rPr>
      <w:rFonts w:ascii="Arial" w:hAnsi="Arial" w:eastAsia="黑体" w:cs="宋体"/>
      <w:b/>
      <w:kern w:val="0"/>
      <w:sz w:val="24"/>
    </w:rPr>
  </w:style>
  <w:style w:type="paragraph" w:customStyle="1" w:styleId="965">
    <w:name w:val="封面表格"/>
    <w:qFormat/>
    <w:uiPriority w:val="0"/>
    <w:pPr>
      <w:spacing w:line="480" w:lineRule="auto"/>
      <w:jc w:val="center"/>
    </w:pPr>
    <w:rPr>
      <w:rFonts w:ascii="Times New Roman" w:hAnsi="Times New Roman" w:eastAsia="宋体" w:cs="Times New Roman"/>
      <w:sz w:val="28"/>
      <w:szCs w:val="28"/>
      <w:lang w:val="en-US" w:eastAsia="zh-CN" w:bidi="ar-SA"/>
    </w:rPr>
  </w:style>
  <w:style w:type="paragraph" w:customStyle="1" w:styleId="966">
    <w:name w:val="段落缩进"/>
    <w:qFormat/>
    <w:uiPriority w:val="0"/>
    <w:pPr>
      <w:spacing w:after="120" w:line="360" w:lineRule="auto"/>
      <w:ind w:firstLine="425"/>
    </w:pPr>
    <w:rPr>
      <w:rFonts w:ascii="Times New Roman" w:hAnsi="Times New Roman" w:eastAsia="宋体" w:cs="Times New Roman"/>
      <w:sz w:val="24"/>
      <w:szCs w:val="24"/>
      <w:lang w:val="en-US" w:eastAsia="zh-CN" w:bidi="ar-SA"/>
    </w:rPr>
  </w:style>
  <w:style w:type="paragraph" w:customStyle="1" w:styleId="967">
    <w:name w:val="正文缩进2文字 Char Char Char Char"/>
    <w:basedOn w:val="1"/>
    <w:qFormat/>
    <w:uiPriority w:val="0"/>
    <w:pPr>
      <w:widowControl/>
      <w:spacing w:before="120" w:after="120" w:line="360" w:lineRule="auto"/>
      <w:ind w:firstLine="200"/>
    </w:pPr>
    <w:rPr>
      <w:kern w:val="0"/>
      <w:sz w:val="24"/>
    </w:rPr>
  </w:style>
  <w:style w:type="paragraph" w:customStyle="1" w:styleId="968">
    <w:name w:val="正文new"/>
    <w:basedOn w:val="1"/>
    <w:qFormat/>
    <w:uiPriority w:val="0"/>
    <w:pPr>
      <w:widowControl/>
      <w:tabs>
        <w:tab w:val="left" w:pos="-360"/>
        <w:tab w:val="left" w:pos="900"/>
      </w:tabs>
      <w:spacing w:line="360" w:lineRule="auto"/>
      <w:ind w:firstLine="200"/>
      <w:jc w:val="left"/>
    </w:pPr>
    <w:rPr>
      <w:rFonts w:ascii="宋体" w:hAnsi="宋体"/>
      <w:kern w:val="0"/>
      <w:sz w:val="24"/>
    </w:rPr>
  </w:style>
  <w:style w:type="paragraph" w:customStyle="1" w:styleId="969">
    <w:name w:val="Char Char8 Char Char Char Char Char Char Char Char Char1"/>
    <w:basedOn w:val="1"/>
    <w:qFormat/>
    <w:uiPriority w:val="0"/>
    <w:pPr>
      <w:widowControl/>
      <w:spacing w:line="360" w:lineRule="auto"/>
    </w:pPr>
    <w:rPr>
      <w:rFonts w:ascii="宋体" w:hAnsi="宋体"/>
      <w:kern w:val="0"/>
      <w:sz w:val="22"/>
      <w:szCs w:val="22"/>
    </w:rPr>
  </w:style>
  <w:style w:type="paragraph" w:customStyle="1" w:styleId="970">
    <w:name w:val="CU"/>
    <w:basedOn w:val="1"/>
    <w:link w:val="972"/>
    <w:qFormat/>
    <w:uiPriority w:val="0"/>
    <w:pPr>
      <w:widowControl/>
      <w:spacing w:line="360" w:lineRule="auto"/>
      <w:ind w:left="420"/>
      <w:jc w:val="left"/>
    </w:pPr>
    <w:rPr>
      <w:rFonts w:ascii="宋体" w:hAnsi="宋体"/>
      <w:kern w:val="0"/>
      <w:sz w:val="24"/>
    </w:rPr>
  </w:style>
  <w:style w:type="paragraph" w:customStyle="1" w:styleId="971">
    <w:name w:val="CU-bullentine2"/>
    <w:basedOn w:val="673"/>
    <w:qFormat/>
    <w:uiPriority w:val="0"/>
    <w:pPr>
      <w:ind w:left="709" w:hanging="709"/>
    </w:pPr>
    <w:rPr>
      <w:rFonts w:eastAsia="Times New Roman"/>
      <w:lang w:eastAsia="zh-CN"/>
    </w:rPr>
  </w:style>
  <w:style w:type="character" w:customStyle="1" w:styleId="972">
    <w:name w:val="CU Char"/>
    <w:link w:val="970"/>
    <w:qFormat/>
    <w:uiPriority w:val="0"/>
    <w:rPr>
      <w:rFonts w:ascii="宋体" w:hAnsi="宋体"/>
      <w:sz w:val="24"/>
      <w:szCs w:val="24"/>
    </w:rPr>
  </w:style>
  <w:style w:type="paragraph" w:customStyle="1" w:styleId="973">
    <w:name w:val="CU-bullentine--small"/>
    <w:basedOn w:val="1"/>
    <w:qFormat/>
    <w:uiPriority w:val="0"/>
    <w:pPr>
      <w:widowControl/>
      <w:numPr>
        <w:ilvl w:val="0"/>
        <w:numId w:val="71"/>
      </w:numPr>
      <w:ind w:firstLine="0"/>
      <w:jc w:val="left"/>
    </w:pPr>
    <w:rPr>
      <w:rFonts w:ascii="Arial" w:hAnsi="Arial"/>
      <w:kern w:val="0"/>
      <w:sz w:val="24"/>
    </w:rPr>
  </w:style>
  <w:style w:type="paragraph" w:customStyle="1" w:styleId="974">
    <w:name w:val="cu-b"/>
    <w:basedOn w:val="973"/>
    <w:link w:val="975"/>
    <w:qFormat/>
    <w:uiPriority w:val="0"/>
    <w:pPr>
      <w:spacing w:line="360" w:lineRule="auto"/>
    </w:pPr>
  </w:style>
  <w:style w:type="character" w:customStyle="1" w:styleId="975">
    <w:name w:val="cu-b Char"/>
    <w:link w:val="974"/>
    <w:qFormat/>
    <w:uiPriority w:val="0"/>
    <w:rPr>
      <w:rFonts w:ascii="Arial" w:hAnsi="Arial"/>
      <w:sz w:val="24"/>
      <w:szCs w:val="24"/>
    </w:rPr>
  </w:style>
  <w:style w:type="paragraph" w:customStyle="1" w:styleId="976">
    <w:name w:val="项目符号1说明"/>
    <w:basedOn w:val="1"/>
    <w:semiHidden/>
    <w:qFormat/>
    <w:uiPriority w:val="0"/>
    <w:pPr>
      <w:widowControl/>
      <w:spacing w:before="60" w:after="60"/>
      <w:jc w:val="center"/>
    </w:pPr>
    <w:rPr>
      <w:rFonts w:ascii="黑体" w:eastAsia="黑体"/>
      <w:kern w:val="0"/>
      <w:szCs w:val="21"/>
    </w:rPr>
  </w:style>
  <w:style w:type="paragraph" w:customStyle="1" w:styleId="977">
    <w:name w:val="样式 首行缩进:  4 字符"/>
    <w:basedOn w:val="1"/>
    <w:qFormat/>
    <w:uiPriority w:val="0"/>
    <w:pPr>
      <w:widowControl/>
      <w:spacing w:line="360" w:lineRule="auto"/>
      <w:ind w:firstLine="200"/>
    </w:pPr>
    <w:rPr>
      <w:rFonts w:cs="宋体"/>
      <w:kern w:val="0"/>
      <w:sz w:val="24"/>
    </w:rPr>
  </w:style>
  <w:style w:type="paragraph" w:customStyle="1" w:styleId="978">
    <w:name w:val="CU-bullentine1"/>
    <w:basedOn w:val="672"/>
    <w:qFormat/>
    <w:uiPriority w:val="0"/>
    <w:pPr>
      <w:numPr>
        <w:ilvl w:val="0"/>
        <w:numId w:val="0"/>
      </w:numPr>
      <w:tabs>
        <w:tab w:val="left" w:pos="1320"/>
      </w:tabs>
      <w:ind w:left="1320" w:hanging="420"/>
    </w:pPr>
    <w:rPr>
      <w:lang w:val="en-US" w:eastAsia="zh-CN"/>
    </w:rPr>
  </w:style>
  <w:style w:type="paragraph" w:customStyle="1" w:styleId="979">
    <w:name w:val="CU-sub"/>
    <w:basedOn w:val="1"/>
    <w:link w:val="981"/>
    <w:qFormat/>
    <w:uiPriority w:val="0"/>
    <w:pPr>
      <w:widowControl/>
      <w:numPr>
        <w:ilvl w:val="1"/>
        <w:numId w:val="72"/>
      </w:numPr>
      <w:spacing w:line="360" w:lineRule="auto"/>
      <w:ind w:firstLine="0"/>
      <w:jc w:val="left"/>
    </w:pPr>
    <w:rPr>
      <w:rFonts w:ascii="Arial" w:hAnsi="Arial"/>
      <w:kern w:val="0"/>
      <w:sz w:val="24"/>
    </w:rPr>
  </w:style>
  <w:style w:type="paragraph" w:customStyle="1" w:styleId="980">
    <w:name w:val="CU-6"/>
    <w:basedOn w:val="979"/>
    <w:qFormat/>
    <w:uiPriority w:val="0"/>
    <w:pPr>
      <w:numPr>
        <w:ilvl w:val="0"/>
        <w:numId w:val="0"/>
      </w:numPr>
      <w:tabs>
        <w:tab w:val="left" w:pos="1260"/>
        <w:tab w:val="left" w:pos="1740"/>
      </w:tabs>
    </w:pPr>
  </w:style>
  <w:style w:type="character" w:customStyle="1" w:styleId="981">
    <w:name w:val="CU-sub Char"/>
    <w:link w:val="979"/>
    <w:qFormat/>
    <w:uiPriority w:val="0"/>
    <w:rPr>
      <w:rFonts w:ascii="Arial" w:hAnsi="Arial"/>
      <w:sz w:val="24"/>
      <w:szCs w:val="24"/>
    </w:rPr>
  </w:style>
  <w:style w:type="paragraph" w:customStyle="1" w:styleId="982">
    <w:name w:val="缩进(ALT+Z)"/>
    <w:basedOn w:val="1"/>
    <w:link w:val="983"/>
    <w:qFormat/>
    <w:uiPriority w:val="0"/>
    <w:pPr>
      <w:widowControl/>
      <w:spacing w:line="360" w:lineRule="auto"/>
      <w:ind w:firstLine="200"/>
    </w:pPr>
    <w:rPr>
      <w:rFonts w:ascii="宋体" w:cs="宋体"/>
      <w:kern w:val="0"/>
      <w:sz w:val="24"/>
    </w:rPr>
  </w:style>
  <w:style w:type="character" w:customStyle="1" w:styleId="983">
    <w:name w:val="缩进(ALT+Z) Char1"/>
    <w:link w:val="982"/>
    <w:qFormat/>
    <w:uiPriority w:val="0"/>
    <w:rPr>
      <w:rFonts w:ascii="宋体" w:cs="宋体"/>
      <w:sz w:val="24"/>
      <w:szCs w:val="24"/>
    </w:rPr>
  </w:style>
  <w:style w:type="paragraph" w:customStyle="1" w:styleId="984">
    <w:name w:val="yd正文"/>
    <w:basedOn w:val="1"/>
    <w:qFormat/>
    <w:uiPriority w:val="0"/>
    <w:pPr>
      <w:widowControl/>
      <w:spacing w:line="360" w:lineRule="auto"/>
    </w:pPr>
    <w:rPr>
      <w:rFonts w:ascii="宋体" w:hAnsi="Arial Unicode MS"/>
      <w:kern w:val="0"/>
      <w:sz w:val="24"/>
    </w:rPr>
  </w:style>
  <w:style w:type="paragraph" w:customStyle="1" w:styleId="985">
    <w:name w:val="方案正文"/>
    <w:basedOn w:val="1"/>
    <w:qFormat/>
    <w:uiPriority w:val="0"/>
    <w:pPr>
      <w:widowControl/>
      <w:spacing w:before="156" w:line="360" w:lineRule="auto"/>
      <w:ind w:firstLine="171"/>
      <w:jc w:val="left"/>
    </w:pPr>
    <w:rPr>
      <w:rFonts w:ascii="Arial" w:hAnsi="Arial" w:cs="宋体"/>
      <w:kern w:val="0"/>
      <w:sz w:val="24"/>
    </w:rPr>
  </w:style>
  <w:style w:type="paragraph" w:customStyle="1" w:styleId="986">
    <w:name w:val="项目符号1"/>
    <w:basedOn w:val="1"/>
    <w:qFormat/>
    <w:uiPriority w:val="0"/>
    <w:pPr>
      <w:widowControl/>
      <w:numPr>
        <w:ilvl w:val="0"/>
        <w:numId w:val="73"/>
      </w:numPr>
      <w:spacing w:line="360" w:lineRule="auto"/>
      <w:ind w:firstLine="0"/>
    </w:pPr>
    <w:rPr>
      <w:rFonts w:ascii="Times" w:hAnsi="Times"/>
      <w:b/>
      <w:kern w:val="0"/>
      <w:sz w:val="28"/>
      <w:szCs w:val="28"/>
    </w:rPr>
  </w:style>
  <w:style w:type="paragraph" w:customStyle="1" w:styleId="987">
    <w:name w:val="封面标题"/>
    <w:qFormat/>
    <w:uiPriority w:val="0"/>
    <w:pPr>
      <w:spacing w:line="360" w:lineRule="auto"/>
      <w:jc w:val="center"/>
    </w:pPr>
    <w:rPr>
      <w:rFonts w:ascii="Times New Roman" w:hAnsi="Times New Roman" w:eastAsia="宋体" w:cs="Times New Roman"/>
      <w:b/>
      <w:color w:val="000000"/>
      <w:sz w:val="44"/>
      <w:szCs w:val="44"/>
      <w:lang w:val="en-US" w:eastAsia="zh-CN" w:bidi="ar-SA"/>
    </w:rPr>
  </w:style>
  <w:style w:type="paragraph" w:customStyle="1" w:styleId="988">
    <w:name w:val="移动五期"/>
    <w:basedOn w:val="1"/>
    <w:qFormat/>
    <w:uiPriority w:val="0"/>
    <w:pPr>
      <w:widowControl/>
      <w:snapToGrid w:val="0"/>
      <w:spacing w:line="360" w:lineRule="auto"/>
    </w:pPr>
    <w:rPr>
      <w:rFonts w:ascii="宋体"/>
      <w:kern w:val="0"/>
      <w:sz w:val="24"/>
    </w:rPr>
  </w:style>
  <w:style w:type="paragraph" w:customStyle="1" w:styleId="989">
    <w:name w:val="Char Char Char Char Char Char Char Char Char Char Char Char Char Char Char2 Char Char Char1 Char Char Char7 Char"/>
    <w:basedOn w:val="1"/>
    <w:semiHidden/>
    <w:qFormat/>
    <w:uiPriority w:val="0"/>
    <w:pPr>
      <w:widowControl/>
      <w:numPr>
        <w:ilvl w:val="2"/>
        <w:numId w:val="74"/>
      </w:numPr>
      <w:tabs>
        <w:tab w:val="clear" w:pos="720"/>
      </w:tabs>
      <w:ind w:left="0" w:firstLine="0"/>
    </w:pPr>
    <w:rPr>
      <w:rFonts w:ascii="Arial" w:hAnsi="Arial" w:cs="Arial"/>
      <w:kern w:val="0"/>
      <w:szCs w:val="21"/>
    </w:rPr>
  </w:style>
  <w:style w:type="character" w:customStyle="1" w:styleId="990">
    <w:name w:val="editmail"/>
    <w:qFormat/>
    <w:uiPriority w:val="0"/>
  </w:style>
  <w:style w:type="paragraph" w:customStyle="1" w:styleId="991">
    <w:name w:val="样式 小四 首行缩进:  2 字符"/>
    <w:basedOn w:val="1"/>
    <w:qFormat/>
    <w:uiPriority w:val="0"/>
    <w:pPr>
      <w:widowControl/>
      <w:spacing w:line="360" w:lineRule="auto"/>
    </w:pPr>
    <w:rPr>
      <w:rFonts w:cs="宋体"/>
      <w:kern w:val="0"/>
      <w:sz w:val="24"/>
    </w:rPr>
  </w:style>
  <w:style w:type="paragraph" w:customStyle="1" w:styleId="992">
    <w:name w:val="*正文"/>
    <w:basedOn w:val="1"/>
    <w:qFormat/>
    <w:uiPriority w:val="0"/>
    <w:pPr>
      <w:widowControl/>
      <w:ind w:firstLine="200"/>
    </w:pPr>
    <w:rPr>
      <w:rFonts w:ascii="仿宋_GB2312" w:eastAsia="仿宋_GB2312"/>
      <w:kern w:val="0"/>
      <w:sz w:val="24"/>
    </w:rPr>
  </w:style>
  <w:style w:type="paragraph" w:customStyle="1" w:styleId="993">
    <w:name w:val="表样式"/>
    <w:basedOn w:val="1"/>
    <w:qFormat/>
    <w:uiPriority w:val="0"/>
    <w:pPr>
      <w:widowControl/>
      <w:spacing w:line="360" w:lineRule="auto"/>
    </w:pPr>
    <w:rPr>
      <w:rFonts w:eastAsia="仿宋_GB2312"/>
      <w:kern w:val="0"/>
      <w:sz w:val="28"/>
      <w:szCs w:val="28"/>
    </w:rPr>
  </w:style>
  <w:style w:type="paragraph" w:customStyle="1" w:styleId="994">
    <w:name w:val="方案文档"/>
    <w:basedOn w:val="1"/>
    <w:qFormat/>
    <w:uiPriority w:val="0"/>
    <w:pPr>
      <w:widowControl/>
      <w:spacing w:before="120" w:after="120" w:line="360" w:lineRule="auto"/>
    </w:pPr>
    <w:rPr>
      <w:rFonts w:ascii="Arial" w:hAnsi="Arial"/>
      <w:kern w:val="0"/>
      <w:sz w:val="24"/>
    </w:rPr>
  </w:style>
  <w:style w:type="paragraph" w:customStyle="1" w:styleId="995">
    <w:name w:val="_Style 3"/>
    <w:basedOn w:val="1"/>
    <w:qFormat/>
    <w:uiPriority w:val="0"/>
    <w:pPr>
      <w:widowControl/>
      <w:ind w:firstLine="420"/>
    </w:pPr>
    <w:rPr>
      <w:rFonts w:ascii="宋体"/>
      <w:kern w:val="0"/>
      <w:sz w:val="34"/>
      <w:szCs w:val="34"/>
    </w:rPr>
  </w:style>
  <w:style w:type="paragraph" w:customStyle="1" w:styleId="996">
    <w:name w:val="列出段落2"/>
    <w:basedOn w:val="1"/>
    <w:qFormat/>
    <w:uiPriority w:val="0"/>
    <w:pPr>
      <w:widowControl/>
      <w:ind w:firstLine="420"/>
      <w:jc w:val="left"/>
    </w:pPr>
    <w:rPr>
      <w:rFonts w:ascii="Arial" w:hAnsi="Arial" w:cs="Arial"/>
      <w:kern w:val="0"/>
      <w:sz w:val="20"/>
      <w:szCs w:val="20"/>
      <w:lang w:eastAsia="en-US"/>
    </w:rPr>
  </w:style>
  <w:style w:type="paragraph" w:customStyle="1" w:styleId="997">
    <w:name w:val="标题2_ISS"/>
    <w:basedOn w:val="4"/>
    <w:qFormat/>
    <w:uiPriority w:val="0"/>
    <w:pPr>
      <w:keepNext w:val="0"/>
      <w:keepLines w:val="0"/>
      <w:widowControl/>
      <w:tabs>
        <w:tab w:val="left" w:pos="576"/>
        <w:tab w:val="left" w:pos="756"/>
      </w:tabs>
      <w:spacing w:before="240" w:after="60" w:line="240" w:lineRule="auto"/>
      <w:ind w:left="756" w:hanging="576"/>
      <w:jc w:val="left"/>
    </w:pPr>
    <w:rPr>
      <w:rFonts w:ascii="宋体" w:hAnsi="宋体" w:eastAsia="宋体"/>
      <w:bCs w:val="0"/>
      <w:kern w:val="0"/>
      <w:sz w:val="28"/>
      <w:szCs w:val="28"/>
      <w:lang w:val="en-GB"/>
    </w:rPr>
  </w:style>
  <w:style w:type="paragraph" w:customStyle="1" w:styleId="998">
    <w:name w:val="Char Char1 Char2"/>
    <w:basedOn w:val="26"/>
    <w:qFormat/>
    <w:uiPriority w:val="0"/>
    <w:pPr>
      <w:widowControl/>
      <w:shd w:val="clear" w:color="000000" w:fill="000080"/>
      <w:spacing w:line="312" w:lineRule="atLeast"/>
    </w:pPr>
    <w:rPr>
      <w:rFonts w:ascii="Tahoma" w:hAnsi="Tahoma"/>
      <w:kern w:val="0"/>
      <w:sz w:val="24"/>
      <w:szCs w:val="24"/>
    </w:rPr>
  </w:style>
  <w:style w:type="paragraph" w:customStyle="1" w:styleId="999">
    <w:name w:val="首行缩进2字符"/>
    <w:basedOn w:val="1"/>
    <w:qFormat/>
    <w:uiPriority w:val="0"/>
    <w:pPr>
      <w:widowControl/>
      <w:spacing w:line="300" w:lineRule="auto"/>
    </w:pPr>
    <w:rPr>
      <w:kern w:val="0"/>
    </w:rPr>
  </w:style>
  <w:style w:type="character" w:customStyle="1" w:styleId="1000">
    <w:name w:val="font41"/>
    <w:basedOn w:val="89"/>
    <w:qFormat/>
    <w:uiPriority w:val="0"/>
    <w:rPr>
      <w:rFonts w:hint="eastAsia" w:ascii="宋体" w:hAnsi="宋体" w:eastAsia="宋体" w:cs="宋体"/>
      <w:color w:val="000000"/>
      <w:sz w:val="24"/>
      <w:szCs w:val="24"/>
      <w:u w:val="none"/>
    </w:rPr>
  </w:style>
  <w:style w:type="paragraph" w:customStyle="1" w:styleId="1001">
    <w:name w:val="3级和以下标题及正文"/>
    <w:basedOn w:val="1"/>
    <w:qFormat/>
    <w:uiPriority w:val="0"/>
    <w:pPr>
      <w:ind w:firstLine="660"/>
    </w:pPr>
    <w:rPr>
      <w:rFonts w:ascii="仿宋" w:hAnsi="仿宋" w:eastAsia="仿宋" w:cstheme="minorBidi"/>
      <w:sz w:val="32"/>
      <w:szCs w:val="32"/>
    </w:rPr>
  </w:style>
  <w:style w:type="paragraph" w:customStyle="1" w:styleId="1002">
    <w:name w:val="目录 7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03">
    <w:name w:val="标题 10"/>
    <w:basedOn w:val="4"/>
    <w:qFormat/>
    <w:uiPriority w:val="0"/>
    <w:pPr>
      <w:keepNext w:val="0"/>
      <w:keepLines w:val="0"/>
      <w:jc w:val="center"/>
    </w:pPr>
    <w:rPr>
      <w:bCs w:val="0"/>
      <w:kern w:val="0"/>
    </w:rPr>
  </w:style>
  <w:style w:type="character" w:customStyle="1" w:styleId="1004">
    <w:name w:val="标题 1 Char"/>
    <w:basedOn w:val="89"/>
    <w:qFormat/>
    <w:uiPriority w:val="0"/>
    <w:rPr>
      <w:rFonts w:ascii="Times New Roman" w:hAnsi="Times New Roman" w:eastAsia="宋体" w:cs="Times New Roman"/>
      <w:b/>
      <w:bCs/>
      <w:kern w:val="44"/>
      <w:sz w:val="44"/>
      <w:szCs w:val="44"/>
    </w:rPr>
  </w:style>
  <w:style w:type="character" w:customStyle="1" w:styleId="1005">
    <w:name w:val="font31"/>
    <w:basedOn w:val="89"/>
    <w:qFormat/>
    <w:uiPriority w:val="0"/>
    <w:rPr>
      <w:rFonts w:hint="eastAsia" w:ascii="宋体" w:hAnsi="宋体" w:eastAsia="宋体" w:cs="宋体"/>
      <w:b/>
      <w:bCs/>
      <w:color w:val="000000"/>
      <w:sz w:val="22"/>
      <w:szCs w:val="22"/>
      <w:u w:val="none"/>
    </w:rPr>
  </w:style>
  <w:style w:type="character" w:customStyle="1" w:styleId="1006">
    <w:name w:val="font51"/>
    <w:basedOn w:val="89"/>
    <w:qFormat/>
    <w:uiPriority w:val="0"/>
    <w:rPr>
      <w:rFonts w:hint="default" w:ascii="仿宋_GB2312" w:eastAsia="仿宋_GB2312" w:cs="仿宋_GB2312"/>
      <w:color w:val="000000"/>
      <w:sz w:val="22"/>
      <w:szCs w:val="22"/>
      <w:u w:val="none"/>
    </w:rPr>
  </w:style>
  <w:style w:type="character" w:customStyle="1" w:styleId="1007">
    <w:name w:val="font61"/>
    <w:basedOn w:val="89"/>
    <w:qFormat/>
    <w:uiPriority w:val="0"/>
    <w:rPr>
      <w:rFonts w:hint="default" w:ascii="仿宋_GB2312" w:eastAsia="仿宋_GB2312" w:cs="仿宋_GB2312"/>
      <w:color w:val="000000"/>
      <w:sz w:val="24"/>
      <w:szCs w:val="24"/>
      <w:u w:val="single"/>
    </w:rPr>
  </w:style>
  <w:style w:type="paragraph" w:customStyle="1" w:styleId="1008">
    <w:name w:val="样式 小四 首行缩进:  0.85 厘米 行距: 1.5 倍行距"/>
    <w:basedOn w:val="1"/>
    <w:qFormat/>
    <w:uiPriority w:val="0"/>
    <w:pPr>
      <w:adjustRightInd w:val="0"/>
      <w:spacing w:line="360" w:lineRule="auto"/>
      <w:ind w:firstLine="480"/>
      <w:textAlignment w:val="baseline"/>
    </w:pPr>
    <w:rPr>
      <w:rFonts w:ascii="Calibri" w:hAnsi="Calibri" w:cs="宋体"/>
      <w:kern w:val="0"/>
      <w:sz w:val="24"/>
    </w:rPr>
  </w:style>
  <w:style w:type="paragraph" w:customStyle="1" w:styleId="1009">
    <w:name w:val="通用标题5"/>
    <w:qFormat/>
    <w:uiPriority w:val="0"/>
    <w:pPr>
      <w:widowControl w:val="0"/>
      <w:numPr>
        <w:ilvl w:val="3"/>
        <w:numId w:val="75"/>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010">
    <w:name w:val="Other|1"/>
    <w:basedOn w:val="1"/>
    <w:qFormat/>
    <w:uiPriority w:val="0"/>
    <w:pPr>
      <w:spacing w:line="331" w:lineRule="exact"/>
      <w:ind w:firstLine="140"/>
    </w:pPr>
    <w:rPr>
      <w:rFonts w:ascii="宋体" w:hAnsi="宋体" w:cs="宋体"/>
      <w:sz w:val="20"/>
      <w:szCs w:val="20"/>
      <w:lang w:val="zh-TW" w:eastAsia="zh-TW" w:bidi="zh-TW"/>
    </w:rPr>
  </w:style>
  <w:style w:type="paragraph" w:customStyle="1" w:styleId="1011">
    <w:name w:val="QB表内文字"/>
    <w:basedOn w:val="199"/>
    <w:qFormat/>
    <w:uiPriority w:val="0"/>
    <w:pPr>
      <w:widowControl w:val="0"/>
      <w:ind w:firstLine="0" w:firstLineChars="200"/>
    </w:pPr>
    <w:rPr>
      <w:szCs w:val="20"/>
    </w:rPr>
  </w:style>
  <w:style w:type="character" w:customStyle="1" w:styleId="1012">
    <w:name w:val="font71"/>
    <w:basedOn w:val="89"/>
    <w:qFormat/>
    <w:uiPriority w:val="0"/>
    <w:rPr>
      <w:rFonts w:hint="eastAsia" w:ascii="宋体" w:hAnsi="宋体" w:eastAsia="宋体" w:cs="宋体"/>
      <w:color w:val="000000"/>
      <w:sz w:val="20"/>
      <w:szCs w:val="20"/>
      <w:u w:val="none"/>
    </w:rPr>
  </w:style>
  <w:style w:type="paragraph" w:customStyle="1" w:styleId="1013">
    <w:name w:val="注"/>
    <w:basedOn w:val="142"/>
    <w:qFormat/>
    <w:uiPriority w:val="0"/>
    <w:pPr>
      <w:spacing w:line="288" w:lineRule="auto"/>
      <w:ind w:firstLine="0" w:firstLineChars="0"/>
    </w:pPr>
    <w:rPr>
      <w:sz w:val="20"/>
    </w:rPr>
  </w:style>
  <w:style w:type="paragraph" w:customStyle="1" w:styleId="1014">
    <w:name w:val="报告正文"/>
    <w:basedOn w:val="1"/>
    <w:qFormat/>
    <w:uiPriority w:val="0"/>
    <w:pPr>
      <w:spacing w:before="100" w:beforeAutospacing="1" w:line="300" w:lineRule="auto"/>
      <w:ind w:firstLine="482"/>
    </w:pPr>
    <w:rPr>
      <w:kern w:val="0"/>
      <w:sz w:val="24"/>
      <w:szCs w:val="20"/>
    </w:rPr>
  </w:style>
  <w:style w:type="paragraph" w:customStyle="1" w:styleId="1015">
    <w:name w:val="Table Paragraph"/>
    <w:basedOn w:val="1"/>
    <w:qFormat/>
    <w:uiPriority w:val="1"/>
    <w:pPr>
      <w:spacing w:line="292" w:lineRule="exact"/>
      <w:ind w:left="108"/>
    </w:pPr>
    <w:rPr>
      <w:rFonts w:ascii="微软雅黑" w:hAnsi="微软雅黑" w:eastAsia="微软雅黑" w:cs="微软雅黑"/>
      <w:lang w:val="zh-CN" w:bidi="zh-CN"/>
    </w:rPr>
  </w:style>
  <w:style w:type="paragraph" w:customStyle="1" w:styleId="1016">
    <w:name w:val="标题 55"/>
    <w:basedOn w:val="7"/>
    <w:qFormat/>
    <w:uiPriority w:val="0"/>
    <w:rPr>
      <w:rFonts w:ascii="方正黑体简体" w:eastAsia="方正黑体简体"/>
      <w:b w:val="0"/>
      <w:bCs w:val="0"/>
    </w:rPr>
  </w:style>
  <w:style w:type="paragraph" w:customStyle="1" w:styleId="1017">
    <w:name w:val="列出段落"/>
    <w:basedOn w:val="1"/>
    <w:qFormat/>
    <w:uiPriority w:val="0"/>
    <w:pPr>
      <w:ind w:firstLine="420" w:firstLineChars="200"/>
    </w:pPr>
    <w:rPr>
      <w:rFonts w:ascii="Calibri" w:hAnsi="Calibri"/>
      <w:szCs w:val="22"/>
    </w:rPr>
  </w:style>
  <w:style w:type="paragraph" w:customStyle="1" w:styleId="1018">
    <w:name w:val="X正文"/>
    <w:basedOn w:val="1"/>
    <w:qFormat/>
    <w:uiPriority w:val="0"/>
    <w:pPr>
      <w:spacing w:line="360" w:lineRule="auto"/>
      <w:ind w:firstLine="200" w:firstLineChars="200"/>
    </w:pPr>
    <w:rPr>
      <w:rFonts w:eastAsia="仿宋_GB2312"/>
      <w:sz w:val="24"/>
      <w:szCs w:val="20"/>
    </w:rPr>
  </w:style>
  <w:style w:type="character" w:customStyle="1" w:styleId="1019">
    <w:name w:val="font91"/>
    <w:basedOn w:val="89"/>
    <w:qFormat/>
    <w:uiPriority w:val="0"/>
    <w:rPr>
      <w:rFonts w:hint="eastAsia" w:ascii="宋体" w:hAnsi="宋体" w:eastAsia="宋体" w:cs="宋体"/>
      <w:color w:val="000000"/>
      <w:sz w:val="18"/>
      <w:szCs w:val="18"/>
      <w:u w:val="none"/>
    </w:rPr>
  </w:style>
  <w:style w:type="paragraph" w:customStyle="1" w:styleId="1020">
    <w:name w:val="TOC 标题4"/>
    <w:basedOn w:val="3"/>
    <w:next w:val="1"/>
    <w:semiHidden/>
    <w:unhideWhenUsed/>
    <w:qFormat/>
    <w:uiPriority w:val="39"/>
    <w:pPr>
      <w:outlineLvl w:val="9"/>
    </w:pPr>
  </w:style>
  <w:style w:type="character" w:customStyle="1" w:styleId="1021">
    <w:name w:val="纯文本 字符1"/>
    <w:basedOn w:val="89"/>
    <w:qFormat/>
    <w:uiPriority w:val="0"/>
    <w:rPr>
      <w:rFonts w:hint="eastAsia" w:ascii="宋体" w:hAnsi="Courier New" w:eastAsia="宋体" w:cs="宋体"/>
    </w:rPr>
  </w:style>
  <w:style w:type="character" w:customStyle="1" w:styleId="1022">
    <w:name w:val="未处理的提及1"/>
    <w:basedOn w:val="89"/>
    <w:semiHidden/>
    <w:unhideWhenUsed/>
    <w:qFormat/>
    <w:uiPriority w:val="99"/>
    <w:rPr>
      <w:color w:val="605E5C"/>
      <w:shd w:val="clear" w:color="auto" w:fill="E1DFDD"/>
    </w:rPr>
  </w:style>
  <w:style w:type="character" w:customStyle="1" w:styleId="1023">
    <w:name w:val="readfield"/>
    <w:basedOn w:val="89"/>
    <w:qFormat/>
    <w:uiPriority w:val="99"/>
    <w:rPr>
      <w:rFonts w:cs="Times New Roman"/>
    </w:rPr>
  </w:style>
  <w:style w:type="paragraph" w:customStyle="1" w:styleId="1024">
    <w:name w:val="正文正"/>
    <w:qFormat/>
    <w:uiPriority w:val="0"/>
    <w:pPr>
      <w:widowControl w:val="0"/>
      <w:spacing w:line="560" w:lineRule="exact"/>
      <w:ind w:firstLine="561"/>
      <w:jc w:val="both"/>
    </w:pPr>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4234</Words>
  <Characters>5042</Characters>
  <Lines>696</Lines>
  <Paragraphs>195</Paragraphs>
  <TotalTime>21</TotalTime>
  <ScaleCrop>false</ScaleCrop>
  <LinksUpToDate>false</LinksUpToDate>
  <CharactersWithSpaces>5147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2023-11-01T07:09:00Z</dcterms:created>
  <dcterms:modified xsi:type="dcterms:W3CDTF">2025-10-29T08:37:22Z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E8D3E0F095D1439680002519ABCEE7F2_13</vt:lpwstr>
  </property>
  <property fmtid="{D5CDD505-2E9C-101B-9397-08002B2CF9AE}" pid="4" name="KSOTemplateDocerSaveRecord">
    <vt:lpwstr>eyJoZGlkIjoiZDQ4MjkyNGZiYzBlZTdmN2U4NTlmMzExZTYxOThiNDIiLCJ1c2VySWQiOiIzMjU2NTk3NjgifQ==</vt:lpwstr>
  </property>
</Properties>
</file>